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media/image1.wmf" ContentType="image/x-wmf"/>
  <Override PartName="/word/header2.xml" ContentType="application/vnd.openxmlformats-officedocument.wordprocessingml.header+xml"/>
  <Override PartName="/word/styles.xml" ContentType="application/vnd.openxmlformats-officedocument.wordprocessingml.styles+xml"/>
  <Override PartName="/word/header1.xml" ContentType="application/vnd.openxmlformats-officedocument.wordprocessingml.header+xml"/>
  <Override PartName="/word/theme/theme1.xml" ContentType="application/vnd.openxmlformats-officedocument.theme+xml"/>
  <Override PartName="/word/footer1.xml" ContentType="application/vnd.openxmlformats-officedocument.wordprocessingml.footer+xml"/>
  <Override PartName="/word/settings.xml" ContentType="application/vnd.openxmlformats-officedocument.wordprocessingml.settings+xml"/>
  <Override PartName="/word/footer2.xml" ContentType="application/vnd.openxmlformats-officedocument.wordprocessingml.footer+xml"/>
  <Override PartName="/word/numbering.xml" ContentType="application/vnd.openxmlformats-officedocument.wordprocessingml.numbering+xml"/>
  <Override PartName="/word/fontTable.xml" ContentType="application/vnd.openxmlformats-officedocument.wordprocessingml.fontTable+xml"/>
  <Override PartName="/_rels/.rels" ContentType="application/vnd.openxmlformats-package.relationships+xml"/>
  <Override PartName="/customXml/item1.xml" ContentType="application/xml"/>
  <Override PartName="/customXml/itemProps1.xml" ContentType="application/vnd.openxmlformats-officedocument.customXmlProperties+xml"/>
  <Override PartName="/customXml/item2.xml" ContentType="application/xml"/>
  <Override PartName="/customXml/_rels/item4.xml.rels" ContentType="application/vnd.openxmlformats-package.relationships+xml"/>
  <Override PartName="/customXml/_rels/item3.xml.rels" ContentType="application/vnd.openxmlformats-package.relationships+xml"/>
  <Override PartName="/customXml/_rels/item2.xml.rels" ContentType="application/vnd.openxmlformats-package.relationships+xml"/>
  <Override PartName="/customXml/_rels/item1.xml.rels" ContentType="application/vnd.openxmlformats-package.relationships+xml"/>
  <Override PartName="/customXml/itemProps2.xml" ContentType="application/vnd.openxmlformats-officedocument.customXmlProperties+xml"/>
  <Override PartName="/customXml/item3.xml" ContentType="application/xml"/>
  <Override PartName="/customXml/itemProps3.xml" ContentType="application/vnd.openxmlformats-officedocument.customXmlProperties+xml"/>
  <Override PartName="/customXml/item4.xml" ContentType="application/xml"/>
  <Override PartName="/customXml/itemProps4.xml" ContentType="application/vnd.openxmlformats-officedocument.customXml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pBdr>
          <w:top w:val="single" w:sz="12" w:space="1" w:color="000000" w:shadow="1"/>
          <w:left w:val="single" w:sz="12" w:space="4" w:color="000000" w:shadow="1"/>
          <w:bottom w:val="single" w:sz="12" w:space="1" w:color="000000" w:shadow="1"/>
          <w:right w:val="single" w:sz="12" w:space="4" w:color="000000" w:shadow="1"/>
        </w:pBdr>
        <w:shd w:val="clear" w:color="auto" w:fill="D9D9D9"/>
        <w:jc w:val="center"/>
        <w:rPr>
          <w:rFonts w:ascii="Times New Roman" w:hAnsi="Times New Roman" w:cs="Times New Roman"/>
          <w:b/>
          <w:b/>
          <w:bCs/>
          <w:smallCaps/>
          <w:spacing w:val="20"/>
          <w:sz w:val="72"/>
          <w:szCs w:val="72"/>
        </w:rPr>
      </w:pPr>
      <w:r>
        <w:rPr/>
        <mc:AlternateContent>
          <mc:Choice Requires="wps">
            <w:drawing>
              <wp:inline distT="0" distB="0" distL="19050" distR="1270" wp14:anchorId="46F653A4">
                <wp:extent cx="1069975" cy="1189355"/>
                <wp:effectExtent l="19050" t="0" r="1270" b="0"/>
                <wp:docPr id="1" name="Picture 1"/>
                <a:graphic xmlns:a="http://schemas.openxmlformats.org/drawingml/2006/main">
                  <a:graphicData uri="http://schemas.openxmlformats.org/drawingml/2006/picture">
                    <pic:pic xmlns:pic="http://schemas.openxmlformats.org/drawingml/2006/picture">
                      <pic:nvPicPr>
                        <pic:cNvPr id="0" name="Picture 1" descr=""/>
                        <pic:cNvPicPr/>
                      </pic:nvPicPr>
                      <pic:blipFill>
                        <a:blip r:embed="rId2"/>
                        <a:stretch/>
                      </pic:blipFill>
                      <pic:spPr>
                        <a:xfrm>
                          <a:off x="0" y="0"/>
                          <a:ext cx="1069200" cy="1188720"/>
                        </a:xfrm>
                        <a:prstGeom prst="rect">
                          <a:avLst/>
                        </a:prstGeom>
                        <a:ln w="9360">
                          <a:noFill/>
                        </a:ln>
                        <a:effectLst>
                          <a:softEdge rad="127000"/>
                        </a:effectLst>
                      </pic:spPr>
                    </pic:pic>
                  </a:graphicData>
                </a:graphic>
              </wp:inline>
            </w:drawing>
          </mc:Choice>
          <mc:Fallback>
            <w:pict>
              <v:shapetype id="shapetype_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shape_0" ID="Picture 1" stroked="f" style="position:absolute;margin-left:0pt;margin-top:-93.65pt;width:84.15pt;height:93.55pt;mso-position-vertical:top" wp14:anchorId="46F653A4" type="shapetype_75">
                <v:imagedata r:id="rId2" o:detectmouseclick="t"/>
                <w10:wrap type="none"/>
                <v:stroke color="#3465a4" weight="9360" joinstyle="round" endcap="flat"/>
              </v:shape>
            </w:pict>
          </mc:Fallback>
        </mc:AlternateContent>
      </w:r>
    </w:p>
    <w:p>
      <w:pPr>
        <w:pStyle w:val="Normal"/>
        <w:pBdr>
          <w:top w:val="single" w:sz="12" w:space="1" w:color="000000" w:shadow="1"/>
          <w:left w:val="single" w:sz="12" w:space="4" w:color="000000" w:shadow="1"/>
          <w:bottom w:val="single" w:sz="12" w:space="1" w:color="000000" w:shadow="1"/>
          <w:right w:val="single" w:sz="12" w:space="4" w:color="000000" w:shadow="1"/>
        </w:pBdr>
        <w:shd w:val="clear" w:color="auto" w:fill="D9D9D9"/>
        <w:jc w:val="center"/>
        <w:rPr>
          <w:rFonts w:ascii="Times New Roman" w:hAnsi="Times New Roman" w:cs="Times New Roman"/>
          <w:b/>
          <w:b/>
          <w:bCs/>
          <w:smallCaps/>
          <w:spacing w:val="20"/>
          <w:sz w:val="32"/>
          <w:szCs w:val="32"/>
        </w:rPr>
      </w:pPr>
      <w:r>
        <w:rPr>
          <w:rFonts w:cs="Times New Roman" w:ascii="Times New Roman" w:hAnsi="Times New Roman"/>
          <w:b/>
          <w:bCs/>
          <w:smallCaps/>
          <w:spacing w:val="20"/>
          <w:sz w:val="32"/>
          <w:szCs w:val="32"/>
        </w:rPr>
        <w:t>Advocacia-Geral da União</w:t>
      </w:r>
    </w:p>
    <w:p>
      <w:pPr>
        <w:pStyle w:val="Normal"/>
        <w:pBdr>
          <w:top w:val="single" w:sz="12" w:space="1" w:color="000000" w:shadow="1"/>
          <w:left w:val="single" w:sz="12" w:space="4" w:color="000000" w:shadow="1"/>
          <w:bottom w:val="single" w:sz="12" w:space="1" w:color="000000" w:shadow="1"/>
          <w:right w:val="single" w:sz="12" w:space="4" w:color="000000" w:shadow="1"/>
        </w:pBdr>
        <w:shd w:val="clear" w:color="auto" w:fill="D9D9D9"/>
        <w:jc w:val="center"/>
        <w:rPr>
          <w:rFonts w:ascii="Times New Roman" w:hAnsi="Times New Roman" w:cs="Times New Roman"/>
          <w:b/>
          <w:b/>
          <w:bCs/>
          <w:smallCaps/>
          <w:spacing w:val="20"/>
          <w:sz w:val="32"/>
          <w:szCs w:val="32"/>
        </w:rPr>
      </w:pPr>
      <w:r>
        <w:rPr>
          <w:rFonts w:cs="Times New Roman" w:ascii="Times New Roman" w:hAnsi="Times New Roman"/>
          <w:b/>
          <w:bCs/>
          <w:smallCaps/>
          <w:spacing w:val="20"/>
          <w:sz w:val="32"/>
          <w:szCs w:val="32"/>
        </w:rPr>
        <w:t>Consultoria-Geral da União</w:t>
      </w:r>
    </w:p>
    <w:p>
      <w:pPr>
        <w:pStyle w:val="Normal"/>
        <w:pBdr>
          <w:top w:val="single" w:sz="12" w:space="1" w:color="000000" w:shadow="1"/>
          <w:left w:val="single" w:sz="12" w:space="4" w:color="000000" w:shadow="1"/>
          <w:bottom w:val="single" w:sz="12" w:space="1" w:color="000000" w:shadow="1"/>
          <w:right w:val="single" w:sz="12" w:space="4" w:color="000000" w:shadow="1"/>
        </w:pBdr>
        <w:shd w:val="clear" w:color="auto" w:fill="D9D9D9"/>
        <w:jc w:val="center"/>
        <w:rPr>
          <w:rFonts w:ascii="Times New Roman" w:hAnsi="Times New Roman" w:cs="Times New Roman"/>
          <w:b/>
          <w:b/>
          <w:bCs/>
          <w:smallCaps/>
          <w:spacing w:val="20"/>
          <w:sz w:val="32"/>
          <w:szCs w:val="32"/>
        </w:rPr>
      </w:pPr>
      <w:r>
        <w:rPr>
          <w:rFonts w:cs="Times New Roman" w:ascii="Times New Roman" w:hAnsi="Times New Roman"/>
          <w:b/>
          <w:bCs/>
          <w:smallCaps/>
          <w:spacing w:val="20"/>
          <w:sz w:val="32"/>
          <w:szCs w:val="32"/>
        </w:rPr>
        <w:t>Consultoria Jurídica da União Especializada Virtual de Serviços Sem Dedicação Exclusiva de Mão de Obra</w:t>
      </w:r>
    </w:p>
    <w:p>
      <w:pPr>
        <w:pStyle w:val="Normal"/>
        <w:pBdr>
          <w:top w:val="single" w:sz="12" w:space="1" w:color="000000" w:shadow="1"/>
          <w:left w:val="single" w:sz="12" w:space="4" w:color="000000" w:shadow="1"/>
          <w:bottom w:val="single" w:sz="12" w:space="1" w:color="000000" w:shadow="1"/>
          <w:right w:val="single" w:sz="12" w:space="4" w:color="000000" w:shadow="1"/>
        </w:pBdr>
        <w:shd w:val="clear" w:color="auto" w:fill="D9D9D9"/>
        <w:jc w:val="center"/>
        <w:rPr>
          <w:rFonts w:ascii="Times New Roman" w:hAnsi="Times New Roman" w:cs="Times New Roman"/>
          <w:b/>
          <w:b/>
          <w:bCs/>
          <w:smallCaps/>
          <w:spacing w:val="20"/>
          <w:sz w:val="68"/>
          <w:szCs w:val="68"/>
        </w:rPr>
      </w:pPr>
      <w:r>
        <w:rPr>
          <w:rFonts w:cs="Times New Roman" w:ascii="Times New Roman" w:hAnsi="Times New Roman"/>
          <w:b/>
          <w:bCs/>
          <w:smallCaps/>
          <w:spacing w:val="20"/>
          <w:sz w:val="68"/>
          <w:szCs w:val="68"/>
        </w:rPr>
      </w:r>
    </w:p>
    <w:p>
      <w:pPr>
        <w:pStyle w:val="Normal"/>
        <w:pBdr>
          <w:top w:val="single" w:sz="12" w:space="1" w:color="000000" w:shadow="1"/>
          <w:left w:val="single" w:sz="12" w:space="4" w:color="000000" w:shadow="1"/>
          <w:bottom w:val="single" w:sz="12" w:space="1" w:color="000000" w:shadow="1"/>
          <w:right w:val="single" w:sz="12" w:space="4" w:color="000000" w:shadow="1"/>
        </w:pBdr>
        <w:shd w:val="clear" w:color="auto" w:fill="D9D9D9"/>
        <w:jc w:val="center"/>
        <w:rPr>
          <w:rFonts w:ascii="Times New Roman" w:hAnsi="Times New Roman" w:cs="Times New Roman"/>
          <w:b/>
          <w:b/>
          <w:bCs/>
          <w:smallCaps/>
          <w:spacing w:val="20"/>
          <w:sz w:val="68"/>
          <w:szCs w:val="68"/>
        </w:rPr>
      </w:pPr>
      <w:r>
        <w:rPr>
          <w:rFonts w:cs="Times New Roman" w:ascii="Times New Roman" w:hAnsi="Times New Roman"/>
          <w:b/>
          <w:bCs/>
          <w:smallCaps/>
          <w:spacing w:val="20"/>
          <w:sz w:val="68"/>
          <w:szCs w:val="68"/>
        </w:rPr>
        <w:t>Edital-padrão</w:t>
      </w:r>
    </w:p>
    <w:p>
      <w:pPr>
        <w:pStyle w:val="Normal"/>
        <w:pBdr>
          <w:top w:val="single" w:sz="12" w:space="1" w:color="000000" w:shadow="1"/>
          <w:left w:val="single" w:sz="12" w:space="4" w:color="000000" w:shadow="1"/>
          <w:bottom w:val="single" w:sz="12" w:space="1" w:color="000000" w:shadow="1"/>
          <w:right w:val="single" w:sz="12" w:space="4" w:color="000000" w:shadow="1"/>
        </w:pBdr>
        <w:shd w:val="clear" w:color="auto" w:fill="D9D9D9"/>
        <w:jc w:val="center"/>
        <w:rPr>
          <w:rFonts w:ascii="Times New Roman" w:hAnsi="Times New Roman" w:cs="Times New Roman"/>
          <w:b/>
          <w:b/>
          <w:bCs/>
          <w:smallCaps/>
          <w:spacing w:val="20"/>
          <w:sz w:val="68"/>
          <w:szCs w:val="68"/>
        </w:rPr>
      </w:pPr>
      <w:r>
        <w:rPr>
          <w:rFonts w:cs="Times New Roman" w:ascii="Times New Roman" w:hAnsi="Times New Roman"/>
          <w:b/>
          <w:bCs/>
          <w:smallCaps/>
          <w:spacing w:val="20"/>
          <w:sz w:val="68"/>
          <w:szCs w:val="68"/>
        </w:rPr>
        <w:t>Credenciamento</w:t>
      </w:r>
    </w:p>
    <w:p>
      <w:pPr>
        <w:pStyle w:val="Normal"/>
        <w:pBdr>
          <w:top w:val="single" w:sz="12" w:space="1" w:color="000000" w:shadow="1"/>
          <w:left w:val="single" w:sz="12" w:space="4" w:color="000000" w:shadow="1"/>
          <w:bottom w:val="single" w:sz="12" w:space="1" w:color="000000" w:shadow="1"/>
          <w:right w:val="single" w:sz="12" w:space="4" w:color="000000" w:shadow="1"/>
        </w:pBdr>
        <w:shd w:val="clear" w:color="auto" w:fill="D9D9D9"/>
        <w:jc w:val="center"/>
        <w:rPr>
          <w:rFonts w:ascii="Times New Roman" w:hAnsi="Times New Roman" w:cs="Times New Roman"/>
          <w:b/>
          <w:b/>
          <w:bCs/>
          <w:smallCaps/>
          <w:spacing w:val="20"/>
          <w:sz w:val="68"/>
          <w:szCs w:val="68"/>
        </w:rPr>
      </w:pPr>
      <w:r>
        <w:rPr>
          <w:rFonts w:cs="Times New Roman" w:ascii="Times New Roman" w:hAnsi="Times New Roman"/>
          <w:b/>
          <w:bCs/>
          <w:smallCaps/>
          <w:spacing w:val="20"/>
          <w:sz w:val="68"/>
          <w:szCs w:val="68"/>
        </w:rPr>
      </w:r>
    </w:p>
    <w:p>
      <w:pPr>
        <w:pStyle w:val="Normal"/>
        <w:pBdr>
          <w:top w:val="single" w:sz="12" w:space="1" w:color="000000" w:shadow="1"/>
          <w:left w:val="single" w:sz="12" w:space="4" w:color="000000" w:shadow="1"/>
          <w:bottom w:val="single" w:sz="12" w:space="1" w:color="000000" w:shadow="1"/>
          <w:right w:val="single" w:sz="12" w:space="4" w:color="000000" w:shadow="1"/>
        </w:pBdr>
        <w:shd w:val="clear" w:color="auto" w:fill="D9D9D9"/>
        <w:jc w:val="center"/>
        <w:rPr>
          <w:rFonts w:ascii="Times New Roman" w:hAnsi="Times New Roman" w:cs="Times New Roman"/>
          <w:b/>
          <w:b/>
          <w:bCs/>
          <w:smallCaps/>
          <w:spacing w:val="20"/>
          <w:sz w:val="32"/>
          <w:szCs w:val="32"/>
        </w:rPr>
      </w:pPr>
      <w:r>
        <w:rPr>
          <w:rFonts w:cs="Times New Roman" w:ascii="Times New Roman" w:hAnsi="Times New Roman"/>
          <w:b/>
          <w:bCs/>
          <w:smallCaps/>
          <w:spacing w:val="20"/>
          <w:sz w:val="32"/>
          <w:szCs w:val="32"/>
        </w:rPr>
        <w:t>FuSEx/SAMMED/PASS</w:t>
      </w:r>
    </w:p>
    <w:p>
      <w:pPr>
        <w:pStyle w:val="Normal"/>
        <w:pBdr>
          <w:top w:val="single" w:sz="12" w:space="1" w:color="000000" w:shadow="1"/>
          <w:left w:val="single" w:sz="12" w:space="4" w:color="000000" w:shadow="1"/>
          <w:bottom w:val="single" w:sz="12" w:space="1" w:color="000000" w:shadow="1"/>
          <w:right w:val="single" w:sz="12" w:space="4" w:color="000000" w:shadow="1"/>
        </w:pBdr>
        <w:shd w:val="clear" w:color="auto" w:fill="D9D9D9"/>
        <w:jc w:val="center"/>
        <w:rPr>
          <w:rFonts w:ascii="Times New Roman" w:hAnsi="Times New Roman" w:cs="Times New Roman"/>
          <w:b/>
          <w:b/>
          <w:bCs/>
          <w:smallCaps/>
          <w:spacing w:val="20"/>
          <w:sz w:val="32"/>
          <w:szCs w:val="32"/>
        </w:rPr>
      </w:pPr>
      <w:r>
        <w:rPr>
          <w:rFonts w:cs="Times New Roman" w:ascii="Times New Roman" w:hAnsi="Times New Roman"/>
          <w:b/>
          <w:bCs/>
          <w:smallCaps/>
          <w:spacing w:val="20"/>
          <w:sz w:val="32"/>
          <w:szCs w:val="32"/>
        </w:rPr>
        <w:t>Convocação de Organizações Civis de Saúde (OCS) e de Profissionais de Saúde Autônomos (PSA) para prestação de serviços médico-hospitalares, odontológicos e de reabilitação.</w:t>
      </w:r>
    </w:p>
    <w:p>
      <w:pPr>
        <w:pStyle w:val="Normal"/>
        <w:pBdr>
          <w:top w:val="single" w:sz="12" w:space="1" w:color="000000" w:shadow="1"/>
          <w:left w:val="single" w:sz="12" w:space="4" w:color="000000" w:shadow="1"/>
          <w:bottom w:val="single" w:sz="12" w:space="1" w:color="000000" w:shadow="1"/>
          <w:right w:val="single" w:sz="12" w:space="4" w:color="000000" w:shadow="1"/>
        </w:pBdr>
        <w:shd w:val="clear" w:color="auto" w:fill="D9D9D9"/>
        <w:jc w:val="center"/>
        <w:rPr>
          <w:rFonts w:ascii="Times New Roman" w:hAnsi="Times New Roman" w:cs="Times New Roman"/>
          <w:b/>
          <w:b/>
          <w:bCs/>
          <w:smallCaps/>
          <w:spacing w:val="20"/>
          <w:sz w:val="32"/>
          <w:szCs w:val="32"/>
        </w:rPr>
      </w:pPr>
      <w:r>
        <w:rPr>
          <w:rFonts w:cs="Times New Roman" w:ascii="Times New Roman" w:hAnsi="Times New Roman"/>
          <w:b/>
          <w:bCs/>
          <w:smallCaps/>
          <w:spacing w:val="20"/>
          <w:sz w:val="32"/>
          <w:szCs w:val="32"/>
        </w:rPr>
      </w:r>
    </w:p>
    <w:p>
      <w:pPr>
        <w:pStyle w:val="Normal"/>
        <w:pBdr>
          <w:top w:val="single" w:sz="12" w:space="1" w:color="000000" w:shadow="1"/>
          <w:left w:val="single" w:sz="12" w:space="4" w:color="000000" w:shadow="1"/>
          <w:bottom w:val="single" w:sz="12" w:space="1" w:color="000000" w:shadow="1"/>
          <w:right w:val="single" w:sz="12" w:space="4" w:color="000000" w:shadow="1"/>
        </w:pBdr>
        <w:shd w:val="clear" w:color="auto" w:fill="D9D9D9"/>
        <w:jc w:val="center"/>
        <w:rPr>
          <w:rFonts w:ascii="Times New Roman" w:hAnsi="Times New Roman" w:cs="Times New Roman"/>
          <w:b/>
          <w:b/>
          <w:bCs/>
          <w:smallCaps/>
          <w:spacing w:val="20"/>
          <w:sz w:val="32"/>
          <w:szCs w:val="32"/>
        </w:rPr>
      </w:pPr>
      <w:r>
        <w:rPr>
          <w:rFonts w:eastAsia="" w:cs="Times New Roman" w:ascii="Times New Roman" w:hAnsi="Times New Roman" w:eastAsiaTheme="minorEastAsia"/>
          <w:b/>
          <w:bCs/>
          <w:smallCaps/>
          <w:color w:val="auto"/>
          <w:spacing w:val="20"/>
          <w:kern w:val="0"/>
          <w:sz w:val="32"/>
          <w:szCs w:val="32"/>
          <w:lang w:val="pt-BR" w:eastAsia="pt-BR" w:bidi="ar-SA"/>
        </w:rPr>
        <w:t>ITAJUBÁ</w:t>
      </w:r>
      <w:r>
        <w:rPr>
          <w:rFonts w:cs="Times New Roman" w:ascii="Times New Roman" w:hAnsi="Times New Roman"/>
          <w:b/>
          <w:bCs/>
          <w:smallCaps/>
          <w:spacing w:val="20"/>
          <w:sz w:val="32"/>
          <w:szCs w:val="32"/>
        </w:rPr>
        <w:t xml:space="preserve"> – </w:t>
      </w:r>
      <w:r>
        <w:rPr>
          <w:rFonts w:eastAsia="" w:cs="Times New Roman" w:ascii="Times New Roman" w:hAnsi="Times New Roman"/>
          <w:b/>
          <w:bCs/>
          <w:smallCaps/>
          <w:color w:val="FF0000"/>
          <w:spacing w:val="20"/>
          <w:kern w:val="0"/>
          <w:sz w:val="32"/>
          <w:szCs w:val="32"/>
          <w:lang w:val="pt-BR" w:eastAsia="pt-BR" w:bidi="ar-SA"/>
        </w:rPr>
        <w:t>JULHO</w:t>
      </w:r>
      <w:r>
        <w:rPr>
          <w:rFonts w:cs="Times New Roman" w:ascii="Times New Roman" w:hAnsi="Times New Roman"/>
          <w:b/>
          <w:bCs/>
          <w:smallCaps/>
          <w:color w:val="FF0000"/>
          <w:spacing w:val="20"/>
          <w:sz w:val="32"/>
          <w:szCs w:val="32"/>
        </w:rPr>
        <w:t xml:space="preserve"> DE 2024</w:t>
      </w:r>
    </w:p>
    <w:p>
      <w:pPr>
        <w:pStyle w:val="Normal"/>
        <w:pBdr>
          <w:top w:val="single" w:sz="12" w:space="1" w:color="000000" w:shadow="1"/>
          <w:left w:val="single" w:sz="12" w:space="4" w:color="000000" w:shadow="1"/>
          <w:bottom w:val="single" w:sz="12" w:space="1" w:color="000000" w:shadow="1"/>
          <w:right w:val="single" w:sz="12" w:space="4" w:color="000000" w:shadow="1"/>
        </w:pBdr>
        <w:shd w:val="clear" w:color="auto" w:fill="D9D9D9"/>
        <w:jc w:val="center"/>
        <w:rPr>
          <w:rFonts w:ascii="Times New Roman" w:hAnsi="Times New Roman" w:cs="Times New Roman"/>
          <w:b/>
          <w:b/>
          <w:bCs/>
          <w:smallCaps/>
          <w:spacing w:val="20"/>
          <w:sz w:val="32"/>
          <w:szCs w:val="32"/>
        </w:rPr>
      </w:pPr>
      <w:r>
        <w:rPr>
          <w:rFonts w:cs="Times New Roman" w:ascii="Times New Roman" w:hAnsi="Times New Roman"/>
          <w:b/>
          <w:bCs/>
          <w:smallCaps/>
          <w:spacing w:val="20"/>
          <w:sz w:val="32"/>
          <w:szCs w:val="32"/>
        </w:rPr>
      </w:r>
      <w:r>
        <w:br w:type="page"/>
      </w:r>
    </w:p>
    <w:p>
      <w:pPr>
        <w:pStyle w:val="Normal"/>
        <w:jc w:val="center"/>
        <w:rPr>
          <w:rFonts w:ascii="Times New Roman" w:hAnsi="Times New Roman" w:cs="Times New Roman"/>
          <w:b/>
          <w:b/>
          <w:bCs/>
        </w:rPr>
      </w:pPr>
      <w:r>
        <w:rPr>
          <w:rFonts w:cs="Times New Roman" w:ascii="Times New Roman" w:hAnsi="Times New Roman"/>
          <w:b/>
          <w:bCs/>
        </w:rPr>
        <w:t>ÍNDICE.</w:t>
      </w:r>
    </w:p>
    <w:p>
      <w:pPr>
        <w:pStyle w:val="Normal"/>
        <w:spacing w:lineRule="auto" w:line="288" w:before="0" w:after="0"/>
        <w:jc w:val="both"/>
        <w:rPr>
          <w:rFonts w:ascii="Times New Roman" w:hAnsi="Times New Roman" w:cs="Times New Roman"/>
          <w:b/>
          <w:b/>
          <w:bCs/>
        </w:rPr>
      </w:pPr>
      <w:r>
        <w:rPr>
          <w:rFonts w:cs="Times New Roman" w:ascii="Times New Roman" w:hAnsi="Times New Roman"/>
          <w:b/>
          <w:bCs/>
        </w:rPr>
        <w:t>PREÂMBULO.</w:t>
      </w:r>
    </w:p>
    <w:p>
      <w:pPr>
        <w:pStyle w:val="Normal"/>
        <w:widowControl w:val="false"/>
        <w:numPr>
          <w:ilvl w:val="0"/>
          <w:numId w:val="28"/>
        </w:numPr>
        <w:spacing w:before="120" w:after="120"/>
        <w:ind w:left="0" w:hanging="0"/>
        <w:jc w:val="both"/>
        <w:rPr>
          <w:rFonts w:ascii="Times New Roman" w:hAnsi="Times New Roman" w:cs="Times New Roman"/>
          <w:b/>
          <w:b/>
        </w:rPr>
      </w:pPr>
      <w:r>
        <w:rPr>
          <w:rFonts w:cs="Times New Roman" w:ascii="Times New Roman" w:hAnsi="Times New Roman"/>
          <w:b/>
        </w:rPr>
        <w:t>DA CONVOCAÇÃO.</w:t>
      </w:r>
    </w:p>
    <w:p>
      <w:pPr>
        <w:pStyle w:val="Normal"/>
        <w:widowControl w:val="false"/>
        <w:numPr>
          <w:ilvl w:val="0"/>
          <w:numId w:val="29"/>
        </w:numPr>
        <w:spacing w:before="120" w:after="120"/>
        <w:ind w:left="0" w:hanging="0"/>
        <w:jc w:val="both"/>
        <w:rPr>
          <w:rFonts w:ascii="Times New Roman" w:hAnsi="Times New Roman" w:cs="Times New Roman"/>
          <w:b/>
          <w:b/>
        </w:rPr>
      </w:pPr>
      <w:r>
        <w:rPr>
          <w:rFonts w:cs="Times New Roman" w:ascii="Times New Roman" w:hAnsi="Times New Roman"/>
          <w:b/>
        </w:rPr>
        <w:t>DO OBJETO</w:t>
      </w:r>
    </w:p>
    <w:p>
      <w:pPr>
        <w:pStyle w:val="Normal"/>
        <w:widowControl w:val="false"/>
        <w:numPr>
          <w:ilvl w:val="0"/>
          <w:numId w:val="30"/>
        </w:numPr>
        <w:spacing w:before="120" w:after="120"/>
        <w:ind w:left="0" w:hanging="0"/>
        <w:jc w:val="both"/>
        <w:rPr>
          <w:rFonts w:ascii="Times New Roman" w:hAnsi="Times New Roman" w:cs="Times New Roman"/>
          <w:b/>
          <w:b/>
        </w:rPr>
      </w:pPr>
      <w:r>
        <w:rPr>
          <w:rFonts w:cs="Times New Roman" w:ascii="Times New Roman" w:hAnsi="Times New Roman"/>
          <w:b/>
          <w:bCs/>
        </w:rPr>
        <w:t>DA PARTICIPAÇÃO NO CREDENCIAMENTO.</w:t>
      </w:r>
    </w:p>
    <w:p>
      <w:pPr>
        <w:pStyle w:val="Normal"/>
        <w:widowControl w:val="false"/>
        <w:numPr>
          <w:ilvl w:val="0"/>
          <w:numId w:val="31"/>
        </w:numPr>
        <w:spacing w:before="120" w:after="120"/>
        <w:ind w:left="0" w:hanging="0"/>
        <w:jc w:val="both"/>
        <w:rPr>
          <w:rFonts w:ascii="Times New Roman" w:hAnsi="Times New Roman" w:cs="Times New Roman"/>
          <w:b/>
          <w:b/>
        </w:rPr>
      </w:pPr>
      <w:r>
        <w:rPr>
          <w:rFonts w:cs="Times New Roman" w:ascii="Times New Roman" w:hAnsi="Times New Roman"/>
          <w:b/>
        </w:rPr>
        <w:t>DA HABILITAÇÃO E DO CRITÉRIO DE JULGAMENTO.</w:t>
      </w:r>
    </w:p>
    <w:p>
      <w:pPr>
        <w:pStyle w:val="Normal"/>
        <w:widowControl w:val="false"/>
        <w:numPr>
          <w:ilvl w:val="0"/>
          <w:numId w:val="32"/>
        </w:numPr>
        <w:spacing w:before="120" w:after="120"/>
        <w:ind w:left="0" w:hanging="0"/>
        <w:jc w:val="both"/>
        <w:rPr>
          <w:rFonts w:ascii="Times New Roman" w:hAnsi="Times New Roman" w:cs="Times New Roman"/>
          <w:b/>
          <w:b/>
        </w:rPr>
      </w:pPr>
      <w:r>
        <w:rPr>
          <w:rFonts w:cs="Times New Roman" w:ascii="Times New Roman" w:hAnsi="Times New Roman"/>
          <w:b/>
        </w:rPr>
        <w:t>DOS RECURSOS FINANCEIROS.</w:t>
      </w:r>
    </w:p>
    <w:p>
      <w:pPr>
        <w:pStyle w:val="Normal"/>
        <w:widowControl w:val="false"/>
        <w:numPr>
          <w:ilvl w:val="0"/>
          <w:numId w:val="33"/>
        </w:numPr>
        <w:spacing w:before="120" w:after="120"/>
        <w:ind w:left="0" w:hanging="0"/>
        <w:jc w:val="both"/>
        <w:rPr>
          <w:rFonts w:ascii="Times New Roman" w:hAnsi="Times New Roman" w:cs="Times New Roman"/>
          <w:b/>
          <w:b/>
        </w:rPr>
      </w:pPr>
      <w:r>
        <w:rPr>
          <w:rFonts w:cs="Times New Roman" w:ascii="Times New Roman" w:hAnsi="Times New Roman"/>
          <w:b/>
          <w:bCs/>
        </w:rPr>
        <w:t xml:space="preserve">DO CONTRATO E </w:t>
      </w:r>
      <w:r>
        <w:rPr>
          <w:rFonts w:cs="Times New Roman" w:ascii="Times New Roman" w:hAnsi="Times New Roman"/>
          <w:b/>
        </w:rPr>
        <w:t xml:space="preserve">SUAS </w:t>
      </w:r>
      <w:r>
        <w:rPr>
          <w:rFonts w:cs="Times New Roman" w:ascii="Times New Roman" w:hAnsi="Times New Roman"/>
          <w:b/>
          <w:bCs/>
        </w:rPr>
        <w:t>ALTERAÇÕES</w:t>
      </w:r>
      <w:r>
        <w:rPr>
          <w:rFonts w:cs="Times New Roman" w:ascii="Times New Roman" w:hAnsi="Times New Roman"/>
          <w:b/>
        </w:rPr>
        <w:t>.</w:t>
      </w:r>
    </w:p>
    <w:p>
      <w:pPr>
        <w:pStyle w:val="Normal"/>
        <w:widowControl w:val="false"/>
        <w:numPr>
          <w:ilvl w:val="0"/>
          <w:numId w:val="34"/>
        </w:numPr>
        <w:spacing w:before="120" w:after="120"/>
        <w:ind w:left="0" w:hanging="0"/>
        <w:jc w:val="both"/>
        <w:rPr>
          <w:rFonts w:ascii="Times New Roman" w:hAnsi="Times New Roman" w:cs="Times New Roman"/>
          <w:b/>
          <w:b/>
        </w:rPr>
      </w:pPr>
      <w:r>
        <w:rPr>
          <w:rFonts w:cs="Times New Roman" w:ascii="Times New Roman" w:hAnsi="Times New Roman"/>
          <w:b/>
        </w:rPr>
        <w:t>DO REGIME DE EXECUÇÃO.</w:t>
      </w:r>
    </w:p>
    <w:p>
      <w:pPr>
        <w:pStyle w:val="Normal"/>
        <w:widowControl w:val="false"/>
        <w:numPr>
          <w:ilvl w:val="0"/>
          <w:numId w:val="35"/>
        </w:numPr>
        <w:spacing w:before="120" w:after="120"/>
        <w:ind w:left="0" w:hanging="0"/>
        <w:jc w:val="both"/>
        <w:rPr>
          <w:rFonts w:ascii="Times New Roman" w:hAnsi="Times New Roman" w:cs="Times New Roman"/>
          <w:b/>
          <w:b/>
        </w:rPr>
      </w:pPr>
      <w:r>
        <w:rPr>
          <w:rFonts w:cs="Times New Roman" w:ascii="Times New Roman" w:hAnsi="Times New Roman"/>
          <w:b/>
          <w:bCs/>
        </w:rPr>
        <w:t>DO PREÇO E CONDIÇÕES DE PAGAMENTO.</w:t>
      </w:r>
    </w:p>
    <w:p>
      <w:pPr>
        <w:pStyle w:val="Normal"/>
        <w:widowControl w:val="false"/>
        <w:numPr>
          <w:ilvl w:val="0"/>
          <w:numId w:val="36"/>
        </w:numPr>
        <w:spacing w:before="120" w:after="120"/>
        <w:ind w:left="0" w:hanging="0"/>
        <w:jc w:val="both"/>
        <w:rPr>
          <w:rFonts w:ascii="Times New Roman" w:hAnsi="Times New Roman" w:cs="Times New Roman"/>
          <w:b/>
          <w:b/>
        </w:rPr>
      </w:pPr>
      <w:r>
        <w:rPr>
          <w:rFonts w:cs="Times New Roman" w:ascii="Times New Roman" w:hAnsi="Times New Roman"/>
          <w:b/>
        </w:rPr>
        <w:t>DO REAJUSTE.</w:t>
      </w:r>
    </w:p>
    <w:p>
      <w:pPr>
        <w:pStyle w:val="Normal"/>
        <w:widowControl w:val="false"/>
        <w:numPr>
          <w:ilvl w:val="0"/>
          <w:numId w:val="37"/>
        </w:numPr>
        <w:spacing w:before="120" w:after="120"/>
        <w:ind w:left="0" w:hanging="0"/>
        <w:jc w:val="both"/>
        <w:rPr>
          <w:rFonts w:ascii="Times New Roman" w:hAnsi="Times New Roman" w:cs="Times New Roman"/>
          <w:b/>
          <w:b/>
        </w:rPr>
      </w:pPr>
      <w:r>
        <w:rPr>
          <w:rFonts w:cs="Times New Roman" w:ascii="Times New Roman" w:hAnsi="Times New Roman"/>
          <w:b/>
        </w:rPr>
        <w:t>DAS OBRIGAÇÕES DO CREDENCIANTE.</w:t>
      </w:r>
    </w:p>
    <w:p>
      <w:pPr>
        <w:pStyle w:val="Normal"/>
        <w:widowControl w:val="false"/>
        <w:numPr>
          <w:ilvl w:val="0"/>
          <w:numId w:val="38"/>
        </w:numPr>
        <w:spacing w:before="120" w:after="120"/>
        <w:ind w:left="0" w:hanging="0"/>
        <w:jc w:val="both"/>
        <w:rPr>
          <w:rFonts w:ascii="Times New Roman" w:hAnsi="Times New Roman" w:cs="Times New Roman"/>
          <w:b/>
          <w:b/>
        </w:rPr>
      </w:pPr>
      <w:r>
        <w:rPr>
          <w:rFonts w:cs="Times New Roman" w:ascii="Times New Roman" w:hAnsi="Times New Roman"/>
          <w:b/>
          <w:bCs/>
        </w:rPr>
        <w:t>DAS OBRIGAÇÕES DOS CREDENCIADOS.</w:t>
      </w:r>
    </w:p>
    <w:p>
      <w:pPr>
        <w:pStyle w:val="Normal"/>
        <w:widowControl w:val="false"/>
        <w:numPr>
          <w:ilvl w:val="0"/>
          <w:numId w:val="39"/>
        </w:numPr>
        <w:spacing w:before="120" w:after="120"/>
        <w:ind w:left="0" w:hanging="0"/>
        <w:jc w:val="both"/>
        <w:rPr>
          <w:rFonts w:ascii="Times New Roman" w:hAnsi="Times New Roman" w:cs="Times New Roman"/>
          <w:b/>
          <w:b/>
        </w:rPr>
      </w:pPr>
      <w:r>
        <w:rPr>
          <w:rFonts w:cs="Times New Roman" w:ascii="Times New Roman" w:hAnsi="Times New Roman"/>
          <w:b/>
        </w:rPr>
        <w:t>DAS SANÇÕES.</w:t>
      </w:r>
    </w:p>
    <w:p>
      <w:pPr>
        <w:pStyle w:val="Normal"/>
        <w:widowControl w:val="false"/>
        <w:numPr>
          <w:ilvl w:val="0"/>
          <w:numId w:val="40"/>
        </w:numPr>
        <w:spacing w:before="120" w:after="120"/>
        <w:ind w:left="0" w:hanging="0"/>
        <w:jc w:val="both"/>
        <w:rPr>
          <w:rFonts w:ascii="Times New Roman" w:hAnsi="Times New Roman" w:cs="Times New Roman"/>
          <w:b/>
          <w:b/>
        </w:rPr>
      </w:pPr>
      <w:r>
        <w:rPr>
          <w:rFonts w:cs="Times New Roman" w:ascii="Times New Roman" w:hAnsi="Times New Roman"/>
          <w:b/>
        </w:rPr>
        <w:t>DA RESCISÃO.</w:t>
      </w:r>
    </w:p>
    <w:p>
      <w:pPr>
        <w:pStyle w:val="Normal"/>
        <w:widowControl w:val="false"/>
        <w:numPr>
          <w:ilvl w:val="0"/>
          <w:numId w:val="41"/>
        </w:numPr>
        <w:spacing w:before="120" w:after="120"/>
        <w:ind w:left="0" w:hanging="0"/>
        <w:jc w:val="both"/>
        <w:rPr>
          <w:rFonts w:ascii="Times New Roman" w:hAnsi="Times New Roman" w:cs="Times New Roman"/>
          <w:b/>
          <w:b/>
        </w:rPr>
      </w:pPr>
      <w:r>
        <w:rPr>
          <w:rFonts w:cs="Times New Roman" w:ascii="Times New Roman" w:hAnsi="Times New Roman"/>
          <w:b/>
        </w:rPr>
        <w:t>DOS RECURSOS.</w:t>
      </w:r>
    </w:p>
    <w:p>
      <w:pPr>
        <w:pStyle w:val="Normal"/>
        <w:widowControl w:val="false"/>
        <w:numPr>
          <w:ilvl w:val="0"/>
          <w:numId w:val="42"/>
        </w:numPr>
        <w:spacing w:before="120" w:after="120"/>
        <w:ind w:left="0" w:hanging="0"/>
        <w:jc w:val="both"/>
        <w:rPr>
          <w:rFonts w:ascii="Times New Roman" w:hAnsi="Times New Roman" w:cs="Times New Roman"/>
          <w:b/>
          <w:b/>
        </w:rPr>
      </w:pPr>
      <w:r>
        <w:rPr>
          <w:rFonts w:cs="Times New Roman" w:ascii="Times New Roman" w:hAnsi="Times New Roman"/>
          <w:b/>
        </w:rPr>
        <w:t>DA IMPUGNAÇÃO DO EDITAL E PEDIDOS DE INFORMAÇÕES</w:t>
      </w:r>
    </w:p>
    <w:p>
      <w:pPr>
        <w:pStyle w:val="Normal"/>
        <w:widowControl w:val="false"/>
        <w:numPr>
          <w:ilvl w:val="0"/>
          <w:numId w:val="43"/>
        </w:numPr>
        <w:spacing w:before="120" w:after="120"/>
        <w:ind w:left="0" w:hanging="0"/>
        <w:jc w:val="both"/>
        <w:rPr>
          <w:rFonts w:ascii="Times New Roman" w:hAnsi="Times New Roman" w:cs="Times New Roman"/>
          <w:b/>
          <w:b/>
        </w:rPr>
      </w:pPr>
      <w:r>
        <w:rPr>
          <w:rFonts w:cs="Times New Roman" w:ascii="Times New Roman" w:hAnsi="Times New Roman"/>
          <w:b/>
        </w:rPr>
        <w:t>DAS DISPOSIÇÕES GERAIS.</w:t>
      </w:r>
    </w:p>
    <w:p>
      <w:pPr>
        <w:sectPr>
          <w:headerReference w:type="default" r:id="rId3"/>
          <w:footerReference w:type="default" r:id="rId4"/>
          <w:type w:val="nextPage"/>
          <w:pgSz w:w="11906" w:h="16838"/>
          <w:pgMar w:left="1701" w:right="1701" w:header="720" w:top="1417" w:footer="720" w:bottom="1417" w:gutter="0"/>
          <w:pgNumType w:fmt="decimal"/>
          <w:formProt w:val="false"/>
          <w:textDirection w:val="lrTb"/>
          <w:docGrid w:type="default" w:linePitch="360" w:charSpace="8192"/>
        </w:sectPr>
        <w:pStyle w:val="Normal"/>
        <w:widowControl w:val="false"/>
        <w:numPr>
          <w:ilvl w:val="0"/>
          <w:numId w:val="44"/>
        </w:numPr>
        <w:spacing w:before="120" w:after="120"/>
        <w:ind w:left="0" w:hanging="0"/>
        <w:jc w:val="both"/>
        <w:rPr>
          <w:rFonts w:ascii="Times New Roman" w:hAnsi="Times New Roman" w:cs="Times New Roman"/>
          <w:b/>
          <w:b/>
        </w:rPr>
      </w:pPr>
      <w:r>
        <w:rPr>
          <w:rFonts w:cs="Times New Roman" w:ascii="Times New Roman" w:hAnsi="Times New Roman"/>
          <w:b/>
        </w:rPr>
        <w:t>DO FORO.</w:t>
      </w:r>
    </w:p>
    <w:p>
      <w:pPr>
        <w:pStyle w:val="Normal"/>
        <w:widowControl w:val="false"/>
        <w:spacing w:before="120" w:after="120"/>
        <w:jc w:val="center"/>
        <w:rPr>
          <w:rFonts w:ascii="Times New Roman" w:hAnsi="Times New Roman" w:cs="Times New Roman"/>
        </w:rPr>
      </w:pPr>
      <w:r>
        <w:rPr/>
        <mc:AlternateContent>
          <mc:Choice Requires="wps">
            <w:drawing>
              <wp:inline distT="0" distB="0" distL="19050" distR="0" wp14:anchorId="04584CA5">
                <wp:extent cx="1071245" cy="1185545"/>
                <wp:effectExtent l="19050" t="0" r="0" b="0"/>
                <wp:docPr id="2" name="Picture 1"/>
                <a:graphic xmlns:a="http://schemas.openxmlformats.org/drawingml/2006/main">
                  <a:graphicData uri="http://schemas.openxmlformats.org/drawingml/2006/picture">
                    <pic:pic xmlns:pic="http://schemas.openxmlformats.org/drawingml/2006/picture">
                      <pic:nvPicPr>
                        <pic:cNvPr id="1" name="Picture 1" descr=""/>
                        <pic:cNvPicPr/>
                      </pic:nvPicPr>
                      <pic:blipFill>
                        <a:blip r:embed="rId2"/>
                        <a:stretch/>
                      </pic:blipFill>
                      <pic:spPr>
                        <a:xfrm>
                          <a:off x="0" y="0"/>
                          <a:ext cx="1070640" cy="1184760"/>
                        </a:xfrm>
                        <a:prstGeom prst="rect">
                          <a:avLst/>
                        </a:prstGeom>
                        <a:ln w="9360">
                          <a:noFill/>
                        </a:ln>
                        <a:effectLst>
                          <a:softEdge rad="127000"/>
                        </a:effectLst>
                      </pic:spPr>
                    </pic:pic>
                  </a:graphicData>
                </a:graphic>
              </wp:inline>
            </w:drawing>
          </mc:Choice>
          <mc:Fallback>
            <w:pict>
              <v:shape id="shape_0" ID="Picture 1" stroked="f" style="position:absolute;margin-left:0pt;margin-top:-93.35pt;width:84.25pt;height:93.25pt;mso-position-vertical:top" wp14:anchorId="04584CA5" type="shapetype_75">
                <v:imagedata r:id="rId2" o:detectmouseclick="t"/>
                <w10:wrap type="none"/>
                <v:stroke color="#3465a4" weight="9360" joinstyle="round" endcap="flat"/>
              </v:shape>
            </w:pict>
          </mc:Fallback>
        </mc:AlternateContent>
      </w:r>
    </w:p>
    <w:p>
      <w:pPr>
        <w:pStyle w:val="Normal"/>
        <w:widowControl w:val="false"/>
        <w:spacing w:before="120" w:after="120"/>
        <w:jc w:val="center"/>
        <w:rPr>
          <w:rFonts w:ascii="Times New Roman" w:hAnsi="Times New Roman" w:cs="Times New Roman"/>
        </w:rPr>
      </w:pPr>
      <w:r>
        <w:rPr>
          <w:rFonts w:cs="Times New Roman" w:ascii="Times New Roman" w:hAnsi="Times New Roman"/>
        </w:rPr>
        <w:t>MINISTÉRIO DA DEFESA</w:t>
      </w:r>
    </w:p>
    <w:p>
      <w:pPr>
        <w:pStyle w:val="Normal"/>
        <w:widowControl w:val="false"/>
        <w:spacing w:before="120" w:after="120"/>
        <w:jc w:val="center"/>
        <w:rPr>
          <w:rFonts w:ascii="Times New Roman" w:hAnsi="Times New Roman" w:cs="Times New Roman"/>
        </w:rPr>
      </w:pPr>
      <w:r>
        <w:rPr>
          <w:rFonts w:cs="Times New Roman" w:ascii="Times New Roman" w:hAnsi="Times New Roman"/>
        </w:rPr>
        <w:t>EXÉRCITO BRASILEIRO</w:t>
      </w:r>
    </w:p>
    <w:p>
      <w:pPr>
        <w:pStyle w:val="Normal"/>
        <w:widowControl w:val="false"/>
        <w:spacing w:before="120" w:after="120"/>
        <w:jc w:val="center"/>
        <w:rPr>
          <w:rFonts w:ascii="Times New Roman" w:hAnsi="Times New Roman" w:cs="Times New Roman"/>
          <w:highlight w:val="lightGray"/>
        </w:rPr>
      </w:pPr>
      <w:r>
        <w:rPr>
          <w:rFonts w:cs="Times New Roman" w:ascii="Times New Roman" w:hAnsi="Times New Roman"/>
          <w:highlight w:val="lightGray"/>
        </w:rPr>
        <w:t>COMANDO MILITAR DO LESTE</w:t>
      </w:r>
    </w:p>
    <w:p>
      <w:pPr>
        <w:pStyle w:val="Normal"/>
        <w:widowControl w:val="false"/>
        <w:spacing w:before="120" w:after="120"/>
        <w:jc w:val="center"/>
        <w:rPr>
          <w:rFonts w:ascii="Times New Roman" w:hAnsi="Times New Roman" w:cs="Times New Roman"/>
          <w:highlight w:val="lightGray"/>
        </w:rPr>
      </w:pPr>
      <w:r>
        <w:rPr>
          <w:rFonts w:cs="Times New Roman" w:ascii="Times New Roman" w:hAnsi="Times New Roman"/>
          <w:highlight w:val="lightGray"/>
        </w:rPr>
        <w:t>COMANDO DA 4ª REGIÃO MILITAR</w:t>
      </w:r>
    </w:p>
    <w:p>
      <w:pPr>
        <w:pStyle w:val="Normal"/>
        <w:widowControl w:val="false"/>
        <w:spacing w:before="120" w:after="120"/>
        <w:jc w:val="center"/>
        <w:rPr>
          <w:rFonts w:ascii="Times New Roman" w:hAnsi="Times New Roman" w:cs="Times New Roman"/>
          <w:highlight w:val="lightGray"/>
        </w:rPr>
      </w:pPr>
      <w:r>
        <w:rPr>
          <w:rFonts w:cs="Times New Roman" w:ascii="Times New Roman" w:hAnsi="Times New Roman"/>
          <w:highlight w:val="lightGray"/>
        </w:rPr>
        <w:t>(4ª Distrito Militar/1891)</w:t>
      </w:r>
    </w:p>
    <w:p>
      <w:pPr>
        <w:pStyle w:val="Normal"/>
        <w:widowControl w:val="false"/>
        <w:spacing w:before="120" w:after="120"/>
        <w:jc w:val="center"/>
        <w:rPr>
          <w:rFonts w:ascii="Times New Roman" w:hAnsi="Times New Roman" w:cs="Times New Roman"/>
        </w:rPr>
      </w:pPr>
      <w:r>
        <w:rPr>
          <w:rFonts w:cs="Times New Roman" w:ascii="Times New Roman" w:hAnsi="Times New Roman"/>
          <w:highlight w:val="lightGray"/>
        </w:rPr>
        <w:t>REGIÃO DAS MINAS DE OURO</w:t>
      </w:r>
    </w:p>
    <w:p>
      <w:pPr>
        <w:pStyle w:val="Normal"/>
        <w:widowControl w:val="false"/>
        <w:spacing w:before="240" w:after="240"/>
        <w:jc w:val="center"/>
        <w:rPr>
          <w:rFonts w:ascii="Times New Roman" w:hAnsi="Times New Roman" w:cs="Times New Roman"/>
          <w:b/>
          <w:b/>
        </w:rPr>
      </w:pPr>
      <w:r>
        <w:rPr>
          <w:rFonts w:cs="Times New Roman" w:ascii="Times New Roman" w:hAnsi="Times New Roman"/>
          <w:b/>
          <w:u w:val="thick"/>
        </w:rPr>
        <w:t>E D I T A L</w:t>
      </w:r>
    </w:p>
    <w:p>
      <w:pPr>
        <w:pStyle w:val="Normal"/>
        <w:widowControl w:val="false"/>
        <w:spacing w:before="240" w:after="240"/>
        <w:jc w:val="both"/>
        <w:rPr>
          <w:rFonts w:ascii="Times New Roman" w:hAnsi="Times New Roman" w:cs="Times New Roman"/>
          <w:i/>
          <w:i/>
          <w:sz w:val="18"/>
          <w:szCs w:val="16"/>
        </w:rPr>
      </w:pPr>
      <w:r>
        <w:rPr>
          <w:rFonts w:cs="Times New Roman" w:ascii="Times New Roman" w:hAnsi="Times New Roman"/>
        </w:rPr>
        <w:t>CONVOCAÇÃO DE ORGANIZAÇÕES CIVIS DE SAÚDE (OCS) E DE PROFISSIONAIS DE SAÚDE AUTÕNOMOS (PSA) PARA PRESTAÇÃO DE SERVIÇOS MÉDICO-HOSPITALARES, ODONTOLÓGICOS E DE REABILITAÇÃO.</w:t>
      </w:r>
    </w:p>
    <w:p>
      <w:pPr>
        <w:pStyle w:val="Normal"/>
        <w:widowControl w:val="false"/>
        <w:spacing w:lineRule="auto" w:line="240" w:before="0" w:after="0"/>
        <w:ind w:left="1418" w:hanging="0"/>
        <w:jc w:val="both"/>
        <w:rPr>
          <w:rFonts w:ascii="Times New Roman" w:hAnsi="Times New Roman" w:cs="Times New Roman"/>
          <w:i/>
          <w:i/>
          <w:sz w:val="18"/>
          <w:szCs w:val="16"/>
        </w:rPr>
      </w:pPr>
      <w:r>
        <w:rPr>
          <w:rFonts w:cs="Times New Roman" w:ascii="Times New Roman" w:hAnsi="Times New Roman"/>
          <w:i/>
          <w:sz w:val="18"/>
          <w:szCs w:val="16"/>
        </w:rPr>
      </w:r>
    </w:p>
    <w:p>
      <w:pPr>
        <w:pStyle w:val="Normal"/>
        <w:widowControl w:val="false"/>
        <w:spacing w:lineRule="auto" w:line="240" w:before="0" w:after="0"/>
        <w:ind w:left="1418" w:hanging="0"/>
        <w:jc w:val="both"/>
        <w:rPr>
          <w:rFonts w:ascii="Times New Roman" w:hAnsi="Times New Roman" w:cs="Times New Roman"/>
          <w:i/>
          <w:i/>
          <w:sz w:val="18"/>
          <w:szCs w:val="16"/>
          <w:highlight w:val="yellow"/>
        </w:rPr>
      </w:pPr>
      <w:r>
        <w:rPr>
          <w:rFonts w:cs="Times New Roman" w:ascii="Times New Roman" w:hAnsi="Times New Roman"/>
          <w:i/>
          <w:sz w:val="18"/>
          <w:szCs w:val="16"/>
          <w:highlight w:val="yellow"/>
        </w:rPr>
        <w:t>Nota Explicativa: Conforme se depreende da leitura do art. 7º combinado com art. 20 do Decreto nº 92.512/1986, a contratação de Organizações Civis de Saúde, bem como de Profissionais de Saúde Autônomos deve proceder-se somente quando não houver organizações de saúde das Forças Armadas, de forma complementar aos serviços especializados das organizações militares de saúde ou por motivos médicos que transcendam a possibilidade de atendimento pelos seus sistemas.</w:t>
      </w:r>
    </w:p>
    <w:p>
      <w:pPr>
        <w:pStyle w:val="Normal"/>
        <w:widowControl w:val="false"/>
        <w:spacing w:lineRule="auto" w:line="240" w:before="0" w:after="0"/>
        <w:ind w:left="1418" w:hanging="0"/>
        <w:jc w:val="both"/>
        <w:rPr>
          <w:rFonts w:ascii="Times New Roman" w:hAnsi="Times New Roman" w:cs="Times New Roman"/>
          <w:i/>
          <w:i/>
          <w:sz w:val="18"/>
          <w:szCs w:val="16"/>
          <w:highlight w:val="yellow"/>
        </w:rPr>
      </w:pPr>
      <w:r>
        <w:rPr>
          <w:rFonts w:cs="Times New Roman" w:ascii="Times New Roman" w:hAnsi="Times New Roman"/>
          <w:i/>
          <w:sz w:val="18"/>
          <w:szCs w:val="16"/>
          <w:highlight w:val="yellow"/>
        </w:rPr>
        <w:t>Recomenda-se, outrossim, a observância da prioridade definida nos incisos do art. 13 da Portaria nº DGP-48/2008 (IR 30-38).</w:t>
      </w:r>
    </w:p>
    <w:p>
      <w:pPr>
        <w:pStyle w:val="Normal"/>
        <w:widowControl w:val="false"/>
        <w:spacing w:lineRule="auto" w:line="240" w:before="0" w:after="0"/>
        <w:ind w:left="1418" w:hanging="0"/>
        <w:jc w:val="both"/>
        <w:rPr>
          <w:rFonts w:ascii="Times New Roman" w:hAnsi="Times New Roman" w:cs="Times New Roman"/>
          <w:i/>
          <w:i/>
          <w:sz w:val="18"/>
          <w:szCs w:val="16"/>
          <w:highlight w:val="yellow"/>
        </w:rPr>
      </w:pPr>
      <w:r>
        <w:rPr>
          <w:rFonts w:cs="Times New Roman" w:ascii="Times New Roman" w:hAnsi="Times New Roman"/>
          <w:i/>
          <w:sz w:val="18"/>
          <w:szCs w:val="16"/>
          <w:highlight w:val="yellow"/>
        </w:rPr>
        <w:t>A matéria e os procedimentos técnicos, previstos neste edital e em seus anexos, especialmente, os anexos “N”, “O” e “P”, deverão ser revistos conforme as necessidades do órgão assessorado. Tais elementos, regra geral, constarão marcados de cinza no corpo deste edital e contratos.</w:t>
      </w:r>
    </w:p>
    <w:p>
      <w:pPr>
        <w:pStyle w:val="Normal"/>
        <w:widowControl w:val="false"/>
        <w:spacing w:lineRule="auto" w:line="240" w:before="0" w:after="0"/>
        <w:ind w:left="1418" w:hanging="0"/>
        <w:jc w:val="both"/>
        <w:rPr>
          <w:rFonts w:ascii="Times New Roman" w:hAnsi="Times New Roman" w:cs="Times New Roman"/>
          <w:i/>
          <w:i/>
          <w:sz w:val="18"/>
          <w:szCs w:val="16"/>
          <w:highlight w:val="yellow"/>
        </w:rPr>
      </w:pPr>
      <w:r>
        <w:rPr>
          <w:rFonts w:cs="Times New Roman" w:ascii="Times New Roman" w:hAnsi="Times New Roman"/>
          <w:i/>
          <w:sz w:val="18"/>
          <w:szCs w:val="16"/>
          <w:highlight w:val="yellow"/>
        </w:rPr>
        <w:t>As áreas de prestação de serviços de assistência médico-hospitalar, odontológica e de reabilitação, antes previstas no corpo do Edital, foram deslocadas para um Anexo próprio – Anexo “Q”.</w:t>
      </w:r>
    </w:p>
    <w:p>
      <w:pPr>
        <w:pStyle w:val="Normal"/>
        <w:widowControl w:val="false"/>
        <w:spacing w:lineRule="auto" w:line="240" w:before="0" w:after="0"/>
        <w:ind w:left="1418" w:hanging="0"/>
        <w:jc w:val="both"/>
        <w:rPr>
          <w:rFonts w:ascii="Times New Roman" w:hAnsi="Times New Roman" w:cs="Times New Roman"/>
          <w:i/>
          <w:i/>
          <w:sz w:val="18"/>
          <w:szCs w:val="16"/>
          <w:highlight w:val="yellow"/>
        </w:rPr>
      </w:pPr>
      <w:r>
        <w:rPr>
          <w:rFonts w:cs="Times New Roman" w:ascii="Times New Roman" w:hAnsi="Times New Roman"/>
          <w:i/>
          <w:sz w:val="18"/>
          <w:szCs w:val="16"/>
          <w:highlight w:val="yellow"/>
        </w:rPr>
        <w:t>As áreas de prestação de serviços de assistência médico-hospitalar, odontológica e de reabilitação, antes previstas no corpo do Edital, foram deslocadas para um Anexo próprio – Anexo “Q”.</w:t>
      </w:r>
    </w:p>
    <w:p>
      <w:pPr>
        <w:pStyle w:val="Normal"/>
        <w:widowControl w:val="false"/>
        <w:spacing w:lineRule="auto" w:line="240" w:before="0" w:after="0"/>
        <w:ind w:left="1418" w:hanging="0"/>
        <w:jc w:val="both"/>
        <w:rPr>
          <w:rFonts w:ascii="Times New Roman" w:hAnsi="Times New Roman" w:cs="Times New Roman"/>
          <w:i/>
          <w:i/>
          <w:sz w:val="18"/>
          <w:szCs w:val="16"/>
          <w:highlight w:val="yellow"/>
        </w:rPr>
      </w:pPr>
      <w:r>
        <w:rPr>
          <w:rFonts w:cs="Times New Roman" w:ascii="Times New Roman" w:hAnsi="Times New Roman"/>
          <w:i/>
          <w:sz w:val="18"/>
          <w:szCs w:val="16"/>
          <w:highlight w:val="yellow"/>
        </w:rPr>
        <w:t>Os procedimentos sujeitos a parecer de Comissão Ética Médica e de Serviço de Auditoria Médica de OMS, bem como os procedimentos médico-hospitalares e odontológicos não cobertos (ZM2) nem financiados (ZM1), foram deslocados para um Anexo próprio -  Anexo “S”.</w:t>
      </w:r>
    </w:p>
    <w:p>
      <w:pPr>
        <w:pStyle w:val="Normal"/>
        <w:widowControl w:val="false"/>
        <w:spacing w:lineRule="auto" w:line="240" w:before="0" w:after="0"/>
        <w:ind w:left="1418" w:hanging="0"/>
        <w:jc w:val="both"/>
        <w:rPr>
          <w:rFonts w:ascii="Times New Roman" w:hAnsi="Times New Roman" w:cs="Times New Roman"/>
          <w:i/>
          <w:i/>
          <w:sz w:val="18"/>
          <w:szCs w:val="16"/>
        </w:rPr>
      </w:pPr>
      <w:r>
        <w:rPr>
          <w:rFonts w:cs="Times New Roman" w:ascii="Times New Roman" w:hAnsi="Times New Roman"/>
          <w:i/>
          <w:sz w:val="18"/>
          <w:szCs w:val="16"/>
          <w:highlight w:val="yellow"/>
        </w:rPr>
        <w:t>As Notas Explicativas, grafadas de vermelho, deverão ser deletadas antes da conclusão das versões finais utilizadas por parte do órgão assessorado.</w:t>
      </w:r>
    </w:p>
    <w:p>
      <w:pPr>
        <w:pStyle w:val="Normal"/>
        <w:widowControl w:val="false"/>
        <w:spacing w:lineRule="auto" w:line="240" w:before="0" w:after="0"/>
        <w:ind w:left="1418" w:hanging="0"/>
        <w:jc w:val="both"/>
        <w:rPr>
          <w:rFonts w:ascii="Times New Roman" w:hAnsi="Times New Roman" w:cs="Times New Roman"/>
          <w:i/>
          <w:i/>
          <w:sz w:val="18"/>
          <w:szCs w:val="16"/>
        </w:rPr>
      </w:pPr>
      <w:r>
        <w:rPr>
          <w:rFonts w:cs="Times New Roman" w:ascii="Times New Roman" w:hAnsi="Times New Roman"/>
          <w:i/>
          <w:sz w:val="18"/>
          <w:szCs w:val="16"/>
        </w:rPr>
      </w:r>
    </w:p>
    <w:p>
      <w:pPr>
        <w:pStyle w:val="Normal"/>
        <w:widowControl w:val="false"/>
        <w:numPr>
          <w:ilvl w:val="0"/>
          <w:numId w:val="1"/>
        </w:numPr>
        <w:spacing w:lineRule="auto" w:line="276" w:before="120" w:after="120"/>
        <w:ind w:left="0" w:hanging="0"/>
        <w:jc w:val="both"/>
        <w:rPr>
          <w:rFonts w:ascii="Times New Roman" w:hAnsi="Times New Roman" w:cs="Times New Roman"/>
          <w:b/>
          <w:b/>
          <w:u w:val="single"/>
        </w:rPr>
      </w:pPr>
      <w:r>
        <w:rPr>
          <w:rFonts w:cs="Times New Roman" w:ascii="Times New Roman" w:hAnsi="Times New Roman"/>
          <w:b/>
          <w:u w:val="single"/>
        </w:rPr>
        <w:t>DA CONVOCAÇÃO.</w:t>
      </w:r>
    </w:p>
    <w:p>
      <w:pPr>
        <w:pStyle w:val="Normal"/>
        <w:widowControl w:val="false"/>
        <w:numPr>
          <w:ilvl w:val="1"/>
          <w:numId w:val="1"/>
        </w:numPr>
        <w:spacing w:lineRule="auto" w:line="276" w:before="120" w:after="120"/>
        <w:ind w:left="0" w:hanging="0"/>
        <w:jc w:val="both"/>
        <w:rPr>
          <w:rFonts w:ascii="Times New Roman" w:hAnsi="Times New Roman" w:cs="Times New Roman"/>
        </w:rPr>
      </w:pPr>
      <w:r>
        <w:rPr>
          <w:rFonts w:cs="Times New Roman" w:ascii="Times New Roman" w:hAnsi="Times New Roman"/>
        </w:rPr>
        <w:t xml:space="preserve">A União, presentada pelo </w:t>
      </w:r>
      <w:r>
        <w:rPr>
          <w:rFonts w:cs="Times New Roman" w:ascii="Times New Roman" w:hAnsi="Times New Roman"/>
          <w:shd w:fill="CCCCCC" w:val="clear"/>
        </w:rPr>
        <w:t>[indicar o nome do Órgão]</w:t>
      </w:r>
      <w:r>
        <w:rPr>
          <w:rFonts w:cs="Times New Roman" w:ascii="Times New Roman" w:hAnsi="Times New Roman"/>
        </w:rPr>
        <w:t xml:space="preserve">, do Exército Brasileiro, mediante a Comissão de Contratação </w:t>
      </w:r>
      <w:r>
        <w:rPr>
          <w:rFonts w:cs="Times New Roman" w:ascii="Times New Roman" w:hAnsi="Times New Roman"/>
          <w:highlight w:val="lightGray"/>
        </w:rPr>
        <w:t>[ou o Agente de Contratação]</w:t>
      </w:r>
      <w:r>
        <w:rPr>
          <w:rFonts w:cs="Times New Roman" w:ascii="Times New Roman" w:hAnsi="Times New Roman"/>
        </w:rPr>
        <w:t xml:space="preserve">, designada </w:t>
      </w:r>
      <w:r>
        <w:rPr>
          <w:rFonts w:cs="Times New Roman" w:ascii="Times New Roman" w:hAnsi="Times New Roman"/>
          <w:highlight w:val="lightGray"/>
        </w:rPr>
        <w:t>[ou designado]</w:t>
      </w:r>
      <w:r>
        <w:rPr>
          <w:rFonts w:cs="Times New Roman" w:ascii="Times New Roman" w:hAnsi="Times New Roman"/>
        </w:rPr>
        <w:t xml:space="preserve"> por ato publicado no Boletim Interno nº </w:t>
      </w:r>
      <w:r>
        <w:rPr>
          <w:rFonts w:cs="Times New Roman" w:ascii="Times New Roman" w:hAnsi="Times New Roman"/>
          <w:shd w:fill="CCCCCC" w:val="clear"/>
        </w:rPr>
        <w:t>XXX</w:t>
      </w:r>
      <w:r>
        <w:rPr>
          <w:rFonts w:cs="Times New Roman" w:ascii="Times New Roman" w:hAnsi="Times New Roman"/>
        </w:rPr>
        <w:t xml:space="preserve">, do </w:t>
      </w:r>
      <w:r>
        <w:rPr>
          <w:rFonts w:cs="Times New Roman" w:ascii="Times New Roman" w:hAnsi="Times New Roman"/>
          <w:shd w:fill="CCCCCC" w:val="clear"/>
        </w:rPr>
        <w:t>[dia, mês e ano]</w:t>
      </w:r>
      <w:r>
        <w:rPr>
          <w:rFonts w:cs="Times New Roman" w:ascii="Times New Roman" w:hAnsi="Times New Roman"/>
        </w:rPr>
        <w:t xml:space="preserve">, publicada no </w:t>
      </w:r>
      <w:r>
        <w:rPr>
          <w:rFonts w:cs="Times New Roman" w:ascii="Times New Roman" w:hAnsi="Times New Roman"/>
          <w:shd w:fill="CCCCCC" w:val="clear"/>
        </w:rPr>
        <w:t>[veículo e data da publicação]</w:t>
      </w:r>
      <w:r>
        <w:rPr>
          <w:rFonts w:cs="Times New Roman" w:ascii="Times New Roman" w:hAnsi="Times New Roman"/>
        </w:rPr>
        <w:t xml:space="preserve">, torna público para conhecimento dos </w:t>
      </w:r>
      <w:r>
        <w:rPr>
          <w:rFonts w:cs="Times New Roman" w:ascii="Times New Roman" w:hAnsi="Times New Roman"/>
          <w:b/>
          <w:bCs/>
        </w:rPr>
        <w:t>interessados</w:t>
      </w:r>
      <w:r>
        <w:rPr>
          <w:rFonts w:cs="Times New Roman" w:ascii="Times New Roman" w:hAnsi="Times New Roman"/>
        </w:rPr>
        <w:t xml:space="preserve"> que, na data, horário e local indicados, fará realizar a seleção e o credenciamento de Organizações Civis de Saúde (OCS) e de Profissionais de Saúde Autônomos (PSA) para prestação de serviços de assistência Médico-Hospitalar, Pré-Hospitalar, Odontológica e de Reabilitação, conforme as condições estabelecidas neste Edital e nos seus Anexos.</w:t>
      </w:r>
    </w:p>
    <w:p>
      <w:pPr>
        <w:pStyle w:val="Normal"/>
        <w:widowControl w:val="false"/>
        <w:numPr>
          <w:ilvl w:val="1"/>
          <w:numId w:val="1"/>
        </w:numPr>
        <w:spacing w:lineRule="auto" w:line="276" w:before="120" w:after="120"/>
        <w:ind w:left="0" w:hanging="0"/>
        <w:jc w:val="both"/>
        <w:rPr>
          <w:rFonts w:ascii="Times New Roman" w:hAnsi="Times New Roman" w:cs="Times New Roman"/>
        </w:rPr>
      </w:pPr>
      <w:r>
        <w:rPr>
          <w:rFonts w:cs="Times New Roman" w:ascii="Times New Roman" w:hAnsi="Times New Roman"/>
        </w:rPr>
        <w:t xml:space="preserve">O procedimento de credenciamento observará integralmente as disposições da seguinte legislação infraconstitucional: </w:t>
      </w:r>
      <w:r>
        <w:rPr>
          <w:rFonts w:cs="Times New Roman" w:ascii="Times New Roman" w:hAnsi="Times New Roman"/>
          <w:highlight w:val="yellow"/>
        </w:rPr>
        <w:t>[os normativos próprios de cada força devem ser revistos antes da publicação de forma a verificar se continuam em vigor, se continuam pertinentes ou se é necessária a inclusão de algum outro normativo mais recente]</w:t>
      </w:r>
    </w:p>
    <w:p>
      <w:pPr>
        <w:pStyle w:val="Normal"/>
        <w:widowControl w:val="false"/>
        <w:numPr>
          <w:ilvl w:val="2"/>
          <w:numId w:val="1"/>
        </w:numPr>
        <w:spacing w:lineRule="auto" w:line="276" w:before="120" w:after="120"/>
        <w:ind w:left="709" w:hanging="0"/>
        <w:jc w:val="both"/>
        <w:rPr>
          <w:rFonts w:ascii="Times New Roman" w:hAnsi="Times New Roman" w:cs="Times New Roman"/>
        </w:rPr>
      </w:pPr>
      <w:r>
        <w:rPr>
          <w:rFonts w:cs="Times New Roman" w:ascii="Times New Roman" w:hAnsi="Times New Roman"/>
        </w:rPr>
        <w:t>Lei nº 4.320, de 17 de março de 1964;</w:t>
      </w:r>
    </w:p>
    <w:p>
      <w:pPr>
        <w:pStyle w:val="Normal"/>
        <w:widowControl w:val="false"/>
        <w:numPr>
          <w:ilvl w:val="2"/>
          <w:numId w:val="1"/>
        </w:numPr>
        <w:spacing w:lineRule="auto" w:line="276" w:before="120" w:after="120"/>
        <w:ind w:left="709" w:hanging="0"/>
        <w:jc w:val="both"/>
        <w:rPr>
          <w:rFonts w:ascii="Times New Roman" w:hAnsi="Times New Roman" w:cs="Times New Roman"/>
        </w:rPr>
      </w:pPr>
      <w:r>
        <w:rPr>
          <w:rFonts w:cs="Times New Roman" w:ascii="Times New Roman" w:hAnsi="Times New Roman"/>
        </w:rPr>
        <w:t>Lei nº 14.133, de 1º de abril de 2021;</w:t>
      </w:r>
    </w:p>
    <w:p>
      <w:pPr>
        <w:pStyle w:val="Normal"/>
        <w:widowControl w:val="false"/>
        <w:numPr>
          <w:ilvl w:val="2"/>
          <w:numId w:val="1"/>
        </w:numPr>
        <w:spacing w:lineRule="auto" w:line="276" w:before="120" w:after="120"/>
        <w:ind w:left="709" w:hanging="0"/>
        <w:jc w:val="both"/>
        <w:rPr>
          <w:rFonts w:ascii="Times New Roman" w:hAnsi="Times New Roman" w:cs="Times New Roman"/>
        </w:rPr>
      </w:pPr>
      <w:r>
        <w:rPr>
          <w:rFonts w:cs="Times New Roman" w:ascii="Times New Roman" w:hAnsi="Times New Roman"/>
        </w:rPr>
        <w:t>Decreto nº 92.512, de 2 de abril de 1986;</w:t>
      </w:r>
    </w:p>
    <w:p>
      <w:pPr>
        <w:pStyle w:val="Normal"/>
        <w:widowControl w:val="false"/>
        <w:numPr>
          <w:ilvl w:val="2"/>
          <w:numId w:val="1"/>
        </w:numPr>
        <w:spacing w:lineRule="auto" w:line="276" w:before="120" w:after="120"/>
        <w:ind w:left="709" w:hanging="0"/>
        <w:jc w:val="both"/>
        <w:rPr>
          <w:rFonts w:ascii="Times New Roman" w:hAnsi="Times New Roman" w:cs="Times New Roman"/>
        </w:rPr>
      </w:pPr>
      <w:r>
        <w:rPr>
          <w:rFonts w:cs="Times New Roman" w:ascii="Times New Roman" w:hAnsi="Times New Roman"/>
        </w:rPr>
        <w:t>Decreto nº 93.872, de 23 de dezembro de 1986;</w:t>
      </w:r>
    </w:p>
    <w:p>
      <w:pPr>
        <w:pStyle w:val="Normal"/>
        <w:widowControl w:val="false"/>
        <w:numPr>
          <w:ilvl w:val="2"/>
          <w:numId w:val="1"/>
        </w:numPr>
        <w:spacing w:lineRule="auto" w:line="276" w:before="120" w:after="120"/>
        <w:ind w:left="709" w:hanging="0"/>
        <w:jc w:val="both"/>
        <w:rPr>
          <w:rFonts w:ascii="Times New Roman" w:hAnsi="Times New Roman" w:cs="Times New Roman"/>
        </w:rPr>
      </w:pPr>
      <w:r>
        <w:rPr>
          <w:rFonts w:cs="Times New Roman" w:ascii="Times New Roman" w:hAnsi="Times New Roman"/>
        </w:rPr>
        <w:t>Portaria Ministerial nº 796, de 28 de dezembro de 2011 (IG 10-48);</w:t>
      </w:r>
    </w:p>
    <w:p>
      <w:pPr>
        <w:pStyle w:val="Normal"/>
        <w:widowControl w:val="false"/>
        <w:numPr>
          <w:ilvl w:val="2"/>
          <w:numId w:val="1"/>
        </w:numPr>
        <w:spacing w:lineRule="auto" w:line="276" w:before="120" w:after="120"/>
        <w:ind w:left="709" w:hanging="0"/>
        <w:jc w:val="both"/>
        <w:rPr>
          <w:rFonts w:ascii="Times New Roman" w:hAnsi="Times New Roman" w:cs="Times New Roman"/>
        </w:rPr>
      </w:pPr>
      <w:r>
        <w:rPr>
          <w:rFonts w:cs="Times New Roman" w:ascii="Times New Roman" w:hAnsi="Times New Roman"/>
        </w:rPr>
        <w:t>Portaria Ministerial nº 305, de 24 de maio de 1995 (IG 12-02);</w:t>
      </w:r>
    </w:p>
    <w:p>
      <w:pPr>
        <w:pStyle w:val="Normal"/>
        <w:widowControl w:val="false"/>
        <w:numPr>
          <w:ilvl w:val="2"/>
          <w:numId w:val="1"/>
        </w:numPr>
        <w:spacing w:lineRule="auto" w:line="276" w:before="120" w:after="120"/>
        <w:ind w:left="709" w:hanging="0"/>
        <w:jc w:val="both"/>
        <w:rPr>
          <w:rFonts w:ascii="Times New Roman" w:hAnsi="Times New Roman" w:cs="Times New Roman"/>
        </w:rPr>
      </w:pPr>
      <w:r>
        <w:rPr>
          <w:rFonts w:cs="Times New Roman" w:ascii="Times New Roman" w:hAnsi="Times New Roman"/>
        </w:rPr>
        <w:t>Portaria nº 761, de 2 de dezembro de 2003;</w:t>
      </w:r>
    </w:p>
    <w:p>
      <w:pPr>
        <w:pStyle w:val="Normal"/>
        <w:widowControl w:val="false"/>
        <w:numPr>
          <w:ilvl w:val="2"/>
          <w:numId w:val="1"/>
        </w:numPr>
        <w:spacing w:lineRule="auto" w:line="276" w:before="120" w:after="120"/>
        <w:ind w:left="709" w:hanging="0"/>
        <w:jc w:val="both"/>
        <w:rPr>
          <w:rFonts w:ascii="Times New Roman" w:hAnsi="Times New Roman" w:cs="Times New Roman"/>
        </w:rPr>
      </w:pPr>
      <w:r>
        <w:rPr>
          <w:rFonts w:cs="Times New Roman" w:ascii="Times New Roman" w:hAnsi="Times New Roman"/>
        </w:rPr>
        <w:t>Portaria nº 371, de 30 de maio de 2005 (IG 12-04);</w:t>
      </w:r>
    </w:p>
    <w:p>
      <w:pPr>
        <w:pStyle w:val="Normal"/>
        <w:widowControl w:val="false"/>
        <w:numPr>
          <w:ilvl w:val="2"/>
          <w:numId w:val="1"/>
        </w:numPr>
        <w:spacing w:lineRule="auto" w:line="276" w:before="120" w:after="120"/>
        <w:ind w:left="709" w:hanging="0"/>
        <w:jc w:val="both"/>
        <w:rPr>
          <w:rFonts w:ascii="Times New Roman" w:hAnsi="Times New Roman" w:cs="Times New Roman"/>
        </w:rPr>
      </w:pPr>
      <w:r>
        <w:rPr>
          <w:rFonts w:cs="Times New Roman" w:ascii="Times New Roman" w:hAnsi="Times New Roman"/>
        </w:rPr>
        <w:t>Portaria nº 653, de 30 de agosto de 2005 (IG 30-32);</w:t>
      </w:r>
    </w:p>
    <w:p>
      <w:pPr>
        <w:pStyle w:val="Normal"/>
        <w:widowControl w:val="false"/>
        <w:numPr>
          <w:ilvl w:val="2"/>
          <w:numId w:val="1"/>
        </w:numPr>
        <w:spacing w:lineRule="auto" w:line="276" w:before="120" w:after="120"/>
        <w:ind w:left="709" w:hanging="0"/>
        <w:jc w:val="both"/>
        <w:rPr>
          <w:rFonts w:ascii="Times New Roman" w:hAnsi="Times New Roman" w:cs="Times New Roman"/>
        </w:rPr>
      </w:pPr>
      <w:r>
        <w:rPr>
          <w:rFonts w:cs="Times New Roman" w:ascii="Times New Roman" w:hAnsi="Times New Roman"/>
        </w:rPr>
        <w:t>Portaria nº 878, de 28 de novembro de 2006 (IG 30-16);</w:t>
      </w:r>
    </w:p>
    <w:p>
      <w:pPr>
        <w:pStyle w:val="Normal"/>
        <w:widowControl w:val="false"/>
        <w:numPr>
          <w:ilvl w:val="2"/>
          <w:numId w:val="1"/>
        </w:numPr>
        <w:spacing w:lineRule="auto" w:line="276" w:before="120" w:after="120"/>
        <w:ind w:left="709" w:hanging="0"/>
        <w:jc w:val="both"/>
        <w:rPr>
          <w:rFonts w:ascii="Times New Roman" w:hAnsi="Times New Roman" w:cs="Times New Roman"/>
        </w:rPr>
      </w:pPr>
      <w:r>
        <w:rPr>
          <w:rFonts w:cs="Times New Roman" w:ascii="Times New Roman" w:hAnsi="Times New Roman"/>
        </w:rPr>
        <w:t>Portaria nº 281-DGP, de 12 de dezembro de 2007 (IG 30-56);</w:t>
      </w:r>
    </w:p>
    <w:p>
      <w:pPr>
        <w:pStyle w:val="Normal"/>
        <w:widowControl w:val="false"/>
        <w:numPr>
          <w:ilvl w:val="2"/>
          <w:numId w:val="1"/>
        </w:numPr>
        <w:spacing w:lineRule="auto" w:line="276" w:before="120" w:after="120"/>
        <w:ind w:left="709" w:hanging="0"/>
        <w:jc w:val="both"/>
        <w:rPr>
          <w:rFonts w:ascii="Times New Roman" w:hAnsi="Times New Roman" w:cs="Times New Roman"/>
        </w:rPr>
      </w:pPr>
      <w:r>
        <w:rPr>
          <w:rFonts w:cs="Times New Roman" w:ascii="Times New Roman" w:hAnsi="Times New Roman"/>
        </w:rPr>
        <w:t>Portaria nº 48, de 28 de fevereiro de 2008 (IR 30-38);</w:t>
      </w:r>
    </w:p>
    <w:p>
      <w:pPr>
        <w:pStyle w:val="Normal"/>
        <w:widowControl w:val="false"/>
        <w:numPr>
          <w:ilvl w:val="2"/>
          <w:numId w:val="1"/>
        </w:numPr>
        <w:spacing w:lineRule="auto" w:line="276" w:before="120" w:after="120"/>
        <w:ind w:left="709" w:hanging="0"/>
        <w:jc w:val="both"/>
        <w:rPr>
          <w:rFonts w:ascii="Times New Roman" w:hAnsi="Times New Roman" w:cs="Times New Roman"/>
        </w:rPr>
      </w:pPr>
      <w:r>
        <w:rPr>
          <w:rFonts w:cs="Times New Roman" w:ascii="Times New Roman" w:hAnsi="Times New Roman"/>
        </w:rPr>
        <w:t>Portaria nº 117, de 19 de maio de 2008 (IG 30-57);</w:t>
      </w:r>
    </w:p>
    <w:p>
      <w:pPr>
        <w:pStyle w:val="Normal"/>
        <w:widowControl w:val="false"/>
        <w:numPr>
          <w:ilvl w:val="2"/>
          <w:numId w:val="1"/>
        </w:numPr>
        <w:spacing w:lineRule="auto" w:line="276" w:before="120" w:after="120"/>
        <w:ind w:left="709" w:hanging="0"/>
        <w:jc w:val="both"/>
        <w:rPr>
          <w:rFonts w:ascii="Times New Roman" w:hAnsi="Times New Roman" w:cs="Times New Roman"/>
        </w:rPr>
      </w:pPr>
      <w:r>
        <w:rPr>
          <w:rFonts w:cs="Times New Roman" w:ascii="Times New Roman" w:hAnsi="Times New Roman"/>
        </w:rPr>
        <w:t>Portaria nº 422, de 19 de junho de 2008 (IG 30-18);</w:t>
      </w:r>
    </w:p>
    <w:p>
      <w:pPr>
        <w:pStyle w:val="Normal"/>
        <w:widowControl w:val="false"/>
        <w:numPr>
          <w:ilvl w:val="2"/>
          <w:numId w:val="1"/>
        </w:numPr>
        <w:spacing w:lineRule="auto" w:line="276" w:before="120" w:after="120"/>
        <w:ind w:left="709" w:hanging="0"/>
        <w:jc w:val="both"/>
        <w:rPr>
          <w:rFonts w:ascii="Times New Roman" w:hAnsi="Times New Roman" w:cs="Times New Roman"/>
        </w:rPr>
      </w:pPr>
      <w:r>
        <w:rPr>
          <w:rFonts w:cs="Times New Roman" w:ascii="Times New Roman" w:hAnsi="Times New Roman"/>
        </w:rPr>
        <w:t xml:space="preserve"> </w:t>
      </w:r>
      <w:r>
        <w:rPr>
          <w:rFonts w:cs="Times New Roman" w:ascii="Times New Roman" w:hAnsi="Times New Roman"/>
        </w:rPr>
        <w:t>Portaria nº 727, de 08 de outubro de 2007;</w:t>
      </w:r>
    </w:p>
    <w:p>
      <w:pPr>
        <w:pStyle w:val="Normal"/>
        <w:widowControl w:val="false"/>
        <w:numPr>
          <w:ilvl w:val="2"/>
          <w:numId w:val="1"/>
        </w:numPr>
        <w:spacing w:lineRule="auto" w:line="276" w:before="120" w:after="120"/>
        <w:ind w:left="709" w:hanging="0"/>
        <w:jc w:val="both"/>
        <w:rPr>
          <w:rFonts w:ascii="Times New Roman" w:hAnsi="Times New Roman" w:cs="Times New Roman"/>
        </w:rPr>
      </w:pPr>
      <w:r>
        <w:rPr>
          <w:rFonts w:cs="Times New Roman" w:ascii="Times New Roman" w:hAnsi="Times New Roman"/>
        </w:rPr>
        <w:t xml:space="preserve"> </w:t>
      </w:r>
      <w:r>
        <w:rPr>
          <w:rFonts w:cs="Times New Roman" w:ascii="Times New Roman" w:hAnsi="Times New Roman"/>
        </w:rPr>
        <w:t>Instrução Normativa 05, de 21 de julho de 1995, do MARE;</w:t>
      </w:r>
    </w:p>
    <w:p>
      <w:pPr>
        <w:pStyle w:val="Normal"/>
        <w:widowControl w:val="false"/>
        <w:numPr>
          <w:ilvl w:val="2"/>
          <w:numId w:val="1"/>
        </w:numPr>
        <w:spacing w:lineRule="auto" w:line="276" w:before="120" w:after="120"/>
        <w:ind w:left="709" w:hanging="0"/>
        <w:jc w:val="both"/>
        <w:rPr>
          <w:rFonts w:ascii="Times New Roman" w:hAnsi="Times New Roman" w:cs="Times New Roman"/>
        </w:rPr>
      </w:pPr>
      <w:r>
        <w:rPr>
          <w:rFonts w:cs="Times New Roman" w:ascii="Times New Roman" w:hAnsi="Times New Roman"/>
        </w:rPr>
        <w:t>Portaria nº 2.048, de 5 de novembro de 2002, do Ministério da Saúde;</w:t>
      </w:r>
    </w:p>
    <w:p>
      <w:pPr>
        <w:pStyle w:val="Normal"/>
        <w:widowControl w:val="false"/>
        <w:numPr>
          <w:ilvl w:val="2"/>
          <w:numId w:val="1"/>
        </w:numPr>
        <w:spacing w:lineRule="auto" w:line="276" w:before="120" w:after="120"/>
        <w:ind w:left="709" w:hanging="0"/>
        <w:jc w:val="both"/>
        <w:rPr>
          <w:rFonts w:ascii="Times New Roman" w:hAnsi="Times New Roman" w:cs="Times New Roman"/>
        </w:rPr>
      </w:pPr>
      <w:r>
        <w:rPr>
          <w:rFonts w:cs="Times New Roman" w:ascii="Times New Roman" w:hAnsi="Times New Roman"/>
        </w:rPr>
        <w:t xml:space="preserve"> </w:t>
      </w:r>
      <w:r>
        <w:rPr>
          <w:rFonts w:cs="Times New Roman" w:ascii="Times New Roman" w:hAnsi="Times New Roman"/>
        </w:rPr>
        <w:t>Instrução Normativa SLTI/MPOG nº 05, de 26 de maio de 2017, e suas alterações;</w:t>
      </w:r>
    </w:p>
    <w:p>
      <w:pPr>
        <w:pStyle w:val="Normal"/>
        <w:widowControl w:val="false"/>
        <w:numPr>
          <w:ilvl w:val="2"/>
          <w:numId w:val="1"/>
        </w:numPr>
        <w:spacing w:lineRule="auto" w:line="276" w:before="120" w:after="120"/>
        <w:ind w:left="709" w:hanging="0"/>
        <w:jc w:val="both"/>
        <w:rPr>
          <w:rFonts w:ascii="Times New Roman" w:hAnsi="Times New Roman" w:cs="Times New Roman"/>
        </w:rPr>
      </w:pPr>
      <w:r>
        <w:rPr>
          <w:rFonts w:cs="Times New Roman" w:ascii="Times New Roman" w:hAnsi="Times New Roman"/>
        </w:rPr>
        <w:t>Instrução Normativa SEGES/ME nº 65, de 7 de julho de 2021 e suas alterações;</w:t>
      </w:r>
    </w:p>
    <w:p>
      <w:pPr>
        <w:pStyle w:val="Normal"/>
        <w:widowControl w:val="false"/>
        <w:numPr>
          <w:ilvl w:val="2"/>
          <w:numId w:val="1"/>
        </w:numPr>
        <w:spacing w:lineRule="auto" w:line="276" w:before="120" w:after="120"/>
        <w:ind w:left="709" w:hanging="0"/>
        <w:jc w:val="both"/>
        <w:rPr>
          <w:rFonts w:ascii="Times New Roman" w:hAnsi="Times New Roman" w:cs="Times New Roman"/>
        </w:rPr>
      </w:pPr>
      <w:r>
        <w:rPr>
          <w:rFonts w:cs="Times New Roman" w:ascii="Times New Roman" w:hAnsi="Times New Roman"/>
        </w:rPr>
        <w:t xml:space="preserve"> </w:t>
      </w:r>
      <w:r>
        <w:rPr>
          <w:rFonts w:cs="Times New Roman" w:ascii="Times New Roman" w:hAnsi="Times New Roman"/>
        </w:rPr>
        <w:t>Instrução Normativa SEGES/MPDG nº 03, de 26 de abril de 2018</w:t>
      </w:r>
    </w:p>
    <w:p>
      <w:pPr>
        <w:pStyle w:val="Normal"/>
        <w:widowControl w:val="false"/>
        <w:numPr>
          <w:ilvl w:val="2"/>
          <w:numId w:val="1"/>
        </w:numPr>
        <w:spacing w:lineRule="auto" w:line="276" w:before="120" w:after="120"/>
        <w:ind w:left="709" w:hanging="0"/>
        <w:jc w:val="both"/>
        <w:rPr>
          <w:rFonts w:ascii="Times New Roman" w:hAnsi="Times New Roman" w:cs="Times New Roman"/>
        </w:rPr>
      </w:pPr>
      <w:r>
        <w:rPr>
          <w:rFonts w:cs="Times New Roman" w:ascii="Times New Roman" w:hAnsi="Times New Roman"/>
        </w:rPr>
        <w:t>Decreto nº 11.878, de 9 de janeiro de 2024.</w:t>
      </w:r>
    </w:p>
    <w:p>
      <w:pPr>
        <w:pStyle w:val="Normal"/>
        <w:widowControl w:val="false"/>
        <w:spacing w:lineRule="auto" w:line="276" w:before="120" w:after="120"/>
        <w:jc w:val="both"/>
        <w:rPr>
          <w:rFonts w:ascii="Times New Roman" w:hAnsi="Times New Roman" w:cs="Times New Roman"/>
        </w:rPr>
      </w:pPr>
      <w:r>
        <w:rPr>
          <w:rFonts w:cs="Times New Roman" w:ascii="Times New Roman" w:hAnsi="Times New Roman"/>
        </w:rPr>
      </w:r>
    </w:p>
    <w:p>
      <w:pPr>
        <w:pStyle w:val="Normal"/>
        <w:widowControl w:val="false"/>
        <w:numPr>
          <w:ilvl w:val="1"/>
          <w:numId w:val="1"/>
        </w:numPr>
        <w:spacing w:lineRule="auto" w:line="276" w:before="120" w:after="120"/>
        <w:ind w:left="0" w:hanging="0"/>
        <w:jc w:val="both"/>
        <w:rPr>
          <w:rFonts w:ascii="Times New Roman" w:hAnsi="Times New Roman" w:cs="Times New Roman"/>
        </w:rPr>
      </w:pPr>
      <w:r>
        <w:rPr>
          <w:rFonts w:cs="Times New Roman" w:ascii="Times New Roman" w:hAnsi="Times New Roman"/>
        </w:rPr>
        <w:t>Integram este Edital, independentemente de transcrição, os Anexos abaixo:</w:t>
      </w:r>
    </w:p>
    <w:tbl>
      <w:tblPr>
        <w:tblW w:w="8486" w:type="dxa"/>
        <w:jc w:val="left"/>
        <w:tblInd w:w="0" w:type="dxa"/>
        <w:tblCellMar>
          <w:top w:w="0" w:type="dxa"/>
          <w:left w:w="9" w:type="dxa"/>
          <w:bottom w:w="0" w:type="dxa"/>
          <w:right w:w="9" w:type="dxa"/>
        </w:tblCellMar>
        <w:tblLook w:val="0000" w:noHBand="0" w:noVBand="0" w:firstColumn="0" w:lastRow="0" w:lastColumn="0" w:firstRow="0"/>
      </w:tblPr>
      <w:tblGrid>
        <w:gridCol w:w="713"/>
        <w:gridCol w:w="7772"/>
      </w:tblGrid>
      <w:tr>
        <w:trPr>
          <w:trHeight w:val="756" w:hRule="exact"/>
        </w:trPr>
        <w:tc>
          <w:tcPr>
            <w:tcW w:w="713" w:type="dxa"/>
            <w:tcBorders>
              <w:top w:val="single" w:sz="6" w:space="0" w:color="000000"/>
              <w:left w:val="single" w:sz="6" w:space="0" w:color="000000"/>
              <w:bottom w:val="single" w:sz="6" w:space="0" w:color="000000"/>
              <w:right w:val="single" w:sz="6" w:space="0" w:color="000000"/>
            </w:tcBorders>
            <w:vAlign w:val="center"/>
          </w:tcPr>
          <w:p>
            <w:pPr>
              <w:pStyle w:val="Normal"/>
              <w:widowControl w:val="false"/>
              <w:spacing w:lineRule="auto" w:line="276" w:before="120" w:after="120"/>
              <w:jc w:val="center"/>
              <w:rPr>
                <w:rFonts w:ascii="Times New Roman" w:hAnsi="Times New Roman" w:cs="Times New Roman"/>
              </w:rPr>
            </w:pPr>
            <w:r>
              <w:rPr>
                <w:rFonts w:cs="Times New Roman" w:ascii="Times New Roman" w:hAnsi="Times New Roman"/>
              </w:rPr>
              <w:t>Anexo “A”</w:t>
            </w:r>
          </w:p>
        </w:tc>
        <w:tc>
          <w:tcPr>
            <w:tcW w:w="7772" w:type="dxa"/>
            <w:tcBorders>
              <w:top w:val="single" w:sz="6" w:space="0" w:color="000000"/>
              <w:left w:val="single" w:sz="6" w:space="0" w:color="000000"/>
              <w:bottom w:val="single" w:sz="6" w:space="0" w:color="000000"/>
              <w:right w:val="single" w:sz="6" w:space="0" w:color="000000"/>
            </w:tcBorders>
            <w:vAlign w:val="center"/>
          </w:tcPr>
          <w:p>
            <w:pPr>
              <w:pStyle w:val="Normal"/>
              <w:widowControl w:val="false"/>
              <w:spacing w:lineRule="auto" w:line="276" w:before="120" w:after="120"/>
              <w:jc w:val="center"/>
              <w:rPr>
                <w:rFonts w:ascii="Times New Roman" w:hAnsi="Times New Roman" w:cs="Times New Roman"/>
              </w:rPr>
            </w:pPr>
            <w:r>
              <w:rPr>
                <w:rFonts w:cs="Times New Roman" w:ascii="Times New Roman" w:hAnsi="Times New Roman"/>
              </w:rPr>
              <w:t>Minuta de Termo de Contrato de Hospitais e de Maternidades.</w:t>
            </w:r>
          </w:p>
        </w:tc>
      </w:tr>
      <w:tr>
        <w:trPr>
          <w:trHeight w:val="863" w:hRule="exact"/>
        </w:trPr>
        <w:tc>
          <w:tcPr>
            <w:tcW w:w="713" w:type="dxa"/>
            <w:tcBorders>
              <w:top w:val="single" w:sz="6" w:space="0" w:color="000000"/>
              <w:left w:val="single" w:sz="6" w:space="0" w:color="000000"/>
              <w:bottom w:val="single" w:sz="6" w:space="0" w:color="000000"/>
              <w:right w:val="single" w:sz="6" w:space="0" w:color="000000"/>
            </w:tcBorders>
            <w:vAlign w:val="center"/>
          </w:tcPr>
          <w:p>
            <w:pPr>
              <w:pStyle w:val="Normal"/>
              <w:widowControl w:val="false"/>
              <w:spacing w:lineRule="auto" w:line="276" w:before="120" w:after="120"/>
              <w:jc w:val="center"/>
              <w:rPr>
                <w:rFonts w:ascii="Times New Roman" w:hAnsi="Times New Roman" w:cs="Times New Roman"/>
              </w:rPr>
            </w:pPr>
            <w:r>
              <w:rPr>
                <w:rFonts w:cs="Times New Roman" w:ascii="Times New Roman" w:hAnsi="Times New Roman"/>
              </w:rPr>
              <w:t>Anexo "B”</w:t>
            </w:r>
          </w:p>
        </w:tc>
        <w:tc>
          <w:tcPr>
            <w:tcW w:w="7772" w:type="dxa"/>
            <w:tcBorders>
              <w:top w:val="single" w:sz="6" w:space="0" w:color="000000"/>
              <w:left w:val="single" w:sz="6" w:space="0" w:color="000000"/>
              <w:bottom w:val="single" w:sz="6" w:space="0" w:color="000000"/>
              <w:right w:val="single" w:sz="6" w:space="0" w:color="000000"/>
            </w:tcBorders>
            <w:vAlign w:val="center"/>
          </w:tcPr>
          <w:p>
            <w:pPr>
              <w:pStyle w:val="Normal"/>
              <w:widowControl w:val="false"/>
              <w:spacing w:lineRule="auto" w:line="276" w:before="120" w:after="120"/>
              <w:jc w:val="center"/>
              <w:rPr>
                <w:rFonts w:ascii="Times New Roman" w:hAnsi="Times New Roman" w:cs="Times New Roman"/>
              </w:rPr>
            </w:pPr>
            <w:r>
              <w:rPr>
                <w:rFonts w:cs="Times New Roman" w:ascii="Times New Roman" w:hAnsi="Times New Roman"/>
              </w:rPr>
              <w:t>Minuta de Termo de Contrato de Clínicas Médicas Especializadas</w:t>
            </w:r>
          </w:p>
          <w:p>
            <w:pPr>
              <w:pStyle w:val="Normal"/>
              <w:spacing w:lineRule="auto" w:line="276" w:before="120" w:after="120"/>
              <w:rPr>
                <w:rFonts w:ascii="Times New Roman" w:hAnsi="Times New Roman" w:cs="Times New Roman"/>
              </w:rPr>
            </w:pPr>
            <w:r>
              <w:rPr>
                <w:rFonts w:cs="Times New Roman" w:ascii="Times New Roman" w:hAnsi="Times New Roman"/>
              </w:rPr>
            </w:r>
          </w:p>
          <w:p>
            <w:pPr>
              <w:pStyle w:val="Normal"/>
              <w:spacing w:lineRule="auto" w:line="276" w:before="120" w:after="120"/>
              <w:rPr>
                <w:rFonts w:ascii="Times New Roman" w:hAnsi="Times New Roman" w:cs="Times New Roman"/>
              </w:rPr>
            </w:pPr>
            <w:r>
              <w:rPr>
                <w:rFonts w:cs="Times New Roman" w:ascii="Times New Roman" w:hAnsi="Times New Roman"/>
              </w:rPr>
            </w:r>
          </w:p>
          <w:p>
            <w:pPr>
              <w:pStyle w:val="Normal"/>
              <w:spacing w:lineRule="auto" w:line="276" w:before="120" w:after="120"/>
              <w:rPr>
                <w:rFonts w:ascii="Times New Roman" w:hAnsi="Times New Roman" w:cs="Times New Roman"/>
              </w:rPr>
            </w:pPr>
            <w:r>
              <w:rPr>
                <w:rFonts w:cs="Times New Roman" w:ascii="Times New Roman" w:hAnsi="Times New Roman"/>
              </w:rPr>
            </w:r>
          </w:p>
          <w:p>
            <w:pPr>
              <w:pStyle w:val="Normal"/>
              <w:spacing w:lineRule="auto" w:line="276" w:before="120" w:after="120"/>
              <w:rPr>
                <w:rFonts w:ascii="Times New Roman" w:hAnsi="Times New Roman" w:cs="Times New Roman"/>
              </w:rPr>
            </w:pPr>
            <w:r>
              <w:rPr>
                <w:rFonts w:cs="Times New Roman" w:ascii="Times New Roman" w:hAnsi="Times New Roman"/>
              </w:rPr>
            </w:r>
          </w:p>
        </w:tc>
      </w:tr>
      <w:tr>
        <w:trPr>
          <w:trHeight w:val="702" w:hRule="exact"/>
        </w:trPr>
        <w:tc>
          <w:tcPr>
            <w:tcW w:w="713" w:type="dxa"/>
            <w:tcBorders>
              <w:top w:val="single" w:sz="6" w:space="0" w:color="000000"/>
              <w:left w:val="single" w:sz="6" w:space="0" w:color="000000"/>
              <w:bottom w:val="single" w:sz="6" w:space="0" w:color="000000"/>
              <w:right w:val="single" w:sz="6" w:space="0" w:color="000000"/>
            </w:tcBorders>
            <w:vAlign w:val="center"/>
          </w:tcPr>
          <w:p>
            <w:pPr>
              <w:pStyle w:val="Normal"/>
              <w:widowControl w:val="false"/>
              <w:spacing w:lineRule="auto" w:line="276" w:before="120" w:after="120"/>
              <w:jc w:val="center"/>
              <w:rPr>
                <w:rFonts w:ascii="Times New Roman" w:hAnsi="Times New Roman" w:cs="Times New Roman"/>
              </w:rPr>
            </w:pPr>
            <w:r>
              <w:rPr>
                <w:rFonts w:cs="Times New Roman" w:ascii="Times New Roman" w:hAnsi="Times New Roman"/>
              </w:rPr>
              <w:t>Anexo "C"</w:t>
            </w:r>
          </w:p>
        </w:tc>
        <w:tc>
          <w:tcPr>
            <w:tcW w:w="7772" w:type="dxa"/>
            <w:tcBorders>
              <w:top w:val="single" w:sz="6" w:space="0" w:color="000000"/>
              <w:left w:val="single" w:sz="6" w:space="0" w:color="000000"/>
              <w:bottom w:val="single" w:sz="6" w:space="0" w:color="000000"/>
              <w:right w:val="single" w:sz="6" w:space="0" w:color="000000"/>
            </w:tcBorders>
            <w:vAlign w:val="center"/>
          </w:tcPr>
          <w:p>
            <w:pPr>
              <w:pStyle w:val="Normal"/>
              <w:widowControl w:val="false"/>
              <w:spacing w:lineRule="auto" w:line="276" w:before="120" w:after="120"/>
              <w:jc w:val="center"/>
              <w:rPr>
                <w:rFonts w:ascii="Times New Roman" w:hAnsi="Times New Roman" w:cs="Times New Roman"/>
              </w:rPr>
            </w:pPr>
            <w:r>
              <w:rPr>
                <w:rFonts w:cs="Times New Roman" w:ascii="Times New Roman" w:hAnsi="Times New Roman"/>
              </w:rPr>
              <w:t>Minuta de Contrato de Clínicas Odontológicas</w:t>
            </w:r>
          </w:p>
        </w:tc>
      </w:tr>
      <w:tr>
        <w:trPr>
          <w:trHeight w:val="712" w:hRule="exact"/>
        </w:trPr>
        <w:tc>
          <w:tcPr>
            <w:tcW w:w="713" w:type="dxa"/>
            <w:tcBorders>
              <w:top w:val="single" w:sz="6" w:space="0" w:color="000000"/>
              <w:left w:val="single" w:sz="6" w:space="0" w:color="000000"/>
              <w:bottom w:val="single" w:sz="6" w:space="0" w:color="000000"/>
              <w:right w:val="single" w:sz="6" w:space="0" w:color="000000"/>
            </w:tcBorders>
            <w:vAlign w:val="center"/>
          </w:tcPr>
          <w:p>
            <w:pPr>
              <w:pStyle w:val="Normal"/>
              <w:widowControl w:val="false"/>
              <w:spacing w:lineRule="auto" w:line="276" w:before="120" w:after="120"/>
              <w:jc w:val="center"/>
              <w:rPr>
                <w:rFonts w:ascii="Times New Roman" w:hAnsi="Times New Roman" w:cs="Times New Roman"/>
              </w:rPr>
            </w:pPr>
            <w:r>
              <w:rPr>
                <w:rFonts w:cs="Times New Roman" w:ascii="Times New Roman" w:hAnsi="Times New Roman"/>
              </w:rPr>
              <w:t>Anexo "D"</w:t>
            </w:r>
          </w:p>
        </w:tc>
        <w:tc>
          <w:tcPr>
            <w:tcW w:w="7772" w:type="dxa"/>
            <w:tcBorders>
              <w:top w:val="single" w:sz="6" w:space="0" w:color="000000"/>
              <w:left w:val="single" w:sz="6" w:space="0" w:color="000000"/>
              <w:bottom w:val="single" w:sz="6" w:space="0" w:color="000000"/>
              <w:right w:val="single" w:sz="6" w:space="0" w:color="000000"/>
            </w:tcBorders>
            <w:vAlign w:val="center"/>
          </w:tcPr>
          <w:p>
            <w:pPr>
              <w:pStyle w:val="Normal"/>
              <w:widowControl w:val="false"/>
              <w:spacing w:lineRule="auto" w:line="276" w:before="120" w:after="120"/>
              <w:jc w:val="center"/>
              <w:rPr>
                <w:rFonts w:ascii="Times New Roman" w:hAnsi="Times New Roman" w:cs="Times New Roman"/>
              </w:rPr>
            </w:pPr>
            <w:r>
              <w:rPr>
                <w:rFonts w:cs="Times New Roman" w:ascii="Times New Roman" w:hAnsi="Times New Roman"/>
              </w:rPr>
              <w:t>Minuta de Contrato de Clínicas de Reabilitação</w:t>
            </w:r>
          </w:p>
        </w:tc>
      </w:tr>
      <w:tr>
        <w:trPr>
          <w:trHeight w:val="709" w:hRule="exact"/>
        </w:trPr>
        <w:tc>
          <w:tcPr>
            <w:tcW w:w="713" w:type="dxa"/>
            <w:tcBorders>
              <w:top w:val="single" w:sz="6" w:space="0" w:color="000000"/>
              <w:left w:val="single" w:sz="6" w:space="0" w:color="000000"/>
              <w:bottom w:val="single" w:sz="6" w:space="0" w:color="000000"/>
              <w:right w:val="single" w:sz="6" w:space="0" w:color="000000"/>
            </w:tcBorders>
            <w:vAlign w:val="center"/>
          </w:tcPr>
          <w:p>
            <w:pPr>
              <w:pStyle w:val="Normal"/>
              <w:widowControl w:val="false"/>
              <w:spacing w:lineRule="auto" w:line="276" w:before="120" w:after="120"/>
              <w:jc w:val="center"/>
              <w:rPr>
                <w:rFonts w:ascii="Times New Roman" w:hAnsi="Times New Roman" w:cs="Times New Roman"/>
              </w:rPr>
            </w:pPr>
            <w:r>
              <w:rPr>
                <w:rFonts w:cs="Times New Roman" w:ascii="Times New Roman" w:hAnsi="Times New Roman"/>
              </w:rPr>
              <w:t>Anexo "E"</w:t>
            </w:r>
          </w:p>
        </w:tc>
        <w:tc>
          <w:tcPr>
            <w:tcW w:w="7772" w:type="dxa"/>
            <w:tcBorders>
              <w:top w:val="single" w:sz="6" w:space="0" w:color="000000"/>
              <w:left w:val="single" w:sz="6" w:space="0" w:color="000000"/>
              <w:bottom w:val="single" w:sz="4" w:space="0" w:color="000000"/>
              <w:right w:val="single" w:sz="6" w:space="0" w:color="000000"/>
            </w:tcBorders>
            <w:vAlign w:val="center"/>
          </w:tcPr>
          <w:p>
            <w:pPr>
              <w:pStyle w:val="Normal"/>
              <w:widowControl w:val="false"/>
              <w:spacing w:lineRule="auto" w:line="276" w:before="120" w:after="120"/>
              <w:jc w:val="center"/>
              <w:rPr>
                <w:rFonts w:ascii="Times New Roman" w:hAnsi="Times New Roman" w:cs="Times New Roman"/>
              </w:rPr>
            </w:pPr>
            <w:r>
              <w:rPr>
                <w:rFonts w:cs="Times New Roman" w:ascii="Times New Roman" w:hAnsi="Times New Roman"/>
              </w:rPr>
              <w:t>Minuta de Contrato de Laboratórios de Análises Clínicas e Citopatologia</w:t>
            </w:r>
          </w:p>
        </w:tc>
      </w:tr>
      <w:tr>
        <w:trPr>
          <w:trHeight w:val="719" w:hRule="exact"/>
        </w:trPr>
        <w:tc>
          <w:tcPr>
            <w:tcW w:w="713" w:type="dxa"/>
            <w:tcBorders>
              <w:top w:val="single" w:sz="6" w:space="0" w:color="000000"/>
              <w:left w:val="single" w:sz="6" w:space="0" w:color="000000"/>
              <w:bottom w:val="single" w:sz="6" w:space="0" w:color="000000"/>
              <w:right w:val="single" w:sz="4" w:space="0" w:color="000000"/>
            </w:tcBorders>
            <w:vAlign w:val="center"/>
          </w:tcPr>
          <w:p>
            <w:pPr>
              <w:pStyle w:val="Normal"/>
              <w:widowControl w:val="false"/>
              <w:spacing w:lineRule="auto" w:line="276" w:before="120" w:after="120"/>
              <w:jc w:val="center"/>
              <w:rPr>
                <w:rFonts w:ascii="Times New Roman" w:hAnsi="Times New Roman" w:cs="Times New Roman"/>
              </w:rPr>
            </w:pPr>
            <w:r>
              <w:rPr>
                <w:rFonts w:cs="Times New Roman" w:ascii="Times New Roman" w:hAnsi="Times New Roman"/>
              </w:rPr>
              <w:t>Anexo "F"</w:t>
            </w:r>
          </w:p>
        </w:tc>
        <w:tc>
          <w:tcPr>
            <w:tcW w:w="777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76" w:before="120" w:after="120"/>
              <w:jc w:val="center"/>
              <w:rPr>
                <w:rFonts w:ascii="Times New Roman" w:hAnsi="Times New Roman" w:cs="Times New Roman"/>
              </w:rPr>
            </w:pPr>
            <w:r>
              <w:rPr>
                <w:rFonts w:cs="Times New Roman" w:ascii="Times New Roman" w:hAnsi="Times New Roman"/>
              </w:rPr>
              <w:t>Minuta de Contrato para Profissionais de Saúde Autônomos (PSA)</w:t>
            </w:r>
          </w:p>
        </w:tc>
      </w:tr>
      <w:tr>
        <w:trPr>
          <w:trHeight w:val="719" w:hRule="exact"/>
        </w:trPr>
        <w:tc>
          <w:tcPr>
            <w:tcW w:w="713" w:type="dxa"/>
            <w:tcBorders>
              <w:top w:val="single" w:sz="6" w:space="0" w:color="000000"/>
              <w:left w:val="single" w:sz="6" w:space="0" w:color="000000"/>
              <w:bottom w:val="single" w:sz="6" w:space="0" w:color="000000"/>
              <w:right w:val="single" w:sz="4" w:space="0" w:color="000000"/>
            </w:tcBorders>
            <w:vAlign w:val="center"/>
          </w:tcPr>
          <w:p>
            <w:pPr>
              <w:pStyle w:val="Normal"/>
              <w:widowControl w:val="false"/>
              <w:spacing w:lineRule="auto" w:line="276" w:before="120" w:after="120"/>
              <w:jc w:val="center"/>
              <w:rPr>
                <w:rFonts w:ascii="Times New Roman" w:hAnsi="Times New Roman" w:cs="Times New Roman"/>
              </w:rPr>
            </w:pPr>
            <w:r>
              <w:rPr>
                <w:rFonts w:cs="Times New Roman" w:ascii="Times New Roman" w:hAnsi="Times New Roman"/>
              </w:rPr>
              <w:t>Anexo "G"</w:t>
            </w:r>
          </w:p>
        </w:tc>
        <w:tc>
          <w:tcPr>
            <w:tcW w:w="777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76" w:before="120" w:after="120"/>
              <w:jc w:val="center"/>
              <w:rPr>
                <w:rFonts w:ascii="Times New Roman" w:hAnsi="Times New Roman" w:cs="Times New Roman"/>
              </w:rPr>
            </w:pPr>
            <w:r>
              <w:rPr>
                <w:rFonts w:cs="Times New Roman" w:ascii="Times New Roman" w:hAnsi="Times New Roman"/>
              </w:rPr>
              <w:t>Minuta de Contrato para Profissionais de Saúde Autônomos Cirurgião-Dentista</w:t>
            </w:r>
          </w:p>
        </w:tc>
      </w:tr>
      <w:tr>
        <w:trPr>
          <w:trHeight w:val="700" w:hRule="exact"/>
        </w:trPr>
        <w:tc>
          <w:tcPr>
            <w:tcW w:w="713" w:type="dxa"/>
            <w:tcBorders>
              <w:top w:val="single" w:sz="6" w:space="0" w:color="000000"/>
              <w:left w:val="single" w:sz="6" w:space="0" w:color="000000"/>
              <w:bottom w:val="single" w:sz="6" w:space="0" w:color="000000"/>
              <w:right w:val="single" w:sz="6" w:space="0" w:color="000000"/>
            </w:tcBorders>
            <w:vAlign w:val="center"/>
          </w:tcPr>
          <w:p>
            <w:pPr>
              <w:pStyle w:val="Normal"/>
              <w:widowControl w:val="false"/>
              <w:spacing w:lineRule="auto" w:line="276" w:before="120" w:after="120"/>
              <w:jc w:val="center"/>
              <w:rPr>
                <w:rFonts w:ascii="Times New Roman" w:hAnsi="Times New Roman" w:cs="Times New Roman"/>
              </w:rPr>
            </w:pPr>
            <w:r>
              <w:rPr>
                <w:rFonts w:cs="Times New Roman" w:ascii="Times New Roman" w:hAnsi="Times New Roman"/>
              </w:rPr>
              <w:t>Anexo “H”</w:t>
            </w:r>
          </w:p>
        </w:tc>
        <w:tc>
          <w:tcPr>
            <w:tcW w:w="7772" w:type="dxa"/>
            <w:tcBorders>
              <w:top w:val="single" w:sz="4" w:space="0" w:color="000000"/>
              <w:left w:val="single" w:sz="6" w:space="0" w:color="000000"/>
              <w:bottom w:val="single" w:sz="6" w:space="0" w:color="000000"/>
              <w:right w:val="single" w:sz="6" w:space="0" w:color="000000"/>
            </w:tcBorders>
            <w:vAlign w:val="center"/>
          </w:tcPr>
          <w:p>
            <w:pPr>
              <w:pStyle w:val="Normal"/>
              <w:widowControl w:val="false"/>
              <w:spacing w:lineRule="auto" w:line="276" w:before="120" w:after="120"/>
              <w:jc w:val="center"/>
              <w:rPr>
                <w:rFonts w:ascii="Times New Roman" w:hAnsi="Times New Roman" w:cs="Times New Roman"/>
              </w:rPr>
            </w:pPr>
            <w:r>
              <w:rPr>
                <w:rFonts w:cs="Times New Roman" w:ascii="Times New Roman" w:hAnsi="Times New Roman"/>
              </w:rPr>
              <w:t>Minuta de Contrato para Atendimento Pré-Hospitalar e Inter-Hospitalar</w:t>
            </w:r>
          </w:p>
        </w:tc>
      </w:tr>
      <w:tr>
        <w:trPr>
          <w:trHeight w:val="700" w:hRule="exact"/>
        </w:trPr>
        <w:tc>
          <w:tcPr>
            <w:tcW w:w="713" w:type="dxa"/>
            <w:tcBorders>
              <w:top w:val="single" w:sz="6" w:space="0" w:color="000000"/>
              <w:left w:val="single" w:sz="6" w:space="0" w:color="000000"/>
              <w:bottom w:val="single" w:sz="6" w:space="0" w:color="000000"/>
              <w:right w:val="single" w:sz="6" w:space="0" w:color="000000"/>
            </w:tcBorders>
            <w:vAlign w:val="center"/>
          </w:tcPr>
          <w:p>
            <w:pPr>
              <w:pStyle w:val="Normal"/>
              <w:widowControl w:val="false"/>
              <w:spacing w:lineRule="auto" w:line="276" w:before="120" w:after="120"/>
              <w:jc w:val="center"/>
              <w:rPr>
                <w:rFonts w:ascii="Times New Roman" w:hAnsi="Times New Roman" w:cs="Times New Roman"/>
              </w:rPr>
            </w:pPr>
            <w:r>
              <w:rPr>
                <w:rFonts w:cs="Times New Roman" w:ascii="Times New Roman" w:hAnsi="Times New Roman"/>
              </w:rPr>
              <w:t>Anexo “I”</w:t>
            </w:r>
          </w:p>
        </w:tc>
        <w:tc>
          <w:tcPr>
            <w:tcW w:w="7772" w:type="dxa"/>
            <w:tcBorders>
              <w:top w:val="single" w:sz="4" w:space="0" w:color="000000"/>
              <w:left w:val="single" w:sz="6" w:space="0" w:color="000000"/>
              <w:bottom w:val="single" w:sz="6" w:space="0" w:color="000000"/>
              <w:right w:val="single" w:sz="6" w:space="0" w:color="000000"/>
            </w:tcBorders>
            <w:vAlign w:val="center"/>
          </w:tcPr>
          <w:p>
            <w:pPr>
              <w:pStyle w:val="Normal"/>
              <w:widowControl w:val="false"/>
              <w:spacing w:lineRule="auto" w:line="276" w:before="120" w:after="120"/>
              <w:jc w:val="center"/>
              <w:rPr>
                <w:rFonts w:ascii="Times New Roman" w:hAnsi="Times New Roman" w:cs="Times New Roman"/>
              </w:rPr>
            </w:pPr>
            <w:r>
              <w:rPr>
                <w:rFonts w:cs="Times New Roman" w:ascii="Times New Roman" w:hAnsi="Times New Roman"/>
              </w:rPr>
              <w:t>Minuta de Contrato para Atenção Domiciliar à Saúde</w:t>
            </w:r>
          </w:p>
        </w:tc>
      </w:tr>
      <w:tr>
        <w:trPr>
          <w:trHeight w:val="700" w:hRule="exact"/>
        </w:trPr>
        <w:tc>
          <w:tcPr>
            <w:tcW w:w="713" w:type="dxa"/>
            <w:tcBorders>
              <w:top w:val="single" w:sz="6" w:space="0" w:color="000000"/>
              <w:left w:val="single" w:sz="6" w:space="0" w:color="000000"/>
              <w:bottom w:val="single" w:sz="6" w:space="0" w:color="000000"/>
              <w:right w:val="single" w:sz="6" w:space="0" w:color="000000"/>
            </w:tcBorders>
            <w:vAlign w:val="center"/>
          </w:tcPr>
          <w:p>
            <w:pPr>
              <w:pStyle w:val="Normal"/>
              <w:widowControl w:val="false"/>
              <w:spacing w:lineRule="auto" w:line="276" w:before="120" w:after="120"/>
              <w:jc w:val="center"/>
              <w:rPr>
                <w:rFonts w:ascii="Times New Roman" w:hAnsi="Times New Roman" w:cs="Times New Roman"/>
              </w:rPr>
            </w:pPr>
            <w:r>
              <w:rPr>
                <w:rFonts w:cs="Times New Roman" w:ascii="Times New Roman" w:hAnsi="Times New Roman"/>
              </w:rPr>
              <w:t>Anexo “J”</w:t>
            </w:r>
          </w:p>
        </w:tc>
        <w:tc>
          <w:tcPr>
            <w:tcW w:w="7772" w:type="dxa"/>
            <w:tcBorders>
              <w:top w:val="single" w:sz="4" w:space="0" w:color="000000"/>
              <w:left w:val="single" w:sz="6" w:space="0" w:color="000000"/>
              <w:bottom w:val="single" w:sz="6" w:space="0" w:color="000000"/>
              <w:right w:val="single" w:sz="6" w:space="0" w:color="000000"/>
            </w:tcBorders>
            <w:vAlign w:val="center"/>
          </w:tcPr>
          <w:p>
            <w:pPr>
              <w:pStyle w:val="Normal"/>
              <w:widowControl w:val="false"/>
              <w:spacing w:lineRule="auto" w:line="276" w:before="120" w:after="120"/>
              <w:jc w:val="center"/>
              <w:rPr>
                <w:rFonts w:ascii="Times New Roman" w:hAnsi="Times New Roman" w:cs="Times New Roman"/>
              </w:rPr>
            </w:pPr>
            <w:r>
              <w:rPr>
                <w:rFonts w:cs="Times New Roman" w:ascii="Times New Roman" w:hAnsi="Times New Roman"/>
              </w:rPr>
              <w:t>Minuta de Contrato para Cooperativas Médicas</w:t>
            </w:r>
          </w:p>
        </w:tc>
      </w:tr>
      <w:tr>
        <w:trPr>
          <w:trHeight w:val="700" w:hRule="exact"/>
        </w:trPr>
        <w:tc>
          <w:tcPr>
            <w:tcW w:w="713" w:type="dxa"/>
            <w:tcBorders>
              <w:top w:val="single" w:sz="6" w:space="0" w:color="000000"/>
              <w:left w:val="single" w:sz="6" w:space="0" w:color="000000"/>
              <w:bottom w:val="single" w:sz="6" w:space="0" w:color="000000"/>
              <w:right w:val="single" w:sz="6" w:space="0" w:color="000000"/>
            </w:tcBorders>
            <w:vAlign w:val="center"/>
          </w:tcPr>
          <w:p>
            <w:pPr>
              <w:pStyle w:val="Normal"/>
              <w:widowControl w:val="false"/>
              <w:spacing w:lineRule="auto" w:line="276" w:before="120" w:after="120"/>
              <w:jc w:val="center"/>
              <w:rPr>
                <w:rFonts w:ascii="Times New Roman" w:hAnsi="Times New Roman" w:eastAsia="" w:cs="Times New Roman" w:eastAsiaTheme="minorEastAsia"/>
                <w:color w:val="auto"/>
                <w:kern w:val="0"/>
                <w:sz w:val="20"/>
                <w:szCs w:val="20"/>
                <w:lang w:val="pt-BR" w:eastAsia="pt-BR" w:bidi="ar-SA"/>
              </w:rPr>
            </w:pPr>
            <w:r>
              <w:rPr>
                <w:rFonts w:eastAsia="" w:cs="Times New Roman" w:ascii="Times New Roman" w:hAnsi="Times New Roman" w:eastAsiaTheme="minorEastAsia"/>
                <w:color w:val="auto"/>
                <w:kern w:val="0"/>
                <w:sz w:val="20"/>
                <w:szCs w:val="20"/>
                <w:lang w:val="pt-BR" w:eastAsia="pt-BR" w:bidi="ar-SA"/>
              </w:rPr>
              <w:t>Anexo “K”</w:t>
            </w:r>
          </w:p>
        </w:tc>
        <w:tc>
          <w:tcPr>
            <w:tcW w:w="7772" w:type="dxa"/>
            <w:tcBorders>
              <w:top w:val="single" w:sz="4" w:space="0" w:color="000000"/>
              <w:left w:val="single" w:sz="6" w:space="0" w:color="000000"/>
              <w:bottom w:val="single" w:sz="6" w:space="0" w:color="000000"/>
              <w:right w:val="single" w:sz="6" w:space="0" w:color="000000"/>
            </w:tcBorders>
            <w:vAlign w:val="center"/>
          </w:tcPr>
          <w:p>
            <w:pPr>
              <w:pStyle w:val="Normal"/>
              <w:widowControl w:val="false"/>
              <w:spacing w:lineRule="auto" w:line="276" w:before="120" w:after="120"/>
              <w:jc w:val="center"/>
              <w:rPr>
                <w:rFonts w:ascii="Times New Roman" w:hAnsi="Times New Roman" w:cs="Times New Roman"/>
              </w:rPr>
            </w:pPr>
            <w:r>
              <w:rPr>
                <w:rFonts w:cs="Times New Roman" w:ascii="Times New Roman" w:hAnsi="Times New Roman"/>
              </w:rPr>
              <w:t>Modelo de Requerimento para Credenciamento de Profissionais de Saúde Autônomos (PSA)</w:t>
            </w:r>
          </w:p>
        </w:tc>
      </w:tr>
      <w:tr>
        <w:trPr>
          <w:trHeight w:val="700" w:hRule="exact"/>
        </w:trPr>
        <w:tc>
          <w:tcPr>
            <w:tcW w:w="713" w:type="dxa"/>
            <w:tcBorders>
              <w:left w:val="single" w:sz="6" w:space="0" w:color="000000"/>
              <w:bottom w:val="single" w:sz="6" w:space="0" w:color="000000"/>
              <w:right w:val="single" w:sz="6" w:space="0" w:color="000000"/>
            </w:tcBorders>
            <w:vAlign w:val="center"/>
          </w:tcPr>
          <w:p>
            <w:pPr>
              <w:pStyle w:val="Normal"/>
              <w:widowControl w:val="false"/>
              <w:spacing w:lineRule="auto" w:line="276" w:before="120" w:after="120"/>
              <w:jc w:val="center"/>
              <w:rPr>
                <w:rFonts w:ascii="Times New Roman" w:hAnsi="Times New Roman" w:eastAsia="" w:cs="Times New Roman" w:eastAsiaTheme="minorEastAsia"/>
                <w:color w:val="auto"/>
                <w:kern w:val="0"/>
                <w:sz w:val="20"/>
                <w:szCs w:val="20"/>
                <w:lang w:val="pt-BR" w:eastAsia="pt-BR" w:bidi="ar-SA"/>
              </w:rPr>
            </w:pPr>
            <w:r>
              <w:rPr>
                <w:rFonts w:eastAsia="" w:cs="Times New Roman" w:ascii="Times New Roman" w:hAnsi="Times New Roman" w:eastAsiaTheme="minorEastAsia"/>
                <w:color w:val="auto"/>
                <w:kern w:val="0"/>
                <w:sz w:val="20"/>
                <w:szCs w:val="20"/>
                <w:lang w:val="pt-BR" w:eastAsia="pt-BR" w:bidi="ar-SA"/>
              </w:rPr>
              <w:t>Anexo “L”</w:t>
            </w:r>
          </w:p>
        </w:tc>
        <w:tc>
          <w:tcPr>
            <w:tcW w:w="7772" w:type="dxa"/>
            <w:tcBorders>
              <w:left w:val="single" w:sz="6" w:space="0" w:color="000000"/>
              <w:bottom w:val="single" w:sz="6" w:space="0" w:color="000000"/>
              <w:right w:val="single" w:sz="6" w:space="0" w:color="000000"/>
            </w:tcBorders>
            <w:vAlign w:val="center"/>
          </w:tcPr>
          <w:p>
            <w:pPr>
              <w:pStyle w:val="Normal"/>
              <w:widowControl w:val="false"/>
              <w:spacing w:lineRule="auto" w:line="276" w:before="120" w:after="120"/>
              <w:jc w:val="center"/>
              <w:rPr>
                <w:rFonts w:ascii="Times New Roman" w:hAnsi="Times New Roman" w:cs="Times New Roman"/>
              </w:rPr>
            </w:pPr>
            <w:r>
              <w:rPr>
                <w:rFonts w:cs="Times New Roman" w:ascii="Times New Roman" w:hAnsi="Times New Roman"/>
              </w:rPr>
              <w:t>Modelo de Carta-Proposta para Organizações Civis de Saúde (OCS)</w:t>
            </w:r>
          </w:p>
        </w:tc>
      </w:tr>
      <w:tr>
        <w:trPr>
          <w:trHeight w:val="702" w:hRule="exact"/>
        </w:trPr>
        <w:tc>
          <w:tcPr>
            <w:tcW w:w="713" w:type="dxa"/>
            <w:tcBorders>
              <w:top w:val="single" w:sz="6" w:space="0" w:color="000000"/>
              <w:left w:val="single" w:sz="6" w:space="0" w:color="000000"/>
              <w:bottom w:val="single" w:sz="6" w:space="0" w:color="000000"/>
              <w:right w:val="single" w:sz="6" w:space="0" w:color="000000"/>
            </w:tcBorders>
            <w:vAlign w:val="center"/>
          </w:tcPr>
          <w:p>
            <w:pPr>
              <w:pStyle w:val="Normal"/>
              <w:widowControl w:val="false"/>
              <w:spacing w:lineRule="auto" w:line="276" w:before="120" w:after="120"/>
              <w:jc w:val="center"/>
              <w:rPr>
                <w:rFonts w:ascii="Times New Roman" w:hAnsi="Times New Roman" w:cs="Times New Roman"/>
              </w:rPr>
            </w:pPr>
            <w:r>
              <w:rPr>
                <w:rFonts w:cs="Times New Roman" w:ascii="Times New Roman" w:hAnsi="Times New Roman"/>
              </w:rPr>
              <w:t>Anexo "M"</w:t>
            </w:r>
          </w:p>
        </w:tc>
        <w:tc>
          <w:tcPr>
            <w:tcW w:w="7772" w:type="dxa"/>
            <w:tcBorders>
              <w:top w:val="single" w:sz="6" w:space="0" w:color="000000"/>
              <w:left w:val="single" w:sz="6" w:space="0" w:color="000000"/>
              <w:bottom w:val="single" w:sz="6" w:space="0" w:color="000000"/>
              <w:right w:val="single" w:sz="6" w:space="0" w:color="000000"/>
            </w:tcBorders>
            <w:vAlign w:val="center"/>
          </w:tcPr>
          <w:p>
            <w:pPr>
              <w:pStyle w:val="Normal"/>
              <w:widowControl w:val="false"/>
              <w:spacing w:lineRule="auto" w:line="276" w:before="120" w:after="120"/>
              <w:jc w:val="center"/>
              <w:rPr>
                <w:rFonts w:ascii="Calibri" w:hAnsi="Calibri" w:eastAsia="" w:cs="" w:asciiTheme="minorHAnsi" w:cstheme="minorBidi" w:eastAsiaTheme="minorEastAsia" w:hAnsiTheme="minorHAnsi"/>
                <w:highlight w:val="yellow"/>
              </w:rPr>
            </w:pPr>
            <w:r>
              <w:rPr>
                <w:rFonts w:eastAsia="" w:cs="Times New Roman" w:ascii="Times New Roman" w:hAnsi="Times New Roman" w:eastAsiaTheme="minorEastAsia"/>
                <w:highlight w:val="yellow"/>
              </w:rPr>
              <w:t>Lista Referencial de Valores FuSEx/SAMMED do 4º Batalhão de Engenharia de Combate</w:t>
            </w:r>
          </w:p>
        </w:tc>
      </w:tr>
      <w:tr>
        <w:trPr>
          <w:trHeight w:val="702" w:hRule="exact"/>
        </w:trPr>
        <w:tc>
          <w:tcPr>
            <w:tcW w:w="713" w:type="dxa"/>
            <w:tcBorders>
              <w:left w:val="single" w:sz="6" w:space="0" w:color="000000"/>
              <w:bottom w:val="single" w:sz="6" w:space="0" w:color="000000"/>
              <w:right w:val="single" w:sz="6" w:space="0" w:color="000000"/>
            </w:tcBorders>
            <w:vAlign w:val="center"/>
          </w:tcPr>
          <w:p>
            <w:pPr>
              <w:pStyle w:val="Normal"/>
              <w:widowControl w:val="false"/>
              <w:spacing w:lineRule="auto" w:line="276" w:before="120" w:after="120"/>
              <w:jc w:val="center"/>
              <w:rPr>
                <w:rFonts w:ascii="Times New Roman" w:hAnsi="Times New Roman" w:cs="Times New Roman"/>
              </w:rPr>
            </w:pPr>
            <w:r>
              <w:rPr>
                <w:rFonts w:cs="Times New Roman" w:ascii="Times New Roman" w:hAnsi="Times New Roman"/>
              </w:rPr>
              <w:t>Anexo "N"</w:t>
            </w:r>
          </w:p>
        </w:tc>
        <w:tc>
          <w:tcPr>
            <w:tcW w:w="7772" w:type="dxa"/>
            <w:tcBorders>
              <w:left w:val="single" w:sz="6" w:space="0" w:color="000000"/>
              <w:bottom w:val="single" w:sz="6" w:space="0" w:color="000000"/>
              <w:right w:val="single" w:sz="6" w:space="0" w:color="000000"/>
            </w:tcBorders>
            <w:vAlign w:val="center"/>
          </w:tcPr>
          <w:p>
            <w:pPr>
              <w:pStyle w:val="Normal"/>
              <w:widowControl w:val="false"/>
              <w:spacing w:lineRule="auto" w:line="276" w:before="120" w:after="120"/>
              <w:jc w:val="center"/>
              <w:rPr>
                <w:rFonts w:ascii="Times New Roman" w:hAnsi="Times New Roman" w:cs="Times New Roman"/>
              </w:rPr>
            </w:pPr>
            <w:r>
              <w:rPr>
                <w:rFonts w:cs="Times New Roman" w:ascii="Times New Roman" w:hAnsi="Times New Roman"/>
              </w:rPr>
              <w:t>Declaração de cumprimento do inciso XXXIII do art. 7º da Constituição Federal</w:t>
            </w:r>
          </w:p>
        </w:tc>
      </w:tr>
      <w:tr>
        <w:trPr>
          <w:trHeight w:val="712" w:hRule="exact"/>
        </w:trPr>
        <w:tc>
          <w:tcPr>
            <w:tcW w:w="713" w:type="dxa"/>
            <w:tcBorders>
              <w:top w:val="single" w:sz="6" w:space="0" w:color="000000"/>
              <w:left w:val="single" w:sz="6" w:space="0" w:color="000000"/>
              <w:bottom w:val="single" w:sz="6" w:space="0" w:color="000000"/>
              <w:right w:val="single" w:sz="6" w:space="0" w:color="000000"/>
            </w:tcBorders>
            <w:vAlign w:val="center"/>
          </w:tcPr>
          <w:p>
            <w:pPr>
              <w:pStyle w:val="Normal"/>
              <w:widowControl w:val="false"/>
              <w:spacing w:lineRule="auto" w:line="276" w:before="120" w:after="120"/>
              <w:jc w:val="center"/>
              <w:rPr>
                <w:rFonts w:ascii="Times New Roman" w:hAnsi="Times New Roman" w:cs="Times New Roman"/>
              </w:rPr>
            </w:pPr>
            <w:r>
              <w:rPr>
                <w:rFonts w:cs="Times New Roman" w:ascii="Times New Roman" w:hAnsi="Times New Roman"/>
              </w:rPr>
              <w:t>Anexo "O"</w:t>
            </w:r>
          </w:p>
        </w:tc>
        <w:tc>
          <w:tcPr>
            <w:tcW w:w="7772" w:type="dxa"/>
            <w:tcBorders>
              <w:top w:val="single" w:sz="6" w:space="0" w:color="000000"/>
              <w:left w:val="single" w:sz="6" w:space="0" w:color="000000"/>
              <w:bottom w:val="single" w:sz="6" w:space="0" w:color="000000"/>
              <w:right w:val="single" w:sz="6" w:space="0" w:color="000000"/>
            </w:tcBorders>
            <w:vAlign w:val="center"/>
          </w:tcPr>
          <w:p>
            <w:pPr>
              <w:pStyle w:val="Luca1"/>
              <w:widowControl w:val="false"/>
              <w:tabs>
                <w:tab w:val="clear" w:pos="142"/>
                <w:tab w:val="clear" w:pos="284"/>
                <w:tab w:val="clear" w:pos="426"/>
                <w:tab w:val="clear" w:pos="567"/>
                <w:tab w:val="clear" w:pos="709"/>
                <w:tab w:val="clear" w:pos="851"/>
                <w:tab w:val="clear" w:pos="993"/>
                <w:tab w:val="clear" w:pos="1134"/>
                <w:tab w:val="clear" w:pos="1276"/>
                <w:tab w:val="clear" w:pos="1418"/>
              </w:tabs>
              <w:spacing w:lineRule="auto" w:line="480" w:before="0" w:after="0"/>
              <w:jc w:val="center"/>
              <w:rPr>
                <w:rFonts w:ascii="Times New Roman" w:hAnsi="Times New Roman" w:eastAsia="" w:cs="Times New Roman" w:eastAsiaTheme="minorEastAsia"/>
                <w:b w:val="false"/>
                <w:b w:val="false"/>
                <w:bCs w:val="false"/>
                <w:i w:val="false"/>
                <w:i w:val="false"/>
                <w:iCs w:val="false"/>
                <w:color w:val="auto"/>
                <w:kern w:val="0"/>
                <w:sz w:val="20"/>
                <w:szCs w:val="20"/>
                <w:u w:val="none"/>
                <w:lang w:val="pt-BR" w:eastAsia="pt-BR" w:bidi="ar-SA"/>
              </w:rPr>
            </w:pPr>
            <w:r>
              <w:rPr>
                <w:rFonts w:eastAsia="" w:cs="Times New Roman" w:eastAsiaTheme="minorEastAsia" w:ascii="Times New Roman" w:hAnsi="Times New Roman"/>
                <w:b w:val="false"/>
                <w:bCs w:val="false"/>
                <w:i w:val="false"/>
                <w:iCs w:val="false"/>
                <w:color w:val="000000"/>
                <w:kern w:val="0"/>
                <w:sz w:val="20"/>
                <w:szCs w:val="20"/>
                <w:u w:val="none"/>
                <w:lang w:val="pt-BR" w:eastAsia="pt-BR" w:bidi="ar-SA"/>
              </w:rPr>
              <w:t>Declaração de Disposição sobre a Vedação ao Nepotismo</w:t>
            </w:r>
          </w:p>
        </w:tc>
      </w:tr>
      <w:tr>
        <w:trPr>
          <w:trHeight w:val="712" w:hRule="exact"/>
        </w:trPr>
        <w:tc>
          <w:tcPr>
            <w:tcW w:w="713" w:type="dxa"/>
            <w:tcBorders>
              <w:left w:val="single" w:sz="6" w:space="0" w:color="000000"/>
              <w:bottom w:val="single" w:sz="6" w:space="0" w:color="000000"/>
              <w:right w:val="single" w:sz="6" w:space="0" w:color="000000"/>
            </w:tcBorders>
            <w:vAlign w:val="center"/>
          </w:tcPr>
          <w:p>
            <w:pPr>
              <w:pStyle w:val="Normal"/>
              <w:widowControl w:val="false"/>
              <w:spacing w:lineRule="auto" w:line="276" w:before="120" w:after="120"/>
              <w:jc w:val="center"/>
              <w:rPr>
                <w:rFonts w:ascii="Times New Roman" w:hAnsi="Times New Roman" w:cs="Times New Roman"/>
              </w:rPr>
            </w:pPr>
            <w:r>
              <w:rPr>
                <w:rFonts w:cs="Times New Roman" w:ascii="Times New Roman" w:hAnsi="Times New Roman"/>
              </w:rPr>
              <w:t>Anexo "P"</w:t>
            </w:r>
          </w:p>
        </w:tc>
        <w:tc>
          <w:tcPr>
            <w:tcW w:w="7772" w:type="dxa"/>
            <w:tcBorders>
              <w:left w:val="single" w:sz="6" w:space="0" w:color="000000"/>
              <w:bottom w:val="single" w:sz="6" w:space="0" w:color="000000"/>
              <w:right w:val="single" w:sz="6" w:space="0" w:color="000000"/>
            </w:tcBorders>
            <w:vAlign w:val="center"/>
          </w:tcPr>
          <w:p>
            <w:pPr>
              <w:pStyle w:val="Normal"/>
              <w:widowControl w:val="false"/>
              <w:spacing w:lineRule="auto" w:line="276" w:before="120" w:after="120"/>
              <w:jc w:val="center"/>
              <w:rPr>
                <w:rFonts w:ascii="Times New Roman" w:hAnsi="Times New Roman" w:cs="Times New Roman"/>
              </w:rPr>
            </w:pPr>
            <w:r>
              <w:rPr>
                <w:rFonts w:cs="Times New Roman" w:ascii="Times New Roman" w:hAnsi="Times New Roman"/>
              </w:rPr>
              <w:t>Termo de Conciliação Judicial – MPT e União</w:t>
            </w:r>
          </w:p>
        </w:tc>
      </w:tr>
      <w:tr>
        <w:trPr>
          <w:trHeight w:val="708" w:hRule="exact"/>
        </w:trPr>
        <w:tc>
          <w:tcPr>
            <w:tcW w:w="713" w:type="dxa"/>
            <w:tcBorders>
              <w:top w:val="single" w:sz="6" w:space="0" w:color="000000"/>
              <w:left w:val="single" w:sz="6" w:space="0" w:color="000000"/>
              <w:bottom w:val="single" w:sz="6" w:space="0" w:color="000000"/>
              <w:right w:val="single" w:sz="6" w:space="0" w:color="000000"/>
            </w:tcBorders>
            <w:vAlign w:val="center"/>
          </w:tcPr>
          <w:p>
            <w:pPr>
              <w:pStyle w:val="Normal"/>
              <w:widowControl w:val="false"/>
              <w:spacing w:lineRule="auto" w:line="276" w:before="120" w:after="120"/>
              <w:jc w:val="center"/>
              <w:rPr>
                <w:rFonts w:ascii="Times New Roman" w:hAnsi="Times New Roman" w:cs="Times New Roman"/>
              </w:rPr>
            </w:pPr>
            <w:r>
              <w:rPr>
                <w:rFonts w:cs="Times New Roman" w:ascii="Times New Roman" w:hAnsi="Times New Roman"/>
              </w:rPr>
              <w:t>Anexo "Q"</w:t>
            </w:r>
          </w:p>
        </w:tc>
        <w:tc>
          <w:tcPr>
            <w:tcW w:w="7772" w:type="dxa"/>
            <w:tcBorders>
              <w:top w:val="single" w:sz="6" w:space="0" w:color="000000"/>
              <w:left w:val="single" w:sz="6" w:space="0" w:color="000000"/>
              <w:bottom w:val="single" w:sz="6" w:space="0" w:color="000000"/>
              <w:right w:val="single" w:sz="6" w:space="0" w:color="000000"/>
            </w:tcBorders>
            <w:vAlign w:val="center"/>
          </w:tcPr>
          <w:p>
            <w:pPr>
              <w:pStyle w:val="Normal"/>
              <w:widowControl w:val="false"/>
              <w:spacing w:lineRule="auto" w:line="276" w:before="120" w:after="120"/>
              <w:jc w:val="center"/>
              <w:rPr>
                <w:rFonts w:ascii="Times New Roman" w:hAnsi="Times New Roman" w:cs="Times New Roman"/>
              </w:rPr>
            </w:pPr>
            <w:r>
              <w:rPr>
                <w:rFonts w:cs="Times New Roman" w:ascii="Times New Roman" w:hAnsi="Times New Roman"/>
              </w:rPr>
              <w:t>Áreas da prestação de serviços de assistência médico-hospitalar, odontológica e de reabilitação</w:t>
            </w:r>
          </w:p>
        </w:tc>
      </w:tr>
      <w:tr>
        <w:trPr>
          <w:trHeight w:val="719" w:hRule="exact"/>
        </w:trPr>
        <w:tc>
          <w:tcPr>
            <w:tcW w:w="713" w:type="dxa"/>
            <w:tcBorders>
              <w:top w:val="single" w:sz="6" w:space="0" w:color="000000"/>
              <w:left w:val="single" w:sz="6" w:space="0" w:color="000000"/>
              <w:bottom w:val="single" w:sz="6" w:space="0" w:color="000000"/>
              <w:right w:val="single" w:sz="6" w:space="0" w:color="000000"/>
            </w:tcBorders>
            <w:vAlign w:val="center"/>
          </w:tcPr>
          <w:p>
            <w:pPr>
              <w:pStyle w:val="Normal"/>
              <w:widowControl w:val="false"/>
              <w:spacing w:lineRule="auto" w:line="276" w:before="120" w:after="120"/>
              <w:jc w:val="center"/>
              <w:rPr>
                <w:rFonts w:ascii="Times New Roman" w:hAnsi="Times New Roman" w:cs="Times New Roman"/>
              </w:rPr>
            </w:pPr>
            <w:r>
              <w:rPr>
                <w:rFonts w:cs="Times New Roman" w:ascii="Times New Roman" w:hAnsi="Times New Roman"/>
              </w:rPr>
              <w:t xml:space="preserve"> </w:t>
            </w:r>
            <w:r>
              <w:rPr>
                <w:rFonts w:cs="Times New Roman" w:ascii="Times New Roman" w:hAnsi="Times New Roman"/>
              </w:rPr>
              <w:t>Anexo</w:t>
            </w:r>
          </w:p>
          <w:p>
            <w:pPr>
              <w:pStyle w:val="Normal"/>
              <w:widowControl w:val="false"/>
              <w:spacing w:lineRule="auto" w:line="276" w:before="120" w:after="120"/>
              <w:jc w:val="center"/>
              <w:rPr>
                <w:rFonts w:ascii="Times New Roman" w:hAnsi="Times New Roman" w:cs="Times New Roman"/>
              </w:rPr>
            </w:pPr>
            <w:r>
              <w:rPr>
                <w:rFonts w:cs="Times New Roman" w:ascii="Times New Roman" w:hAnsi="Times New Roman"/>
              </w:rPr>
              <w:t>"R"</w:t>
            </w:r>
          </w:p>
        </w:tc>
        <w:tc>
          <w:tcPr>
            <w:tcW w:w="7772" w:type="dxa"/>
            <w:tcBorders>
              <w:top w:val="single" w:sz="6" w:space="0" w:color="000000"/>
              <w:left w:val="single" w:sz="6" w:space="0" w:color="000000"/>
              <w:bottom w:val="single" w:sz="6" w:space="0" w:color="000000"/>
              <w:right w:val="single" w:sz="6" w:space="0" w:color="000000"/>
            </w:tcBorders>
            <w:vAlign w:val="center"/>
          </w:tcPr>
          <w:p>
            <w:pPr>
              <w:pStyle w:val="Normal"/>
              <w:widowControl w:val="false"/>
              <w:spacing w:lineRule="auto" w:line="276" w:before="120" w:after="120"/>
              <w:jc w:val="center"/>
              <w:rPr>
                <w:rFonts w:ascii="Times New Roman" w:hAnsi="Times New Roman" w:cs="Times New Roman"/>
              </w:rPr>
            </w:pPr>
            <w:r>
              <w:rPr>
                <w:rFonts w:cs="Times New Roman" w:ascii="Times New Roman" w:hAnsi="Times New Roman"/>
              </w:rPr>
              <w:t>Procedimentos sujeitos a parecer de Comissão de Ética Médica e de Serviço de Auditoria Médica de OMS e Procedimentos médico-hospitalares e odontológicos não cobertos (ZM2) nem financiados (ZM1)</w:t>
            </w:r>
          </w:p>
        </w:tc>
      </w:tr>
    </w:tbl>
    <w:p>
      <w:pPr>
        <w:pStyle w:val="Normal"/>
        <w:widowControl w:val="false"/>
        <w:numPr>
          <w:ilvl w:val="0"/>
          <w:numId w:val="0"/>
        </w:numPr>
        <w:spacing w:lineRule="auto" w:line="276" w:before="120" w:after="120"/>
        <w:ind w:left="432" w:hanging="0"/>
        <w:jc w:val="both"/>
        <w:rPr>
          <w:rFonts w:ascii="Times New Roman" w:hAnsi="Times New Roman" w:cs="Times New Roman"/>
        </w:rPr>
      </w:pPr>
      <w:r>
        <w:rPr>
          <w:rFonts w:cs="Times New Roman" w:ascii="Times New Roman" w:hAnsi="Times New Roman"/>
        </w:rPr>
        <mc:AlternateContent>
          <mc:Choice Requires="wps">
            <w:drawing>
              <wp:anchor behindDoc="1" distT="0" distB="0" distL="0" distR="0" simplePos="0" locked="0" layoutInCell="1" allowOverlap="1" relativeHeight="2" wp14:anchorId="51987375">
                <wp:simplePos x="0" y="0"/>
                <wp:positionH relativeFrom="page">
                  <wp:posOffset>7547610</wp:posOffset>
                </wp:positionH>
                <wp:positionV relativeFrom="paragraph">
                  <wp:posOffset>-1592580</wp:posOffset>
                </wp:positionV>
                <wp:extent cx="5080" cy="503555"/>
                <wp:effectExtent l="0" t="0" r="19050" b="15240"/>
                <wp:wrapNone/>
                <wp:docPr id="3" name="Freeform 25"/>
                <a:graphic xmlns:a="http://schemas.openxmlformats.org/drawingml/2006/main">
                  <a:graphicData uri="http://schemas.microsoft.com/office/word/2010/wordprocessingShape">
                    <wps:wsp>
                      <wps:cNvSpPr/>
                      <wps:spPr>
                        <a:xfrm>
                          <a:off x="0" y="0"/>
                          <a:ext cx="4320" cy="502920"/>
                        </a:xfrm>
                        <a:custGeom>
                          <a:avLst/>
                          <a:gdLst/>
                          <a:ahLst/>
                          <a:rect l="l" t="t" r="r" b="b"/>
                          <a:pathLst>
                            <a:path w="20" h="786">
                              <a:moveTo>
                                <a:pt x="0" y="786"/>
                              </a:moveTo>
                              <a:lnTo>
                                <a:pt x="0" y="0"/>
                              </a:lnTo>
                            </a:path>
                          </a:pathLst>
                        </a:custGeom>
                        <a:noFill/>
                        <a:ln w="3960">
                          <a:solidFill>
                            <a:srgbClr val="000000"/>
                          </a:solidFill>
                          <a:round/>
                        </a:ln>
                      </wps:spPr>
                      <wps:style>
                        <a:lnRef idx="0"/>
                        <a:fillRef idx="0"/>
                        <a:effectRef idx="0"/>
                        <a:fontRef idx="minor"/>
                      </wps:style>
                      <wps:bodyPr/>
                    </wps:wsp>
                  </a:graphicData>
                </a:graphic>
              </wp:anchor>
            </w:drawing>
          </mc:Choice>
          <mc:Fallback>
            <w:pict/>
          </mc:Fallback>
        </mc:AlternateContent>
      </w:r>
    </w:p>
    <w:p>
      <w:pPr>
        <w:pStyle w:val="Normal"/>
        <w:widowControl w:val="false"/>
        <w:numPr>
          <w:ilvl w:val="1"/>
          <w:numId w:val="1"/>
        </w:numPr>
        <w:spacing w:lineRule="auto" w:line="276" w:before="120" w:after="120"/>
        <w:ind w:left="0" w:hanging="0"/>
        <w:jc w:val="both"/>
        <w:rPr>
          <w:rFonts w:ascii="Times New Roman" w:hAnsi="Times New Roman" w:cs="Times New Roman"/>
        </w:rPr>
      </w:pPr>
      <w:r>
        <w:rPr>
          <w:rFonts w:cs="Times New Roman" w:ascii="Times New Roman" w:hAnsi="Times New Roman"/>
          <w:bCs/>
        </w:rPr>
        <w:t>O presente Edital e seus anexos poderão ser examinados no Portal Nacional de Contratações Públicas – PNCP, disponível no endereço: https://www.gov.br/pncp/pt-br</w:t>
      </w:r>
      <w:r>
        <w:rPr>
          <w:rFonts w:cs="Times New Roman" w:ascii="Times New Roman" w:hAnsi="Times New Roman"/>
        </w:rPr>
        <w:t>.</w:t>
      </w:r>
    </w:p>
    <w:p>
      <w:pPr>
        <w:pStyle w:val="Normal"/>
        <w:widowControl w:val="false"/>
        <w:numPr>
          <w:ilvl w:val="1"/>
          <w:numId w:val="1"/>
        </w:numPr>
        <w:spacing w:lineRule="auto" w:line="276" w:before="120" w:after="120"/>
        <w:ind w:left="0" w:hanging="0"/>
        <w:jc w:val="both"/>
        <w:rPr>
          <w:rFonts w:ascii="Times New Roman" w:hAnsi="Times New Roman" w:cs="Times New Roman"/>
        </w:rPr>
      </w:pPr>
      <w:r>
        <w:rPr>
          <w:rFonts w:cs="Times New Roman" w:ascii="Times New Roman" w:hAnsi="Times New Roman"/>
        </w:rPr>
        <w:t xml:space="preserve">A documentação mencionada no item acima também poderá ser consultada no endereço eletrônico </w:t>
      </w:r>
      <w:r>
        <w:rPr>
          <w:rFonts w:cs="Times New Roman" w:ascii="Times New Roman" w:hAnsi="Times New Roman"/>
          <w:highlight w:val="lightGray"/>
        </w:rPr>
        <w:t>[indicar sítio eletrônico]</w:t>
      </w:r>
      <w:r>
        <w:rPr>
          <w:rFonts w:cs="Times New Roman" w:ascii="Times New Roman" w:hAnsi="Times New Roman"/>
        </w:rPr>
        <w:t xml:space="preserve"> ou ser recebida por mensagem eletrônica, sendo que para a solicitação de outras informações deverá ser utilizado o contato pelo telefone: </w:t>
      </w:r>
      <w:r>
        <w:rPr>
          <w:rFonts w:cs="Times New Roman" w:ascii="Times New Roman" w:hAnsi="Times New Roman"/>
          <w:highlight w:val="lightGray"/>
        </w:rPr>
        <w:t>[indicar DDD e número do telefone fixo]</w:t>
      </w:r>
      <w:r>
        <w:rPr>
          <w:rFonts w:cs="Times New Roman" w:ascii="Times New Roman" w:hAnsi="Times New Roman"/>
        </w:rPr>
        <w:t xml:space="preserve">. </w:t>
      </w:r>
      <w:r>
        <w:rPr>
          <w:rFonts w:cs="Times New Roman" w:ascii="Times New Roman" w:hAnsi="Times New Roman"/>
          <w:highlight w:val="yellow"/>
        </w:rPr>
        <w:t>[dispositivo opcional devendo o órgão analisar se mantém interesse em disponibilizar este tipo de acesso à informação e se vai disponibilizar o edital e anexos do credenciamento também em seu sítio eletrônico]</w:t>
      </w:r>
      <w:r>
        <w:rPr>
          <w:rFonts w:cs="Times New Roman" w:ascii="Times New Roman" w:hAnsi="Times New Roman"/>
        </w:rPr>
        <w:t>.</w:t>
      </w:r>
    </w:p>
    <w:p>
      <w:pPr>
        <w:pStyle w:val="Normal"/>
        <w:widowControl w:val="false"/>
        <w:numPr>
          <w:ilvl w:val="0"/>
          <w:numId w:val="1"/>
        </w:numPr>
        <w:spacing w:lineRule="auto" w:line="276" w:before="120" w:after="120"/>
        <w:ind w:left="0" w:hanging="0"/>
        <w:jc w:val="both"/>
        <w:rPr>
          <w:rFonts w:ascii="Times New Roman" w:hAnsi="Times New Roman" w:cs="Times New Roman"/>
          <w:b/>
          <w:b/>
          <w:u w:val="single"/>
        </w:rPr>
      </w:pPr>
      <w:r>
        <w:rPr>
          <w:rFonts w:cs="Times New Roman" w:ascii="Times New Roman" w:hAnsi="Times New Roman"/>
          <w:b/>
          <w:u w:val="single"/>
        </w:rPr>
        <w:t>DO OBJETO.</w:t>
      </w:r>
    </w:p>
    <w:p>
      <w:pPr>
        <w:pStyle w:val="Normal"/>
        <w:widowControl w:val="false"/>
        <w:numPr>
          <w:ilvl w:val="1"/>
          <w:numId w:val="1"/>
        </w:numPr>
        <w:spacing w:lineRule="auto" w:line="276" w:before="120" w:after="120"/>
        <w:ind w:left="0" w:hanging="0"/>
        <w:jc w:val="both"/>
        <w:rPr>
          <w:rFonts w:ascii="Times New Roman" w:hAnsi="Times New Roman" w:cs="Times New Roman"/>
        </w:rPr>
      </w:pPr>
      <w:r>
        <w:rPr>
          <w:rFonts w:cs="Times New Roman" w:ascii="Times New Roman" w:hAnsi="Times New Roman"/>
        </w:rPr>
        <w:t>O objeto deste Edital é o credenciamento, no Estado de Minas Gerais, de Organizações Civis de Saúde (OCS) e de Profissionais de Saúde Autônomos (PSA) interessados na prestação de serviços complementares de assistência médico-hospitalar, ambulatorial, atendimento de emergência/urgência em regime de 24 (vinte e quatro) horas diárias, pré-hospitalar, odontológica e de reabilitação aos beneficiários do Fundo de Saúde do Exército (SAMMED/FuSEx), aos usuários do Fator de Custo e aos servidores beneficiários da Prestação de Assistência à Saúde Suplementar dos Servidores Civis do Exército Brasileiro (PASS), e seus dependentes, conforme condições vigentes nos arts. 74 e 79 da Lei nº 14.133, de 2021, no Decreto nº 11.878, de 2024 e na Decisão n.° 656/1995 – Plenário TCU.</w:t>
      </w:r>
    </w:p>
    <w:p>
      <w:pPr>
        <w:pStyle w:val="Normal"/>
        <w:widowControl w:val="false"/>
        <w:numPr>
          <w:ilvl w:val="1"/>
          <w:numId w:val="1"/>
        </w:numPr>
        <w:spacing w:lineRule="auto" w:line="276" w:before="120" w:after="120"/>
        <w:ind w:left="0" w:hanging="0"/>
        <w:jc w:val="both"/>
        <w:rPr>
          <w:rFonts w:ascii="Times New Roman" w:hAnsi="Times New Roman" w:cs="Times New Roman"/>
        </w:rPr>
      </w:pPr>
      <w:r>
        <w:rPr>
          <w:rFonts w:cs="Times New Roman" w:ascii="Times New Roman" w:hAnsi="Times New Roman"/>
        </w:rPr>
        <w:t xml:space="preserve">A prestação de serviços de assistência médico-hospitalar, odontológica e de reabilitação abarcará os Municípios de </w:t>
      </w:r>
      <w:r>
        <w:rPr>
          <w:rFonts w:cs="Times New Roman" w:ascii="Times New Roman" w:hAnsi="Times New Roman"/>
          <w:highlight w:val="lightGray"/>
          <w:shd w:fill="D9D9D9" w:val="clear"/>
        </w:rPr>
        <w:t>[indicar nomes dos Municípios</w:t>
      </w:r>
      <w:r>
        <w:rPr>
          <w:rFonts w:cs="Times New Roman" w:ascii="Times New Roman" w:hAnsi="Times New Roman"/>
          <w:shd w:fill="D9D9D9" w:val="clear"/>
        </w:rPr>
        <w:t>]</w:t>
      </w:r>
      <w:r>
        <w:rPr>
          <w:rFonts w:cs="Times New Roman" w:ascii="Times New Roman" w:hAnsi="Times New Roman"/>
        </w:rPr>
        <w:t xml:space="preserve">, dentre as áreas descritas no </w:t>
      </w:r>
      <w:r>
        <w:rPr>
          <w:rFonts w:cs="Times New Roman" w:ascii="Times New Roman" w:hAnsi="Times New Roman"/>
          <w:highlight w:val="lightGray"/>
        </w:rPr>
        <w:t>Anexo “P”</w:t>
      </w:r>
      <w:r>
        <w:rPr>
          <w:rFonts w:cs="Times New Roman" w:ascii="Times New Roman" w:hAnsi="Times New Roman"/>
        </w:rPr>
        <w:t xml:space="preserve"> deste Edital.</w:t>
      </w:r>
    </w:p>
    <w:p>
      <w:pPr>
        <w:pStyle w:val="Normal"/>
        <w:widowControl w:val="false"/>
        <w:numPr>
          <w:ilvl w:val="1"/>
          <w:numId w:val="1"/>
        </w:numPr>
        <w:spacing w:lineRule="auto" w:line="276" w:before="120" w:after="120"/>
        <w:ind w:left="0" w:hanging="0"/>
        <w:jc w:val="both"/>
        <w:rPr>
          <w:rFonts w:ascii="Times New Roman" w:hAnsi="Times New Roman" w:cs="Times New Roman"/>
        </w:rPr>
      </w:pPr>
      <w:r>
        <w:rPr>
          <w:rFonts w:cs="Times New Roman" w:ascii="Times New Roman" w:hAnsi="Times New Roman"/>
        </w:rPr>
        <w:t xml:space="preserve">É permitido ao CREDENCIADO subcontratar os seguintes serviços: </w:t>
      </w:r>
      <w:r>
        <w:rPr>
          <w:rFonts w:cs="Times New Roman" w:ascii="Times New Roman" w:hAnsi="Times New Roman"/>
          <w:highlight w:val="yellow"/>
        </w:rPr>
        <w:t>[enumerar os serviços constantes das especificações mínimas que possam ser subcontratados, considerando as recomendações constantes da Nota Explicativa, devendo ainda prestar atenção se há correspondência no contrato respectivo</w:t>
      </w:r>
      <w:r>
        <w:rPr>
          <w:rFonts w:cs="Times New Roman" w:ascii="Times New Roman" w:hAnsi="Times New Roman"/>
          <w:highlight w:val="lightGray"/>
        </w:rPr>
        <w:t>]</w:t>
      </w:r>
      <w:r>
        <w:rPr>
          <w:rFonts w:cs="Times New Roman" w:ascii="Times New Roman" w:hAnsi="Times New Roman"/>
        </w:rPr>
        <w:t>.</w:t>
      </w:r>
    </w:p>
    <w:p>
      <w:pPr>
        <w:pStyle w:val="Normal"/>
        <w:widowControl w:val="false"/>
        <w:spacing w:lineRule="auto" w:line="276" w:before="120" w:after="120"/>
        <w:ind w:left="709" w:hanging="0"/>
        <w:jc w:val="both"/>
        <w:rPr>
          <w:rFonts w:ascii="Times New Roman" w:hAnsi="Times New Roman" w:cs="Times New Roman"/>
        </w:rPr>
      </w:pPr>
      <w:r>
        <w:rPr>
          <w:rFonts w:cs="Times New Roman" w:ascii="Times New Roman" w:hAnsi="Times New Roman"/>
        </w:rPr>
        <w:t>2.3.1. O CREDENCIADO deverá indicar os eventuais subcontratados;</w:t>
      </w:r>
    </w:p>
    <w:p>
      <w:pPr>
        <w:pStyle w:val="Normal"/>
        <w:widowControl w:val="false"/>
        <w:spacing w:lineRule="auto" w:line="276" w:before="120" w:after="120"/>
        <w:ind w:left="709" w:hanging="0"/>
        <w:jc w:val="both"/>
        <w:rPr>
          <w:rFonts w:ascii="Times New Roman" w:hAnsi="Times New Roman" w:cs="Times New Roman"/>
        </w:rPr>
      </w:pPr>
      <w:r>
        <w:rPr>
          <w:rFonts w:cs="Times New Roman" w:ascii="Times New Roman" w:hAnsi="Times New Roman"/>
        </w:rPr>
        <w:t>2.3.2. O subcontratado deverá comprovar os requisitos de habilitação, pertinentes a sua empresa, exigidos neste Edital;</w:t>
      </w:r>
    </w:p>
    <w:p>
      <w:pPr>
        <w:pStyle w:val="Normal"/>
        <w:widowControl w:val="false"/>
        <w:spacing w:lineRule="auto" w:line="276" w:before="120" w:after="120"/>
        <w:ind w:left="1276" w:hanging="0"/>
        <w:jc w:val="both"/>
        <w:rPr>
          <w:rFonts w:ascii="Times New Roman" w:hAnsi="Times New Roman" w:cs="Times New Roman"/>
        </w:rPr>
      </w:pPr>
      <w:r>
        <w:rPr>
          <w:rFonts w:cs="Times New Roman" w:ascii="Times New Roman" w:hAnsi="Times New Roman"/>
        </w:rPr>
        <w:t>2.3.3. A subcontratação não liberará o CREDENCIADO de suas responsabilidades contratuais e legais quanto ao objeto transferido de forma parcial.</w:t>
      </w:r>
    </w:p>
    <w:p>
      <w:pPr>
        <w:pStyle w:val="ListParagraph"/>
        <w:widowControl w:val="false"/>
        <w:spacing w:lineRule="auto" w:line="276" w:before="120" w:after="120"/>
        <w:ind w:left="1418" w:hanging="0"/>
        <w:contextualSpacing/>
        <w:jc w:val="both"/>
        <w:rPr>
          <w:rFonts w:ascii="Times New Roman" w:hAnsi="Times New Roman" w:cs="Times New Roman"/>
          <w:i/>
          <w:i/>
          <w:sz w:val="18"/>
          <w:szCs w:val="18"/>
        </w:rPr>
      </w:pPr>
      <w:r>
        <w:rPr>
          <w:rFonts w:cs="Times New Roman" w:ascii="Times New Roman" w:hAnsi="Times New Roman"/>
          <w:i/>
          <w:sz w:val="18"/>
          <w:szCs w:val="18"/>
        </w:rPr>
      </w:r>
    </w:p>
    <w:p>
      <w:pPr>
        <w:pStyle w:val="ListParagraph"/>
        <w:widowControl w:val="false"/>
        <w:spacing w:lineRule="auto" w:line="276" w:before="120" w:after="120"/>
        <w:ind w:left="1418" w:hanging="0"/>
        <w:contextualSpacing/>
        <w:jc w:val="both"/>
        <w:rPr>
          <w:rFonts w:ascii="Times New Roman" w:hAnsi="Times New Roman" w:cs="Times New Roman"/>
          <w:i/>
          <w:i/>
          <w:sz w:val="18"/>
          <w:szCs w:val="18"/>
          <w:highlight w:val="yellow"/>
        </w:rPr>
      </w:pPr>
      <w:r>
        <w:rPr>
          <w:rFonts w:cs="Times New Roman" w:ascii="Times New Roman" w:hAnsi="Times New Roman"/>
          <w:i/>
          <w:sz w:val="18"/>
          <w:szCs w:val="18"/>
          <w:highlight w:val="yellow"/>
        </w:rPr>
        <w:t>Nota Explicativa: O órgão assessorado poderá permitir que o CREDENCIADO subcontrate parte do objeto, desde que haja definição quanto à empresa em espécie, assim como a pessoa jurídica subcontratada.</w:t>
      </w:r>
    </w:p>
    <w:p>
      <w:pPr>
        <w:pStyle w:val="ListParagraph"/>
        <w:widowControl w:val="false"/>
        <w:spacing w:lineRule="auto" w:line="276" w:before="120" w:after="120"/>
        <w:ind w:left="1418" w:hanging="0"/>
        <w:contextualSpacing/>
        <w:jc w:val="both"/>
        <w:rPr>
          <w:rFonts w:ascii="Times New Roman" w:hAnsi="Times New Roman" w:cs="Times New Roman"/>
          <w:i/>
          <w:i/>
          <w:sz w:val="18"/>
          <w:szCs w:val="18"/>
          <w:highlight w:val="yellow"/>
        </w:rPr>
      </w:pPr>
      <w:r>
        <w:rPr>
          <w:rFonts w:cs="Times New Roman" w:ascii="Times New Roman" w:hAnsi="Times New Roman"/>
          <w:i/>
          <w:sz w:val="18"/>
          <w:szCs w:val="18"/>
          <w:highlight w:val="yellow"/>
        </w:rPr>
        <w:t>Deverá ser observado, de forma razoável, o impedimento de subcontratar a totalidade do objeto, conforme jurisprudência do Tribunal de Contas da União (Acórdão nº 554/2005 – Plenário; Acórdão nº 247/2005 Plenário; e, Decisão 351/2002 – Plenário, “Leading Case”).</w:t>
      </w:r>
    </w:p>
    <w:p>
      <w:pPr>
        <w:pStyle w:val="ListParagraph"/>
        <w:widowControl w:val="false"/>
        <w:spacing w:lineRule="auto" w:line="276" w:before="120" w:after="120"/>
        <w:ind w:left="1418" w:hanging="0"/>
        <w:contextualSpacing/>
        <w:jc w:val="both"/>
        <w:rPr>
          <w:rFonts w:ascii="Times New Roman" w:hAnsi="Times New Roman" w:cs="Times New Roman"/>
          <w:i/>
          <w:i/>
          <w:sz w:val="18"/>
          <w:szCs w:val="18"/>
          <w:highlight w:val="yellow"/>
        </w:rPr>
      </w:pPr>
      <w:r>
        <w:rPr>
          <w:rFonts w:cs="Times New Roman" w:ascii="Times New Roman" w:hAnsi="Times New Roman"/>
          <w:i/>
          <w:sz w:val="18"/>
          <w:szCs w:val="18"/>
          <w:highlight w:val="yellow"/>
        </w:rPr>
        <w:t>Ademais, a subcontratação do objeto deve efetivar-se somente após verificado o atendimento a todas as condições de habilitação constantes do edital e impostas às concorrentes que participaram do evento.</w:t>
      </w:r>
    </w:p>
    <w:p>
      <w:pPr>
        <w:pStyle w:val="ListParagraph"/>
        <w:widowControl w:val="false"/>
        <w:spacing w:lineRule="auto" w:line="276" w:before="120" w:after="120"/>
        <w:ind w:left="1418" w:hanging="0"/>
        <w:contextualSpacing/>
        <w:jc w:val="both"/>
        <w:rPr>
          <w:rFonts w:ascii="Times New Roman" w:hAnsi="Times New Roman" w:cs="Times New Roman"/>
          <w:i/>
          <w:i/>
          <w:sz w:val="18"/>
          <w:szCs w:val="18"/>
          <w:highlight w:val="yellow"/>
        </w:rPr>
      </w:pPr>
      <w:r>
        <w:rPr>
          <w:rFonts w:cs="Times New Roman" w:ascii="Times New Roman" w:hAnsi="Times New Roman"/>
          <w:i/>
          <w:sz w:val="18"/>
          <w:szCs w:val="18"/>
          <w:highlight w:val="yellow"/>
        </w:rPr>
        <w:t>Por fim, a subcontratação deverá estar vinculada a serviços que por sua especialização requeiram o emprego de pessoas jurídicas ou físicas especialmente habilitadas.</w:t>
      </w:r>
    </w:p>
    <w:p>
      <w:pPr>
        <w:pStyle w:val="ListParagraph"/>
        <w:widowControl w:val="false"/>
        <w:spacing w:lineRule="auto" w:line="276" w:before="120" w:after="120"/>
        <w:ind w:left="1418" w:hanging="0"/>
        <w:contextualSpacing/>
        <w:jc w:val="both"/>
        <w:rPr>
          <w:rFonts w:ascii="Times New Roman" w:hAnsi="Times New Roman" w:cs="Times New Roman"/>
          <w:highlight w:val="yellow"/>
        </w:rPr>
      </w:pPr>
      <w:r>
        <w:rPr>
          <w:rFonts w:cs="Times New Roman" w:ascii="Times New Roman" w:hAnsi="Times New Roman"/>
          <w:i/>
          <w:sz w:val="18"/>
          <w:szCs w:val="18"/>
          <w:highlight w:val="yellow"/>
        </w:rPr>
        <w:t>Permitida a subcontratação, ela deverá ser prevista no edital e no contrato.</w:t>
      </w:r>
    </w:p>
    <w:p>
      <w:pPr>
        <w:pStyle w:val="Normal"/>
        <w:spacing w:lineRule="auto" w:line="276" w:before="120" w:after="120"/>
        <w:rPr>
          <w:rFonts w:ascii="Times New Roman" w:hAnsi="Times New Roman" w:cs="Times New Roman"/>
          <w:highlight w:val="lightGray"/>
        </w:rPr>
      </w:pPr>
      <w:r>
        <w:rPr>
          <w:rFonts w:cs="Times New Roman" w:ascii="Times New Roman" w:hAnsi="Times New Roman"/>
          <w:highlight w:val="lightGray"/>
        </w:rPr>
      </w:r>
    </w:p>
    <w:p>
      <w:pPr>
        <w:pStyle w:val="Normal"/>
        <w:widowControl w:val="false"/>
        <w:numPr>
          <w:ilvl w:val="0"/>
          <w:numId w:val="1"/>
        </w:numPr>
        <w:spacing w:lineRule="auto" w:line="276" w:before="120" w:after="120"/>
        <w:ind w:left="0" w:hanging="0"/>
        <w:jc w:val="both"/>
        <w:rPr>
          <w:rFonts w:ascii="Times New Roman" w:hAnsi="Times New Roman" w:cs="Times New Roman"/>
          <w:u w:val="single"/>
        </w:rPr>
      </w:pPr>
      <w:r>
        <w:rPr>
          <w:rFonts w:cs="Times New Roman" w:ascii="Times New Roman" w:hAnsi="Times New Roman"/>
          <w:b/>
          <w:bCs/>
          <w:u w:val="single"/>
        </w:rPr>
        <w:t>DA PARTICIPAÇÃO NO CREDENCIAMENTO.</w:t>
      </w:r>
    </w:p>
    <w:p>
      <w:pPr>
        <w:pStyle w:val="Normal"/>
        <w:widowControl w:val="false"/>
        <w:numPr>
          <w:ilvl w:val="1"/>
          <w:numId w:val="1"/>
        </w:numPr>
        <w:spacing w:lineRule="auto" w:line="276" w:before="120" w:after="120"/>
        <w:ind w:left="0" w:hanging="0"/>
        <w:jc w:val="both"/>
        <w:rPr>
          <w:rFonts w:ascii="Times New Roman" w:hAnsi="Times New Roman" w:cs="Times New Roman"/>
        </w:rPr>
      </w:pPr>
      <w:r>
        <w:rPr>
          <w:rFonts w:cs="Times New Roman" w:ascii="Times New Roman" w:hAnsi="Times New Roman"/>
        </w:rPr>
        <w:t>O prazo para credenciamento iniciar-se-á a partir da data de publicação deste instrumento no Portal Nacional de Contratações Públicas – PNCP.</w:t>
      </w:r>
    </w:p>
    <w:p>
      <w:pPr>
        <w:pStyle w:val="Normal"/>
        <w:widowControl w:val="false"/>
        <w:spacing w:lineRule="auto" w:line="276" w:before="120" w:after="120"/>
        <w:ind w:left="1418" w:hanging="0"/>
        <w:jc w:val="both"/>
        <w:rPr>
          <w:rFonts w:ascii="Times New Roman" w:hAnsi="Times New Roman" w:cs="Times New Roman"/>
          <w:i/>
          <w:i/>
          <w:sz w:val="18"/>
          <w:szCs w:val="16"/>
        </w:rPr>
      </w:pPr>
      <w:r>
        <w:rPr>
          <w:rFonts w:cs="Times New Roman" w:ascii="Times New Roman" w:hAnsi="Times New Roman"/>
          <w:i/>
          <w:sz w:val="18"/>
          <w:szCs w:val="16"/>
        </w:rPr>
      </w:r>
    </w:p>
    <w:p>
      <w:pPr>
        <w:pStyle w:val="Normal"/>
        <w:widowControl w:val="false"/>
        <w:spacing w:lineRule="auto" w:line="276" w:before="120" w:after="120"/>
        <w:ind w:left="1418" w:hanging="0"/>
        <w:jc w:val="both"/>
        <w:rPr>
          <w:rFonts w:ascii="Times New Roman" w:hAnsi="Times New Roman" w:cs="Times New Roman"/>
          <w:i/>
          <w:i/>
          <w:sz w:val="18"/>
          <w:szCs w:val="16"/>
          <w:highlight w:val="yellow"/>
        </w:rPr>
      </w:pPr>
      <w:r>
        <w:rPr>
          <w:rFonts w:cs="Times New Roman" w:ascii="Times New Roman" w:hAnsi="Times New Roman"/>
          <w:i/>
          <w:sz w:val="18"/>
          <w:szCs w:val="16"/>
          <w:highlight w:val="yellow"/>
        </w:rPr>
        <w:t>Nota Explicativa 1: Por se tratar de hipótese de inexigibilidade de licitação, por ausência de competição, entendeu o Tribunal de Contas da União, como um dos requisitos do credenciamento, a possibilidade de apresentação da documentação relativa à habilitação e proposta, a qualquer tempo. Cita-se a decisão mencionada:</w:t>
      </w:r>
    </w:p>
    <w:p>
      <w:pPr>
        <w:pStyle w:val="Normal"/>
        <w:widowControl w:val="false"/>
        <w:tabs>
          <w:tab w:val="clear" w:pos="709"/>
          <w:tab w:val="left" w:pos="1418" w:leader="none"/>
        </w:tabs>
        <w:spacing w:lineRule="auto" w:line="276" w:before="120" w:after="120"/>
        <w:ind w:left="1418" w:hanging="0"/>
        <w:jc w:val="both"/>
        <w:rPr>
          <w:rFonts w:ascii="Times New Roman" w:hAnsi="Times New Roman" w:cs="Times New Roman"/>
          <w:i/>
          <w:i/>
          <w:iCs/>
          <w:sz w:val="18"/>
          <w:szCs w:val="16"/>
          <w:highlight w:val="yellow"/>
        </w:rPr>
      </w:pPr>
      <w:r>
        <w:rPr>
          <w:rFonts w:cs="Times New Roman" w:ascii="Times New Roman" w:hAnsi="Times New Roman"/>
          <w:i/>
          <w:iCs/>
          <w:sz w:val="18"/>
          <w:szCs w:val="16"/>
          <w:highlight w:val="yellow"/>
        </w:rPr>
        <w:t>1 - Ampla divulgação, inclusive por meio “de convites a interessados do ramo que gozem de boa reputação profissional;</w:t>
      </w:r>
    </w:p>
    <w:p>
      <w:pPr>
        <w:pStyle w:val="Normal"/>
        <w:widowControl w:val="false"/>
        <w:tabs>
          <w:tab w:val="clear" w:pos="709"/>
          <w:tab w:val="left" w:pos="1418" w:leader="none"/>
        </w:tabs>
        <w:spacing w:lineRule="auto" w:line="276" w:before="120" w:after="120"/>
        <w:ind w:left="1418" w:hanging="0"/>
        <w:jc w:val="both"/>
        <w:rPr>
          <w:rFonts w:ascii="Times New Roman" w:hAnsi="Times New Roman" w:cs="Times New Roman"/>
          <w:i/>
          <w:i/>
          <w:iCs/>
          <w:sz w:val="18"/>
          <w:szCs w:val="16"/>
          <w:highlight w:val="yellow"/>
        </w:rPr>
      </w:pPr>
      <w:r>
        <w:rPr>
          <w:rFonts w:cs="Times New Roman" w:ascii="Times New Roman" w:hAnsi="Times New Roman"/>
          <w:i/>
          <w:iCs/>
          <w:sz w:val="18"/>
          <w:szCs w:val="16"/>
          <w:highlight w:val="yellow"/>
        </w:rPr>
        <w:t>2 - Fixar os critérios e exigências mínimas para que os interessados possam credenciar-se, de modo que os profissionais, clínicas e laboratórios que vierem a ser credenciados tenham, de fato, condições de prestar um bom atendimento, sem que isso signifique restrição indevida ao credenciamento;</w:t>
      </w:r>
    </w:p>
    <w:p>
      <w:pPr>
        <w:pStyle w:val="Normal"/>
        <w:widowControl w:val="false"/>
        <w:tabs>
          <w:tab w:val="clear" w:pos="709"/>
          <w:tab w:val="left" w:pos="1418" w:leader="none"/>
        </w:tabs>
        <w:spacing w:lineRule="auto" w:line="276" w:before="120" w:after="120"/>
        <w:ind w:left="1418" w:hanging="0"/>
        <w:jc w:val="both"/>
        <w:rPr>
          <w:rFonts w:ascii="Times New Roman" w:hAnsi="Times New Roman" w:cs="Times New Roman"/>
          <w:i/>
          <w:i/>
          <w:iCs/>
          <w:sz w:val="18"/>
          <w:szCs w:val="16"/>
          <w:highlight w:val="yellow"/>
        </w:rPr>
      </w:pPr>
      <w:r>
        <w:rPr>
          <w:rFonts w:cs="Times New Roman" w:ascii="Times New Roman" w:hAnsi="Times New Roman"/>
          <w:i/>
          <w:iCs/>
          <w:sz w:val="18"/>
          <w:szCs w:val="16"/>
          <w:highlight w:val="yellow"/>
        </w:rPr>
        <w:t>3 - Fixar, de forma criteriosa, a tabela de preços que remunerará os diversos itens de serviços médicos e laboratoriais e os critérios de reajustamento, bem assim as condições e prazos para o pagamento dos serviços faturados;</w:t>
      </w:r>
    </w:p>
    <w:p>
      <w:pPr>
        <w:pStyle w:val="Normal"/>
        <w:widowControl w:val="false"/>
        <w:tabs>
          <w:tab w:val="clear" w:pos="709"/>
          <w:tab w:val="left" w:pos="1418" w:leader="none"/>
        </w:tabs>
        <w:spacing w:lineRule="auto" w:line="276" w:before="120" w:after="120"/>
        <w:ind w:left="1418" w:hanging="0"/>
        <w:jc w:val="both"/>
        <w:rPr>
          <w:rFonts w:ascii="Times New Roman" w:hAnsi="Times New Roman" w:cs="Times New Roman"/>
          <w:i/>
          <w:i/>
          <w:iCs/>
          <w:sz w:val="18"/>
          <w:szCs w:val="16"/>
          <w:highlight w:val="yellow"/>
        </w:rPr>
      </w:pPr>
      <w:r>
        <w:rPr>
          <w:rFonts w:cs="Times New Roman" w:ascii="Times New Roman" w:hAnsi="Times New Roman"/>
          <w:i/>
          <w:iCs/>
          <w:sz w:val="18"/>
          <w:szCs w:val="16"/>
          <w:highlight w:val="yellow"/>
        </w:rPr>
        <w:t>4 - Consignar vedação expressa do pagamento de qualquer sobretaxa em relação à tabela adotada, ou do cometimento a terceiros (associação de servidores, p. ex.) da atribuição de proceder ao credenciamento e/ou intermediação do pagamento dos serviços prestados;</w:t>
      </w:r>
    </w:p>
    <w:p>
      <w:pPr>
        <w:pStyle w:val="Normal"/>
        <w:widowControl w:val="false"/>
        <w:tabs>
          <w:tab w:val="clear" w:pos="709"/>
          <w:tab w:val="left" w:pos="1418" w:leader="none"/>
        </w:tabs>
        <w:spacing w:lineRule="auto" w:line="276" w:before="120" w:after="120"/>
        <w:ind w:left="1418" w:hanging="0"/>
        <w:jc w:val="both"/>
        <w:rPr>
          <w:rFonts w:ascii="Times New Roman" w:hAnsi="Times New Roman" w:cs="Times New Roman"/>
          <w:i/>
          <w:i/>
          <w:iCs/>
          <w:sz w:val="18"/>
          <w:szCs w:val="16"/>
          <w:highlight w:val="yellow"/>
        </w:rPr>
      </w:pPr>
      <w:r>
        <w:rPr>
          <w:rFonts w:cs="Times New Roman" w:ascii="Times New Roman" w:hAnsi="Times New Roman"/>
          <w:i/>
          <w:iCs/>
          <w:sz w:val="18"/>
          <w:szCs w:val="16"/>
          <w:highlight w:val="yellow"/>
        </w:rPr>
        <w:t>5 - Estabelecer as hipóteses de descredenciamento, de forma que os credenciados que não estejam cumprindo as regras e condições fixadas para o atendimento, sejam imediatamente excluídos do rol de credenciados;</w:t>
      </w:r>
    </w:p>
    <w:p>
      <w:pPr>
        <w:pStyle w:val="Normal"/>
        <w:widowControl w:val="false"/>
        <w:tabs>
          <w:tab w:val="clear" w:pos="709"/>
          <w:tab w:val="left" w:pos="1418" w:leader="none"/>
        </w:tabs>
        <w:spacing w:lineRule="auto" w:line="276" w:before="120" w:after="120"/>
        <w:ind w:left="1418" w:hanging="0"/>
        <w:jc w:val="both"/>
        <w:rPr>
          <w:rFonts w:ascii="Times New Roman" w:hAnsi="Times New Roman" w:cs="Times New Roman"/>
          <w:i/>
          <w:i/>
          <w:iCs/>
          <w:sz w:val="18"/>
          <w:szCs w:val="16"/>
          <w:highlight w:val="yellow"/>
        </w:rPr>
      </w:pPr>
      <w:r>
        <w:rPr>
          <w:rFonts w:cs="Times New Roman" w:ascii="Times New Roman" w:hAnsi="Times New Roman"/>
          <w:i/>
          <w:iCs/>
          <w:sz w:val="18"/>
          <w:szCs w:val="16"/>
          <w:highlight w:val="yellow"/>
        </w:rPr>
        <w:t>6 - Permitir o credenciamento, a qualquer tempo, de qualquer interessado, pessoa física ou jurídica, que preencha as condições mínimas exigidas;</w:t>
      </w:r>
    </w:p>
    <w:p>
      <w:pPr>
        <w:pStyle w:val="Normal"/>
        <w:widowControl w:val="false"/>
        <w:tabs>
          <w:tab w:val="clear" w:pos="709"/>
          <w:tab w:val="left" w:pos="1418" w:leader="none"/>
        </w:tabs>
        <w:spacing w:lineRule="auto" w:line="276" w:before="120" w:after="120"/>
        <w:ind w:left="1418" w:hanging="0"/>
        <w:jc w:val="both"/>
        <w:rPr>
          <w:rFonts w:ascii="Times New Roman" w:hAnsi="Times New Roman" w:cs="Times New Roman"/>
          <w:i/>
          <w:i/>
          <w:iCs/>
          <w:sz w:val="18"/>
          <w:szCs w:val="16"/>
          <w:highlight w:val="yellow"/>
        </w:rPr>
      </w:pPr>
      <w:r>
        <w:rPr>
          <w:rFonts w:cs="Times New Roman" w:ascii="Times New Roman" w:hAnsi="Times New Roman"/>
          <w:i/>
          <w:iCs/>
          <w:sz w:val="18"/>
          <w:szCs w:val="16"/>
          <w:highlight w:val="yellow"/>
        </w:rPr>
        <w:t>7 - Prever a possibilidade de denúncia do ajuste, a qualquer tempo, pelo credenciado, bastando notificar a Administração, com a antecedência fixada no termo;</w:t>
      </w:r>
    </w:p>
    <w:p>
      <w:pPr>
        <w:pStyle w:val="Normal"/>
        <w:widowControl w:val="false"/>
        <w:tabs>
          <w:tab w:val="clear" w:pos="709"/>
          <w:tab w:val="left" w:pos="1418" w:leader="none"/>
        </w:tabs>
        <w:spacing w:lineRule="auto" w:line="276" w:before="120" w:after="120"/>
        <w:ind w:left="1418" w:hanging="0"/>
        <w:jc w:val="both"/>
        <w:rPr>
          <w:rFonts w:ascii="Times New Roman" w:hAnsi="Times New Roman" w:cs="Times New Roman"/>
          <w:i/>
          <w:i/>
          <w:iCs/>
          <w:sz w:val="18"/>
          <w:szCs w:val="16"/>
          <w:highlight w:val="yellow"/>
        </w:rPr>
      </w:pPr>
      <w:r>
        <w:rPr>
          <w:rFonts w:cs="Times New Roman" w:ascii="Times New Roman" w:hAnsi="Times New Roman"/>
          <w:i/>
          <w:iCs/>
          <w:sz w:val="18"/>
          <w:szCs w:val="16"/>
          <w:highlight w:val="yellow"/>
        </w:rPr>
        <w:t>8 - Possibilitar que os usuários denunciem qualquer irregularidade verificada na prestação dos serviços e/ou no faturamento; e</w:t>
      </w:r>
    </w:p>
    <w:p>
      <w:pPr>
        <w:pStyle w:val="Normal"/>
        <w:widowControl w:val="false"/>
        <w:tabs>
          <w:tab w:val="clear" w:pos="709"/>
          <w:tab w:val="left" w:pos="1418" w:leader="none"/>
        </w:tabs>
        <w:spacing w:lineRule="auto" w:line="276" w:before="120" w:after="120"/>
        <w:ind w:left="1418" w:hanging="0"/>
        <w:jc w:val="both"/>
        <w:rPr>
          <w:rFonts w:ascii="Times New Roman" w:hAnsi="Times New Roman" w:cs="Times New Roman"/>
          <w:i/>
          <w:i/>
          <w:iCs/>
          <w:sz w:val="18"/>
          <w:szCs w:val="16"/>
          <w:highlight w:val="yellow"/>
        </w:rPr>
      </w:pPr>
      <w:r>
        <w:rPr>
          <w:rFonts w:cs="Times New Roman" w:ascii="Times New Roman" w:hAnsi="Times New Roman"/>
          <w:i/>
          <w:iCs/>
          <w:sz w:val="18"/>
          <w:szCs w:val="16"/>
          <w:highlight w:val="yellow"/>
        </w:rPr>
        <w:t>9 - Fixar as regras que devam ser observadas pelos credenciados no atendimento (como p. ex. proibição de que o credenciado exija que o usuário assine fatura ou guia de atendimento em branco).</w:t>
      </w:r>
    </w:p>
    <w:p>
      <w:pPr>
        <w:pStyle w:val="Normal"/>
        <w:widowControl w:val="false"/>
        <w:tabs>
          <w:tab w:val="clear" w:pos="709"/>
          <w:tab w:val="left" w:pos="1418" w:leader="none"/>
        </w:tabs>
        <w:spacing w:lineRule="auto" w:line="276" w:before="120" w:after="120"/>
        <w:ind w:left="1418" w:hanging="0"/>
        <w:jc w:val="both"/>
        <w:rPr>
          <w:rFonts w:ascii="Times New Roman" w:hAnsi="Times New Roman" w:cs="Times New Roman"/>
          <w:i/>
          <w:i/>
          <w:iCs/>
          <w:sz w:val="18"/>
          <w:szCs w:val="16"/>
          <w:highlight w:val="yellow"/>
        </w:rPr>
      </w:pPr>
      <w:r>
        <w:rPr>
          <w:rFonts w:cs="Times New Roman" w:ascii="Times New Roman" w:hAnsi="Times New Roman"/>
          <w:i/>
          <w:iCs/>
          <w:sz w:val="18"/>
          <w:szCs w:val="16"/>
          <w:highlight w:val="yellow"/>
        </w:rPr>
        <w:t>(TCU 656/1995. Processo n.º TC 016.522/95-8. Relator Ministro Homero Santos. DOU 28.12.1995. Página 22.549).</w:t>
      </w:r>
    </w:p>
    <w:p>
      <w:pPr>
        <w:pStyle w:val="Normal"/>
        <w:widowControl w:val="false"/>
        <w:tabs>
          <w:tab w:val="clear" w:pos="709"/>
          <w:tab w:val="left" w:pos="1418" w:leader="none"/>
        </w:tabs>
        <w:spacing w:lineRule="auto" w:line="276" w:before="120" w:after="120"/>
        <w:ind w:left="1418" w:hanging="0"/>
        <w:jc w:val="both"/>
        <w:rPr>
          <w:rFonts w:ascii="Times New Roman" w:hAnsi="Times New Roman" w:cs="Times New Roman"/>
          <w:i/>
          <w:i/>
          <w:iCs/>
          <w:sz w:val="18"/>
          <w:szCs w:val="16"/>
          <w:highlight w:val="yellow"/>
        </w:rPr>
      </w:pPr>
      <w:r>
        <w:rPr>
          <w:rFonts w:cs="Times New Roman" w:ascii="Times New Roman" w:hAnsi="Times New Roman"/>
          <w:i/>
          <w:iCs/>
          <w:sz w:val="18"/>
          <w:szCs w:val="16"/>
          <w:highlight w:val="yellow"/>
        </w:rPr>
      </w:r>
    </w:p>
    <w:p>
      <w:pPr>
        <w:pStyle w:val="Normal"/>
        <w:widowControl w:val="false"/>
        <w:tabs>
          <w:tab w:val="clear" w:pos="709"/>
          <w:tab w:val="left" w:pos="1418" w:leader="none"/>
        </w:tabs>
        <w:spacing w:lineRule="auto" w:line="276" w:before="120" w:after="120"/>
        <w:ind w:left="1418" w:hanging="0"/>
        <w:jc w:val="both"/>
        <w:rPr>
          <w:rFonts w:ascii="Times New Roman" w:hAnsi="Times New Roman" w:cs="Times New Roman"/>
          <w:i/>
          <w:i/>
          <w:iCs/>
          <w:sz w:val="18"/>
          <w:szCs w:val="16"/>
        </w:rPr>
      </w:pPr>
      <w:r>
        <w:rPr>
          <w:rFonts w:cs="Times New Roman" w:ascii="Times New Roman" w:hAnsi="Times New Roman"/>
          <w:i/>
          <w:iCs/>
          <w:sz w:val="18"/>
          <w:szCs w:val="16"/>
          <w:highlight w:val="yellow"/>
        </w:rPr>
        <w:t>Nota Explicativa 2: Conforme entendimento adotado no PARECER n. 0003/2017/CNU/CGU/AGU, “II - É admissível o estabelecimento de vigência indeterminada ao credenciamento, com inexistência de prazo limite para que os interessados possam comparecer e se credenciar perante a Administração Pública, sem prejuízo de alteração ulterior das regras de credenciamento”.</w:t>
      </w:r>
    </w:p>
    <w:p>
      <w:pPr>
        <w:pStyle w:val="Normal"/>
        <w:widowControl w:val="false"/>
        <w:tabs>
          <w:tab w:val="clear" w:pos="709"/>
          <w:tab w:val="left" w:pos="1418" w:leader="none"/>
        </w:tabs>
        <w:spacing w:lineRule="auto" w:line="276" w:before="120" w:after="120"/>
        <w:ind w:left="1418" w:hanging="0"/>
        <w:jc w:val="both"/>
        <w:rPr>
          <w:rFonts w:ascii="Times New Roman" w:hAnsi="Times New Roman" w:cs="Times New Roman"/>
          <w:i/>
          <w:i/>
          <w:iCs/>
          <w:sz w:val="18"/>
          <w:szCs w:val="16"/>
        </w:rPr>
      </w:pPr>
      <w:r>
        <w:rPr>
          <w:rFonts w:cs="Times New Roman" w:ascii="Times New Roman" w:hAnsi="Times New Roman"/>
          <w:i/>
          <w:iCs/>
          <w:sz w:val="18"/>
          <w:szCs w:val="16"/>
        </w:rPr>
      </w:r>
    </w:p>
    <w:p>
      <w:pPr>
        <w:pStyle w:val="Normal"/>
        <w:widowControl w:val="false"/>
        <w:tabs>
          <w:tab w:val="clear" w:pos="709"/>
          <w:tab w:val="left" w:pos="1418" w:leader="none"/>
        </w:tabs>
        <w:spacing w:lineRule="auto" w:line="276" w:before="120" w:after="120"/>
        <w:ind w:left="1418" w:hanging="0"/>
        <w:jc w:val="both"/>
        <w:rPr>
          <w:rFonts w:ascii="Times New Roman" w:hAnsi="Times New Roman" w:cs="Times New Roman"/>
          <w:i/>
          <w:i/>
          <w:iCs/>
          <w:sz w:val="18"/>
          <w:szCs w:val="16"/>
        </w:rPr>
      </w:pPr>
      <w:r>
        <w:rPr>
          <w:rFonts w:cs="Times New Roman" w:ascii="Times New Roman" w:hAnsi="Times New Roman"/>
          <w:i/>
          <w:iCs/>
          <w:sz w:val="18"/>
          <w:szCs w:val="16"/>
          <w:highlight w:val="yellow"/>
        </w:rPr>
        <w:t>Nota Explicativa 3: O Decreto nº 11.787, de 2024 exigiu a publicidade do edital apenas no Portal Nacional de Contratações Públicas – PNCP, contudo, recomendamos uma maior publicidade a fim de se aumentar a competividade com o ingresso de mais credenciados, que pode se dar por meio de publicação de aviso em jornais e também no sítio oficial do órgão, mas essa análise  sobre a maior publicidade fica a cargo de cada órgão administrativo, que tem a discricionariedade e a conveniência de tomar a decisão quanto a ampliar ou não a publicidade do edital.</w:t>
      </w:r>
    </w:p>
    <w:p>
      <w:pPr>
        <w:pStyle w:val="Normal"/>
        <w:widowControl w:val="false"/>
        <w:spacing w:lineRule="auto" w:line="276" w:before="120" w:after="120"/>
        <w:jc w:val="both"/>
        <w:rPr>
          <w:rFonts w:ascii="Times New Roman" w:hAnsi="Times New Roman" w:cs="Times New Roman"/>
          <w:i/>
          <w:i/>
          <w:sz w:val="18"/>
          <w:szCs w:val="16"/>
        </w:rPr>
      </w:pPr>
      <w:r>
        <w:rPr>
          <w:rFonts w:cs="Times New Roman" w:ascii="Times New Roman" w:hAnsi="Times New Roman"/>
          <w:i/>
          <w:sz w:val="18"/>
          <w:szCs w:val="16"/>
        </w:rPr>
      </w:r>
    </w:p>
    <w:p>
      <w:pPr>
        <w:pStyle w:val="Normal"/>
        <w:widowControl w:val="false"/>
        <w:numPr>
          <w:ilvl w:val="2"/>
          <w:numId w:val="1"/>
        </w:numPr>
        <w:spacing w:lineRule="auto" w:line="276" w:before="120" w:after="120"/>
        <w:ind w:left="709" w:hanging="0"/>
        <w:jc w:val="both"/>
        <w:rPr>
          <w:rFonts w:ascii="Times New Roman" w:hAnsi="Times New Roman" w:cs="Times New Roman"/>
        </w:rPr>
      </w:pPr>
      <w:r>
        <w:rPr>
          <w:rFonts w:cs="Times New Roman" w:ascii="Times New Roman" w:hAnsi="Times New Roman"/>
        </w:rPr>
        <w:t xml:space="preserve">O presente Edital </w:t>
      </w:r>
      <w:r>
        <w:rPr>
          <w:rFonts w:cs="Times New Roman" w:ascii="Times New Roman" w:hAnsi="Times New Roman"/>
          <w:color w:val="FF0000"/>
        </w:rPr>
        <w:t>vigorará por prazo indeterminado</w:t>
      </w:r>
      <w:r>
        <w:rPr>
          <w:rFonts w:cs="Times New Roman" w:ascii="Times New Roman" w:hAnsi="Times New Roman"/>
        </w:rPr>
        <w:t>, a partir da sua publicação no Portal Nacional de Contratações Públicas - PNCP.</w:t>
      </w:r>
    </w:p>
    <w:p>
      <w:pPr>
        <w:pStyle w:val="Normal"/>
        <w:widowControl w:val="false"/>
        <w:spacing w:lineRule="auto" w:line="276" w:before="120" w:after="120"/>
        <w:ind w:left="709" w:hanging="0"/>
        <w:jc w:val="both"/>
        <w:rPr>
          <w:rFonts w:ascii="Times New Roman" w:hAnsi="Times New Roman" w:cs="Times New Roman"/>
          <w:i/>
          <w:i/>
          <w:sz w:val="18"/>
          <w:szCs w:val="18"/>
        </w:rPr>
      </w:pPr>
      <w:r>
        <w:rPr>
          <w:rFonts w:cs="Times New Roman" w:ascii="Times New Roman" w:hAnsi="Times New Roman"/>
        </w:rPr>
        <w:t>3.1.2 Poderá haver o credenciamento de interessados enquanto aberto o prazo de credenciamento, desde que atendidos os demais requisitos deste Edital.</w:t>
      </w:r>
    </w:p>
    <w:p>
      <w:pPr>
        <w:pStyle w:val="Normal"/>
        <w:widowControl w:val="false"/>
        <w:numPr>
          <w:ilvl w:val="1"/>
          <w:numId w:val="1"/>
        </w:numPr>
        <w:spacing w:lineRule="auto" w:line="276" w:before="120" w:after="120"/>
        <w:ind w:left="0" w:hanging="0"/>
        <w:jc w:val="both"/>
        <w:rPr>
          <w:rFonts w:ascii="Times New Roman" w:hAnsi="Times New Roman" w:cs="Times New Roman"/>
          <w:u w:val="single"/>
        </w:rPr>
      </w:pPr>
      <w:r>
        <w:rPr>
          <w:rFonts w:cs="Times New Roman" w:ascii="Times New Roman" w:hAnsi="Times New Roman"/>
        </w:rPr>
        <w:t>Poderão habilitar-se, para credenciamento, Profissional de Saúde Autônomo (PSA) e Organização Civil de Saúde (OCS) de acordo com as necessidades listadas n</w:t>
      </w:r>
      <w:r>
        <w:rPr>
          <w:rFonts w:cs="Times New Roman" w:ascii="Times New Roman" w:hAnsi="Times New Roman"/>
          <w:bCs/>
        </w:rPr>
        <w:t>este Edital</w:t>
      </w:r>
      <w:r>
        <w:rPr>
          <w:rFonts w:cs="Times New Roman" w:ascii="Times New Roman" w:hAnsi="Times New Roman"/>
          <w:b/>
          <w:bCs/>
        </w:rPr>
        <w:t xml:space="preserve"> </w:t>
      </w:r>
      <w:r>
        <w:rPr>
          <w:rFonts w:cs="Times New Roman" w:ascii="Times New Roman" w:hAnsi="Times New Roman"/>
        </w:rPr>
        <w:t>e que apresentarem Carta-Proposta e/ou Requerimento, que estejam de acordo com os valores especificados neste instrumento e sejam previamente cadastrados no SICAF – Sistema de Cadastramento Unificado de Fornecedores, previsto na Instrução Normativa SEGES/MPDG nº 3, de 26 de abril de 2018.</w:t>
      </w:r>
    </w:p>
    <w:p>
      <w:pPr>
        <w:pStyle w:val="Normal"/>
        <w:widowControl w:val="false"/>
        <w:numPr>
          <w:ilvl w:val="1"/>
          <w:numId w:val="1"/>
        </w:numPr>
        <w:spacing w:lineRule="auto" w:line="276" w:before="120" w:after="120"/>
        <w:ind w:left="0" w:hanging="0"/>
        <w:jc w:val="both"/>
        <w:rPr>
          <w:rFonts w:ascii="Times New Roman" w:hAnsi="Times New Roman" w:cs="Times New Roman"/>
        </w:rPr>
      </w:pPr>
      <w:r>
        <w:rPr>
          <w:rFonts w:cs="Times New Roman" w:ascii="Times New Roman" w:hAnsi="Times New Roman"/>
        </w:rPr>
        <w:t>Não poderão participar deste credenciamento:</w:t>
      </w:r>
    </w:p>
    <w:p>
      <w:pPr>
        <w:pStyle w:val="Normal"/>
        <w:widowControl w:val="false"/>
        <w:numPr>
          <w:ilvl w:val="2"/>
          <w:numId w:val="1"/>
        </w:numPr>
        <w:spacing w:lineRule="auto" w:line="276" w:before="120" w:after="120"/>
        <w:ind w:left="680" w:hanging="0"/>
        <w:jc w:val="both"/>
        <w:rPr>
          <w:rFonts w:ascii="Times New Roman" w:hAnsi="Times New Roman" w:cs="Times New Roman"/>
        </w:rPr>
      </w:pPr>
      <w:r>
        <w:rPr>
          <w:rFonts w:cs="Times New Roman" w:ascii="Times New Roman" w:hAnsi="Times New Roman"/>
        </w:rPr>
        <w:t>Pessoas jurídicas cujo objeto social não seja pertinente e compatível com o objeto deste credenciamento.</w:t>
      </w:r>
    </w:p>
    <w:p>
      <w:pPr>
        <w:pStyle w:val="Normal"/>
        <w:widowControl w:val="false"/>
        <w:numPr>
          <w:ilvl w:val="3"/>
          <w:numId w:val="1"/>
        </w:numPr>
        <w:spacing w:lineRule="auto" w:line="276" w:before="120" w:after="120"/>
        <w:ind w:left="1418" w:hanging="0"/>
        <w:jc w:val="both"/>
        <w:rPr>
          <w:rFonts w:ascii="Times New Roman" w:hAnsi="Times New Roman" w:cs="Times New Roman"/>
        </w:rPr>
      </w:pPr>
      <w:r>
        <w:rPr>
          <w:rFonts w:cs="Times New Roman" w:ascii="Times New Roman" w:hAnsi="Times New Roman"/>
        </w:rPr>
        <w:t>Excepciona-se o disposto acima nos casos de pessoas jurídicas com fins lucrativos que apresentem autorização específica dos sócios para contratar com a Administração objeto diverso do previsto no contrato social ou estatuto;</w:t>
      </w:r>
    </w:p>
    <w:p>
      <w:pPr>
        <w:pStyle w:val="Normal"/>
        <w:widowControl w:val="false"/>
        <w:numPr>
          <w:ilvl w:val="3"/>
          <w:numId w:val="1"/>
        </w:numPr>
        <w:spacing w:lineRule="auto" w:line="276" w:before="120" w:after="120"/>
        <w:ind w:left="1418" w:hanging="0"/>
        <w:jc w:val="both"/>
        <w:rPr>
          <w:rFonts w:ascii="Times New Roman" w:hAnsi="Times New Roman" w:cs="Times New Roman"/>
        </w:rPr>
      </w:pPr>
      <w:r>
        <w:rPr>
          <w:rFonts w:cs="Times New Roman" w:ascii="Times New Roman" w:hAnsi="Times New Roman"/>
        </w:rPr>
        <w:t>A autorização assemblear deverá observar as regras de convocação e de quórum para instauração e deliberação previstas em lei para cada tipo de sociedade.</w:t>
      </w:r>
    </w:p>
    <w:p>
      <w:pPr>
        <w:pStyle w:val="Normal"/>
        <w:widowControl w:val="false"/>
        <w:numPr>
          <w:ilvl w:val="3"/>
          <w:numId w:val="1"/>
        </w:numPr>
        <w:spacing w:lineRule="auto" w:line="276" w:before="120" w:after="120"/>
        <w:ind w:left="1418" w:hanging="0"/>
        <w:jc w:val="both"/>
        <w:rPr>
          <w:rFonts w:ascii="Times New Roman" w:hAnsi="Times New Roman" w:cs="Times New Roman"/>
        </w:rPr>
      </w:pPr>
      <w:r>
        <w:rPr>
          <w:rFonts w:cs="Times New Roman" w:ascii="Times New Roman" w:hAnsi="Times New Roman"/>
        </w:rPr>
        <w:t>Para fins de comprovação, o licitante deverá apresentar a ata da assembleia ou o documento equivalente.</w:t>
      </w:r>
    </w:p>
    <w:p>
      <w:pPr>
        <w:pStyle w:val="Normal"/>
        <w:widowControl w:val="false"/>
        <w:spacing w:lineRule="auto" w:line="276" w:before="120" w:after="120"/>
        <w:ind w:left="1418" w:hanging="0"/>
        <w:jc w:val="both"/>
        <w:rPr>
          <w:rFonts w:ascii="Times New Roman" w:hAnsi="Times New Roman" w:cs="Times New Roman"/>
          <w:i/>
          <w:i/>
          <w:sz w:val="18"/>
          <w:szCs w:val="18"/>
        </w:rPr>
      </w:pPr>
      <w:r>
        <w:rPr>
          <w:rFonts w:cs="Times New Roman" w:ascii="Times New Roman" w:hAnsi="Times New Roman"/>
          <w:i/>
          <w:sz w:val="18"/>
          <w:szCs w:val="18"/>
        </w:rPr>
      </w:r>
    </w:p>
    <w:p>
      <w:pPr>
        <w:pStyle w:val="Normal"/>
        <w:widowControl w:val="false"/>
        <w:spacing w:lineRule="auto" w:line="276" w:before="120" w:after="120"/>
        <w:ind w:left="1418" w:hanging="0"/>
        <w:jc w:val="both"/>
        <w:rPr>
          <w:rFonts w:ascii="Times New Roman" w:hAnsi="Times New Roman" w:cs="Times New Roman"/>
          <w:i/>
          <w:i/>
          <w:sz w:val="18"/>
          <w:szCs w:val="18"/>
          <w:highlight w:val="yellow"/>
        </w:rPr>
      </w:pPr>
      <w:r>
        <w:rPr>
          <w:rFonts w:cs="Times New Roman" w:ascii="Times New Roman" w:hAnsi="Times New Roman"/>
          <w:i/>
          <w:sz w:val="18"/>
          <w:szCs w:val="18"/>
          <w:highlight w:val="yellow"/>
        </w:rPr>
        <w:t>Nota Explicativa: Quanto ao quórum de deliberação, segue o de cada tipo societário a fim de conferência:</w:t>
      </w:r>
    </w:p>
    <w:p>
      <w:pPr>
        <w:pStyle w:val="Normal"/>
        <w:widowControl w:val="false"/>
        <w:spacing w:lineRule="auto" w:line="276" w:before="120" w:after="120"/>
        <w:ind w:left="1418" w:hanging="0"/>
        <w:jc w:val="both"/>
        <w:rPr>
          <w:rFonts w:ascii="Times New Roman" w:hAnsi="Times New Roman" w:cs="Times New Roman"/>
          <w:i/>
          <w:i/>
          <w:sz w:val="18"/>
          <w:szCs w:val="18"/>
          <w:highlight w:val="yellow"/>
        </w:rPr>
      </w:pPr>
      <w:r>
        <w:rPr>
          <w:rFonts w:cs="Times New Roman" w:ascii="Times New Roman" w:hAnsi="Times New Roman"/>
          <w:i/>
          <w:sz w:val="18"/>
          <w:szCs w:val="18"/>
          <w:highlight w:val="yellow"/>
        </w:rPr>
        <w:t>1 - No caso de Sociedades Anônimas, exigir-se-á deliberação da Assembleia-Geral extraordinária, contendo a aprovação de acionistas que representem metade, no mínimo, das ações com direito a voto, se maior quórum não for exigido pelo estatuto da companhia cujas ações não estejam admitidas à negociação em bolsa ou no mercado de balcão (arts. 117, § 1º, “a” e “h”, 136, VI, 137 e 158, todos da Lei nº 6.404/1976);</w:t>
      </w:r>
    </w:p>
    <w:p>
      <w:pPr>
        <w:pStyle w:val="Normal"/>
        <w:widowControl w:val="false"/>
        <w:spacing w:lineRule="auto" w:line="276" w:before="120" w:after="120"/>
        <w:ind w:left="1418" w:hanging="0"/>
        <w:jc w:val="both"/>
        <w:rPr>
          <w:rFonts w:ascii="Times New Roman" w:hAnsi="Times New Roman" w:cs="Times New Roman"/>
          <w:i/>
          <w:i/>
          <w:sz w:val="18"/>
          <w:szCs w:val="18"/>
          <w:highlight w:val="yellow"/>
        </w:rPr>
      </w:pPr>
      <w:r>
        <w:rPr>
          <w:rFonts w:cs="Times New Roman" w:ascii="Times New Roman" w:hAnsi="Times New Roman"/>
          <w:i/>
          <w:sz w:val="18"/>
          <w:szCs w:val="18"/>
          <w:highlight w:val="yellow"/>
        </w:rPr>
        <w:t>2 – No caso de Sociedades Limitadas, a deliberação dos sócios que autorizar a contratação deverá ser tomada por votos correspondentes, no mínimo, a três quartos do capital social (arts. 47, 1.071, V, e 1.076, I, todos do Código Civil Brasileiro);</w:t>
      </w:r>
    </w:p>
    <w:p>
      <w:pPr>
        <w:pStyle w:val="Normal"/>
        <w:widowControl w:val="false"/>
        <w:spacing w:lineRule="auto" w:line="276" w:before="120" w:after="120"/>
        <w:ind w:left="1418" w:hanging="0"/>
        <w:jc w:val="both"/>
        <w:rPr>
          <w:rFonts w:ascii="Times New Roman" w:hAnsi="Times New Roman" w:cs="Times New Roman"/>
          <w:i/>
          <w:i/>
          <w:sz w:val="18"/>
          <w:szCs w:val="18"/>
          <w:highlight w:val="yellow"/>
        </w:rPr>
      </w:pPr>
      <w:r>
        <w:rPr>
          <w:rFonts w:cs="Times New Roman" w:ascii="Times New Roman" w:hAnsi="Times New Roman"/>
          <w:i/>
          <w:sz w:val="18"/>
          <w:szCs w:val="18"/>
          <w:highlight w:val="yellow"/>
        </w:rPr>
        <w:t>3 – No caso de Microempresas e Empresas de Pequeno Porte, por deliberação representativa do primeiro número inteiro superior à metade do capital social, salvo disposição contratual em contrário (art. 70 da Lei Complementar nº 123/2006).</w:t>
      </w:r>
    </w:p>
    <w:p>
      <w:pPr>
        <w:pStyle w:val="Normal"/>
        <w:widowControl w:val="false"/>
        <w:spacing w:lineRule="auto" w:line="276" w:before="120" w:after="120"/>
        <w:ind w:left="1418" w:hanging="0"/>
        <w:jc w:val="both"/>
        <w:rPr>
          <w:rFonts w:ascii="Times New Roman" w:hAnsi="Times New Roman" w:cs="Times New Roman"/>
          <w:i/>
          <w:i/>
          <w:sz w:val="18"/>
          <w:szCs w:val="18"/>
        </w:rPr>
      </w:pPr>
      <w:r>
        <w:rPr>
          <w:rFonts w:cs="Times New Roman" w:ascii="Times New Roman" w:hAnsi="Times New Roman"/>
          <w:i/>
          <w:sz w:val="18"/>
          <w:szCs w:val="18"/>
          <w:highlight w:val="yellow"/>
        </w:rPr>
        <w:t>4 – No caso das demais sociedades, o ato deverá ser aprovado pela unanimidade dos sócios (arts. 47, 997, II, 999 e 1.015, todos do Código Civil Brasileiro).</w:t>
      </w:r>
    </w:p>
    <w:p>
      <w:pPr>
        <w:pStyle w:val="Normal"/>
        <w:widowControl w:val="false"/>
        <w:spacing w:lineRule="auto" w:line="276" w:before="120" w:after="120"/>
        <w:ind w:left="1418" w:hanging="0"/>
        <w:jc w:val="both"/>
        <w:rPr>
          <w:rFonts w:ascii="Times New Roman" w:hAnsi="Times New Roman" w:cs="Times New Roman"/>
          <w:i/>
          <w:i/>
          <w:sz w:val="18"/>
          <w:szCs w:val="18"/>
        </w:rPr>
      </w:pPr>
      <w:r>
        <w:rPr>
          <w:rFonts w:cs="Times New Roman" w:ascii="Times New Roman" w:hAnsi="Times New Roman"/>
          <w:i/>
          <w:sz w:val="18"/>
          <w:szCs w:val="18"/>
        </w:rPr>
      </w:r>
    </w:p>
    <w:p>
      <w:pPr>
        <w:pStyle w:val="Normal"/>
        <w:widowControl w:val="false"/>
        <w:numPr>
          <w:ilvl w:val="2"/>
          <w:numId w:val="1"/>
        </w:numPr>
        <w:spacing w:lineRule="auto" w:line="276" w:before="120" w:after="120"/>
        <w:ind w:left="680" w:hanging="0"/>
        <w:jc w:val="both"/>
        <w:rPr>
          <w:rFonts w:ascii="Times New Roman" w:hAnsi="Times New Roman" w:cs="Times New Roman"/>
        </w:rPr>
      </w:pPr>
      <w:r>
        <w:rPr>
          <w:rFonts w:cs="Times New Roman" w:ascii="Times New Roman" w:hAnsi="Times New Roman"/>
        </w:rPr>
        <w:t>Pessoas jurídicas ou sociedades estrangeiras que não funcionem no país;</w:t>
      </w:r>
    </w:p>
    <w:p>
      <w:pPr>
        <w:pStyle w:val="Normal"/>
        <w:widowControl w:val="false"/>
        <w:numPr>
          <w:ilvl w:val="2"/>
          <w:numId w:val="1"/>
        </w:numPr>
        <w:spacing w:lineRule="auto" w:line="276" w:before="120" w:after="120"/>
        <w:ind w:left="680" w:hanging="0"/>
        <w:jc w:val="both"/>
        <w:rPr>
          <w:rFonts w:ascii="Times New Roman" w:hAnsi="Times New Roman" w:cs="Times New Roman"/>
        </w:rPr>
      </w:pPr>
      <w:r>
        <w:rPr>
          <w:rFonts w:cs="Times New Roman" w:ascii="Times New Roman" w:hAnsi="Times New Roman"/>
        </w:rPr>
        <w:t xml:space="preserve">Pessoas jurídicas ou físicas impedidas de licitar e contratar com a União (art. 7º da Lei nº 10.520, de 2002 cumulado com o art. 28 do Decreto nº 5.450, de 2005 e art. 156, III da Lei nº 14.133, de 2021), suspensas temporariamente de participar de licitação ou impedidas de contratar com o </w:t>
      </w:r>
      <w:r>
        <w:rPr>
          <w:rFonts w:cs="Times New Roman" w:ascii="Times New Roman" w:hAnsi="Times New Roman"/>
          <w:highlight w:val="lightGray"/>
        </w:rPr>
        <w:t>[indicar o nome do Órgão]</w:t>
      </w:r>
      <w:r>
        <w:rPr>
          <w:rFonts w:cs="Times New Roman" w:ascii="Times New Roman" w:hAnsi="Times New Roman"/>
        </w:rPr>
        <w:t xml:space="preserve"> (art. 87, III, da Lei nº 8.666, de 1993) ou impedidas de licitar e contratar com a Administração Pública Federal (art. 156, III e §4º da Lei nº 14.133, de 2021);</w:t>
      </w:r>
    </w:p>
    <w:p>
      <w:pPr>
        <w:pStyle w:val="Normal"/>
        <w:widowControl w:val="false"/>
        <w:numPr>
          <w:ilvl w:val="2"/>
          <w:numId w:val="1"/>
        </w:numPr>
        <w:spacing w:lineRule="auto" w:line="276" w:before="120" w:after="120"/>
        <w:ind w:left="680" w:hanging="0"/>
        <w:jc w:val="both"/>
        <w:rPr>
          <w:rFonts w:ascii="Times New Roman" w:hAnsi="Times New Roman" w:cs="Times New Roman"/>
        </w:rPr>
      </w:pPr>
      <w:r>
        <w:rPr>
          <w:rFonts w:cs="Times New Roman" w:ascii="Times New Roman" w:hAnsi="Times New Roman"/>
        </w:rPr>
        <w:t>Pessoas jurídicas ou físicas declaradas inidôneas para licitar ou contratar com a Administração Pública, enquanto perdurarem os motivos da punição ou até que seja promovida a reabilitação perante a própria autoridade que aplicou a penalidade, se aplicada com base na Lei nº 8.666, de 1993, ou até que tenha expirado o prazo de sua aplicação, se aplicada com base na Lei nº 14.133, de 2021;</w:t>
      </w:r>
    </w:p>
    <w:p>
      <w:pPr>
        <w:pStyle w:val="Normal"/>
        <w:widowControl w:val="false"/>
        <w:numPr>
          <w:ilvl w:val="2"/>
          <w:numId w:val="1"/>
        </w:numPr>
        <w:spacing w:lineRule="auto" w:line="276" w:before="120" w:after="120"/>
        <w:ind w:left="680" w:hanging="0"/>
        <w:jc w:val="both"/>
        <w:rPr>
          <w:rFonts w:ascii="Times New Roman" w:hAnsi="Times New Roman" w:cs="Times New Roman"/>
        </w:rPr>
      </w:pPr>
      <w:r>
        <w:rPr>
          <w:rFonts w:cs="Times New Roman" w:ascii="Times New Roman" w:hAnsi="Times New Roman"/>
        </w:rPr>
        <w:t>Pessoas jurídicas ou físicas proibidas de contratar com o Poder Público, nos termos do art. 72, § 8º, V, da Lei nº 9.605, de 1998;</w:t>
      </w:r>
    </w:p>
    <w:p>
      <w:pPr>
        <w:pStyle w:val="Normal"/>
        <w:widowControl w:val="false"/>
        <w:numPr>
          <w:ilvl w:val="2"/>
          <w:numId w:val="1"/>
        </w:numPr>
        <w:spacing w:lineRule="auto" w:line="276" w:before="120" w:after="120"/>
        <w:ind w:left="680" w:hanging="0"/>
        <w:jc w:val="both"/>
        <w:rPr>
          <w:rFonts w:ascii="Times New Roman" w:hAnsi="Times New Roman" w:cs="Times New Roman"/>
        </w:rPr>
      </w:pPr>
      <w:r>
        <w:rPr>
          <w:rFonts w:cs="Times New Roman" w:ascii="Times New Roman" w:hAnsi="Times New Roman"/>
        </w:rPr>
        <w:t>Pessoas jurídicas em processo falimentar;</w:t>
      </w:r>
    </w:p>
    <w:p>
      <w:pPr>
        <w:pStyle w:val="Normal"/>
        <w:widowControl w:val="false"/>
        <w:numPr>
          <w:ilvl w:val="2"/>
          <w:numId w:val="1"/>
        </w:numPr>
        <w:spacing w:lineRule="auto" w:line="276" w:before="120" w:after="120"/>
        <w:ind w:left="680" w:hanging="0"/>
        <w:jc w:val="both"/>
        <w:rPr>
          <w:rFonts w:ascii="Times New Roman" w:hAnsi="Times New Roman" w:cs="Times New Roman"/>
        </w:rPr>
      </w:pPr>
      <w:r>
        <w:rPr>
          <w:rFonts w:cs="Times New Roman" w:ascii="Times New Roman" w:hAnsi="Times New Roman"/>
        </w:rPr>
        <w:t>Pessoas jurídicas em dissolução ou em liquidação;</w:t>
      </w:r>
    </w:p>
    <w:p>
      <w:pPr>
        <w:pStyle w:val="Normal"/>
        <w:widowControl w:val="false"/>
        <w:numPr>
          <w:ilvl w:val="2"/>
          <w:numId w:val="1"/>
        </w:numPr>
        <w:spacing w:lineRule="auto" w:line="276" w:before="120" w:after="120"/>
        <w:ind w:left="680" w:hanging="0"/>
        <w:jc w:val="both"/>
        <w:rPr>
          <w:rFonts w:ascii="Times New Roman" w:hAnsi="Times New Roman" w:cs="Times New Roman"/>
        </w:rPr>
      </w:pPr>
      <w:r>
        <w:rPr>
          <w:rFonts w:cs="Times New Roman" w:ascii="Times New Roman" w:hAnsi="Times New Roman"/>
        </w:rPr>
        <w:t>Pessoas físicas em processo de insolvência civil;</w:t>
      </w:r>
    </w:p>
    <w:p>
      <w:pPr>
        <w:pStyle w:val="Normal"/>
        <w:widowControl w:val="false"/>
        <w:numPr>
          <w:ilvl w:val="2"/>
          <w:numId w:val="1"/>
        </w:numPr>
        <w:spacing w:lineRule="auto" w:line="276" w:before="120" w:after="120"/>
        <w:ind w:left="680" w:hanging="0"/>
        <w:jc w:val="both"/>
        <w:rPr>
          <w:rFonts w:ascii="Times New Roman" w:hAnsi="Times New Roman" w:cs="Times New Roman"/>
        </w:rPr>
      </w:pPr>
      <w:r>
        <w:rPr>
          <w:rFonts w:cs="Times New Roman" w:ascii="Times New Roman" w:hAnsi="Times New Roman"/>
        </w:rPr>
        <w:t>Pessoas jurídicas de que sejam proprietários, controladores ou diretores Deputados ou Senadores (art. 54, II, da Constituição Federal);</w:t>
      </w:r>
    </w:p>
    <w:p>
      <w:pPr>
        <w:pStyle w:val="Normal"/>
        <w:widowControl w:val="false"/>
        <w:numPr>
          <w:ilvl w:val="2"/>
          <w:numId w:val="1"/>
        </w:numPr>
        <w:spacing w:lineRule="auto" w:line="276" w:before="120" w:after="120"/>
        <w:ind w:left="680" w:hanging="0"/>
        <w:jc w:val="both"/>
        <w:rPr>
          <w:rFonts w:ascii="Times New Roman" w:hAnsi="Times New Roman" w:cs="Times New Roman"/>
        </w:rPr>
      </w:pPr>
      <w:r>
        <w:rPr>
          <w:rFonts w:cs="Times New Roman" w:ascii="Times New Roman" w:hAnsi="Times New Roman"/>
        </w:rPr>
        <w:t>Pessoas jurídicas ou físicas proibidas de contratar com o Poder Público, nos termos do art. 12 da Lei nº 8.429/1992 (Lei de Improbidade Administrativa);</w:t>
      </w:r>
    </w:p>
    <w:p>
      <w:pPr>
        <w:pStyle w:val="Normal"/>
        <w:widowControl w:val="false"/>
        <w:numPr>
          <w:ilvl w:val="2"/>
          <w:numId w:val="1"/>
        </w:numPr>
        <w:spacing w:lineRule="auto" w:line="276" w:before="120" w:after="120"/>
        <w:ind w:left="680" w:hanging="0"/>
        <w:jc w:val="both"/>
        <w:rPr>
          <w:rFonts w:ascii="Times New Roman" w:hAnsi="Times New Roman" w:cs="Times New Roman"/>
        </w:rPr>
      </w:pPr>
      <w:r>
        <w:rPr>
          <w:rFonts w:cs="Times New Roman" w:ascii="Times New Roman" w:hAnsi="Times New Roman"/>
        </w:rPr>
        <w:t>Quaisquer interessados que se enquadrarem nas vedações previstas nos §§1º e 2º do art. 9º da Lei nº 14.133, de 2021;</w:t>
      </w:r>
    </w:p>
    <w:p>
      <w:pPr>
        <w:pStyle w:val="Normal"/>
        <w:widowControl w:val="false"/>
        <w:numPr>
          <w:ilvl w:val="2"/>
          <w:numId w:val="1"/>
        </w:numPr>
        <w:spacing w:lineRule="auto" w:line="276" w:before="120" w:after="120"/>
        <w:ind w:left="709" w:hanging="0"/>
        <w:jc w:val="both"/>
        <w:rPr>
          <w:rFonts w:ascii="Times New Roman" w:hAnsi="Times New Roman" w:cs="Times New Roman"/>
        </w:rPr>
      </w:pPr>
      <w:r>
        <w:rPr>
          <w:rFonts w:cs="Times New Roman" w:ascii="Times New Roman" w:hAnsi="Times New Roman"/>
        </w:rPr>
        <w:t>M</w:t>
      </w:r>
      <w:r>
        <w:rPr>
          <w:rFonts w:cs="Times New Roman" w:ascii="Times New Roman" w:hAnsi="Times New Roman"/>
          <w:color w:val="000000"/>
        </w:rPr>
        <w:t>antenha vínculo de natureza técnica, comercial, econômica, financeira, trabalhista ou civil com dirigente do órgão ou da entidade credenciante ou com agente público que desempenhe função no processo de contratação ou atue na fiscalização ou na gestão do contrato,</w:t>
      </w:r>
      <w:r>
        <w:rPr>
          <w:rFonts w:cs="Times New Roman" w:ascii="Times New Roman" w:hAnsi="Times New Roman"/>
        </w:rPr>
        <w:t xml:space="preserve"> e dos que exerçam funções de Ordenador de Despesas, gestor do FuSEx/PASS, bem como do Comandante desta 4ª Região Militar</w:t>
      </w:r>
      <w:r>
        <w:rPr>
          <w:rFonts w:cs="Times New Roman" w:ascii="Times New Roman" w:hAnsi="Times New Roman"/>
          <w:color w:val="000000"/>
        </w:rPr>
        <w:t xml:space="preserve"> ou que deles seja cônjuge, companheiro ou parente em linha reta, colateral ou por afinidade, até o terceiro grau.</w:t>
      </w:r>
    </w:p>
    <w:p>
      <w:pPr>
        <w:pStyle w:val="Normal"/>
        <w:widowControl w:val="false"/>
        <w:numPr>
          <w:ilvl w:val="2"/>
          <w:numId w:val="1"/>
        </w:numPr>
        <w:spacing w:lineRule="auto" w:line="276" w:before="120" w:after="120"/>
        <w:ind w:left="680" w:hanging="0"/>
        <w:jc w:val="both"/>
        <w:rPr>
          <w:rFonts w:ascii="Times New Roman" w:hAnsi="Times New Roman" w:cs="Times New Roman"/>
        </w:rPr>
      </w:pPr>
      <w:r>
        <w:rPr>
          <w:rFonts w:cs="Times New Roman" w:ascii="Times New Roman" w:hAnsi="Times New Roman"/>
        </w:rPr>
        <w:t>Sociedades que tenham em seu quadro societários quaisquer das pessoas indicadas nos subitens anteriores.</w:t>
      </w:r>
    </w:p>
    <w:p>
      <w:pPr>
        <w:pStyle w:val="Normal"/>
        <w:widowControl w:val="false"/>
        <w:numPr>
          <w:ilvl w:val="3"/>
          <w:numId w:val="1"/>
        </w:numPr>
        <w:spacing w:lineRule="auto" w:line="276" w:before="120" w:after="120"/>
        <w:ind w:left="2268" w:hanging="850"/>
        <w:jc w:val="both"/>
        <w:rPr>
          <w:rFonts w:ascii="Times New Roman" w:hAnsi="Times New Roman" w:cs="Times New Roman"/>
        </w:rPr>
      </w:pPr>
      <w:r>
        <w:rPr>
          <w:rFonts w:cs="Times New Roman" w:ascii="Times New Roman" w:hAnsi="Times New Roman"/>
        </w:rPr>
        <w:t>Neste caso a restrição poderá ser afastada caso comprovada, no caso concreto, a ausência de ofensa aos princípios da isonomia, da impessoalidade e da moralidade.</w:t>
      </w:r>
    </w:p>
    <w:p>
      <w:pPr>
        <w:pStyle w:val="Normal"/>
        <w:widowControl w:val="false"/>
        <w:numPr>
          <w:ilvl w:val="1"/>
          <w:numId w:val="1"/>
        </w:numPr>
        <w:spacing w:lineRule="auto" w:line="276" w:before="120" w:after="120"/>
        <w:ind w:left="0" w:hanging="0"/>
        <w:jc w:val="both"/>
        <w:rPr>
          <w:rFonts w:ascii="Times New Roman" w:hAnsi="Times New Roman" w:cs="Times New Roman"/>
        </w:rPr>
      </w:pPr>
      <w:r>
        <w:rPr>
          <w:rFonts w:cs="Times New Roman" w:ascii="Times New Roman" w:hAnsi="Times New Roman"/>
        </w:rPr>
        <w:t>A documentação deverá ser anexada ao sistema próprio do Compras.gov.br, após cadastramento no SICAF – Sistema de Cadastramento Unificado de Fornecedores, previsto na Instrução Normativa SEGES/MPDG nº 3, de 26 de abril de 2018.</w:t>
      </w:r>
    </w:p>
    <w:p>
      <w:pPr>
        <w:pStyle w:val="Normal"/>
        <w:widowControl w:val="false"/>
        <w:numPr>
          <w:ilvl w:val="1"/>
          <w:numId w:val="1"/>
        </w:numPr>
        <w:spacing w:lineRule="auto" w:line="276" w:before="120" w:after="120"/>
        <w:ind w:left="0" w:hanging="0"/>
        <w:jc w:val="both"/>
        <w:rPr>
          <w:rFonts w:ascii="Times New Roman" w:hAnsi="Times New Roman" w:cs="Times New Roman"/>
          <w:u w:val="single"/>
        </w:rPr>
      </w:pPr>
      <w:r>
        <w:rPr>
          <w:rFonts w:cs="Times New Roman" w:ascii="Times New Roman" w:hAnsi="Times New Roman"/>
        </w:rPr>
        <w:t xml:space="preserve">Para se habilitar à contratação, a </w:t>
      </w:r>
      <w:r>
        <w:rPr>
          <w:rFonts w:cs="Times New Roman" w:ascii="Times New Roman" w:hAnsi="Times New Roman"/>
          <w:b/>
        </w:rPr>
        <w:t>Organização Civil de Saúde</w:t>
      </w:r>
      <w:r>
        <w:rPr>
          <w:rFonts w:cs="Times New Roman" w:ascii="Times New Roman" w:hAnsi="Times New Roman"/>
        </w:rPr>
        <w:t xml:space="preserve"> interessada deverá apresentar “</w:t>
      </w:r>
      <w:r>
        <w:rPr>
          <w:rFonts w:cs="Times New Roman" w:ascii="Times New Roman" w:hAnsi="Times New Roman"/>
          <w:b/>
        </w:rPr>
        <w:t>Carta Proposta</w:t>
      </w:r>
      <w:r>
        <w:rPr>
          <w:rFonts w:cs="Times New Roman" w:ascii="Times New Roman" w:hAnsi="Times New Roman"/>
        </w:rPr>
        <w:t xml:space="preserve">”, conforme modelo do </w:t>
      </w:r>
      <w:r>
        <w:rPr>
          <w:rFonts w:cs="Times New Roman" w:ascii="Times New Roman" w:hAnsi="Times New Roman"/>
          <w:highlight w:val="lightGray"/>
        </w:rPr>
        <w:t>Anexo L</w:t>
      </w:r>
      <w:r>
        <w:rPr>
          <w:rFonts w:cs="Times New Roman" w:ascii="Times New Roman" w:hAnsi="Times New Roman"/>
        </w:rPr>
        <w:t>, acompanhada dos documentos necessários, atendendo às seguintes exigências:</w:t>
      </w:r>
    </w:p>
    <w:p>
      <w:pPr>
        <w:pStyle w:val="Normal"/>
        <w:widowControl w:val="false"/>
        <w:numPr>
          <w:ilvl w:val="2"/>
          <w:numId w:val="1"/>
        </w:numPr>
        <w:spacing w:lineRule="auto" w:line="276" w:before="120" w:after="120"/>
        <w:ind w:left="709" w:hanging="0"/>
        <w:jc w:val="both"/>
        <w:rPr>
          <w:rFonts w:ascii="Times New Roman" w:hAnsi="Times New Roman" w:cs="Times New Roman"/>
          <w:u w:val="single"/>
        </w:rPr>
      </w:pPr>
      <w:r>
        <w:rPr>
          <w:rFonts w:cs="Times New Roman" w:ascii="Times New Roman" w:hAnsi="Times New Roman"/>
        </w:rPr>
        <w:t>Estar contida em papel timbrado da pessoa jurídica ou que a identifiquem, sem emendas e sem rasuras, de maneira completa, expressa e inteligível;</w:t>
      </w:r>
    </w:p>
    <w:p>
      <w:pPr>
        <w:pStyle w:val="Normal"/>
        <w:widowControl w:val="false"/>
        <w:numPr>
          <w:ilvl w:val="2"/>
          <w:numId w:val="1"/>
        </w:numPr>
        <w:spacing w:lineRule="auto" w:line="276" w:before="120" w:after="120"/>
        <w:ind w:left="709" w:hanging="0"/>
        <w:jc w:val="both"/>
        <w:rPr>
          <w:rFonts w:ascii="Times New Roman" w:hAnsi="Times New Roman" w:cs="Times New Roman"/>
          <w:u w:val="single"/>
        </w:rPr>
      </w:pPr>
      <w:r>
        <w:rPr>
          <w:rFonts w:cs="Times New Roman" w:ascii="Times New Roman" w:hAnsi="Times New Roman"/>
        </w:rPr>
        <w:t>Declarar concordância com as condições estabelecidas neste Edital e nos seus Anexos;</w:t>
      </w:r>
    </w:p>
    <w:p>
      <w:pPr>
        <w:pStyle w:val="Normal"/>
        <w:widowControl w:val="false"/>
        <w:numPr>
          <w:ilvl w:val="2"/>
          <w:numId w:val="1"/>
        </w:numPr>
        <w:spacing w:lineRule="auto" w:line="276" w:before="120" w:after="120"/>
        <w:ind w:left="709" w:hanging="0"/>
        <w:jc w:val="both"/>
        <w:rPr>
          <w:rFonts w:ascii="Times New Roman" w:hAnsi="Times New Roman" w:cs="Times New Roman"/>
          <w:u w:val="single"/>
        </w:rPr>
      </w:pPr>
      <w:r>
        <w:rPr>
          <w:rFonts w:cs="Times New Roman" w:ascii="Times New Roman" w:hAnsi="Times New Roman"/>
        </w:rPr>
        <w:t>Constar dias e horários de atendimento;</w:t>
      </w:r>
    </w:p>
    <w:p>
      <w:pPr>
        <w:pStyle w:val="Normal"/>
        <w:widowControl w:val="false"/>
        <w:numPr>
          <w:ilvl w:val="2"/>
          <w:numId w:val="1"/>
        </w:numPr>
        <w:spacing w:lineRule="auto" w:line="276" w:before="120" w:after="120"/>
        <w:ind w:left="709" w:hanging="0"/>
        <w:jc w:val="both"/>
        <w:rPr>
          <w:rFonts w:ascii="Times New Roman" w:hAnsi="Times New Roman" w:cs="Times New Roman"/>
        </w:rPr>
      </w:pPr>
      <w:r>
        <w:rPr>
          <w:rFonts w:cs="Times New Roman" w:ascii="Times New Roman" w:hAnsi="Times New Roman"/>
        </w:rPr>
        <w:t>Conter a relação de serviços;</w:t>
      </w:r>
    </w:p>
    <w:p>
      <w:pPr>
        <w:pStyle w:val="Normal"/>
        <w:widowControl w:val="false"/>
        <w:numPr>
          <w:ilvl w:val="2"/>
          <w:numId w:val="1"/>
        </w:numPr>
        <w:spacing w:lineRule="auto" w:line="276" w:before="120" w:after="120"/>
        <w:ind w:left="709" w:hanging="0"/>
        <w:jc w:val="both"/>
        <w:rPr>
          <w:rFonts w:ascii="Times New Roman" w:hAnsi="Times New Roman" w:cs="Times New Roman"/>
        </w:rPr>
      </w:pPr>
      <w:r>
        <w:rPr>
          <w:rFonts w:cs="Times New Roman" w:ascii="Times New Roman" w:hAnsi="Times New Roman"/>
        </w:rPr>
        <w:t>Conter a relação de equipamentos técnicos;</w:t>
      </w:r>
    </w:p>
    <w:p>
      <w:pPr>
        <w:pStyle w:val="Normal"/>
        <w:widowControl w:val="false"/>
        <w:numPr>
          <w:ilvl w:val="3"/>
          <w:numId w:val="1"/>
        </w:numPr>
        <w:spacing w:lineRule="auto" w:line="276" w:before="120" w:after="120"/>
        <w:ind w:left="1418" w:hanging="0"/>
        <w:jc w:val="both"/>
        <w:rPr>
          <w:rFonts w:ascii="Times New Roman" w:hAnsi="Times New Roman" w:cs="Times New Roman"/>
        </w:rPr>
      </w:pPr>
      <w:r>
        <w:rPr>
          <w:rFonts w:cs="Times New Roman" w:ascii="Times New Roman" w:hAnsi="Times New Roman"/>
        </w:rPr>
        <w:t>No caso específico do atendimento pré-hospitalar e inter-hospitalar móvel, apresentar a relação de ambulâncias correspondestes aos tipos credenciados.</w:t>
      </w:r>
    </w:p>
    <w:p>
      <w:pPr>
        <w:pStyle w:val="Normal"/>
        <w:widowControl w:val="false"/>
        <w:numPr>
          <w:ilvl w:val="2"/>
          <w:numId w:val="1"/>
        </w:numPr>
        <w:spacing w:lineRule="auto" w:line="276" w:before="120" w:after="120"/>
        <w:ind w:left="709" w:hanging="0"/>
        <w:jc w:val="both"/>
        <w:rPr>
          <w:rFonts w:ascii="Times New Roman" w:hAnsi="Times New Roman" w:cs="Times New Roman"/>
        </w:rPr>
      </w:pPr>
      <w:r>
        <w:rPr>
          <w:rFonts w:cs="Times New Roman" w:ascii="Times New Roman" w:hAnsi="Times New Roman"/>
        </w:rPr>
        <w:t>Indicar o nome do Banco, o número da Agência e da Conta Corrente para creditar os pagamentos; e</w:t>
      </w:r>
    </w:p>
    <w:p>
      <w:pPr>
        <w:pStyle w:val="Normal"/>
        <w:widowControl w:val="false"/>
        <w:numPr>
          <w:ilvl w:val="2"/>
          <w:numId w:val="1"/>
        </w:numPr>
        <w:spacing w:lineRule="auto" w:line="276" w:before="120" w:after="120"/>
        <w:ind w:left="709" w:hanging="0"/>
        <w:jc w:val="both"/>
        <w:rPr>
          <w:rFonts w:ascii="Times New Roman" w:hAnsi="Times New Roman" w:cs="Times New Roman"/>
        </w:rPr>
      </w:pPr>
      <w:r>
        <w:rPr>
          <w:rFonts w:cs="Times New Roman" w:ascii="Times New Roman" w:hAnsi="Times New Roman"/>
        </w:rPr>
        <w:t>Ser datada e assinada pelo representante legal, podendo o ser por meio eletrônico.</w:t>
      </w:r>
    </w:p>
    <w:p>
      <w:pPr>
        <w:pStyle w:val="Normal"/>
        <w:widowControl w:val="false"/>
        <w:numPr>
          <w:ilvl w:val="1"/>
          <w:numId w:val="1"/>
        </w:numPr>
        <w:spacing w:lineRule="auto" w:line="276" w:before="120" w:after="120"/>
        <w:ind w:left="0" w:hanging="0"/>
        <w:jc w:val="both"/>
        <w:rPr>
          <w:rFonts w:ascii="Times New Roman" w:hAnsi="Times New Roman" w:cs="Times New Roman"/>
        </w:rPr>
      </w:pPr>
      <w:r>
        <w:rPr>
          <w:rFonts w:cs="Times New Roman" w:ascii="Times New Roman" w:hAnsi="Times New Roman"/>
        </w:rPr>
        <w:t xml:space="preserve">Para habilitar-se ao credenciamento, o </w:t>
      </w:r>
      <w:r>
        <w:rPr>
          <w:rFonts w:cs="Times New Roman" w:ascii="Times New Roman" w:hAnsi="Times New Roman"/>
          <w:b/>
        </w:rPr>
        <w:t>Profissional de Saúde Autônomo</w:t>
      </w:r>
      <w:r>
        <w:rPr>
          <w:rFonts w:cs="Times New Roman" w:ascii="Times New Roman" w:hAnsi="Times New Roman"/>
        </w:rPr>
        <w:t xml:space="preserve"> deverá apresentar </w:t>
      </w:r>
      <w:r>
        <w:rPr>
          <w:rFonts w:cs="Times New Roman" w:ascii="Times New Roman" w:hAnsi="Times New Roman"/>
          <w:b/>
        </w:rPr>
        <w:t>“Requerimento para Credenciamento”</w:t>
      </w:r>
      <w:r>
        <w:rPr>
          <w:rFonts w:cs="Times New Roman" w:ascii="Times New Roman" w:hAnsi="Times New Roman"/>
        </w:rPr>
        <w:t xml:space="preserve">, conforme modelo do </w:t>
      </w:r>
      <w:r>
        <w:rPr>
          <w:rFonts w:cs="Times New Roman" w:ascii="Times New Roman" w:hAnsi="Times New Roman"/>
          <w:highlight w:val="lightGray"/>
        </w:rPr>
        <w:t>Anexo K</w:t>
      </w:r>
      <w:r>
        <w:rPr>
          <w:rFonts w:cs="Times New Roman" w:ascii="Times New Roman" w:hAnsi="Times New Roman"/>
        </w:rPr>
        <w:t>, acompanhado dos documentos necessários, com atendimento das seguintes exigências e observações:</w:t>
      </w:r>
    </w:p>
    <w:p>
      <w:pPr>
        <w:pStyle w:val="Normal"/>
        <w:widowControl w:val="false"/>
        <w:numPr>
          <w:ilvl w:val="2"/>
          <w:numId w:val="1"/>
        </w:numPr>
        <w:spacing w:lineRule="auto" w:line="276" w:before="120" w:after="120"/>
        <w:ind w:left="709" w:hanging="0"/>
        <w:jc w:val="both"/>
        <w:rPr>
          <w:rFonts w:ascii="Times New Roman" w:hAnsi="Times New Roman" w:cs="Times New Roman"/>
        </w:rPr>
      </w:pPr>
      <w:r>
        <w:rPr>
          <w:rFonts w:cs="Times New Roman" w:ascii="Times New Roman" w:hAnsi="Times New Roman"/>
        </w:rPr>
        <w:t>Estar contida em papel timbrado que o identifique, sem emendas e sem rasuras, de maneira completa, expressa e inteligível;</w:t>
      </w:r>
    </w:p>
    <w:p>
      <w:pPr>
        <w:pStyle w:val="Normal"/>
        <w:widowControl w:val="false"/>
        <w:numPr>
          <w:ilvl w:val="2"/>
          <w:numId w:val="1"/>
        </w:numPr>
        <w:spacing w:lineRule="auto" w:line="276" w:before="120" w:after="120"/>
        <w:ind w:left="709" w:hanging="0"/>
        <w:jc w:val="both"/>
        <w:rPr>
          <w:rFonts w:ascii="Times New Roman" w:hAnsi="Times New Roman" w:cs="Times New Roman"/>
        </w:rPr>
      </w:pPr>
      <w:r>
        <w:rPr>
          <w:rFonts w:cs="Times New Roman" w:ascii="Times New Roman" w:hAnsi="Times New Roman"/>
        </w:rPr>
        <w:t>Declarar concordância com as condições estabelecidas neste Edital e nos seus Anexos;</w:t>
      </w:r>
    </w:p>
    <w:p>
      <w:pPr>
        <w:pStyle w:val="Normal"/>
        <w:widowControl w:val="false"/>
        <w:numPr>
          <w:ilvl w:val="2"/>
          <w:numId w:val="1"/>
        </w:numPr>
        <w:spacing w:lineRule="auto" w:line="276" w:before="120" w:after="120"/>
        <w:ind w:left="709" w:hanging="0"/>
        <w:jc w:val="both"/>
        <w:rPr>
          <w:rFonts w:ascii="Times New Roman" w:hAnsi="Times New Roman" w:cs="Times New Roman"/>
        </w:rPr>
      </w:pPr>
      <w:r>
        <w:rPr>
          <w:rFonts w:cs="Times New Roman" w:ascii="Times New Roman" w:hAnsi="Times New Roman"/>
        </w:rPr>
        <w:t>Constar dias e horários de atendimento;</w:t>
      </w:r>
    </w:p>
    <w:p>
      <w:pPr>
        <w:pStyle w:val="Normal"/>
        <w:widowControl w:val="false"/>
        <w:numPr>
          <w:ilvl w:val="2"/>
          <w:numId w:val="1"/>
        </w:numPr>
        <w:spacing w:lineRule="auto" w:line="276" w:before="120" w:after="120"/>
        <w:ind w:left="709" w:hanging="0"/>
        <w:jc w:val="both"/>
        <w:rPr>
          <w:rFonts w:ascii="Times New Roman" w:hAnsi="Times New Roman" w:cs="Times New Roman"/>
        </w:rPr>
      </w:pPr>
      <w:r>
        <w:rPr>
          <w:rFonts w:cs="Times New Roman" w:ascii="Times New Roman" w:hAnsi="Times New Roman"/>
        </w:rPr>
        <w:t>Conter a relação de serviços;</w:t>
      </w:r>
    </w:p>
    <w:p>
      <w:pPr>
        <w:pStyle w:val="Normal"/>
        <w:widowControl w:val="false"/>
        <w:numPr>
          <w:ilvl w:val="2"/>
          <w:numId w:val="1"/>
        </w:numPr>
        <w:spacing w:lineRule="auto" w:line="276" w:before="120" w:after="120"/>
        <w:ind w:left="709" w:hanging="0"/>
        <w:jc w:val="both"/>
        <w:rPr>
          <w:rFonts w:ascii="Times New Roman" w:hAnsi="Times New Roman" w:cs="Times New Roman"/>
        </w:rPr>
      </w:pPr>
      <w:r>
        <w:rPr>
          <w:rFonts w:cs="Times New Roman" w:ascii="Times New Roman" w:hAnsi="Times New Roman"/>
        </w:rPr>
        <w:t>Conter a relação de equipamentos técnicos;</w:t>
      </w:r>
    </w:p>
    <w:p>
      <w:pPr>
        <w:pStyle w:val="Normal"/>
        <w:widowControl w:val="false"/>
        <w:numPr>
          <w:ilvl w:val="2"/>
          <w:numId w:val="1"/>
        </w:numPr>
        <w:spacing w:lineRule="auto" w:line="276" w:before="120" w:after="120"/>
        <w:ind w:left="709" w:hanging="0"/>
        <w:jc w:val="both"/>
        <w:rPr>
          <w:rFonts w:ascii="Times New Roman" w:hAnsi="Times New Roman" w:cs="Times New Roman"/>
        </w:rPr>
      </w:pPr>
      <w:r>
        <w:rPr>
          <w:rFonts w:cs="Times New Roman" w:ascii="Times New Roman" w:hAnsi="Times New Roman"/>
        </w:rPr>
        <w:t>Indicar o nome do Banco, o número da Agência e da Conta Corrente para creditar os pagamentos; e,</w:t>
      </w:r>
    </w:p>
    <w:p>
      <w:pPr>
        <w:pStyle w:val="Normal"/>
        <w:widowControl w:val="false"/>
        <w:numPr>
          <w:ilvl w:val="2"/>
          <w:numId w:val="1"/>
        </w:numPr>
        <w:spacing w:lineRule="auto" w:line="276" w:before="120" w:after="120"/>
        <w:ind w:left="709" w:hanging="0"/>
        <w:jc w:val="both"/>
        <w:rPr>
          <w:rFonts w:ascii="Times New Roman" w:hAnsi="Times New Roman" w:cs="Times New Roman"/>
        </w:rPr>
      </w:pPr>
      <w:r>
        <w:rPr>
          <w:rFonts w:cs="Times New Roman" w:ascii="Times New Roman" w:hAnsi="Times New Roman"/>
        </w:rPr>
        <w:t>Ser datado e assinado por si ou por seu representante, podendo o ser por meio eletrônico;</w:t>
      </w:r>
    </w:p>
    <w:p>
      <w:pPr>
        <w:pStyle w:val="Normal"/>
        <w:widowControl w:val="false"/>
        <w:numPr>
          <w:ilvl w:val="2"/>
          <w:numId w:val="1"/>
        </w:numPr>
        <w:spacing w:lineRule="auto" w:line="276" w:before="120" w:after="120"/>
        <w:ind w:left="709" w:hanging="0"/>
        <w:jc w:val="both"/>
        <w:rPr>
          <w:rFonts w:ascii="Times New Roman" w:hAnsi="Times New Roman" w:cs="Times New Roman"/>
        </w:rPr>
      </w:pPr>
      <w:r>
        <w:rPr>
          <w:rFonts w:cs="Times New Roman" w:ascii="Times New Roman" w:hAnsi="Times New Roman"/>
        </w:rPr>
        <w:t xml:space="preserve">O odontólogo somente poderá ser credenciado para 2 (duas) especialidades, nos termos do art. 7º, </w:t>
      </w:r>
      <w:r>
        <w:rPr>
          <w:rFonts w:cs="Times New Roman" w:ascii="Times New Roman" w:hAnsi="Times New Roman"/>
          <w:i/>
        </w:rPr>
        <w:t>“c”</w:t>
      </w:r>
      <w:r>
        <w:rPr>
          <w:rFonts w:cs="Times New Roman" w:ascii="Times New Roman" w:hAnsi="Times New Roman"/>
        </w:rPr>
        <w:t>, da Lei nº 5.081, de 24 de agosto de 1966.</w:t>
      </w:r>
    </w:p>
    <w:p>
      <w:pPr>
        <w:pStyle w:val="Normal"/>
        <w:widowControl w:val="false"/>
        <w:spacing w:lineRule="auto" w:line="276" w:before="120" w:after="120"/>
        <w:ind w:left="1418" w:hanging="0"/>
        <w:jc w:val="both"/>
        <w:rPr>
          <w:rFonts w:ascii="Times New Roman" w:hAnsi="Times New Roman" w:cs="Times New Roman"/>
          <w:i/>
          <w:i/>
          <w:sz w:val="18"/>
          <w:szCs w:val="16"/>
        </w:rPr>
      </w:pPr>
      <w:r>
        <w:rPr>
          <w:rFonts w:cs="Times New Roman" w:ascii="Times New Roman" w:hAnsi="Times New Roman"/>
          <w:i/>
          <w:sz w:val="18"/>
          <w:szCs w:val="16"/>
        </w:rPr>
      </w:r>
    </w:p>
    <w:p>
      <w:pPr>
        <w:pStyle w:val="Normal"/>
        <w:widowControl w:val="false"/>
        <w:spacing w:lineRule="auto" w:line="276" w:before="120" w:after="120"/>
        <w:ind w:left="1418" w:hanging="0"/>
        <w:jc w:val="both"/>
        <w:rPr>
          <w:rFonts w:ascii="Times New Roman" w:hAnsi="Times New Roman" w:cs="Times New Roman"/>
          <w:i/>
          <w:i/>
          <w:sz w:val="18"/>
          <w:szCs w:val="16"/>
        </w:rPr>
      </w:pPr>
      <w:r>
        <w:rPr>
          <w:rFonts w:cs="Times New Roman" w:ascii="Times New Roman" w:hAnsi="Times New Roman"/>
          <w:i/>
          <w:sz w:val="18"/>
          <w:szCs w:val="16"/>
          <w:highlight w:val="yellow"/>
        </w:rPr>
        <w:t>Nota Explicativa: No caso do médico, dispõe a Resolução CFM nº 1.845/2008, na alínea o do item 1, que o médico só poderá fazer divulgação e anúncio de até duas especialidades e duas áreas de atuação</w:t>
      </w:r>
      <w:r>
        <w:rPr>
          <w:rFonts w:cs="Times New Roman" w:ascii="Times New Roman" w:hAnsi="Times New Roman"/>
          <w:i/>
          <w:sz w:val="18"/>
          <w:szCs w:val="16"/>
        </w:rPr>
        <w:t>.</w:t>
      </w:r>
    </w:p>
    <w:p>
      <w:pPr>
        <w:pStyle w:val="Normal"/>
        <w:widowControl w:val="false"/>
        <w:spacing w:lineRule="auto" w:line="276" w:before="120" w:after="120"/>
        <w:ind w:left="1418" w:hanging="0"/>
        <w:jc w:val="both"/>
        <w:rPr>
          <w:rFonts w:ascii="Times New Roman" w:hAnsi="Times New Roman" w:cs="Times New Roman"/>
          <w:i/>
          <w:i/>
          <w:sz w:val="18"/>
          <w:szCs w:val="16"/>
        </w:rPr>
      </w:pPr>
      <w:r>
        <w:rPr>
          <w:rFonts w:cs="Times New Roman" w:ascii="Times New Roman" w:hAnsi="Times New Roman"/>
          <w:i/>
          <w:sz w:val="18"/>
          <w:szCs w:val="16"/>
        </w:rPr>
      </w:r>
    </w:p>
    <w:p>
      <w:pPr>
        <w:pStyle w:val="Normal"/>
        <w:widowControl w:val="false"/>
        <w:numPr>
          <w:ilvl w:val="1"/>
          <w:numId w:val="1"/>
        </w:numPr>
        <w:spacing w:lineRule="auto" w:line="276" w:before="120" w:after="120"/>
        <w:ind w:left="0" w:hanging="0"/>
        <w:jc w:val="both"/>
        <w:rPr>
          <w:rFonts w:ascii="Times New Roman" w:hAnsi="Times New Roman" w:cs="Times New Roman"/>
        </w:rPr>
      </w:pPr>
      <w:r>
        <w:rPr>
          <w:rFonts w:cs="Times New Roman" w:ascii="Times New Roman" w:hAnsi="Times New Roman"/>
        </w:rPr>
        <w:t>A “</w:t>
      </w:r>
      <w:r>
        <w:rPr>
          <w:rFonts w:cs="Times New Roman" w:ascii="Times New Roman" w:hAnsi="Times New Roman"/>
          <w:b/>
        </w:rPr>
        <w:t>Carta Proposta</w:t>
      </w:r>
      <w:r>
        <w:rPr>
          <w:rFonts w:cs="Times New Roman" w:ascii="Times New Roman" w:hAnsi="Times New Roman"/>
        </w:rPr>
        <w:t>” e o “</w:t>
      </w:r>
      <w:r>
        <w:rPr>
          <w:rFonts w:cs="Times New Roman" w:ascii="Times New Roman" w:hAnsi="Times New Roman"/>
          <w:b/>
        </w:rPr>
        <w:t>Requerimento para Credenciamento</w:t>
      </w:r>
      <w:r>
        <w:rPr>
          <w:rFonts w:cs="Times New Roman" w:ascii="Times New Roman" w:hAnsi="Times New Roman"/>
        </w:rPr>
        <w:t>” terão validade de 60 (sessenta) dias, contados da data da entrega, o qual admitirá prorrogação;</w:t>
      </w:r>
    </w:p>
    <w:p>
      <w:pPr>
        <w:pStyle w:val="Normal"/>
        <w:widowControl w:val="false"/>
        <w:numPr>
          <w:ilvl w:val="2"/>
          <w:numId w:val="1"/>
        </w:numPr>
        <w:spacing w:lineRule="auto" w:line="276" w:before="120" w:after="120"/>
        <w:ind w:left="709" w:hanging="0"/>
        <w:jc w:val="both"/>
        <w:rPr>
          <w:rFonts w:ascii="Times New Roman" w:hAnsi="Times New Roman" w:cs="Times New Roman"/>
        </w:rPr>
      </w:pPr>
      <w:r>
        <w:rPr>
          <w:rFonts w:cs="Times New Roman" w:ascii="Times New Roman" w:hAnsi="Times New Roman"/>
        </w:rPr>
        <w:t>Decorrido o prazo de validade das propostas, sem convocação para contratação, ficam os licitantes liberados dos compromissos assumidos.</w:t>
      </w:r>
    </w:p>
    <w:p>
      <w:pPr>
        <w:pStyle w:val="Normal"/>
        <w:widowControl w:val="false"/>
        <w:numPr>
          <w:ilvl w:val="1"/>
          <w:numId w:val="1"/>
        </w:numPr>
        <w:spacing w:lineRule="auto" w:line="276" w:before="120" w:after="120"/>
        <w:ind w:left="0" w:hanging="0"/>
        <w:jc w:val="both"/>
        <w:rPr>
          <w:rFonts w:ascii="Times New Roman" w:hAnsi="Times New Roman" w:cs="Times New Roman"/>
        </w:rPr>
      </w:pPr>
      <w:r>
        <w:rPr>
          <w:rFonts w:cs="Times New Roman" w:ascii="Times New Roman" w:hAnsi="Times New Roman"/>
        </w:rPr>
        <w:t>A Empresa Individual de Responsabilidade Limitada – EIRELI – deverá receber tratamento de OCS, dado a sua natureza de pessoa jurídica.</w:t>
      </w:r>
    </w:p>
    <w:p>
      <w:pPr>
        <w:pStyle w:val="Normal"/>
        <w:widowControl w:val="false"/>
        <w:numPr>
          <w:ilvl w:val="0"/>
          <w:numId w:val="1"/>
        </w:numPr>
        <w:spacing w:lineRule="auto" w:line="276" w:before="120" w:after="120"/>
        <w:ind w:left="0" w:hanging="0"/>
        <w:jc w:val="both"/>
        <w:rPr>
          <w:rFonts w:ascii="Times New Roman" w:hAnsi="Times New Roman" w:cs="Times New Roman"/>
          <w:b/>
          <w:b/>
          <w:u w:val="single"/>
        </w:rPr>
      </w:pPr>
      <w:r>
        <w:rPr>
          <w:rFonts w:cs="Times New Roman" w:ascii="Times New Roman" w:hAnsi="Times New Roman"/>
          <w:b/>
          <w:u w:val="single"/>
        </w:rPr>
        <w:t>DA HABILITAÇÃO E DAS CONDIÇÕES DE PARTICIPAÇÃO.</w:t>
      </w:r>
    </w:p>
    <w:p>
      <w:pPr>
        <w:pStyle w:val="Normal"/>
        <w:widowControl w:val="false"/>
        <w:numPr>
          <w:ilvl w:val="1"/>
          <w:numId w:val="1"/>
        </w:numPr>
        <w:spacing w:lineRule="auto" w:line="276" w:before="120" w:after="120"/>
        <w:ind w:left="0" w:hanging="0"/>
        <w:jc w:val="both"/>
        <w:rPr>
          <w:rFonts w:ascii="Times New Roman" w:hAnsi="Times New Roman" w:cs="Times New Roman"/>
        </w:rPr>
      </w:pPr>
      <w:r>
        <w:rPr>
          <w:rFonts w:cs="Times New Roman" w:ascii="Times New Roman" w:hAnsi="Times New Roman"/>
        </w:rPr>
        <w:t>A Comissão ou Agente de Contratação consultará o Sistema de Cadastro Unificado de Fornecedores - SICAF, em relação à habilitação jurídica, à regularidade fiscal e trabalhista, à qualificação econômica financeira e à habilitação técnica, conforme disposto nos arts. 6º e 10 a 16 da Instrução Normativa SEGES/MP nº 3, de 2018, respeitada a documentação complementar prevista no item 4.6 desta Seção.</w:t>
      </w:r>
    </w:p>
    <w:p>
      <w:pPr>
        <w:pStyle w:val="Normal"/>
        <w:widowControl w:val="false"/>
        <w:numPr>
          <w:ilvl w:val="2"/>
          <w:numId w:val="1"/>
        </w:numPr>
        <w:spacing w:lineRule="auto" w:line="276" w:before="120" w:after="120"/>
        <w:ind w:left="709" w:hanging="0"/>
        <w:jc w:val="both"/>
        <w:rPr>
          <w:rFonts w:ascii="Times New Roman" w:hAnsi="Times New Roman" w:cs="Times New Roman"/>
        </w:rPr>
      </w:pPr>
      <w:r>
        <w:rPr>
          <w:rFonts w:cs="Times New Roman" w:ascii="Times New Roman" w:hAnsi="Times New Roman"/>
        </w:rPr>
        <w:t>Também poderão ser consultados os sítios oficiais emissores de certidões, especialmente quando o licitante esteja com alguma documentação vencida junto ao SICAF;</w:t>
      </w:r>
    </w:p>
    <w:p>
      <w:pPr>
        <w:pStyle w:val="Normal"/>
        <w:widowControl w:val="false"/>
        <w:numPr>
          <w:ilvl w:val="2"/>
          <w:numId w:val="1"/>
        </w:numPr>
        <w:spacing w:lineRule="auto" w:line="276" w:before="120" w:after="120"/>
        <w:ind w:left="709" w:hanging="0"/>
        <w:jc w:val="both"/>
        <w:rPr>
          <w:rFonts w:ascii="Times New Roman" w:hAnsi="Times New Roman" w:cs="Times New Roman"/>
        </w:rPr>
      </w:pPr>
      <w:r>
        <w:rPr>
          <w:rFonts w:cs="Times New Roman" w:ascii="Times New Roman" w:hAnsi="Times New Roman"/>
        </w:rPr>
        <w:t>Os interessados cadastrados no SICAF deverão apresentar a documentação listada neste Capítulo, quando ausente do cadastro.</w:t>
      </w:r>
    </w:p>
    <w:p>
      <w:pPr>
        <w:pStyle w:val="Normal"/>
        <w:widowControl w:val="false"/>
        <w:numPr>
          <w:ilvl w:val="1"/>
          <w:numId w:val="1"/>
        </w:numPr>
        <w:spacing w:lineRule="auto" w:line="276" w:before="120" w:after="120"/>
        <w:ind w:left="0" w:hanging="0"/>
        <w:jc w:val="both"/>
        <w:rPr>
          <w:rFonts w:ascii="Times New Roman" w:hAnsi="Times New Roman" w:cs="Times New Roman"/>
        </w:rPr>
      </w:pPr>
      <w:r>
        <w:rPr>
          <w:rFonts w:cs="Times New Roman" w:ascii="Times New Roman" w:hAnsi="Times New Roman"/>
        </w:rPr>
        <w:t>Caso a Comissão não logre êxito em obter a certidão correspondente através do sítio oficial, ou na hipótese de se encontrar vencida no referido sistema, o interessado será convocado a encaminhar documento válido que comprove o atendimento das exigências deste Edital, sob pena de inabilitação.</w:t>
      </w:r>
    </w:p>
    <w:p>
      <w:pPr>
        <w:pStyle w:val="Normal"/>
        <w:widowControl w:val="false"/>
        <w:numPr>
          <w:ilvl w:val="1"/>
          <w:numId w:val="1"/>
        </w:numPr>
        <w:spacing w:lineRule="auto" w:line="276" w:before="120" w:after="120"/>
        <w:ind w:left="0" w:hanging="0"/>
        <w:jc w:val="both"/>
        <w:rPr>
          <w:rFonts w:ascii="Times New Roman" w:hAnsi="Times New Roman" w:cs="Times New Roman"/>
        </w:rPr>
      </w:pPr>
      <w:r>
        <w:rPr>
          <w:rFonts w:cs="Times New Roman" w:ascii="Times New Roman" w:hAnsi="Times New Roman"/>
        </w:rPr>
        <w:t>Os interessados que não estiverem com sua documentação atualizada no SICAF deverão apresentar a seguinte documentação:</w:t>
      </w:r>
    </w:p>
    <w:p>
      <w:pPr>
        <w:pStyle w:val="Normal"/>
        <w:widowControl w:val="false"/>
        <w:numPr>
          <w:ilvl w:val="1"/>
          <w:numId w:val="1"/>
        </w:numPr>
        <w:spacing w:lineRule="auto" w:line="276" w:before="120" w:after="120"/>
        <w:ind w:left="0" w:hanging="0"/>
        <w:jc w:val="both"/>
        <w:rPr>
          <w:rFonts w:ascii="Times New Roman" w:hAnsi="Times New Roman" w:cs="Times New Roman"/>
        </w:rPr>
      </w:pPr>
      <w:r>
        <w:rPr>
          <w:rFonts w:cs="Times New Roman" w:ascii="Times New Roman" w:hAnsi="Times New Roman"/>
          <w:b/>
        </w:rPr>
        <w:t>Habilitação jurídica</w:t>
      </w:r>
      <w:r>
        <w:rPr>
          <w:rFonts w:cs="Times New Roman" w:ascii="Times New Roman" w:hAnsi="Times New Roman"/>
        </w:rPr>
        <w:t>, comprovada mediante a apresentação da seguinte documentação:</w:t>
      </w:r>
    </w:p>
    <w:p>
      <w:pPr>
        <w:pStyle w:val="Normal"/>
        <w:widowControl w:val="false"/>
        <w:numPr>
          <w:ilvl w:val="2"/>
          <w:numId w:val="1"/>
        </w:numPr>
        <w:spacing w:lineRule="auto" w:line="276" w:before="120" w:after="120"/>
        <w:ind w:left="709" w:hanging="0"/>
        <w:jc w:val="both"/>
        <w:rPr>
          <w:rFonts w:ascii="Times New Roman" w:hAnsi="Times New Roman" w:cs="Times New Roman"/>
        </w:rPr>
      </w:pPr>
      <w:r>
        <w:rPr>
          <w:rFonts w:cs="Times New Roman" w:ascii="Times New Roman" w:hAnsi="Times New Roman"/>
          <w:b/>
        </w:rPr>
        <w:t>Organização Civil de Saúde (OCS):</w:t>
      </w:r>
    </w:p>
    <w:p>
      <w:pPr>
        <w:pStyle w:val="Normal"/>
        <w:widowControl w:val="false"/>
        <w:numPr>
          <w:ilvl w:val="3"/>
          <w:numId w:val="1"/>
        </w:numPr>
        <w:spacing w:lineRule="auto" w:line="276" w:before="120" w:after="120"/>
        <w:ind w:left="1418" w:hanging="0"/>
        <w:jc w:val="both"/>
        <w:rPr>
          <w:rFonts w:ascii="Times New Roman" w:hAnsi="Times New Roman" w:cs="Times New Roman"/>
        </w:rPr>
      </w:pPr>
      <w:r>
        <w:rPr>
          <w:rFonts w:cs="Times New Roman" w:ascii="Times New Roman" w:hAnsi="Times New Roman"/>
        </w:rPr>
        <w:t>Cédula de identidade ou outro documento equivalente do(s) representante(s) legal(is);</w:t>
      </w:r>
    </w:p>
    <w:p>
      <w:pPr>
        <w:pStyle w:val="Normal"/>
        <w:widowControl w:val="false"/>
        <w:numPr>
          <w:ilvl w:val="3"/>
          <w:numId w:val="1"/>
        </w:numPr>
        <w:spacing w:lineRule="auto" w:line="276" w:before="120" w:after="120"/>
        <w:ind w:left="1418" w:hanging="0"/>
        <w:jc w:val="both"/>
        <w:rPr>
          <w:rFonts w:ascii="Times New Roman" w:hAnsi="Times New Roman" w:cs="Times New Roman"/>
        </w:rPr>
      </w:pPr>
      <w:r>
        <w:rPr>
          <w:rFonts w:cs="Times New Roman" w:ascii="Times New Roman" w:hAnsi="Times New Roman"/>
        </w:rPr>
        <w:t>Registro Público de Empresas Mercantis, no caso de empresário individual;</w:t>
      </w:r>
    </w:p>
    <w:p>
      <w:pPr>
        <w:pStyle w:val="Normal"/>
        <w:widowControl w:val="false"/>
        <w:numPr>
          <w:ilvl w:val="3"/>
          <w:numId w:val="1"/>
        </w:numPr>
        <w:spacing w:lineRule="auto" w:line="276" w:before="120" w:after="120"/>
        <w:ind w:left="1418" w:hanging="0"/>
        <w:jc w:val="both"/>
        <w:rPr>
          <w:rFonts w:ascii="Times New Roman" w:hAnsi="Times New Roman" w:cs="Times New Roman"/>
        </w:rPr>
      </w:pPr>
      <w:r>
        <w:rPr>
          <w:rFonts w:cs="Times New Roman" w:ascii="Times New Roman" w:hAnsi="Times New Roman"/>
        </w:rPr>
        <w:t>Ato constitutivo, estatuto ou contrato social em vigor, com sua última alteração, devidamente registrado e, no caso de sociedades empresárias, acompanhado de documento de eleição de seus administradores ou, se for o caso, procurações que outorguem poderes para terceiros;</w:t>
      </w:r>
    </w:p>
    <w:p>
      <w:pPr>
        <w:pStyle w:val="Normal"/>
        <w:widowControl w:val="false"/>
        <w:numPr>
          <w:ilvl w:val="3"/>
          <w:numId w:val="1"/>
        </w:numPr>
        <w:spacing w:lineRule="auto" w:line="276" w:before="120" w:after="120"/>
        <w:ind w:left="1418" w:hanging="0"/>
        <w:jc w:val="both"/>
        <w:rPr>
          <w:rFonts w:ascii="Times New Roman" w:hAnsi="Times New Roman" w:cs="Times New Roman"/>
        </w:rPr>
      </w:pPr>
      <w:r>
        <w:rPr>
          <w:rFonts w:cs="Times New Roman" w:ascii="Times New Roman" w:hAnsi="Times New Roman"/>
        </w:rPr>
        <w:t>Inscrição no Registro Público de Empresas Mercantis onde opera, com averbação no Registro onde tem sede a matriz, no caso de ser o participante sucursal, filial ou agência;</w:t>
      </w:r>
    </w:p>
    <w:p>
      <w:pPr>
        <w:pStyle w:val="Normal"/>
        <w:widowControl w:val="false"/>
        <w:numPr>
          <w:ilvl w:val="3"/>
          <w:numId w:val="1"/>
        </w:numPr>
        <w:spacing w:lineRule="auto" w:line="276" w:before="120" w:after="120"/>
        <w:ind w:left="1418" w:hanging="0"/>
        <w:jc w:val="both"/>
        <w:rPr>
          <w:rFonts w:ascii="Times New Roman" w:hAnsi="Times New Roman" w:cs="Times New Roman"/>
        </w:rPr>
      </w:pPr>
      <w:r>
        <w:rPr>
          <w:rFonts w:cs="Times New Roman" w:ascii="Times New Roman" w:hAnsi="Times New Roman"/>
        </w:rPr>
        <w:t>Inscrição do ato constitutivo no Registro Civil das Pessoas Jurídicas, no caso de sociedades simples, acompanhada de prova de diretoria em exercício;</w:t>
      </w:r>
    </w:p>
    <w:p>
      <w:pPr>
        <w:pStyle w:val="Normal"/>
        <w:widowControl w:val="false"/>
        <w:numPr>
          <w:ilvl w:val="3"/>
          <w:numId w:val="1"/>
        </w:numPr>
        <w:spacing w:lineRule="auto" w:line="276" w:before="120" w:after="120"/>
        <w:ind w:left="1418" w:hanging="0"/>
        <w:jc w:val="both"/>
        <w:rPr>
          <w:rFonts w:ascii="Times New Roman" w:hAnsi="Times New Roman" w:cs="Times New Roman"/>
        </w:rPr>
      </w:pPr>
      <w:r>
        <w:rPr>
          <w:rFonts w:cs="Times New Roman" w:ascii="Times New Roman" w:hAnsi="Times New Roman"/>
        </w:rPr>
        <w:t>Decreto de autorização, no caso de sociedade estrangeira em funcionamento no país, e ato de registro ou autorização para funcionamento expedido pelo órgão competente, quando a atividade assim o exigir;</w:t>
      </w:r>
    </w:p>
    <w:p>
      <w:pPr>
        <w:pStyle w:val="Normal"/>
        <w:widowControl w:val="false"/>
        <w:numPr>
          <w:ilvl w:val="3"/>
          <w:numId w:val="1"/>
        </w:numPr>
        <w:spacing w:lineRule="auto" w:line="276" w:before="120" w:after="120"/>
        <w:ind w:left="1418" w:hanging="0"/>
        <w:jc w:val="both"/>
        <w:rPr>
          <w:rFonts w:ascii="Times New Roman" w:hAnsi="Times New Roman" w:cs="Times New Roman"/>
        </w:rPr>
      </w:pPr>
      <w:r>
        <w:rPr>
          <w:rFonts w:cs="Times New Roman" w:ascii="Times New Roman" w:hAnsi="Times New Roman"/>
        </w:rPr>
        <w:t xml:space="preserve">Em caso de </w:t>
      </w:r>
      <w:r>
        <w:rPr>
          <w:rFonts w:cs="Times New Roman" w:ascii="Times New Roman" w:hAnsi="Times New Roman"/>
          <w:b/>
        </w:rPr>
        <w:t>cooperativas</w:t>
      </w:r>
      <w:r>
        <w:rPr>
          <w:rFonts w:cs="Times New Roman" w:ascii="Times New Roman" w:hAnsi="Times New Roman"/>
        </w:rPr>
        <w:t>, conforme o item 10.5, letra ‘g’, do Anexo VII-A, da IN SLTI/MPOG nº 05/2017:</w:t>
      </w:r>
    </w:p>
    <w:p>
      <w:pPr>
        <w:pStyle w:val="Normal"/>
        <w:widowControl w:val="false"/>
        <w:numPr>
          <w:ilvl w:val="4"/>
          <w:numId w:val="1"/>
        </w:numPr>
        <w:spacing w:lineRule="auto" w:line="276" w:before="120" w:after="120"/>
        <w:ind w:left="2977" w:hanging="850"/>
        <w:jc w:val="both"/>
        <w:rPr>
          <w:rFonts w:ascii="Times New Roman" w:hAnsi="Times New Roman" w:cs="Times New Roman"/>
        </w:rPr>
      </w:pPr>
      <w:r>
        <w:rPr>
          <w:rFonts w:cs="Times New Roman" w:ascii="Times New Roman" w:hAnsi="Times New Roman"/>
        </w:rPr>
        <w:t>Ata de fundação;</w:t>
      </w:r>
    </w:p>
    <w:p>
      <w:pPr>
        <w:pStyle w:val="Normal"/>
        <w:widowControl w:val="false"/>
        <w:numPr>
          <w:ilvl w:val="4"/>
          <w:numId w:val="1"/>
        </w:numPr>
        <w:spacing w:lineRule="auto" w:line="276" w:before="120" w:after="120"/>
        <w:ind w:left="2977" w:hanging="850"/>
        <w:jc w:val="both"/>
        <w:rPr>
          <w:rFonts w:ascii="Times New Roman" w:hAnsi="Times New Roman" w:cs="Times New Roman"/>
        </w:rPr>
      </w:pPr>
      <w:r>
        <w:rPr>
          <w:rFonts w:cs="Times New Roman" w:ascii="Times New Roman" w:hAnsi="Times New Roman"/>
        </w:rPr>
        <w:t>Estatuto Social com a Ata da Assembleia que o aprovou;</w:t>
      </w:r>
    </w:p>
    <w:p>
      <w:pPr>
        <w:pStyle w:val="Normal"/>
        <w:widowControl w:val="false"/>
        <w:numPr>
          <w:ilvl w:val="4"/>
          <w:numId w:val="1"/>
        </w:numPr>
        <w:spacing w:lineRule="auto" w:line="276" w:before="120" w:after="120"/>
        <w:ind w:left="2977" w:hanging="850"/>
        <w:jc w:val="both"/>
        <w:rPr>
          <w:rFonts w:ascii="Times New Roman" w:hAnsi="Times New Roman" w:cs="Times New Roman"/>
        </w:rPr>
      </w:pPr>
      <w:r>
        <w:rPr>
          <w:rFonts w:cs="Times New Roman" w:ascii="Times New Roman" w:hAnsi="Times New Roman"/>
        </w:rPr>
        <w:t>Regimento dos fundos instituídos pelos cooperados, com a Ata da Assembleia que os aprovou;</w:t>
      </w:r>
    </w:p>
    <w:p>
      <w:pPr>
        <w:pStyle w:val="Normal"/>
        <w:widowControl w:val="false"/>
        <w:numPr>
          <w:ilvl w:val="4"/>
          <w:numId w:val="1"/>
        </w:numPr>
        <w:spacing w:lineRule="auto" w:line="276" w:before="120" w:after="120"/>
        <w:ind w:left="2977" w:hanging="850"/>
        <w:jc w:val="both"/>
        <w:rPr>
          <w:rFonts w:ascii="Times New Roman" w:hAnsi="Times New Roman" w:cs="Times New Roman"/>
        </w:rPr>
      </w:pPr>
      <w:r>
        <w:rPr>
          <w:rFonts w:cs="Times New Roman" w:ascii="Times New Roman" w:hAnsi="Times New Roman"/>
        </w:rPr>
        <w:t>Editais de convocação das três últimas Assembleias Gerais extraordinárias; e,</w:t>
      </w:r>
    </w:p>
    <w:p>
      <w:pPr>
        <w:pStyle w:val="Normal"/>
        <w:widowControl w:val="false"/>
        <w:numPr>
          <w:ilvl w:val="4"/>
          <w:numId w:val="1"/>
        </w:numPr>
        <w:spacing w:lineRule="auto" w:line="276" w:before="120" w:after="120"/>
        <w:ind w:left="2977" w:hanging="850"/>
        <w:jc w:val="both"/>
        <w:rPr>
          <w:rFonts w:ascii="Times New Roman" w:hAnsi="Times New Roman" w:cs="Times New Roman"/>
        </w:rPr>
      </w:pPr>
      <w:r>
        <w:rPr>
          <w:rFonts w:cs="Times New Roman" w:ascii="Times New Roman" w:hAnsi="Times New Roman"/>
        </w:rPr>
        <w:t>Três registros de presença dos cooperados que executarão do Contrato em assembleias gerais ou nas reuniões seccionais; e</w:t>
      </w:r>
    </w:p>
    <w:p>
      <w:pPr>
        <w:pStyle w:val="Normal"/>
        <w:widowControl w:val="false"/>
        <w:numPr>
          <w:ilvl w:val="4"/>
          <w:numId w:val="1"/>
        </w:numPr>
        <w:spacing w:lineRule="auto" w:line="276" w:before="120" w:after="120"/>
        <w:ind w:left="2977" w:hanging="850"/>
        <w:jc w:val="both"/>
        <w:rPr>
          <w:rFonts w:ascii="Times New Roman" w:hAnsi="Times New Roman" w:cs="Times New Roman"/>
        </w:rPr>
      </w:pPr>
      <w:r>
        <w:rPr>
          <w:rFonts w:cs="Times New Roman" w:ascii="Times New Roman" w:hAnsi="Times New Roman"/>
        </w:rPr>
        <w:t>Ata da sessão que os cooperados autorizaram a cooperativa a contratar o objeto da licitação;</w:t>
      </w:r>
    </w:p>
    <w:p>
      <w:pPr>
        <w:pStyle w:val="Normal"/>
        <w:widowControl w:val="false"/>
        <w:numPr>
          <w:ilvl w:val="4"/>
          <w:numId w:val="1"/>
        </w:numPr>
        <w:spacing w:lineRule="auto" w:line="276" w:before="120" w:after="120"/>
        <w:ind w:left="2977" w:hanging="850"/>
        <w:jc w:val="both"/>
        <w:rPr>
          <w:rFonts w:ascii="Times New Roman" w:hAnsi="Times New Roman" w:cs="Times New Roman"/>
        </w:rPr>
      </w:pPr>
      <w:r>
        <w:rPr>
          <w:rFonts w:cs="Times New Roman" w:ascii="Times New Roman" w:hAnsi="Times New Roman"/>
        </w:rPr>
        <w:t xml:space="preserve">O registro </w:t>
      </w:r>
      <w:r>
        <w:rPr>
          <w:rFonts w:cs="Times New Roman" w:ascii="Times New Roman" w:hAnsi="Times New Roman"/>
          <w:shd w:fill="FFFFFF" w:val="clear"/>
        </w:rPr>
        <w:t xml:space="preserve">na Organização das Cooperativas Brasileiras ou na entidade estadual, se houver, mediante apresentação dos estatutos sociais e suas alterações posteriores, nos termos do </w:t>
      </w:r>
      <w:r>
        <w:rPr>
          <w:rFonts w:cs="Times New Roman" w:ascii="Times New Roman" w:hAnsi="Times New Roman"/>
        </w:rPr>
        <w:t>art. 107 da Lei nº 5.764, de 1971.</w:t>
      </w:r>
    </w:p>
    <w:p>
      <w:pPr>
        <w:pStyle w:val="Normal"/>
        <w:widowControl w:val="false"/>
        <w:numPr>
          <w:ilvl w:val="2"/>
          <w:numId w:val="1"/>
        </w:numPr>
        <w:spacing w:lineRule="auto" w:line="276" w:before="120" w:after="120"/>
        <w:ind w:left="709" w:hanging="0"/>
        <w:jc w:val="both"/>
        <w:rPr>
          <w:rFonts w:ascii="Times New Roman" w:hAnsi="Times New Roman" w:cs="Times New Roman"/>
        </w:rPr>
      </w:pPr>
      <w:r>
        <w:rPr>
          <w:rFonts w:cs="Times New Roman" w:ascii="Times New Roman" w:hAnsi="Times New Roman"/>
          <w:b/>
        </w:rPr>
        <w:t>Profissional de Saúde Autônomo (PSA):</w:t>
      </w:r>
    </w:p>
    <w:p>
      <w:pPr>
        <w:pStyle w:val="Normal"/>
        <w:widowControl w:val="false"/>
        <w:numPr>
          <w:ilvl w:val="3"/>
          <w:numId w:val="1"/>
        </w:numPr>
        <w:spacing w:lineRule="auto" w:line="276" w:before="120" w:after="120"/>
        <w:ind w:left="1418" w:hanging="0"/>
        <w:jc w:val="both"/>
        <w:rPr>
          <w:rFonts w:ascii="Times New Roman" w:hAnsi="Times New Roman" w:cs="Times New Roman"/>
        </w:rPr>
      </w:pPr>
      <w:r>
        <w:rPr>
          <w:rFonts w:cs="Times New Roman" w:ascii="Times New Roman" w:hAnsi="Times New Roman"/>
        </w:rPr>
        <w:t>Carteira de Identidade; e,</w:t>
      </w:r>
    </w:p>
    <w:p>
      <w:pPr>
        <w:pStyle w:val="Normal"/>
        <w:widowControl w:val="false"/>
        <w:numPr>
          <w:ilvl w:val="3"/>
          <w:numId w:val="1"/>
        </w:numPr>
        <w:spacing w:lineRule="auto" w:line="276" w:before="120" w:after="120"/>
        <w:ind w:left="1418" w:hanging="0"/>
        <w:jc w:val="both"/>
        <w:rPr>
          <w:rFonts w:ascii="Times New Roman" w:hAnsi="Times New Roman" w:cs="Times New Roman"/>
        </w:rPr>
      </w:pPr>
      <w:r>
        <w:rPr>
          <w:rFonts w:cs="Times New Roman" w:ascii="Times New Roman" w:hAnsi="Times New Roman"/>
        </w:rPr>
        <w:t>Certidão de quitação eleitoral, nos termos do art. 7º, § 1º, III, c/c art. 146 do Código Eleitoral.</w:t>
      </w:r>
    </w:p>
    <w:p>
      <w:pPr>
        <w:pStyle w:val="Normal"/>
        <w:widowControl w:val="false"/>
        <w:numPr>
          <w:ilvl w:val="1"/>
          <w:numId w:val="1"/>
        </w:numPr>
        <w:spacing w:lineRule="auto" w:line="276" w:before="120" w:after="120"/>
        <w:ind w:left="0" w:hanging="0"/>
        <w:jc w:val="both"/>
        <w:rPr>
          <w:rFonts w:ascii="Times New Roman" w:hAnsi="Times New Roman" w:cs="Times New Roman"/>
          <w:b/>
          <w:b/>
        </w:rPr>
      </w:pPr>
      <w:r>
        <w:rPr>
          <w:rFonts w:cs="Times New Roman" w:ascii="Times New Roman" w:hAnsi="Times New Roman"/>
          <w:b/>
        </w:rPr>
        <w:t>Regularidade Fiscal e Trabalhista:</w:t>
      </w:r>
    </w:p>
    <w:p>
      <w:pPr>
        <w:pStyle w:val="Normal"/>
        <w:widowControl w:val="false"/>
        <w:numPr>
          <w:ilvl w:val="2"/>
          <w:numId w:val="1"/>
        </w:numPr>
        <w:spacing w:lineRule="auto" w:line="276" w:before="120" w:after="120"/>
        <w:ind w:left="709" w:hanging="0"/>
        <w:jc w:val="both"/>
        <w:rPr>
          <w:rFonts w:ascii="Times New Roman" w:hAnsi="Times New Roman" w:cs="Times New Roman"/>
        </w:rPr>
      </w:pPr>
      <w:r>
        <w:rPr>
          <w:rFonts w:cs="Times New Roman" w:ascii="Times New Roman" w:hAnsi="Times New Roman"/>
          <w:b/>
        </w:rPr>
        <w:t>Organização Civil de Saúde (OCS):</w:t>
      </w:r>
    </w:p>
    <w:p>
      <w:pPr>
        <w:pStyle w:val="Normal"/>
        <w:widowControl w:val="false"/>
        <w:numPr>
          <w:ilvl w:val="3"/>
          <w:numId w:val="1"/>
        </w:numPr>
        <w:spacing w:lineRule="auto" w:line="276" w:before="120" w:after="120"/>
        <w:ind w:left="1418" w:hanging="0"/>
        <w:jc w:val="both"/>
        <w:rPr>
          <w:rFonts w:ascii="Times New Roman" w:hAnsi="Times New Roman" w:cs="Times New Roman"/>
        </w:rPr>
      </w:pPr>
      <w:r>
        <w:rPr>
          <w:rFonts w:cs="Times New Roman" w:ascii="Times New Roman" w:hAnsi="Times New Roman"/>
        </w:rPr>
        <w:t>Prova de inscrição no Cadastro Nacional de Pessoa Jurídica (CNPJ);</w:t>
      </w:r>
    </w:p>
    <w:p>
      <w:pPr>
        <w:pStyle w:val="Normal"/>
        <w:widowControl w:val="false"/>
        <w:numPr>
          <w:ilvl w:val="3"/>
          <w:numId w:val="1"/>
        </w:numPr>
        <w:spacing w:lineRule="auto" w:line="276" w:before="120" w:after="120"/>
        <w:ind w:left="1418" w:hanging="0"/>
        <w:jc w:val="both"/>
        <w:rPr>
          <w:rFonts w:ascii="Times New Roman" w:hAnsi="Times New Roman" w:cs="Times New Roman"/>
        </w:rPr>
      </w:pPr>
      <w:r>
        <w:rPr>
          <w:rFonts w:cs="Times New Roman" w:ascii="Times New Roman" w:hAnsi="Times New Roman"/>
        </w:rPr>
        <w:t>Prova de regularidade fiscal perante a Fazenda Nacional efetuada mediante apresentação de certidão expedida conjuntamente pela Secretaria da Receita Federal do Brasil (RFB) e pela Procuradoria-Geral da Fazenda Nacional (PGFN), referente a todos os créditos tributários federais e à Dívida Ativa da União (DAU) por elas administrados (Portaria Conjunta PGFN/RFB nº 1.751, de 02 de outubro de 2014 e alteração);</w:t>
      </w:r>
    </w:p>
    <w:p>
      <w:pPr>
        <w:pStyle w:val="Normal"/>
        <w:widowControl w:val="false"/>
        <w:numPr>
          <w:ilvl w:val="3"/>
          <w:numId w:val="1"/>
        </w:numPr>
        <w:spacing w:lineRule="auto" w:line="276" w:before="120" w:after="120"/>
        <w:ind w:left="1418" w:hanging="0"/>
        <w:jc w:val="both"/>
        <w:rPr>
          <w:rFonts w:ascii="Times New Roman" w:hAnsi="Times New Roman" w:cs="Times New Roman"/>
        </w:rPr>
      </w:pPr>
      <w:r>
        <w:rPr>
          <w:rFonts w:cs="Times New Roman" w:ascii="Times New Roman" w:hAnsi="Times New Roman"/>
        </w:rPr>
        <w:t>Prova de regularidade relativa ao Fundo de Garantia por Tempo de Serviço (FGTS), por meio de apresentação do Certificado de Regularidade do FGTS – CRF, emitido pela Caixa Econômica Federal;</w:t>
      </w:r>
    </w:p>
    <w:p>
      <w:pPr>
        <w:pStyle w:val="Normal"/>
        <w:widowControl w:val="false"/>
        <w:numPr>
          <w:ilvl w:val="3"/>
          <w:numId w:val="1"/>
        </w:numPr>
        <w:spacing w:lineRule="auto" w:line="276" w:before="120" w:after="120"/>
        <w:ind w:left="1418" w:hanging="0"/>
        <w:jc w:val="both"/>
        <w:rPr>
          <w:rFonts w:ascii="Times New Roman" w:hAnsi="Times New Roman" w:cs="Times New Roman"/>
        </w:rPr>
      </w:pPr>
      <w:r>
        <w:rPr>
          <w:rFonts w:cs="Times New Roman" w:ascii="Times New Roman" w:hAnsi="Times New Roman"/>
        </w:rPr>
        <w:t>Prova de inexistência de débitos inadimplidos perante a Justiça do Trabalho, mediante a apresentação de certidão negativa ou positiva com efeito de negativa, nos termos da Lei Federal nº 12.440, de 2011; e,</w:t>
      </w:r>
    </w:p>
    <w:p>
      <w:pPr>
        <w:pStyle w:val="Normal"/>
        <w:widowControl w:val="false"/>
        <w:numPr>
          <w:ilvl w:val="3"/>
          <w:numId w:val="1"/>
        </w:numPr>
        <w:spacing w:lineRule="auto" w:line="276" w:before="120" w:after="120"/>
        <w:ind w:left="1418" w:hanging="0"/>
        <w:jc w:val="both"/>
        <w:rPr>
          <w:rFonts w:ascii="Times New Roman" w:hAnsi="Times New Roman" w:cs="Times New Roman"/>
        </w:rPr>
      </w:pPr>
      <w:r>
        <w:rPr>
          <w:rFonts w:cs="Times New Roman" w:ascii="Times New Roman" w:hAnsi="Times New Roman"/>
        </w:rPr>
        <w:t>Quando o contrato for executado por filial da empresa, o licitante deverá comprovar a regularidade fiscal da matriz e da filial.</w:t>
      </w:r>
    </w:p>
    <w:p>
      <w:pPr>
        <w:pStyle w:val="Normal"/>
        <w:widowControl w:val="false"/>
        <w:numPr>
          <w:ilvl w:val="3"/>
          <w:numId w:val="1"/>
        </w:numPr>
        <w:spacing w:lineRule="auto" w:line="276" w:before="120" w:after="120"/>
        <w:ind w:left="1418" w:hanging="0"/>
        <w:jc w:val="both"/>
        <w:rPr>
          <w:rFonts w:ascii="Times New Roman" w:hAnsi="Times New Roman" w:cs="Times New Roman"/>
        </w:rPr>
      </w:pPr>
      <w:r>
        <w:rPr>
          <w:rFonts w:cs="Times New Roman" w:ascii="Times New Roman" w:hAnsi="Times New Roman"/>
        </w:rPr>
        <w:t xml:space="preserve">Em caso de </w:t>
      </w:r>
      <w:r>
        <w:rPr>
          <w:rFonts w:cs="Times New Roman" w:ascii="Times New Roman" w:hAnsi="Times New Roman"/>
          <w:b/>
        </w:rPr>
        <w:t>cooperativas</w:t>
      </w:r>
      <w:r>
        <w:rPr>
          <w:rFonts w:cs="Times New Roman" w:ascii="Times New Roman" w:hAnsi="Times New Roman"/>
        </w:rPr>
        <w:t>, conforme o item 10.5, letra ‘b’, do Anexo VII-A, da IN SLTI/MPOG nº 05/2017:</w:t>
      </w:r>
    </w:p>
    <w:p>
      <w:pPr>
        <w:pStyle w:val="ListParagraph"/>
        <w:widowControl w:val="false"/>
        <w:numPr>
          <w:ilvl w:val="4"/>
          <w:numId w:val="1"/>
        </w:numPr>
        <w:spacing w:lineRule="auto" w:line="276" w:before="120" w:after="120"/>
        <w:ind w:left="2977" w:hanging="850"/>
        <w:contextualSpacing/>
        <w:jc w:val="both"/>
        <w:rPr>
          <w:rFonts w:ascii="Times New Roman" w:hAnsi="Times New Roman" w:cs="Times New Roman"/>
        </w:rPr>
      </w:pPr>
      <w:r>
        <w:rPr>
          <w:rFonts w:cs="Times New Roman" w:ascii="Times New Roman" w:hAnsi="Times New Roman"/>
        </w:rPr>
        <w:t>A declaração de regularidade de situação do contribuinte individual (DRSCI) de cada um dos cooperados relacionados.</w:t>
      </w:r>
    </w:p>
    <w:p>
      <w:pPr>
        <w:pStyle w:val="Normal"/>
        <w:widowControl w:val="false"/>
        <w:numPr>
          <w:ilvl w:val="2"/>
          <w:numId w:val="1"/>
        </w:numPr>
        <w:spacing w:lineRule="auto" w:line="276" w:before="120" w:after="120"/>
        <w:ind w:left="709" w:hanging="0"/>
        <w:jc w:val="both"/>
        <w:rPr>
          <w:rFonts w:ascii="Times New Roman" w:hAnsi="Times New Roman" w:cs="Times New Roman"/>
        </w:rPr>
      </w:pPr>
      <w:r>
        <w:rPr>
          <w:rFonts w:cs="Times New Roman" w:ascii="Times New Roman" w:hAnsi="Times New Roman"/>
          <w:b/>
        </w:rPr>
        <w:t>Profissional de Saúde Autônomo (PSA):</w:t>
      </w:r>
    </w:p>
    <w:p>
      <w:pPr>
        <w:pStyle w:val="Normal"/>
        <w:widowControl w:val="false"/>
        <w:numPr>
          <w:ilvl w:val="3"/>
          <w:numId w:val="1"/>
        </w:numPr>
        <w:spacing w:lineRule="auto" w:line="276" w:before="120" w:after="120"/>
        <w:ind w:left="1418" w:hanging="0"/>
        <w:jc w:val="both"/>
        <w:rPr>
          <w:rFonts w:ascii="Times New Roman" w:hAnsi="Times New Roman" w:cs="Times New Roman"/>
        </w:rPr>
      </w:pPr>
      <w:r>
        <w:rPr>
          <w:rFonts w:cs="Times New Roman" w:ascii="Times New Roman" w:hAnsi="Times New Roman"/>
        </w:rPr>
        <w:t>Prova de inscrição do licitante no Cadastro de Pessoas Físicas (CPF);</w:t>
      </w:r>
    </w:p>
    <w:p>
      <w:pPr>
        <w:pStyle w:val="Normal"/>
        <w:widowControl w:val="false"/>
        <w:numPr>
          <w:ilvl w:val="3"/>
          <w:numId w:val="1"/>
        </w:numPr>
        <w:spacing w:lineRule="auto" w:line="276" w:before="120" w:after="120"/>
        <w:ind w:left="1418" w:hanging="0"/>
        <w:jc w:val="both"/>
        <w:rPr>
          <w:rFonts w:ascii="Times New Roman" w:hAnsi="Times New Roman" w:cs="Times New Roman"/>
        </w:rPr>
      </w:pPr>
      <w:r>
        <w:rPr>
          <w:rFonts w:cs="Times New Roman" w:ascii="Times New Roman" w:hAnsi="Times New Roman"/>
        </w:rPr>
        <w:t>Prova de regularidade fiscal perante a Fazenda Nacional efetuada mediante apresentação de certidão expedida conjuntamente pela Secretaria da Receita Federal do Brasil (RFB) e pela Procuradoria-Geral da Fazenda Nacional (PGFN), referente a todos os créditos tributários federais e à Dívida Ativa da União (DAU) por elas administrados;</w:t>
      </w:r>
    </w:p>
    <w:p>
      <w:pPr>
        <w:pStyle w:val="Normal"/>
        <w:widowControl w:val="false"/>
        <w:numPr>
          <w:ilvl w:val="3"/>
          <w:numId w:val="1"/>
        </w:numPr>
        <w:spacing w:lineRule="auto" w:line="276" w:before="120" w:after="120"/>
        <w:ind w:left="1418" w:hanging="0"/>
        <w:jc w:val="both"/>
        <w:rPr>
          <w:rFonts w:ascii="Times New Roman" w:hAnsi="Times New Roman" w:cs="Times New Roman"/>
        </w:rPr>
      </w:pPr>
      <w:r>
        <w:rPr>
          <w:rFonts w:cs="Times New Roman" w:ascii="Times New Roman" w:hAnsi="Times New Roman"/>
        </w:rPr>
        <w:t>Prova de regularidade de inscrição e de recolhimento das contribuições do Contribuinte Individual para com a Previdência Social, efetuada mediante a apresentação da Declaração de Regularidade de Situação do Contribuinte Individual (DRS-CI), fornecida pelo Instituto Nacional do Seguro Social (INSS);</w:t>
      </w:r>
    </w:p>
    <w:p>
      <w:pPr>
        <w:pStyle w:val="Normal"/>
        <w:widowControl w:val="false"/>
        <w:numPr>
          <w:ilvl w:val="3"/>
          <w:numId w:val="1"/>
        </w:numPr>
        <w:spacing w:lineRule="auto" w:line="276" w:before="120" w:after="120"/>
        <w:ind w:left="1418" w:hanging="0"/>
        <w:jc w:val="both"/>
        <w:rPr>
          <w:rFonts w:ascii="Times New Roman" w:hAnsi="Times New Roman" w:cs="Times New Roman"/>
        </w:rPr>
      </w:pPr>
      <w:r>
        <w:rPr>
          <w:rFonts w:cs="Times New Roman" w:ascii="Times New Roman" w:hAnsi="Times New Roman"/>
        </w:rPr>
        <w:t>Prova de regularidade relativa ao Fundo de Garantia por Tempo de Serviço (FGTS) por meio de apresentação do Certificado de Regularidade do FGTS – CRF, emitido pela Caixa Econômica Federal;</w:t>
      </w:r>
    </w:p>
    <w:p>
      <w:pPr>
        <w:pStyle w:val="Normal"/>
        <w:widowControl w:val="false"/>
        <w:numPr>
          <w:ilvl w:val="4"/>
          <w:numId w:val="1"/>
        </w:numPr>
        <w:spacing w:lineRule="auto" w:line="276" w:before="120" w:after="120"/>
        <w:ind w:left="2977" w:hanging="850"/>
        <w:jc w:val="both"/>
        <w:rPr>
          <w:rFonts w:ascii="Times New Roman" w:hAnsi="Times New Roman" w:cs="Times New Roman"/>
        </w:rPr>
      </w:pPr>
      <w:r>
        <w:rPr>
          <w:rFonts w:cs="Times New Roman" w:ascii="Times New Roman" w:hAnsi="Times New Roman"/>
        </w:rPr>
        <w:t>Caso o licitante pessoa física não seja empregador, deverá, em substituição ao CRF, declarar tal fato.</w:t>
      </w:r>
    </w:p>
    <w:p>
      <w:pPr>
        <w:pStyle w:val="Normal"/>
        <w:widowControl w:val="false"/>
        <w:numPr>
          <w:ilvl w:val="3"/>
          <w:numId w:val="1"/>
        </w:numPr>
        <w:spacing w:lineRule="auto" w:line="276" w:before="120" w:after="120"/>
        <w:ind w:left="1418" w:hanging="0"/>
        <w:jc w:val="both"/>
        <w:rPr>
          <w:rFonts w:ascii="Times New Roman" w:hAnsi="Times New Roman" w:cs="Times New Roman"/>
        </w:rPr>
      </w:pPr>
      <w:r>
        <w:rPr>
          <w:rFonts w:cs="Times New Roman" w:ascii="Times New Roman" w:hAnsi="Times New Roman"/>
        </w:rPr>
        <w:t>Prova de inexistência de débitos inadimplidos perante a Justiça do Trabalho, mediante a apresentação de certidão negativa ou positiva com efeito de negativa, nos termos d nos termos da Lei Federal nº 12.440/2011.</w:t>
      </w:r>
    </w:p>
    <w:p>
      <w:pPr>
        <w:pStyle w:val="Normal"/>
        <w:widowControl w:val="false"/>
        <w:numPr>
          <w:ilvl w:val="2"/>
          <w:numId w:val="1"/>
        </w:numPr>
        <w:spacing w:lineRule="auto" w:line="276" w:before="120" w:after="120"/>
        <w:ind w:left="709" w:hanging="0"/>
        <w:jc w:val="both"/>
        <w:rPr>
          <w:rFonts w:ascii="Times New Roman" w:hAnsi="Times New Roman" w:cs="Times New Roman"/>
        </w:rPr>
      </w:pPr>
      <w:r>
        <w:rPr>
          <w:rFonts w:cs="Times New Roman" w:ascii="Times New Roman" w:hAnsi="Times New Roman"/>
        </w:rPr>
        <w:t>As certidões de comprovação da regularidade fiscal dos licitantes deverão ser apresentadas dentro do prazo de validade estabelecido em lei ou pelo órgão expedidor, ou, na hipótese de ausência de prazo estabelecido, deverão estar datadas dos últimos 180 (cento e oitenta) dias contados da data da abertura da sessão pública.</w:t>
      </w:r>
    </w:p>
    <w:p>
      <w:pPr>
        <w:pStyle w:val="Normal"/>
        <w:widowControl w:val="false"/>
        <w:numPr>
          <w:ilvl w:val="1"/>
          <w:numId w:val="1"/>
        </w:numPr>
        <w:spacing w:lineRule="auto" w:line="276" w:before="120" w:after="120"/>
        <w:ind w:left="0" w:hanging="0"/>
        <w:jc w:val="both"/>
        <w:rPr>
          <w:rFonts w:ascii="Times New Roman" w:hAnsi="Times New Roman" w:cs="Times New Roman"/>
          <w:b/>
          <w:b/>
        </w:rPr>
      </w:pPr>
      <w:r>
        <w:rPr>
          <w:rFonts w:cs="Times New Roman" w:ascii="Times New Roman" w:hAnsi="Times New Roman"/>
          <w:b/>
        </w:rPr>
        <w:t>Qualificação técnica:</w:t>
      </w:r>
    </w:p>
    <w:p>
      <w:pPr>
        <w:pStyle w:val="Normal"/>
        <w:widowControl w:val="false"/>
        <w:numPr>
          <w:ilvl w:val="2"/>
          <w:numId w:val="1"/>
        </w:numPr>
        <w:spacing w:lineRule="auto" w:line="276" w:before="120" w:after="120"/>
        <w:ind w:left="709" w:hanging="0"/>
        <w:jc w:val="both"/>
        <w:rPr>
          <w:rFonts w:ascii="Times New Roman" w:hAnsi="Times New Roman" w:cs="Times New Roman"/>
          <w:b/>
          <w:b/>
        </w:rPr>
      </w:pPr>
      <w:r>
        <w:rPr>
          <w:rFonts w:cs="Times New Roman" w:ascii="Times New Roman" w:hAnsi="Times New Roman"/>
          <w:b/>
        </w:rPr>
        <w:t>Organização Civil de Saúde (OCS):</w:t>
      </w:r>
    </w:p>
    <w:p>
      <w:pPr>
        <w:pStyle w:val="Normal"/>
        <w:widowControl w:val="false"/>
        <w:numPr>
          <w:ilvl w:val="3"/>
          <w:numId w:val="1"/>
        </w:numPr>
        <w:spacing w:lineRule="auto" w:line="276" w:before="120" w:after="120"/>
        <w:ind w:left="1418" w:hanging="0"/>
        <w:jc w:val="both"/>
        <w:rPr>
          <w:rFonts w:ascii="Times New Roman" w:hAnsi="Times New Roman" w:cs="Times New Roman"/>
        </w:rPr>
      </w:pPr>
      <w:r>
        <w:rPr>
          <w:rFonts w:cs="Times New Roman" w:ascii="Times New Roman" w:hAnsi="Times New Roman"/>
        </w:rPr>
        <w:t>Prova de registro ou inscrição no Conselho de Classe respectivo;</w:t>
      </w:r>
    </w:p>
    <w:p>
      <w:pPr>
        <w:pStyle w:val="Normal"/>
        <w:widowControl w:val="false"/>
        <w:spacing w:lineRule="auto" w:line="276" w:before="120" w:after="120"/>
        <w:ind w:left="1418" w:hanging="0"/>
        <w:jc w:val="both"/>
        <w:rPr>
          <w:rFonts w:ascii="Times New Roman" w:hAnsi="Times New Roman" w:cs="Times New Roman"/>
          <w:i/>
          <w:i/>
          <w:sz w:val="18"/>
          <w:szCs w:val="16"/>
        </w:rPr>
      </w:pPr>
      <w:r>
        <w:rPr>
          <w:rFonts w:cs="Times New Roman" w:ascii="Times New Roman" w:hAnsi="Times New Roman"/>
          <w:i/>
          <w:sz w:val="18"/>
          <w:szCs w:val="16"/>
          <w:highlight w:val="yellow"/>
        </w:rPr>
        <w:t>Nota Explicativa: A prova a que se refere o item é obrigatória para médicos (art. 17 da Lei 3.268, de 30/09/1957), odontólogos (art. 13 da Lei 4.324, de 14/04/1964), psicólogos (art.s 10º e 11 da Lei 5.766, de 20/12/1971), nutricionistas (art.s 1º e 2º da Lei 8.234, 17/09/1991), fisioterapeutas e terapeutas ocupacionais (art. 12 da Lei 63.16, 17/12/1975) e fonoaudiólogos (art. 3º da Lei 6.965, 9/12/1981).</w:t>
      </w:r>
    </w:p>
    <w:p>
      <w:pPr>
        <w:pStyle w:val="Normal"/>
        <w:widowControl w:val="false"/>
        <w:numPr>
          <w:ilvl w:val="3"/>
          <w:numId w:val="1"/>
        </w:numPr>
        <w:spacing w:lineRule="auto" w:line="276" w:before="120" w:after="120"/>
        <w:ind w:left="1418" w:hanging="0"/>
        <w:jc w:val="both"/>
        <w:rPr>
          <w:rFonts w:ascii="Times New Roman" w:hAnsi="Times New Roman" w:cs="Times New Roman"/>
        </w:rPr>
      </w:pPr>
      <w:r>
        <w:rPr>
          <w:rFonts w:cs="Times New Roman" w:ascii="Times New Roman" w:hAnsi="Times New Roman"/>
        </w:rPr>
        <w:t>Documentação do responsável técnico da OCS:</w:t>
      </w:r>
    </w:p>
    <w:p>
      <w:pPr>
        <w:pStyle w:val="Normal"/>
        <w:widowControl w:val="false"/>
        <w:spacing w:lineRule="auto" w:line="276" w:before="120" w:after="120"/>
        <w:ind w:left="2127" w:hanging="0"/>
        <w:jc w:val="both"/>
        <w:rPr>
          <w:rFonts w:ascii="Times New Roman" w:hAnsi="Times New Roman" w:cs="Times New Roman"/>
        </w:rPr>
      </w:pPr>
      <w:r>
        <w:rPr>
          <w:rFonts w:cs="Times New Roman" w:ascii="Times New Roman" w:hAnsi="Times New Roman"/>
        </w:rPr>
        <w:t>4.6.1.2.1 RG e CPF;</w:t>
      </w:r>
    </w:p>
    <w:p>
      <w:pPr>
        <w:pStyle w:val="Normal"/>
        <w:widowControl w:val="false"/>
        <w:spacing w:lineRule="auto" w:line="276" w:before="120" w:after="120"/>
        <w:ind w:left="2127" w:hanging="0"/>
        <w:jc w:val="both"/>
        <w:rPr>
          <w:rFonts w:ascii="Times New Roman" w:hAnsi="Times New Roman" w:cs="Times New Roman"/>
        </w:rPr>
      </w:pPr>
      <w:r>
        <w:rPr>
          <w:rFonts w:cs="Times New Roman" w:ascii="Times New Roman" w:hAnsi="Times New Roman"/>
        </w:rPr>
        <w:t>4.6.1.2.2 Certificado de especialidade;</w:t>
      </w:r>
    </w:p>
    <w:p>
      <w:pPr>
        <w:pStyle w:val="Normal"/>
        <w:widowControl w:val="false"/>
        <w:spacing w:lineRule="auto" w:line="276" w:before="120" w:after="120"/>
        <w:ind w:left="2127" w:hanging="0"/>
        <w:jc w:val="both"/>
        <w:rPr>
          <w:rFonts w:ascii="Times New Roman" w:hAnsi="Times New Roman" w:cs="Times New Roman"/>
        </w:rPr>
      </w:pPr>
      <w:r>
        <w:rPr>
          <w:rFonts w:cs="Times New Roman" w:ascii="Times New Roman" w:hAnsi="Times New Roman"/>
        </w:rPr>
        <w:t>4.6.1.2.3 Registro no Conselho de Classe.</w:t>
      </w:r>
    </w:p>
    <w:p>
      <w:pPr>
        <w:pStyle w:val="Normal"/>
        <w:widowControl w:val="false"/>
        <w:numPr>
          <w:ilvl w:val="3"/>
          <w:numId w:val="1"/>
        </w:numPr>
        <w:spacing w:lineRule="auto" w:line="276" w:before="120" w:after="120"/>
        <w:ind w:left="1418" w:hanging="0"/>
        <w:jc w:val="both"/>
        <w:rPr>
          <w:rFonts w:ascii="Times New Roman" w:hAnsi="Times New Roman" w:cs="Times New Roman"/>
        </w:rPr>
      </w:pPr>
      <w:r>
        <w:rPr>
          <w:rFonts w:cs="Times New Roman" w:ascii="Times New Roman" w:hAnsi="Times New Roman"/>
        </w:rPr>
        <w:t>Relação de membros do corpo clínico datada e assinada pelo responsável técnico contendo os seguintes dados:</w:t>
      </w:r>
    </w:p>
    <w:p>
      <w:pPr>
        <w:pStyle w:val="Normal"/>
        <w:widowControl w:val="false"/>
        <w:spacing w:lineRule="auto" w:line="276" w:before="120" w:after="120"/>
        <w:ind w:left="2127" w:hanging="0"/>
        <w:jc w:val="both"/>
        <w:rPr>
          <w:rFonts w:ascii="Times New Roman" w:hAnsi="Times New Roman" w:cs="Times New Roman"/>
        </w:rPr>
      </w:pPr>
      <w:r>
        <w:rPr>
          <w:rFonts w:cs="Times New Roman" w:ascii="Times New Roman" w:hAnsi="Times New Roman"/>
        </w:rPr>
        <w:t>4.6.1.3.1 Nome completo;</w:t>
      </w:r>
    </w:p>
    <w:p>
      <w:pPr>
        <w:pStyle w:val="Normal"/>
        <w:widowControl w:val="false"/>
        <w:spacing w:lineRule="auto" w:line="276" w:before="120" w:after="120"/>
        <w:ind w:left="2127" w:hanging="0"/>
        <w:jc w:val="both"/>
        <w:rPr>
          <w:rFonts w:ascii="Times New Roman" w:hAnsi="Times New Roman" w:cs="Times New Roman"/>
        </w:rPr>
      </w:pPr>
      <w:r>
        <w:rPr>
          <w:rFonts w:cs="Times New Roman" w:ascii="Times New Roman" w:hAnsi="Times New Roman"/>
        </w:rPr>
        <w:t>4.6.1.3.2 Especialidade clínica;</w:t>
      </w:r>
    </w:p>
    <w:p>
      <w:pPr>
        <w:pStyle w:val="Normal"/>
        <w:widowControl w:val="false"/>
        <w:spacing w:lineRule="auto" w:line="276" w:before="120" w:after="120"/>
        <w:ind w:left="2127" w:hanging="0"/>
        <w:jc w:val="both"/>
        <w:rPr>
          <w:rFonts w:ascii="Times New Roman" w:hAnsi="Times New Roman" w:cs="Times New Roman"/>
        </w:rPr>
      </w:pPr>
      <w:r>
        <w:rPr>
          <w:rFonts w:cs="Times New Roman" w:ascii="Times New Roman" w:hAnsi="Times New Roman"/>
        </w:rPr>
        <w:t>4.6.1.3.3 Número no registro de classe.</w:t>
      </w:r>
    </w:p>
    <w:p>
      <w:pPr>
        <w:pStyle w:val="Normal"/>
        <w:widowControl w:val="false"/>
        <w:numPr>
          <w:ilvl w:val="3"/>
          <w:numId w:val="1"/>
        </w:numPr>
        <w:spacing w:lineRule="auto" w:line="276" w:before="120" w:after="120"/>
        <w:ind w:left="1418" w:hanging="0"/>
        <w:jc w:val="both"/>
        <w:rPr>
          <w:rFonts w:ascii="Times New Roman" w:hAnsi="Times New Roman" w:cs="Times New Roman"/>
        </w:rPr>
      </w:pPr>
      <w:r>
        <w:rPr>
          <w:rFonts w:cs="Times New Roman" w:ascii="Times New Roman" w:hAnsi="Times New Roman"/>
        </w:rPr>
        <w:t>Alvará de localização e funcionamento válido;</w:t>
      </w:r>
    </w:p>
    <w:p>
      <w:pPr>
        <w:pStyle w:val="Normal"/>
        <w:widowControl w:val="false"/>
        <w:numPr>
          <w:ilvl w:val="3"/>
          <w:numId w:val="1"/>
        </w:numPr>
        <w:spacing w:lineRule="auto" w:line="276" w:before="120" w:after="120"/>
        <w:ind w:left="1418" w:hanging="0"/>
        <w:jc w:val="both"/>
        <w:rPr>
          <w:rFonts w:ascii="Times New Roman" w:hAnsi="Times New Roman" w:cs="Times New Roman"/>
        </w:rPr>
      </w:pPr>
      <w:r>
        <w:rPr>
          <w:rFonts w:cs="Times New Roman" w:ascii="Times New Roman" w:hAnsi="Times New Roman"/>
        </w:rPr>
        <w:t>Alvará de autorização sanitária válido;</w:t>
      </w:r>
    </w:p>
    <w:p>
      <w:pPr>
        <w:pStyle w:val="Normal"/>
        <w:widowControl w:val="false"/>
        <w:numPr>
          <w:ilvl w:val="3"/>
          <w:numId w:val="1"/>
        </w:numPr>
        <w:spacing w:lineRule="auto" w:line="276" w:before="120" w:after="120"/>
        <w:ind w:left="1418" w:hanging="0"/>
        <w:jc w:val="both"/>
        <w:rPr>
          <w:rFonts w:ascii="Times New Roman" w:hAnsi="Times New Roman" w:cs="Times New Roman"/>
        </w:rPr>
      </w:pPr>
      <w:r>
        <w:rPr>
          <w:rFonts w:cs="Times New Roman" w:ascii="Times New Roman" w:hAnsi="Times New Roman"/>
        </w:rPr>
        <w:t>O credenciamento da OCS poderá observar as seguintes situações quanto ao alvará de autorização sanitária:</w:t>
      </w:r>
    </w:p>
    <w:p>
      <w:pPr>
        <w:pStyle w:val="Normal"/>
        <w:widowControl w:val="false"/>
        <w:numPr>
          <w:ilvl w:val="4"/>
          <w:numId w:val="1"/>
        </w:numPr>
        <w:spacing w:lineRule="auto" w:line="276" w:before="120" w:after="120"/>
        <w:ind w:left="3119" w:hanging="992"/>
        <w:jc w:val="both"/>
        <w:rPr>
          <w:rFonts w:ascii="Times New Roman" w:hAnsi="Times New Roman" w:cs="Times New Roman"/>
        </w:rPr>
      </w:pPr>
      <w:r>
        <w:rPr>
          <w:rFonts w:cs="Times New Roman" w:ascii="Times New Roman" w:hAnsi="Times New Roman"/>
        </w:rPr>
        <w:t>Situação: Alvará de autorização sanitária vencido;</w:t>
      </w:r>
    </w:p>
    <w:p>
      <w:pPr>
        <w:pStyle w:val="Normal"/>
        <w:widowControl w:val="false"/>
        <w:numPr>
          <w:ilvl w:val="5"/>
          <w:numId w:val="1"/>
        </w:numPr>
        <w:spacing w:lineRule="auto" w:line="276" w:before="120" w:after="120"/>
        <w:ind w:left="3119" w:hanging="992"/>
        <w:jc w:val="both"/>
        <w:rPr>
          <w:rFonts w:ascii="Times New Roman" w:hAnsi="Times New Roman" w:cs="Times New Roman"/>
        </w:rPr>
      </w:pPr>
      <w:r>
        <w:rPr>
          <w:rFonts w:cs="Times New Roman" w:ascii="Times New Roman" w:hAnsi="Times New Roman"/>
        </w:rPr>
        <w:t>Documento a ser apresentado: alvará vencido, acompanhado de requerimento em tempo hábil (prazo estabelecido na legislação municipal específica, ou, em caso de omissão na legislação do Município, 120 dias antes do término de sua vigência) e comprovante da omissão por parte da autoridade de vigilância sanitária.</w:t>
      </w:r>
    </w:p>
    <w:p>
      <w:pPr>
        <w:pStyle w:val="Normal"/>
        <w:widowControl w:val="false"/>
        <w:numPr>
          <w:ilvl w:val="4"/>
          <w:numId w:val="1"/>
        </w:numPr>
        <w:spacing w:lineRule="auto" w:line="276" w:before="120" w:after="120"/>
        <w:ind w:left="3119" w:hanging="992"/>
        <w:jc w:val="both"/>
        <w:rPr>
          <w:rFonts w:ascii="Times New Roman" w:hAnsi="Times New Roman" w:cs="Times New Roman"/>
        </w:rPr>
      </w:pPr>
      <w:r>
        <w:rPr>
          <w:rFonts w:cs="Times New Roman" w:ascii="Times New Roman" w:hAnsi="Times New Roman"/>
        </w:rPr>
        <w:t>Situação: requerimento de renovação a destempo (para além dos 120 dias);</w:t>
      </w:r>
    </w:p>
    <w:p>
      <w:pPr>
        <w:pStyle w:val="Normal"/>
        <w:widowControl w:val="false"/>
        <w:numPr>
          <w:ilvl w:val="5"/>
          <w:numId w:val="1"/>
        </w:numPr>
        <w:spacing w:lineRule="auto" w:line="276" w:before="120" w:after="120"/>
        <w:ind w:left="3119" w:hanging="992"/>
        <w:jc w:val="both"/>
        <w:rPr>
          <w:rFonts w:ascii="Times New Roman" w:hAnsi="Times New Roman" w:cs="Times New Roman"/>
        </w:rPr>
      </w:pPr>
      <w:r>
        <w:rPr>
          <w:rFonts w:cs="Times New Roman" w:ascii="Times New Roman" w:hAnsi="Times New Roman"/>
        </w:rPr>
        <w:t>Documento a ser apresentado: alvará de autorização sanitária válido ou requerimento a destempo, acompanhado de comprovante da omissão por parte da autoridade de vigilância sanitária.</w:t>
      </w:r>
    </w:p>
    <w:p>
      <w:pPr>
        <w:pStyle w:val="Normal"/>
        <w:widowControl w:val="false"/>
        <w:numPr>
          <w:ilvl w:val="4"/>
          <w:numId w:val="1"/>
        </w:numPr>
        <w:spacing w:lineRule="auto" w:line="276" w:before="120" w:after="120"/>
        <w:ind w:left="3119" w:hanging="992"/>
        <w:jc w:val="both"/>
        <w:rPr>
          <w:rFonts w:ascii="Times New Roman" w:hAnsi="Times New Roman" w:cs="Times New Roman"/>
        </w:rPr>
      </w:pPr>
      <w:r>
        <w:rPr>
          <w:rFonts w:cs="Times New Roman" w:ascii="Times New Roman" w:hAnsi="Times New Roman"/>
        </w:rPr>
        <w:t>Situação: requerimento superveniente a instituição da empresa;</w:t>
      </w:r>
    </w:p>
    <w:p>
      <w:pPr>
        <w:pStyle w:val="Normal"/>
        <w:widowControl w:val="false"/>
        <w:numPr>
          <w:ilvl w:val="5"/>
          <w:numId w:val="1"/>
        </w:numPr>
        <w:spacing w:lineRule="auto" w:line="276" w:before="120" w:after="120"/>
        <w:ind w:left="4111" w:hanging="992"/>
        <w:jc w:val="both"/>
        <w:rPr>
          <w:rFonts w:ascii="Times New Roman" w:hAnsi="Times New Roman" w:cs="Times New Roman"/>
        </w:rPr>
      </w:pPr>
      <w:r>
        <w:rPr>
          <w:rFonts w:cs="Times New Roman" w:ascii="Times New Roman" w:hAnsi="Times New Roman"/>
        </w:rPr>
        <w:t>Documento a ser apresentado: alvará válido ou requerimento inicial, acompanhado de comprovante da omissão por parte da autoridade de vigilância sanitária.</w:t>
      </w:r>
    </w:p>
    <w:p>
      <w:pPr>
        <w:pStyle w:val="Normal"/>
        <w:widowControl w:val="false"/>
        <w:numPr>
          <w:ilvl w:val="4"/>
          <w:numId w:val="1"/>
        </w:numPr>
        <w:spacing w:lineRule="auto" w:line="276" w:before="120" w:after="120"/>
        <w:ind w:left="3119" w:hanging="992"/>
        <w:jc w:val="both"/>
        <w:rPr>
          <w:rFonts w:ascii="Times New Roman" w:hAnsi="Times New Roman" w:cs="Times New Roman"/>
        </w:rPr>
      </w:pPr>
      <w:r>
        <w:rPr>
          <w:rFonts w:cs="Times New Roman" w:ascii="Times New Roman" w:hAnsi="Times New Roman"/>
        </w:rPr>
        <w:t>Situação: funcionamento decorrente de decreto judicial;</w:t>
      </w:r>
    </w:p>
    <w:p>
      <w:pPr>
        <w:pStyle w:val="Normal"/>
        <w:widowControl w:val="false"/>
        <w:spacing w:lineRule="auto" w:line="276" w:before="120" w:after="120"/>
        <w:ind w:left="3119" w:hanging="0"/>
        <w:jc w:val="both"/>
        <w:rPr>
          <w:rFonts w:ascii="Times New Roman" w:hAnsi="Times New Roman" w:cs="Times New Roman"/>
        </w:rPr>
      </w:pPr>
      <w:r>
        <w:rPr>
          <w:rFonts w:cs="Times New Roman" w:ascii="Times New Roman" w:hAnsi="Times New Roman"/>
        </w:rPr>
        <w:t>4.6.1.6.4.1. Documento a ser apresentado: decreto judicial válido.</w:t>
      </w:r>
    </w:p>
    <w:p>
      <w:pPr>
        <w:pStyle w:val="Normal"/>
        <w:widowControl w:val="false"/>
        <w:spacing w:lineRule="auto" w:line="276" w:before="120" w:after="120"/>
        <w:ind w:left="1418" w:hanging="0"/>
        <w:jc w:val="both"/>
        <w:rPr>
          <w:rFonts w:ascii="Times New Roman" w:hAnsi="Times New Roman" w:cs="Times New Roman"/>
        </w:rPr>
      </w:pPr>
      <w:r>
        <w:rPr>
          <w:rFonts w:cs="Times New Roman" w:ascii="Times New Roman" w:hAnsi="Times New Roman"/>
        </w:rPr>
      </w:r>
    </w:p>
    <w:p>
      <w:pPr>
        <w:pStyle w:val="Normal"/>
        <w:widowControl w:val="false"/>
        <w:numPr>
          <w:ilvl w:val="3"/>
          <w:numId w:val="1"/>
        </w:numPr>
        <w:spacing w:lineRule="auto" w:line="276" w:before="120" w:after="120"/>
        <w:ind w:left="1418" w:hanging="0"/>
        <w:jc w:val="both"/>
        <w:rPr>
          <w:rFonts w:ascii="Times New Roman" w:hAnsi="Times New Roman" w:cs="Times New Roman"/>
        </w:rPr>
      </w:pPr>
      <w:r>
        <w:rPr>
          <w:rFonts w:cs="Times New Roman" w:ascii="Times New Roman" w:hAnsi="Times New Roman"/>
        </w:rPr>
        <w:t xml:space="preserve">Em caso de </w:t>
      </w:r>
      <w:r>
        <w:rPr>
          <w:rFonts w:cs="Times New Roman" w:ascii="Times New Roman" w:hAnsi="Times New Roman"/>
          <w:b/>
        </w:rPr>
        <w:t>cooperativas</w:t>
      </w:r>
      <w:r>
        <w:rPr>
          <w:rFonts w:cs="Times New Roman" w:ascii="Times New Roman" w:hAnsi="Times New Roman"/>
        </w:rPr>
        <w:t>, conforme o item 10.5, letras ‘a’ a ‘f’, do Anexo VII-A, da IN SLTI/MPOG nº 05/2017:</w:t>
      </w:r>
    </w:p>
    <w:p>
      <w:pPr>
        <w:pStyle w:val="Normal"/>
        <w:widowControl w:val="false"/>
        <w:spacing w:lineRule="auto" w:line="276" w:before="120" w:after="120"/>
        <w:ind w:left="2127" w:hanging="0"/>
        <w:jc w:val="both"/>
        <w:rPr>
          <w:rFonts w:ascii="Times New Roman" w:hAnsi="Times New Roman" w:cs="Times New Roman"/>
        </w:rPr>
      </w:pPr>
      <w:r>
        <w:rPr>
          <w:rFonts w:cs="Times New Roman" w:ascii="Times New Roman" w:hAnsi="Times New Roman"/>
        </w:rPr>
        <w:t>4.6.1.7.1 A relação dos cooperados que atendem aos requisitos técnicos exigidos para a contratação e que executarão o contrato, com as respectivas atas de inscrição e a comprovação de que estão domiciliados na localidade da sede da cooperativa, respeitado o disposto no inciso XI, do art. 4º, inciso I, do art. 21 e §§ 2º a 6º do art. 42 da Lei nº 5.764/1971;</w:t>
      </w:r>
    </w:p>
    <w:p>
      <w:pPr>
        <w:pStyle w:val="Normal"/>
        <w:widowControl w:val="false"/>
        <w:spacing w:lineRule="auto" w:line="276" w:before="120" w:after="120"/>
        <w:jc w:val="both"/>
        <w:rPr>
          <w:rFonts w:ascii="Times New Roman" w:hAnsi="Times New Roman" w:cs="Times New Roman"/>
        </w:rPr>
      </w:pPr>
      <w:r>
        <w:rPr>
          <w:rFonts w:cs="Times New Roman" w:ascii="Times New Roman" w:hAnsi="Times New Roman"/>
        </w:rPr>
      </w:r>
    </w:p>
    <w:p>
      <w:pPr>
        <w:pStyle w:val="Normal"/>
        <w:widowControl w:val="false"/>
        <w:numPr>
          <w:ilvl w:val="2"/>
          <w:numId w:val="1"/>
        </w:numPr>
        <w:spacing w:lineRule="auto" w:line="276" w:before="120" w:after="120"/>
        <w:ind w:left="709" w:hanging="0"/>
        <w:jc w:val="both"/>
        <w:rPr>
          <w:rFonts w:ascii="Times New Roman" w:hAnsi="Times New Roman" w:cs="Times New Roman"/>
        </w:rPr>
      </w:pPr>
      <w:r>
        <w:rPr>
          <w:rFonts w:cs="Times New Roman" w:ascii="Times New Roman" w:hAnsi="Times New Roman"/>
          <w:b/>
        </w:rPr>
        <w:t>Profissional de Saúde Autônomo (PSA):</w:t>
      </w:r>
    </w:p>
    <w:p>
      <w:pPr>
        <w:pStyle w:val="Normal"/>
        <w:widowControl w:val="false"/>
        <w:numPr>
          <w:ilvl w:val="3"/>
          <w:numId w:val="1"/>
        </w:numPr>
        <w:spacing w:lineRule="auto" w:line="276" w:before="120" w:after="120"/>
        <w:ind w:left="1418" w:hanging="0"/>
        <w:jc w:val="both"/>
        <w:rPr>
          <w:rFonts w:ascii="Times New Roman" w:hAnsi="Times New Roman" w:cs="Times New Roman"/>
        </w:rPr>
      </w:pPr>
      <w:r>
        <w:rPr>
          <w:rFonts w:cs="Times New Roman" w:ascii="Times New Roman" w:hAnsi="Times New Roman"/>
        </w:rPr>
        <w:t>Prova de registro ou inscrição no Conselho de Classe respectivo;</w:t>
      </w:r>
    </w:p>
    <w:p>
      <w:pPr>
        <w:pStyle w:val="Normal"/>
        <w:widowControl w:val="false"/>
        <w:spacing w:lineRule="auto" w:line="276" w:before="120" w:after="120"/>
        <w:ind w:left="1418" w:hanging="0"/>
        <w:jc w:val="both"/>
        <w:rPr>
          <w:rFonts w:ascii="Times New Roman" w:hAnsi="Times New Roman" w:cs="Times New Roman"/>
          <w:i/>
          <w:i/>
          <w:sz w:val="18"/>
          <w:szCs w:val="16"/>
        </w:rPr>
      </w:pPr>
      <w:r>
        <w:rPr>
          <w:rFonts w:cs="Times New Roman" w:ascii="Times New Roman" w:hAnsi="Times New Roman"/>
          <w:i/>
          <w:sz w:val="18"/>
          <w:szCs w:val="16"/>
          <w:highlight w:val="yellow"/>
        </w:rPr>
        <w:t>Nota Explicativa: A prova a que se refere o item é obrigatória para médicos (art.17 da Lei 3.268, de 30/09/1957), odontólogos (art. 13 da Lei 4.324, de 14/04/1964), psicólogos (art.s 10º e 11 da Lei 5.766, de 20/12/1971), nutricionistas (art.s 1º e 2º da Lei 8.234, 17/09/1991), fisioterapeutas e terapeutas ocupacionais (art. 12 da Lei 63.16, 17/12/1975) e fonoaudiólogos (art. 3º da Lei 6.965, 9/12/1981).</w:t>
      </w:r>
    </w:p>
    <w:p>
      <w:pPr>
        <w:pStyle w:val="Normal"/>
        <w:widowControl w:val="false"/>
        <w:numPr>
          <w:ilvl w:val="3"/>
          <w:numId w:val="1"/>
        </w:numPr>
        <w:spacing w:lineRule="auto" w:line="276" w:before="120" w:after="120"/>
        <w:ind w:left="1418" w:hanging="0"/>
        <w:jc w:val="both"/>
        <w:rPr>
          <w:rFonts w:ascii="Times New Roman" w:hAnsi="Times New Roman" w:cs="Times New Roman"/>
        </w:rPr>
      </w:pPr>
      <w:r>
        <w:rPr>
          <w:rFonts w:cs="Times New Roman" w:ascii="Times New Roman" w:hAnsi="Times New Roman"/>
        </w:rPr>
        <w:t>A comprovação da Especialidade será feita mediante a apresentação de título de especialidade registrado no respectivo Conselho Regional;</w:t>
      </w:r>
    </w:p>
    <w:p>
      <w:pPr>
        <w:pStyle w:val="Normal"/>
        <w:widowControl w:val="false"/>
        <w:numPr>
          <w:ilvl w:val="3"/>
          <w:numId w:val="1"/>
        </w:numPr>
        <w:spacing w:lineRule="auto" w:line="276" w:before="120" w:after="120"/>
        <w:ind w:left="1418" w:hanging="0"/>
        <w:jc w:val="both"/>
        <w:rPr>
          <w:rFonts w:ascii="Times New Roman" w:hAnsi="Times New Roman" w:cs="Times New Roman"/>
        </w:rPr>
      </w:pPr>
      <w:r>
        <w:rPr>
          <w:rFonts w:cs="Times New Roman" w:ascii="Times New Roman" w:hAnsi="Times New Roman"/>
        </w:rPr>
        <w:t>Alvará de localização e funcionamento válido expedido em seu nome no endereço onde se propõe a prestar o serviço, salvo se o estabelecimento já o tiver, quando este deverá ser apresentado;</w:t>
      </w:r>
    </w:p>
    <w:p>
      <w:pPr>
        <w:pStyle w:val="Normal"/>
        <w:widowControl w:val="false"/>
        <w:numPr>
          <w:ilvl w:val="3"/>
          <w:numId w:val="1"/>
        </w:numPr>
        <w:spacing w:lineRule="auto" w:line="276" w:before="120" w:after="120"/>
        <w:ind w:left="1418" w:hanging="0"/>
        <w:jc w:val="both"/>
        <w:rPr>
          <w:rFonts w:ascii="Times New Roman" w:hAnsi="Times New Roman" w:cs="Times New Roman"/>
        </w:rPr>
      </w:pPr>
      <w:r>
        <w:rPr>
          <w:rFonts w:cs="Times New Roman" w:ascii="Times New Roman" w:hAnsi="Times New Roman"/>
        </w:rPr>
        <w:t>Alvará de autorização sanitária válido, expedido em seu nome, no endereço onde se propõe a prestar o serviço, salvo se o estabelecimento já o tiver, quando este deverá ser apresentado;</w:t>
      </w:r>
    </w:p>
    <w:p>
      <w:pPr>
        <w:pStyle w:val="Normal"/>
        <w:widowControl w:val="false"/>
        <w:numPr>
          <w:ilvl w:val="3"/>
          <w:numId w:val="1"/>
        </w:numPr>
        <w:spacing w:lineRule="auto" w:line="276" w:before="120" w:after="120"/>
        <w:ind w:left="1418" w:hanging="0"/>
        <w:jc w:val="both"/>
        <w:rPr>
          <w:rFonts w:ascii="Times New Roman" w:hAnsi="Times New Roman" w:cs="Times New Roman"/>
        </w:rPr>
      </w:pPr>
      <w:r>
        <w:rPr>
          <w:rFonts w:cs="Times New Roman" w:ascii="Times New Roman" w:hAnsi="Times New Roman"/>
        </w:rPr>
        <w:t>O credenciamento do PSA poderá observar as seguintes situações quanto ao alvará de autorização sanitária:</w:t>
      </w:r>
    </w:p>
    <w:p>
      <w:pPr>
        <w:pStyle w:val="Normal"/>
        <w:widowControl w:val="false"/>
        <w:numPr>
          <w:ilvl w:val="4"/>
          <w:numId w:val="1"/>
        </w:numPr>
        <w:spacing w:lineRule="auto" w:line="276" w:before="120" w:after="120"/>
        <w:ind w:left="2977" w:hanging="850"/>
        <w:jc w:val="both"/>
        <w:rPr>
          <w:rFonts w:ascii="Times New Roman" w:hAnsi="Times New Roman" w:cs="Times New Roman"/>
        </w:rPr>
      </w:pPr>
      <w:r>
        <w:rPr>
          <w:rFonts w:cs="Times New Roman" w:ascii="Times New Roman" w:hAnsi="Times New Roman"/>
        </w:rPr>
        <w:t>Situação: Alvará de autorização sanitária vencido;</w:t>
      </w:r>
    </w:p>
    <w:p>
      <w:pPr>
        <w:pStyle w:val="Normal"/>
        <w:widowControl w:val="false"/>
        <w:numPr>
          <w:ilvl w:val="5"/>
          <w:numId w:val="1"/>
        </w:numPr>
        <w:spacing w:lineRule="auto" w:line="276" w:before="120" w:after="120"/>
        <w:ind w:left="2977" w:hanging="0"/>
        <w:jc w:val="both"/>
        <w:rPr>
          <w:rFonts w:ascii="Times New Roman" w:hAnsi="Times New Roman" w:cs="Times New Roman"/>
        </w:rPr>
      </w:pPr>
      <w:r>
        <w:rPr>
          <w:rFonts w:cs="Times New Roman" w:ascii="Times New Roman" w:hAnsi="Times New Roman"/>
        </w:rPr>
        <w:t>Documento a ser apresentado: alvará vencido, acompanhado de requerimento em tempo hábil (120 dias antes do término de sua vigência) e comprovante da omissão por parte da autoridade de vigilância sanitária.</w:t>
      </w:r>
    </w:p>
    <w:p>
      <w:pPr>
        <w:pStyle w:val="Normal"/>
        <w:widowControl w:val="false"/>
        <w:numPr>
          <w:ilvl w:val="4"/>
          <w:numId w:val="1"/>
        </w:numPr>
        <w:spacing w:lineRule="auto" w:line="276" w:before="120" w:after="120"/>
        <w:ind w:left="2977" w:hanging="850"/>
        <w:jc w:val="both"/>
        <w:rPr>
          <w:rFonts w:ascii="Times New Roman" w:hAnsi="Times New Roman" w:cs="Times New Roman"/>
        </w:rPr>
      </w:pPr>
      <w:r>
        <w:rPr>
          <w:rFonts w:cs="Times New Roman" w:ascii="Times New Roman" w:hAnsi="Times New Roman"/>
        </w:rPr>
        <w:t>Situação: requerimento de renovação a destempo (para além dos 120 dias);</w:t>
      </w:r>
    </w:p>
    <w:p>
      <w:pPr>
        <w:pStyle w:val="Normal"/>
        <w:widowControl w:val="false"/>
        <w:numPr>
          <w:ilvl w:val="5"/>
          <w:numId w:val="1"/>
        </w:numPr>
        <w:spacing w:lineRule="auto" w:line="276" w:before="120" w:after="120"/>
        <w:ind w:left="2977" w:hanging="0"/>
        <w:jc w:val="both"/>
        <w:rPr>
          <w:rFonts w:ascii="Times New Roman" w:hAnsi="Times New Roman" w:cs="Times New Roman"/>
        </w:rPr>
      </w:pPr>
      <w:r>
        <w:rPr>
          <w:rFonts w:cs="Times New Roman" w:ascii="Times New Roman" w:hAnsi="Times New Roman"/>
        </w:rPr>
        <w:t>Documento a ser apresentado: alvará de autorização sanitária válido.</w:t>
      </w:r>
    </w:p>
    <w:p>
      <w:pPr>
        <w:pStyle w:val="Normal"/>
        <w:widowControl w:val="false"/>
        <w:numPr>
          <w:ilvl w:val="4"/>
          <w:numId w:val="1"/>
        </w:numPr>
        <w:spacing w:lineRule="auto" w:line="276" w:before="120" w:after="120"/>
        <w:ind w:left="2977" w:hanging="850"/>
        <w:jc w:val="both"/>
        <w:rPr>
          <w:rFonts w:ascii="Times New Roman" w:hAnsi="Times New Roman" w:cs="Times New Roman"/>
        </w:rPr>
      </w:pPr>
      <w:r>
        <w:rPr>
          <w:rFonts w:cs="Times New Roman" w:ascii="Times New Roman" w:hAnsi="Times New Roman"/>
        </w:rPr>
        <w:t>Situação: requerimento superveniente à instituição da empresa;</w:t>
      </w:r>
    </w:p>
    <w:p>
      <w:pPr>
        <w:pStyle w:val="Normal"/>
        <w:widowControl w:val="false"/>
        <w:numPr>
          <w:ilvl w:val="5"/>
          <w:numId w:val="1"/>
        </w:numPr>
        <w:spacing w:lineRule="auto" w:line="276" w:before="120" w:after="120"/>
        <w:ind w:left="2977" w:hanging="0"/>
        <w:jc w:val="both"/>
        <w:rPr>
          <w:rFonts w:ascii="Times New Roman" w:hAnsi="Times New Roman" w:cs="Times New Roman"/>
        </w:rPr>
      </w:pPr>
      <w:r>
        <w:rPr>
          <w:rFonts w:cs="Times New Roman" w:ascii="Times New Roman" w:hAnsi="Times New Roman"/>
        </w:rPr>
        <w:t>Documento a ser apresentado: alvará válido ou requerimento inicial, acompanhado de comprovante da omissão por parte da autoridade de vigilância sanitária.</w:t>
      </w:r>
    </w:p>
    <w:p>
      <w:pPr>
        <w:pStyle w:val="Normal"/>
        <w:widowControl w:val="false"/>
        <w:numPr>
          <w:ilvl w:val="4"/>
          <w:numId w:val="1"/>
        </w:numPr>
        <w:spacing w:lineRule="auto" w:line="276" w:before="120" w:after="120"/>
        <w:ind w:left="2977" w:hanging="850"/>
        <w:jc w:val="both"/>
        <w:rPr>
          <w:rFonts w:ascii="Times New Roman" w:hAnsi="Times New Roman" w:cs="Times New Roman"/>
        </w:rPr>
      </w:pPr>
      <w:r>
        <w:rPr>
          <w:rFonts w:cs="Times New Roman" w:ascii="Times New Roman" w:hAnsi="Times New Roman"/>
        </w:rPr>
        <w:t>Situação: funcionamento decorrente de decreto judicial;</w:t>
      </w:r>
    </w:p>
    <w:p>
      <w:pPr>
        <w:pStyle w:val="Normal"/>
        <w:widowControl w:val="false"/>
        <w:numPr>
          <w:ilvl w:val="5"/>
          <w:numId w:val="1"/>
        </w:numPr>
        <w:spacing w:lineRule="auto" w:line="276" w:before="120" w:after="120"/>
        <w:ind w:left="3969" w:hanging="992"/>
        <w:jc w:val="both"/>
        <w:rPr>
          <w:rFonts w:ascii="Times New Roman" w:hAnsi="Times New Roman" w:cs="Times New Roman"/>
        </w:rPr>
      </w:pPr>
      <w:r>
        <w:rPr>
          <w:rFonts w:cs="Times New Roman" w:ascii="Times New Roman" w:hAnsi="Times New Roman"/>
        </w:rPr>
        <w:t>Documento a ser apresentado: decreto judicial válido.</w:t>
      </w:r>
    </w:p>
    <w:p>
      <w:pPr>
        <w:pStyle w:val="Normal"/>
        <w:widowControl w:val="false"/>
        <w:numPr>
          <w:ilvl w:val="1"/>
          <w:numId w:val="1"/>
        </w:numPr>
        <w:spacing w:lineRule="auto" w:line="276" w:before="120" w:after="120"/>
        <w:ind w:left="0" w:hanging="0"/>
        <w:jc w:val="both"/>
        <w:rPr>
          <w:rFonts w:ascii="Times New Roman" w:hAnsi="Times New Roman" w:cs="Times New Roman"/>
        </w:rPr>
      </w:pPr>
      <w:r>
        <w:rPr>
          <w:rFonts w:cs="Times New Roman" w:ascii="Times New Roman" w:hAnsi="Times New Roman"/>
        </w:rPr>
        <w:t>Os Profissionais de Saúde Autônomos serão credenciados nas respectivas especialidades comprovadas.</w:t>
      </w:r>
    </w:p>
    <w:p>
      <w:pPr>
        <w:pStyle w:val="Normal"/>
        <w:widowControl w:val="false"/>
        <w:numPr>
          <w:ilvl w:val="1"/>
          <w:numId w:val="1"/>
        </w:numPr>
        <w:spacing w:lineRule="auto" w:line="276" w:before="120" w:after="120"/>
        <w:ind w:left="0" w:hanging="0"/>
        <w:jc w:val="both"/>
        <w:rPr>
          <w:rFonts w:ascii="Times New Roman" w:hAnsi="Times New Roman" w:cs="Times New Roman"/>
        </w:rPr>
      </w:pPr>
      <w:r>
        <w:rPr>
          <w:rFonts w:cs="Times New Roman" w:ascii="Times New Roman" w:hAnsi="Times New Roman"/>
        </w:rPr>
        <w:t xml:space="preserve">Declaração do licitante de que não possui em seu quadro de pessoal empregado com menos de 18 (dezoito) anos em trabalho noturno, perigoso ou insalubre, e de 16 (dezesseis) anos em qualquer trabalho, salvo na condição de aprendiz, a partir de 14 (quatorze) anos, nos termos do inciso XXXIII do art. 7º da Constituição Federal </w:t>
      </w:r>
      <w:r>
        <w:rPr>
          <w:rFonts w:cs="Times New Roman" w:ascii="Times New Roman" w:hAnsi="Times New Roman"/>
          <w:highlight w:val="lightGray"/>
        </w:rPr>
        <w:t xml:space="preserve">– Anexo </w:t>
      </w:r>
      <w:r>
        <w:rPr>
          <w:rFonts w:eastAsia="" w:cs="Times New Roman" w:ascii="Times New Roman" w:hAnsi="Times New Roman" w:eastAsiaTheme="minorEastAsia"/>
          <w:color w:val="auto"/>
          <w:kern w:val="0"/>
          <w:sz w:val="20"/>
          <w:szCs w:val="20"/>
          <w:highlight w:val="lightGray"/>
          <w:lang w:val="pt-BR" w:eastAsia="pt-BR" w:bidi="ar-SA"/>
        </w:rPr>
        <w:t>M</w:t>
      </w:r>
      <w:r>
        <w:rPr>
          <w:rFonts w:eastAsia="" w:cs="Times New Roman" w:ascii="Times New Roman" w:hAnsi="Times New Roman" w:eastAsiaTheme="minorEastAsia"/>
          <w:color w:val="000000"/>
          <w:kern w:val="0"/>
          <w:sz w:val="20"/>
          <w:szCs w:val="20"/>
          <w:highlight w:val="yellow"/>
          <w:lang w:val="pt-BR" w:eastAsia="pt-BR" w:bidi="ar-SA"/>
        </w:rPr>
        <w:t xml:space="preserve"> SERÁ N</w:t>
      </w:r>
    </w:p>
    <w:p>
      <w:pPr>
        <w:pStyle w:val="Normal"/>
        <w:widowControl w:val="false"/>
        <w:numPr>
          <w:ilvl w:val="1"/>
          <w:numId w:val="1"/>
        </w:numPr>
        <w:spacing w:lineRule="auto" w:line="276" w:before="120" w:after="120"/>
        <w:ind w:left="0" w:hanging="0"/>
        <w:jc w:val="both"/>
        <w:rPr>
          <w:rFonts w:ascii="Times New Roman" w:hAnsi="Times New Roman" w:cs="Times New Roman"/>
        </w:rPr>
      </w:pPr>
      <w:r>
        <w:rPr>
          <w:rFonts w:cs="Times New Roman" w:ascii="Times New Roman" w:hAnsi="Times New Roman"/>
        </w:rPr>
        <w:t>Verificação,</w:t>
      </w:r>
      <w:r>
        <w:rPr>
          <w:rFonts w:eastAsia="Calibri" w:cs="Times New Roman" w:ascii="Times New Roman" w:hAnsi="Times New Roman"/>
          <w:sz w:val="24"/>
          <w:szCs w:val="24"/>
          <w:lang w:eastAsia="en-US" w:bidi="pt-BR"/>
        </w:rPr>
        <w:t xml:space="preserve"> </w:t>
      </w:r>
      <w:r>
        <w:rPr>
          <w:rFonts w:cs="Times New Roman" w:ascii="Times New Roman" w:hAnsi="Times New Roman"/>
          <w:lang w:bidi="pt-BR"/>
        </w:rPr>
        <w:t>como condição prévia ao exame da documentação de habilitação, quanto ao eventual descumprimento das condições de participação, especialmente, quanto à existência de sanção que impeça a participação no certame ou a futura contratação, mediante a consulta aos seguintes cadastros:</w:t>
      </w:r>
    </w:p>
    <w:p>
      <w:pPr>
        <w:pStyle w:val="Normal"/>
        <w:widowControl w:val="false"/>
        <w:numPr>
          <w:ilvl w:val="2"/>
          <w:numId w:val="1"/>
        </w:numPr>
        <w:spacing w:lineRule="auto" w:line="276" w:before="120" w:after="120"/>
        <w:ind w:left="709" w:hanging="0"/>
        <w:jc w:val="both"/>
        <w:rPr>
          <w:rFonts w:ascii="Times New Roman" w:hAnsi="Times New Roman" w:cs="Times New Roman"/>
        </w:rPr>
      </w:pPr>
      <w:r>
        <w:rPr>
          <w:rFonts w:cs="Times New Roman" w:ascii="Times New Roman" w:hAnsi="Times New Roman"/>
        </w:rPr>
        <w:t>SICAF;</w:t>
      </w:r>
    </w:p>
    <w:p>
      <w:pPr>
        <w:pStyle w:val="Normal"/>
        <w:widowControl w:val="false"/>
        <w:numPr>
          <w:ilvl w:val="2"/>
          <w:numId w:val="1"/>
        </w:numPr>
        <w:spacing w:lineRule="auto" w:line="276" w:before="120" w:after="120"/>
        <w:ind w:left="709" w:hanging="0"/>
        <w:jc w:val="both"/>
        <w:rPr>
          <w:rFonts w:ascii="Times New Roman" w:hAnsi="Times New Roman" w:cs="Times New Roman"/>
        </w:rPr>
      </w:pPr>
      <w:r>
        <w:rPr>
          <w:rFonts w:cs="Times New Roman" w:ascii="Times New Roman" w:hAnsi="Times New Roman"/>
        </w:rPr>
        <w:t>Cadastro Nacional de Empresas Inidôneas e Suspensas - CEIS, mantido pela Controladoria-Geral da União (www.portaldatransparencia.gov.br/ceis);</w:t>
      </w:r>
    </w:p>
    <w:p>
      <w:pPr>
        <w:pStyle w:val="Normal"/>
        <w:widowControl w:val="false"/>
        <w:numPr>
          <w:ilvl w:val="2"/>
          <w:numId w:val="1"/>
        </w:numPr>
        <w:spacing w:lineRule="auto" w:line="276" w:before="120" w:after="120"/>
        <w:ind w:left="709" w:hanging="0"/>
        <w:jc w:val="both"/>
        <w:rPr>
          <w:rFonts w:ascii="Times New Roman" w:hAnsi="Times New Roman" w:cs="Times New Roman"/>
        </w:rPr>
      </w:pPr>
      <w:r>
        <w:rPr>
          <w:rFonts w:cs="Times New Roman" w:ascii="Times New Roman" w:hAnsi="Times New Roman"/>
        </w:rPr>
        <w:t>Cadastro Nacional de Condenações Cíveis por Atos de Improbidade Administrativa, mantido pelo Conselho Nacional de Justiça (</w:t>
      </w:r>
      <w:hyperlink r:id="rId5">
        <w:r>
          <w:rPr>
            <w:rStyle w:val="LinkdaInternet"/>
            <w:rFonts w:cs="Times New Roman" w:ascii="Times New Roman" w:hAnsi="Times New Roman"/>
            <w:color w:val="auto"/>
          </w:rPr>
          <w:t>www.cnj.jus.br/improbidade_adm/consultar_requerido.php</w:t>
        </w:r>
      </w:hyperlink>
      <w:r>
        <w:rPr>
          <w:rFonts w:cs="Times New Roman" w:ascii="Times New Roman" w:hAnsi="Times New Roman"/>
        </w:rPr>
        <w:t>);</w:t>
      </w:r>
    </w:p>
    <w:p>
      <w:pPr>
        <w:pStyle w:val="Normal"/>
        <w:widowControl w:val="false"/>
        <w:numPr>
          <w:ilvl w:val="2"/>
          <w:numId w:val="1"/>
        </w:numPr>
        <w:spacing w:lineRule="auto" w:line="276" w:before="120" w:after="120"/>
        <w:ind w:left="709" w:hanging="0"/>
        <w:jc w:val="both"/>
        <w:rPr>
          <w:rFonts w:ascii="Times New Roman" w:hAnsi="Times New Roman" w:cs="Times New Roman"/>
        </w:rPr>
      </w:pPr>
      <w:r>
        <w:rPr>
          <w:rFonts w:cs="Times New Roman" w:ascii="Times New Roman" w:hAnsi="Times New Roman"/>
        </w:rPr>
        <w:t>A consulta aos cadastros será realizada em nome da OCS/PSA e de seu sócio majoritário, por força do artigo 12 da Lei n° 8.429/1992, que prevê, dentre as sanções impostas ao responsável pela prática de ato de improbidade administrativa, a proibição de contratar com o Poder Público, inclusive por intermédio de pessoa jurídica da qual seja sócio majoritário.</w:t>
      </w:r>
    </w:p>
    <w:p>
      <w:pPr>
        <w:pStyle w:val="Normal"/>
        <w:widowControl w:val="false"/>
        <w:numPr>
          <w:ilvl w:val="2"/>
          <w:numId w:val="1"/>
        </w:numPr>
        <w:spacing w:lineRule="auto" w:line="276" w:before="120" w:after="120"/>
        <w:ind w:left="709" w:hanging="0"/>
        <w:jc w:val="both"/>
        <w:rPr>
          <w:rFonts w:ascii="Times New Roman" w:hAnsi="Times New Roman" w:cs="Times New Roman"/>
        </w:rPr>
      </w:pPr>
      <w:r>
        <w:rPr>
          <w:rFonts w:cs="Times New Roman" w:ascii="Times New Roman" w:hAnsi="Times New Roman"/>
        </w:rPr>
        <w:t>Constatada a existência de sanção, a Comissão reputará o licitante inabilitado, por falta de condição de participação.</w:t>
      </w:r>
    </w:p>
    <w:p>
      <w:pPr>
        <w:pStyle w:val="Normal"/>
        <w:widowControl w:val="false"/>
        <w:numPr>
          <w:ilvl w:val="1"/>
          <w:numId w:val="1"/>
        </w:numPr>
        <w:spacing w:lineRule="auto" w:line="276" w:before="120" w:after="120"/>
        <w:ind w:left="0" w:hanging="0"/>
        <w:jc w:val="both"/>
        <w:rPr>
          <w:rFonts w:ascii="Times New Roman" w:hAnsi="Times New Roman" w:cs="Times New Roman"/>
        </w:rPr>
      </w:pPr>
      <w:r>
        <w:rPr>
          <w:rFonts w:cs="Times New Roman" w:ascii="Times New Roman" w:hAnsi="Times New Roman"/>
        </w:rPr>
        <w:t>Os interessados que preencherem os requisitos acima, no que lhes for aplicável, serão considerados aptos para o credenciamento.</w:t>
      </w:r>
    </w:p>
    <w:p>
      <w:pPr>
        <w:pStyle w:val="Normal"/>
        <w:widowControl w:val="false"/>
        <w:numPr>
          <w:ilvl w:val="1"/>
          <w:numId w:val="1"/>
        </w:numPr>
        <w:spacing w:lineRule="auto" w:line="276" w:before="120" w:after="120"/>
        <w:ind w:left="0" w:hanging="0"/>
        <w:jc w:val="both"/>
        <w:rPr>
          <w:rFonts w:ascii="Times New Roman" w:hAnsi="Times New Roman" w:cs="Times New Roman"/>
        </w:rPr>
      </w:pPr>
      <w:r>
        <w:rPr>
          <w:rFonts w:cs="Times New Roman" w:ascii="Times New Roman" w:hAnsi="Times New Roman"/>
        </w:rPr>
        <w:t>O CREDENCIANTE poderá, até a assinatura do contrato, inabilitar a Organização Civil de Saúde ou o Profissional de Saúde Autônomo, por despacho fundamentado, se tiver informação abalizada de qualquer fato ou circunstância, anterior ou posterior à fase de habilitação, que desabone a qualificação técnica, habilitação jurídica ou regularidade fiscal daquela entidade ou prestador de serviço.</w:t>
      </w:r>
    </w:p>
    <w:p>
      <w:pPr>
        <w:pStyle w:val="Normal"/>
        <w:widowControl w:val="false"/>
        <w:numPr>
          <w:ilvl w:val="0"/>
          <w:numId w:val="1"/>
        </w:numPr>
        <w:spacing w:lineRule="auto" w:line="276" w:before="120" w:after="120"/>
        <w:ind w:left="0" w:hanging="0"/>
        <w:jc w:val="both"/>
        <w:rPr>
          <w:rFonts w:ascii="Times New Roman" w:hAnsi="Times New Roman" w:cs="Times New Roman"/>
          <w:b/>
          <w:b/>
          <w:u w:val="single"/>
        </w:rPr>
      </w:pPr>
      <w:r>
        <w:rPr>
          <w:rFonts w:cs="Times New Roman" w:ascii="Times New Roman" w:hAnsi="Times New Roman"/>
          <w:b/>
          <w:u w:val="single"/>
        </w:rPr>
        <w:t>DOS RECURSOS FINANCEIROS.</w:t>
      </w:r>
    </w:p>
    <w:p>
      <w:pPr>
        <w:pStyle w:val="Normal"/>
        <w:widowControl w:val="false"/>
        <w:numPr>
          <w:ilvl w:val="1"/>
          <w:numId w:val="1"/>
        </w:numPr>
        <w:spacing w:lineRule="auto" w:line="276" w:before="120" w:after="120"/>
        <w:ind w:left="0" w:hanging="0"/>
        <w:jc w:val="both"/>
        <w:rPr>
          <w:rFonts w:ascii="Times New Roman" w:hAnsi="Times New Roman" w:cs="Times New Roman"/>
        </w:rPr>
      </w:pPr>
      <w:r>
        <w:rPr>
          <w:rFonts w:cs="Times New Roman" w:ascii="Times New Roman" w:hAnsi="Times New Roman"/>
        </w:rPr>
        <w:t>Os recursos previstos para os pagamentos dos atendimentos decorrentes deste Edital serão os seguintes:</w:t>
      </w:r>
    </w:p>
    <w:p>
      <w:pPr>
        <w:pStyle w:val="Normal"/>
        <w:widowControl w:val="false"/>
        <w:spacing w:lineRule="auto" w:line="276" w:before="120" w:after="120"/>
        <w:ind w:left="1418" w:hanging="0"/>
        <w:jc w:val="both"/>
        <w:rPr>
          <w:rFonts w:ascii="Times New Roman" w:hAnsi="Times New Roman" w:cs="Times New Roman"/>
          <w:i/>
          <w:i/>
          <w:sz w:val="18"/>
          <w:szCs w:val="16"/>
        </w:rPr>
      </w:pPr>
      <w:r>
        <w:rPr>
          <w:rFonts w:cs="Times New Roman" w:ascii="Times New Roman" w:hAnsi="Times New Roman"/>
          <w:i/>
          <w:sz w:val="18"/>
          <w:szCs w:val="16"/>
          <w:highlight w:val="yellow"/>
        </w:rPr>
        <w:t>Nota explicativa: Como o objeto da licitação inclui o fornecimento de materiais e afins, o órgão assessorado deverá atentar para o art. 5º da Portaria STN nº 448/2002, com especificação dos elementos de despesa 339039/339036 (serviço de terceiro, pessoa jurídica ou física) e 339030 (material de consumo), se for o caso.</w:t>
      </w:r>
    </w:p>
    <w:p>
      <w:pPr>
        <w:pStyle w:val="Normal"/>
        <w:widowControl w:val="false"/>
        <w:numPr>
          <w:ilvl w:val="2"/>
          <w:numId w:val="1"/>
        </w:numPr>
        <w:spacing w:lineRule="auto" w:line="276" w:before="120" w:after="120"/>
        <w:ind w:left="680" w:hanging="0"/>
        <w:jc w:val="both"/>
        <w:rPr>
          <w:rFonts w:ascii="Times New Roman" w:hAnsi="Times New Roman" w:cs="Times New Roman"/>
          <w:highlight w:val="lightGray"/>
        </w:rPr>
      </w:pPr>
      <w:r>
        <w:rPr>
          <w:rFonts w:cs="Times New Roman" w:ascii="Times New Roman" w:hAnsi="Times New Roman"/>
          <w:highlight w:val="lightGray"/>
        </w:rPr>
        <w:t>Para OCS: Orçamento Geral da União, Recursos da Gestão 00001, Fonte de Recursos 0250270037 – 0250270013 - 0100000000, Programa de Trabalho Resumido 025146 – 031781 - 031778, Natureza de Despesa 339039 e Plano Interno D1SACIVOCSA – D1SAFUSOCSA – D8SAFCTOCSA, no valor de R$ 950.000,00 (novecentos e cinquenta mil reais) – Empenho Estimativo.</w:t>
      </w:r>
    </w:p>
    <w:p>
      <w:pPr>
        <w:pStyle w:val="Normal"/>
        <w:widowControl w:val="false"/>
        <w:numPr>
          <w:ilvl w:val="2"/>
          <w:numId w:val="1"/>
        </w:numPr>
        <w:spacing w:lineRule="auto" w:line="276" w:before="120" w:after="120"/>
        <w:ind w:left="680" w:hanging="0"/>
        <w:jc w:val="both"/>
        <w:rPr>
          <w:rFonts w:ascii="Times New Roman" w:hAnsi="Times New Roman" w:cs="Times New Roman"/>
          <w:highlight w:val="lightGray"/>
        </w:rPr>
      </w:pPr>
      <w:r>
        <w:rPr>
          <w:rFonts w:cs="Times New Roman" w:ascii="Times New Roman" w:hAnsi="Times New Roman"/>
          <w:highlight w:val="lightGray"/>
        </w:rPr>
        <w:t>Para PSA: Orçamento Geral da União, Recursos da Gestão 00001, Fonte de Recursos 0250270037 – 0250270013 - 0100000000, Programa de Trabalho Resumido 025146 – 031781 - 031778 e Natureza de Despesa 339036 e Plano Interno D1SACIVPRSA – D1SAFUSPRSA – D8SAFCTPRSA.</w:t>
      </w:r>
    </w:p>
    <w:p>
      <w:pPr>
        <w:pStyle w:val="Normal"/>
        <w:widowControl w:val="false"/>
        <w:numPr>
          <w:ilvl w:val="0"/>
          <w:numId w:val="1"/>
        </w:numPr>
        <w:spacing w:lineRule="auto" w:line="276" w:before="120" w:after="120"/>
        <w:ind w:left="0" w:hanging="0"/>
        <w:jc w:val="both"/>
        <w:rPr>
          <w:rFonts w:ascii="Times New Roman" w:hAnsi="Times New Roman" w:cs="Times New Roman"/>
          <w:b/>
          <w:b/>
          <w:u w:val="single"/>
        </w:rPr>
      </w:pPr>
      <w:r>
        <w:rPr>
          <w:rFonts w:cs="Times New Roman" w:ascii="Times New Roman" w:hAnsi="Times New Roman"/>
          <w:b/>
          <w:bCs/>
          <w:u w:val="single"/>
        </w:rPr>
        <w:t xml:space="preserve">DO CONTRATO E </w:t>
      </w:r>
      <w:r>
        <w:rPr>
          <w:rFonts w:cs="Times New Roman" w:ascii="Times New Roman" w:hAnsi="Times New Roman"/>
          <w:b/>
          <w:u w:val="single"/>
        </w:rPr>
        <w:t xml:space="preserve">SUAS </w:t>
      </w:r>
      <w:r>
        <w:rPr>
          <w:rFonts w:cs="Times New Roman" w:ascii="Times New Roman" w:hAnsi="Times New Roman"/>
          <w:b/>
          <w:bCs/>
          <w:u w:val="single"/>
        </w:rPr>
        <w:t>ALTERAÇÕES</w:t>
      </w:r>
      <w:r>
        <w:rPr>
          <w:rFonts w:cs="Times New Roman" w:ascii="Times New Roman" w:hAnsi="Times New Roman"/>
          <w:b/>
          <w:u w:val="single"/>
        </w:rPr>
        <w:t>.</w:t>
      </w:r>
    </w:p>
    <w:p>
      <w:pPr>
        <w:pStyle w:val="Normal"/>
        <w:widowControl w:val="false"/>
        <w:numPr>
          <w:ilvl w:val="1"/>
          <w:numId w:val="1"/>
        </w:numPr>
        <w:spacing w:lineRule="auto" w:line="276" w:before="120" w:after="120"/>
        <w:ind w:left="0" w:hanging="0"/>
        <w:jc w:val="both"/>
        <w:rPr>
          <w:rFonts w:ascii="Times New Roman" w:hAnsi="Times New Roman" w:cs="Times New Roman"/>
        </w:rPr>
      </w:pPr>
      <w:r>
        <w:rPr>
          <w:rFonts w:cs="Times New Roman" w:ascii="Times New Roman" w:hAnsi="Times New Roman"/>
        </w:rPr>
        <w:t>O credenciamento será formalizado por intermédio de instrumento contratual, presentes as cláusulas obrigatórias estabelecidas pelo art. 92 da Lei 14.133, de 2021.</w:t>
      </w:r>
    </w:p>
    <w:p>
      <w:pPr>
        <w:pStyle w:val="Normal"/>
        <w:widowControl w:val="false"/>
        <w:numPr>
          <w:ilvl w:val="1"/>
          <w:numId w:val="1"/>
        </w:numPr>
        <w:spacing w:lineRule="auto" w:line="276" w:before="120" w:after="120"/>
        <w:ind w:left="0" w:hanging="0"/>
        <w:jc w:val="both"/>
        <w:rPr>
          <w:rFonts w:ascii="Times New Roman" w:hAnsi="Times New Roman" w:cs="Times New Roman"/>
        </w:rPr>
      </w:pPr>
      <w:r>
        <w:rPr>
          <w:rFonts w:cs="Times New Roman" w:ascii="Times New Roman" w:hAnsi="Times New Roman"/>
        </w:rPr>
        <w:t xml:space="preserve">Os habilitados serão convocados no prazo máximo de </w:t>
      </w:r>
      <w:r>
        <w:rPr>
          <w:rFonts w:cs="Times New Roman" w:ascii="Times New Roman" w:hAnsi="Times New Roman"/>
          <w:highlight w:val="lightGray"/>
        </w:rPr>
        <w:t>15 (quinze) dias</w:t>
      </w:r>
      <w:r>
        <w:rPr>
          <w:rFonts w:cs="Times New Roman" w:ascii="Times New Roman" w:hAnsi="Times New Roman"/>
        </w:rPr>
        <w:t xml:space="preserve">, contados da data de apresentação das Cartas-Proposta ou dos Requerimentos para Credenciamento, para assinarem os respectivos contratos, em obediência às prescrições do art. 90 da Lei nº 14.133, de 2021, </w:t>
      </w:r>
      <w:r>
        <w:rPr>
          <w:rFonts w:cs="Times New Roman" w:ascii="Times New Roman" w:hAnsi="Times New Roman"/>
          <w:highlight w:val="lightGray"/>
        </w:rPr>
        <w:t>podendo ser prorrogado uma vez, por igual período, quando solicitado pela parte, durante seu transcurso e desde que ocorra motivo justificado aceito pela Administração Pública Federal.</w:t>
      </w:r>
    </w:p>
    <w:p>
      <w:pPr>
        <w:pStyle w:val="Normal"/>
        <w:widowControl w:val="false"/>
        <w:numPr>
          <w:ilvl w:val="1"/>
          <w:numId w:val="1"/>
        </w:numPr>
        <w:spacing w:lineRule="auto" w:line="276" w:before="120" w:after="120"/>
        <w:ind w:left="0" w:hanging="0"/>
        <w:jc w:val="both"/>
        <w:rPr>
          <w:rFonts w:ascii="Times New Roman" w:hAnsi="Times New Roman" w:cs="Times New Roman"/>
          <w:color w:val="FF0000"/>
        </w:rPr>
      </w:pPr>
      <w:r>
        <w:rPr>
          <w:rFonts w:cs="Times New Roman" w:ascii="Times New Roman" w:hAnsi="Times New Roman"/>
          <w:color w:val="FF0000"/>
        </w:rPr>
        <w:t>Os contratos celebrados a partir do presente Edital terão sua </w:t>
      </w:r>
      <w:r>
        <w:rPr>
          <w:rFonts w:cs="Times New Roman" w:ascii="Times New Roman" w:hAnsi="Times New Roman"/>
          <w:b/>
          <w:color w:val="FF0000"/>
        </w:rPr>
        <w:t>vigência limitada em 120 meses de sua assinatura (ou da publicação do Edital)</w:t>
      </w:r>
      <w:r>
        <w:rPr>
          <w:rFonts w:cs="Times New Roman" w:ascii="Times New Roman" w:hAnsi="Times New Roman"/>
          <w:color w:val="FF0000"/>
        </w:rPr>
        <w:t>, não cabendo prorrogação, na forma do art. 107 da Lei nº 14.133, de 2021. Após tal prazo deverá ser providenciado novo instrumento contratual.</w:t>
      </w:r>
    </w:p>
    <w:p>
      <w:pPr>
        <w:pStyle w:val="Normal"/>
        <w:widowControl w:val="false"/>
        <w:numPr>
          <w:ilvl w:val="1"/>
          <w:numId w:val="1"/>
        </w:numPr>
        <w:spacing w:lineRule="auto" w:line="276" w:before="120" w:after="120"/>
        <w:ind w:left="0" w:hanging="0"/>
        <w:jc w:val="both"/>
        <w:rPr>
          <w:rFonts w:ascii="Times New Roman" w:hAnsi="Times New Roman" w:cs="Times New Roman"/>
        </w:rPr>
      </w:pPr>
      <w:r>
        <w:rPr>
          <w:rFonts w:cs="Times New Roman" w:ascii="Times New Roman" w:hAnsi="Times New Roman"/>
        </w:rPr>
        <w:t>Os contratos poderão ser alterados, com a devida motivação, nos casos previstos no art. 124 da Lei nº 14.133, de 2021.</w:t>
      </w:r>
    </w:p>
    <w:p>
      <w:pPr>
        <w:pStyle w:val="Normal"/>
        <w:widowControl w:val="false"/>
        <w:numPr>
          <w:ilvl w:val="1"/>
          <w:numId w:val="1"/>
        </w:numPr>
        <w:spacing w:lineRule="auto" w:line="276" w:before="120" w:after="120"/>
        <w:ind w:left="0" w:hanging="0"/>
        <w:jc w:val="both"/>
        <w:rPr>
          <w:rFonts w:ascii="Times New Roman" w:hAnsi="Times New Roman" w:cs="Times New Roman"/>
        </w:rPr>
      </w:pPr>
      <w:r>
        <w:rPr>
          <w:rFonts w:cs="Times New Roman" w:ascii="Times New Roman" w:hAnsi="Times New Roman"/>
        </w:rPr>
        <w:t xml:space="preserve">Incumbirá </w:t>
      </w:r>
      <w:r>
        <w:rPr>
          <w:rFonts w:eastAsia="Arial Unicode MS" w:cs="Times New Roman" w:ascii="Times New Roman" w:hAnsi="Times New Roman"/>
        </w:rPr>
        <w:t>à CREDENCIANTE providenciar a publicação do ato que autoriza a Inexigibilidade de Licitação no Portal Nacional de Contratações Públicas - PNCP, bem como do contrato e seus aditamentos no prazo de 10 (dez) dias contados da data de sua assinatura, conforme previsto no art. 72 parágrafo único e no art. 94, II da Lei nº 14.133, de 2021.</w:t>
      </w:r>
    </w:p>
    <w:p>
      <w:pPr>
        <w:pStyle w:val="Normal"/>
        <w:widowControl w:val="false"/>
        <w:numPr>
          <w:ilvl w:val="0"/>
          <w:numId w:val="1"/>
        </w:numPr>
        <w:spacing w:lineRule="auto" w:line="276" w:before="120" w:after="120"/>
        <w:ind w:left="0" w:hanging="0"/>
        <w:jc w:val="both"/>
        <w:rPr>
          <w:rFonts w:ascii="Times New Roman" w:hAnsi="Times New Roman" w:cs="Times New Roman"/>
          <w:b/>
          <w:b/>
          <w:u w:val="single"/>
        </w:rPr>
      </w:pPr>
      <w:r>
        <w:rPr>
          <w:rFonts w:cs="Times New Roman" w:ascii="Times New Roman" w:hAnsi="Times New Roman"/>
          <w:b/>
          <w:u w:val="single"/>
        </w:rPr>
        <w:t>DO REGIME DE EXECUÇÃO.</w:t>
      </w:r>
    </w:p>
    <w:p>
      <w:pPr>
        <w:pStyle w:val="Normal"/>
        <w:widowControl w:val="false"/>
        <w:numPr>
          <w:ilvl w:val="1"/>
          <w:numId w:val="1"/>
        </w:numPr>
        <w:spacing w:lineRule="auto" w:line="276" w:before="120" w:after="120"/>
        <w:ind w:left="0" w:hanging="0"/>
        <w:jc w:val="both"/>
        <w:rPr>
          <w:rFonts w:ascii="Times New Roman" w:hAnsi="Times New Roman" w:cs="Times New Roman"/>
        </w:rPr>
      </w:pPr>
      <w:r>
        <w:rPr>
          <w:rFonts w:cs="Times New Roman" w:ascii="Times New Roman" w:hAnsi="Times New Roman"/>
        </w:rPr>
        <w:t>As condições de execução dos serviços constam dos contratos, observadas as regras gerais abaixo registradas.</w:t>
      </w:r>
    </w:p>
    <w:p>
      <w:pPr>
        <w:pStyle w:val="Normal"/>
        <w:widowControl w:val="false"/>
        <w:numPr>
          <w:ilvl w:val="1"/>
          <w:numId w:val="1"/>
        </w:numPr>
        <w:spacing w:lineRule="auto" w:line="276" w:before="120" w:after="120"/>
        <w:ind w:left="0" w:hanging="0"/>
        <w:jc w:val="both"/>
        <w:rPr>
          <w:rFonts w:ascii="Times New Roman" w:hAnsi="Times New Roman" w:cs="Times New Roman"/>
        </w:rPr>
      </w:pPr>
      <w:r>
        <w:rPr>
          <w:rFonts w:cs="Times New Roman" w:ascii="Times New Roman" w:hAnsi="Times New Roman"/>
        </w:rPr>
        <w:t xml:space="preserve">Os beneficiários do FuSEX e seus dependentes diretos deverão ser encaminhados por UAt, portando a Guia de Encaminhamento e serão identificados da seguinte forma: </w:t>
      </w:r>
    </w:p>
    <w:p>
      <w:pPr>
        <w:pStyle w:val="Normal"/>
        <w:widowControl w:val="false"/>
        <w:spacing w:lineRule="auto" w:line="276" w:before="120" w:after="120"/>
        <w:ind w:left="709" w:hanging="0"/>
        <w:jc w:val="both"/>
        <w:rPr>
          <w:rFonts w:ascii="Times New Roman" w:hAnsi="Times New Roman" w:cs="Times New Roman"/>
        </w:rPr>
      </w:pPr>
      <w:r>
        <w:rPr>
          <w:rFonts w:cs="Times New Roman" w:ascii="Times New Roman" w:hAnsi="Times New Roman"/>
        </w:rPr>
        <w:t>7.2.1 Os beneficiários do FuSEx e seus dependentes deverão apresentar o cartão de beneficiário juntamente com a carteira de identidade;</w:t>
      </w:r>
    </w:p>
    <w:p>
      <w:pPr>
        <w:pStyle w:val="Normal"/>
        <w:widowControl w:val="false"/>
        <w:spacing w:lineRule="auto" w:line="276" w:before="120" w:after="120"/>
        <w:ind w:left="709" w:hanging="0"/>
        <w:jc w:val="both"/>
        <w:rPr>
          <w:rFonts w:ascii="Times New Roman" w:hAnsi="Times New Roman" w:cs="Times New Roman"/>
        </w:rPr>
      </w:pPr>
      <w:r>
        <w:rPr>
          <w:rFonts w:cs="Times New Roman" w:ascii="Times New Roman" w:hAnsi="Times New Roman"/>
        </w:rPr>
        <w:t>7.2.2 Quando o beneficiário não possuir o respectivo cartão deverá apresentar, no ato do atendimento, a Declaração Provisória de Beneficiário do FuSEx, fornecida pela UV, acompanhada da carteira de identidade militar ou, caso não possua, outro documento de identificação próprio (carteira de identidade, certidão de nascimento ou outro documento que o identifique).</w:t>
      </w:r>
    </w:p>
    <w:p>
      <w:pPr>
        <w:pStyle w:val="Normal"/>
        <w:widowControl w:val="false"/>
        <w:numPr>
          <w:ilvl w:val="1"/>
          <w:numId w:val="1"/>
        </w:numPr>
        <w:spacing w:lineRule="auto" w:line="276" w:before="120" w:after="120"/>
        <w:jc w:val="both"/>
        <w:rPr>
          <w:rFonts w:ascii="Times New Roman" w:hAnsi="Times New Roman" w:cs="Times New Roman"/>
        </w:rPr>
      </w:pPr>
      <w:r>
        <w:rPr>
          <w:rFonts w:cs="Times New Roman" w:ascii="Times New Roman" w:hAnsi="Times New Roman"/>
        </w:rPr>
        <w:t>Os beneficiários, quando servidores civis do Exército Brasileiro e/ou seus dependentes diretos, deverão ser encaminhados por UAt, portando a Guia de Encaminhamento, e deverão apresentar o cartão de beneficiário juntamente com a carteira de identidade;</w:t>
      </w:r>
    </w:p>
    <w:p>
      <w:pPr>
        <w:pStyle w:val="ListParagraph"/>
        <w:widowControl w:val="false"/>
        <w:numPr>
          <w:ilvl w:val="2"/>
          <w:numId w:val="1"/>
        </w:numPr>
        <w:spacing w:lineRule="auto" w:line="276" w:before="120" w:after="120"/>
        <w:ind w:left="709" w:hanging="0"/>
        <w:contextualSpacing/>
        <w:jc w:val="both"/>
        <w:rPr>
          <w:rFonts w:ascii="Times New Roman" w:hAnsi="Times New Roman" w:cs="Times New Roman"/>
        </w:rPr>
      </w:pPr>
      <w:r>
        <w:rPr>
          <w:rFonts w:cs="Times New Roman" w:ascii="Times New Roman" w:hAnsi="Times New Roman"/>
        </w:rPr>
        <w:t>Quando o beneficiário não possuir o respectivo cartão deverá apresentar, no ato do atendimento, a Declaração Provisória de Beneficiário da PASS, fornecida pela UV, acompanhada da carteira de identidade ou outro documento de identificação próprio (carteira de identidade, certidão de nascimento ou outro documento que o identifique);</w:t>
      </w:r>
    </w:p>
    <w:p>
      <w:pPr>
        <w:pStyle w:val="Normal"/>
        <w:widowControl w:val="false"/>
        <w:spacing w:lineRule="auto" w:line="276" w:before="120" w:after="120"/>
        <w:ind w:left="1843" w:hanging="0"/>
        <w:jc w:val="both"/>
        <w:rPr>
          <w:rFonts w:ascii="Times New Roman" w:hAnsi="Times New Roman" w:cs="Times New Roman"/>
          <w:i/>
          <w:i/>
          <w:sz w:val="18"/>
          <w:szCs w:val="18"/>
        </w:rPr>
      </w:pPr>
      <w:r>
        <w:rPr>
          <w:rFonts w:cs="Times New Roman" w:ascii="Times New Roman" w:hAnsi="Times New Roman"/>
          <w:i/>
          <w:sz w:val="18"/>
          <w:szCs w:val="18"/>
        </w:rPr>
      </w:r>
    </w:p>
    <w:p>
      <w:pPr>
        <w:pStyle w:val="Normal"/>
        <w:widowControl w:val="false"/>
        <w:spacing w:lineRule="auto" w:line="276" w:before="120" w:after="120"/>
        <w:ind w:left="1418" w:hanging="0"/>
        <w:jc w:val="both"/>
        <w:rPr>
          <w:rFonts w:ascii="Times New Roman" w:hAnsi="Times New Roman" w:cs="Times New Roman"/>
          <w:i/>
          <w:i/>
          <w:sz w:val="18"/>
          <w:szCs w:val="18"/>
          <w:highlight w:val="yellow"/>
        </w:rPr>
      </w:pPr>
      <w:r>
        <w:rPr>
          <w:rFonts w:cs="Times New Roman" w:ascii="Times New Roman" w:hAnsi="Times New Roman"/>
          <w:i/>
          <w:sz w:val="18"/>
          <w:szCs w:val="18"/>
          <w:highlight w:val="yellow"/>
        </w:rPr>
        <w:t>Nota Explicativa: O órgão consulente deve observar o que dispõe os parágrafos 3º e 4º do art. 17 da IR 30-57:</w:t>
      </w:r>
    </w:p>
    <w:p>
      <w:pPr>
        <w:pStyle w:val="Normal"/>
        <w:widowControl w:val="false"/>
        <w:spacing w:lineRule="auto" w:line="276" w:before="120" w:after="120"/>
        <w:ind w:left="1418" w:hanging="0"/>
        <w:jc w:val="both"/>
        <w:rPr>
          <w:rFonts w:ascii="Times New Roman" w:hAnsi="Times New Roman" w:cs="Times New Roman"/>
          <w:i/>
          <w:i/>
          <w:sz w:val="18"/>
          <w:szCs w:val="18"/>
          <w:highlight w:val="yellow"/>
        </w:rPr>
      </w:pPr>
      <w:r>
        <w:rPr>
          <w:rFonts w:cs="Times New Roman" w:ascii="Times New Roman" w:hAnsi="Times New Roman"/>
          <w:i/>
          <w:sz w:val="18"/>
          <w:szCs w:val="18"/>
          <w:highlight w:val="yellow"/>
        </w:rPr>
        <w:t>Art. 17. (...)</w:t>
      </w:r>
    </w:p>
    <w:p>
      <w:pPr>
        <w:pStyle w:val="Normal"/>
        <w:widowControl w:val="false"/>
        <w:spacing w:lineRule="auto" w:line="276" w:before="120" w:after="120"/>
        <w:ind w:left="1418" w:hanging="0"/>
        <w:jc w:val="both"/>
        <w:rPr>
          <w:rFonts w:ascii="Times New Roman" w:hAnsi="Times New Roman" w:cs="Times New Roman"/>
          <w:i/>
          <w:i/>
          <w:sz w:val="18"/>
          <w:szCs w:val="18"/>
          <w:highlight w:val="yellow"/>
        </w:rPr>
      </w:pPr>
      <w:r>
        <w:rPr>
          <w:rFonts w:cs="Times New Roman" w:ascii="Times New Roman" w:hAnsi="Times New Roman"/>
          <w:i/>
          <w:sz w:val="18"/>
          <w:szCs w:val="18"/>
          <w:highlight w:val="yellow"/>
        </w:rPr>
        <w:t>(...)</w:t>
      </w:r>
    </w:p>
    <w:p>
      <w:pPr>
        <w:pStyle w:val="Normal"/>
        <w:widowControl w:val="false"/>
        <w:spacing w:lineRule="auto" w:line="276" w:before="120" w:after="120"/>
        <w:ind w:left="1418" w:hanging="0"/>
        <w:jc w:val="both"/>
        <w:rPr>
          <w:rFonts w:ascii="Times New Roman" w:hAnsi="Times New Roman" w:cs="Times New Roman"/>
          <w:i/>
          <w:i/>
          <w:sz w:val="18"/>
          <w:szCs w:val="18"/>
          <w:highlight w:val="yellow"/>
        </w:rPr>
      </w:pPr>
      <w:r>
        <w:rPr>
          <w:rFonts w:cs="Times New Roman" w:ascii="Times New Roman" w:hAnsi="Times New Roman"/>
          <w:i/>
          <w:sz w:val="18"/>
          <w:szCs w:val="18"/>
          <w:highlight w:val="yellow"/>
        </w:rPr>
        <w:t>§3º Antes de realizar o atendimento, a UAt deverá, ainda, verificar no SIRE ou em sítio disponibilizado na página eletrônica da Diretoria de Civis, Inativos e Pensionistas (DCIP) se o servidor civil, seu pensionista ou seu dependente, estão em dia com a PASS.</w:t>
      </w:r>
    </w:p>
    <w:p>
      <w:pPr>
        <w:pStyle w:val="Normal"/>
        <w:widowControl w:val="false"/>
        <w:spacing w:lineRule="auto" w:line="276" w:before="120" w:after="120"/>
        <w:ind w:left="1418" w:hanging="0"/>
        <w:jc w:val="both"/>
        <w:rPr>
          <w:rFonts w:ascii="Times New Roman" w:hAnsi="Times New Roman" w:cs="Times New Roman"/>
          <w:i/>
          <w:i/>
          <w:sz w:val="18"/>
          <w:szCs w:val="18"/>
        </w:rPr>
      </w:pPr>
      <w:r>
        <w:rPr>
          <w:rFonts w:cs="Times New Roman" w:ascii="Times New Roman" w:hAnsi="Times New Roman"/>
          <w:i/>
          <w:sz w:val="18"/>
          <w:szCs w:val="18"/>
          <w:highlight w:val="yellow"/>
        </w:rPr>
        <w:t>§4º Se na verificação prevista no parágrafo anterior for constatado que o servidor civil, seu pensionista ou seu dependente, não estão em dia com a PASS, o seu cartão de beneficiário deve ser retido pela OM/OMS e a DCIP deve ser informada para que defina quais as providências a serem tomadas.</w:t>
      </w:r>
    </w:p>
    <w:p>
      <w:pPr>
        <w:pStyle w:val="Normal"/>
        <w:widowControl w:val="false"/>
        <w:spacing w:lineRule="auto" w:line="276" w:before="120" w:after="120"/>
        <w:ind w:left="2410" w:hanging="0"/>
        <w:jc w:val="both"/>
        <w:rPr>
          <w:rFonts w:ascii="Times New Roman" w:hAnsi="Times New Roman" w:cs="Times New Roman"/>
          <w:i/>
          <w:i/>
          <w:sz w:val="18"/>
          <w:szCs w:val="18"/>
        </w:rPr>
      </w:pPr>
      <w:r>
        <w:rPr>
          <w:rFonts w:cs="Times New Roman" w:ascii="Times New Roman" w:hAnsi="Times New Roman"/>
          <w:i/>
          <w:sz w:val="18"/>
          <w:szCs w:val="18"/>
        </w:rPr>
      </w:r>
    </w:p>
    <w:p>
      <w:pPr>
        <w:pStyle w:val="Normal"/>
        <w:widowControl w:val="false"/>
        <w:numPr>
          <w:ilvl w:val="1"/>
          <w:numId w:val="1"/>
        </w:numPr>
        <w:spacing w:lineRule="auto" w:line="276" w:before="120" w:after="120"/>
        <w:jc w:val="both"/>
        <w:rPr>
          <w:rFonts w:ascii="Times New Roman" w:hAnsi="Times New Roman" w:cs="Times New Roman"/>
        </w:rPr>
      </w:pPr>
      <w:r>
        <w:rPr>
          <w:rFonts w:cs="Times New Roman" w:ascii="Times New Roman" w:hAnsi="Times New Roman"/>
        </w:rPr>
        <w:t>Os usuários do Fator de Custos deverão ser encaminhados por UAt, portando a Guia de Encaminhamento, e deverão apresentar a identidade militar ou a carteira de identidade;</w:t>
      </w:r>
    </w:p>
    <w:p>
      <w:pPr>
        <w:pStyle w:val="ListParagraph"/>
        <w:widowControl w:val="false"/>
        <w:numPr>
          <w:ilvl w:val="2"/>
          <w:numId w:val="1"/>
        </w:numPr>
        <w:spacing w:lineRule="auto" w:line="276" w:before="120" w:after="120"/>
        <w:ind w:left="709" w:hanging="0"/>
        <w:contextualSpacing/>
        <w:jc w:val="both"/>
        <w:rPr>
          <w:rFonts w:ascii="Times New Roman" w:hAnsi="Times New Roman" w:cs="Times New Roman"/>
        </w:rPr>
      </w:pPr>
      <w:r>
        <w:rPr>
          <w:rFonts w:cs="Times New Roman" w:ascii="Times New Roman" w:hAnsi="Times New Roman"/>
        </w:rPr>
        <w:t>Os dependentes diretos deverão apresentar, no ato do atendimento, carteira de identidade ou outro documento de identificação próprio (certidão de nascimento ou outro documento que o identifique);</w:t>
      </w:r>
    </w:p>
    <w:p>
      <w:pPr>
        <w:pStyle w:val="Normal"/>
        <w:widowControl w:val="false"/>
        <w:numPr>
          <w:ilvl w:val="1"/>
          <w:numId w:val="1"/>
        </w:numPr>
        <w:spacing w:lineRule="auto" w:line="276" w:before="120" w:after="120"/>
        <w:ind w:left="0" w:hanging="0"/>
        <w:jc w:val="both"/>
        <w:rPr>
          <w:rFonts w:ascii="Times New Roman" w:hAnsi="Times New Roman" w:cs="Times New Roman"/>
          <w:highlight w:val="lightGray"/>
        </w:rPr>
      </w:pPr>
      <w:r>
        <w:rPr>
          <w:rFonts w:cs="Times New Roman" w:ascii="Times New Roman" w:hAnsi="Times New Roman"/>
        </w:rPr>
        <w:t xml:space="preserve">Nos casos de emergência ou de comprovada urgência, o atendimento será imediato, sem necessidade de apresentação de Guia de Encaminhamento, mediante a identificação do beneficiário socorrido, na forma expressa nos subitens 7.2, 7.3 e 7.4 do Edital. </w:t>
      </w:r>
      <w:r>
        <w:rPr>
          <w:rFonts w:cs="Times New Roman" w:ascii="Times New Roman" w:hAnsi="Times New Roman"/>
          <w:highlight w:val="lightGray"/>
        </w:rPr>
        <w:t>Entretanto, o referido beneficiário ou o seu responsável deverá comunicar à CREDENCIANTE a internação e as causas da urgência/emergência, no prazo de 2 (dois) dias úteis. Caso o prazo ultrapasse os 2 (dois) dias úteis, os gastos contraídos pelo beneficiário serão inteiramente de responsabilidade deste e devem ser acertados diretamente com a CREDENCIADA, sem nenhum ônus ao FuSEx/SAMMED/PASS;</w:t>
      </w:r>
    </w:p>
    <w:p>
      <w:pPr>
        <w:pStyle w:val="ListParagraph"/>
        <w:widowControl w:val="false"/>
        <w:numPr>
          <w:ilvl w:val="2"/>
          <w:numId w:val="1"/>
        </w:numPr>
        <w:spacing w:lineRule="auto" w:line="276" w:before="120" w:after="120"/>
        <w:ind w:left="709" w:hanging="0"/>
        <w:contextualSpacing/>
        <w:jc w:val="both"/>
        <w:rPr>
          <w:rFonts w:ascii="Times New Roman" w:hAnsi="Times New Roman" w:cs="Times New Roman"/>
        </w:rPr>
      </w:pPr>
      <w:r>
        <w:rPr>
          <w:rFonts w:cs="Times New Roman" w:ascii="Times New Roman" w:hAnsi="Times New Roman"/>
        </w:rPr>
        <w:t>O FuSEx/SAMMED/PASS não se responsabilizará ou ressarcirá as despesas, caso não seja comprovada a urgência e (ou) a emergência; tenham sido cumpridas as providências acima previstas;</w:t>
      </w:r>
    </w:p>
    <w:p>
      <w:pPr>
        <w:pStyle w:val="ListParagraph"/>
        <w:widowControl w:val="false"/>
        <w:numPr>
          <w:ilvl w:val="2"/>
          <w:numId w:val="1"/>
        </w:numPr>
        <w:spacing w:lineRule="auto" w:line="276" w:before="120" w:after="120"/>
        <w:ind w:left="709" w:hanging="0"/>
        <w:contextualSpacing/>
        <w:jc w:val="both"/>
        <w:rPr>
          <w:rFonts w:ascii="Times New Roman" w:hAnsi="Times New Roman" w:cs="Times New Roman"/>
        </w:rPr>
      </w:pPr>
      <w:r>
        <w:rPr>
          <w:rFonts w:cs="Times New Roman" w:ascii="Times New Roman" w:hAnsi="Times New Roman"/>
        </w:rPr>
        <w:t>O atendimento no caso de emergência ou comprovada urgência será coberto por guia de encaminhamento única, emitida impessoalmente ao Serviço de Pronto-Socorro, que abarque o atendimento que fora dispensado ao beneficiário, ainda que tal atendimento envolva equipe multidisciplinar.</w:t>
      </w:r>
    </w:p>
    <w:p>
      <w:pPr>
        <w:pStyle w:val="Normal"/>
        <w:widowControl w:val="false"/>
        <w:numPr>
          <w:ilvl w:val="1"/>
          <w:numId w:val="1"/>
        </w:numPr>
        <w:spacing w:lineRule="auto" w:line="276" w:before="120" w:after="120"/>
        <w:ind w:left="0" w:hanging="0"/>
        <w:jc w:val="both"/>
        <w:rPr>
          <w:rFonts w:ascii="Times New Roman" w:hAnsi="Times New Roman" w:cs="Times New Roman"/>
        </w:rPr>
      </w:pPr>
      <w:r>
        <w:rPr>
          <w:rFonts w:cs="Times New Roman" w:ascii="Times New Roman" w:hAnsi="Times New Roman"/>
        </w:rPr>
        <w:t xml:space="preserve">No caso da prestação de serviços de reabilitação, as previsões dos itens 7.2, 7.3 e 7.4 serão tratadas especificamente nos itens </w:t>
      </w:r>
      <w:r>
        <w:rPr>
          <w:rFonts w:cs="Times New Roman" w:ascii="Times New Roman" w:hAnsi="Times New Roman"/>
          <w:highlight w:val="lightGray"/>
        </w:rPr>
        <w:t>6, 7 e 8 do Anexo D</w:t>
      </w:r>
      <w:r>
        <w:rPr>
          <w:rFonts w:cs="Times New Roman" w:ascii="Times New Roman" w:hAnsi="Times New Roman"/>
        </w:rPr>
        <w:t xml:space="preserve"> deste Edital.</w:t>
      </w:r>
    </w:p>
    <w:p>
      <w:pPr>
        <w:pStyle w:val="Normal"/>
        <w:widowControl w:val="false"/>
        <w:numPr>
          <w:ilvl w:val="1"/>
          <w:numId w:val="1"/>
        </w:numPr>
        <w:spacing w:lineRule="auto" w:line="276" w:before="120" w:after="120"/>
        <w:ind w:left="0" w:hanging="0"/>
        <w:jc w:val="both"/>
        <w:rPr>
          <w:rFonts w:ascii="Times New Roman" w:hAnsi="Times New Roman" w:cs="Times New Roman"/>
        </w:rPr>
      </w:pPr>
      <w:r>
        <w:rPr>
          <w:rFonts w:cs="Times New Roman" w:ascii="Times New Roman" w:hAnsi="Times New Roman"/>
        </w:rPr>
        <w:t>Qualquer material, equipamento, dieta e outro produto nutricional ou medicamento utilizado por parte do CREDENCIADO no atendimento ao paciente, inclusive sangue e seus componentes, será providenciado, cobertos estes custos por conta do mesmo, com observância das regras postas neste Edital, em seus anexos e no contrato.</w:t>
      </w:r>
    </w:p>
    <w:p>
      <w:pPr>
        <w:pStyle w:val="Normal"/>
        <w:widowControl w:val="false"/>
        <w:spacing w:lineRule="auto" w:line="276" w:before="120" w:after="120"/>
        <w:ind w:left="1418" w:hanging="0"/>
        <w:jc w:val="both"/>
        <w:rPr>
          <w:rFonts w:ascii="Times New Roman" w:hAnsi="Times New Roman" w:cs="Times New Roman"/>
          <w:i/>
          <w:i/>
          <w:sz w:val="18"/>
          <w:szCs w:val="16"/>
        </w:rPr>
      </w:pPr>
      <w:r>
        <w:rPr>
          <w:rFonts w:cs="Times New Roman" w:ascii="Times New Roman" w:hAnsi="Times New Roman"/>
          <w:i/>
          <w:sz w:val="18"/>
          <w:szCs w:val="16"/>
        </w:rPr>
      </w:r>
    </w:p>
    <w:p>
      <w:pPr>
        <w:pStyle w:val="Normal"/>
        <w:widowControl w:val="false"/>
        <w:spacing w:lineRule="auto" w:line="276" w:before="120" w:after="120"/>
        <w:ind w:left="1418" w:hanging="0"/>
        <w:jc w:val="both"/>
        <w:rPr>
          <w:rFonts w:ascii="Times New Roman" w:hAnsi="Times New Roman" w:cs="Times New Roman"/>
          <w:i/>
          <w:i/>
          <w:sz w:val="18"/>
          <w:szCs w:val="18"/>
        </w:rPr>
      </w:pPr>
      <w:r>
        <w:rPr>
          <w:rFonts w:cs="Times New Roman" w:ascii="Times New Roman" w:hAnsi="Times New Roman"/>
          <w:i/>
          <w:sz w:val="18"/>
          <w:szCs w:val="18"/>
          <w:highlight w:val="yellow"/>
        </w:rPr>
        <w:t>Nota Explicativa: A regra da presente contratação é que o fornecimento de material necessário à prestação do serviço de saúde ocorra de forma integrada. Isso porque, cada um dos prestadores segue determinado protocolo de tratamento que deve ser respeitado por parte da Administração Pública Federal. Destarte, o fornecimento dos materiais pela Administração, regra geral, ofenderá relação de confiança do profissional de saúde com os meios de tratamento que em seu juízo técnico considere adequado, assim como dificultará eventual apuração de responsabilidade pelo serviço prestado. A Seção de Auditoria de Contas Médicas do CREDENCIANTE possuirá papel determinante na preservação do interesse público, bem como na verificação da economicidade do ato.</w:t>
      </w:r>
    </w:p>
    <w:p>
      <w:pPr>
        <w:pStyle w:val="Normal"/>
        <w:widowControl w:val="false"/>
        <w:spacing w:lineRule="auto" w:line="276" w:before="120" w:after="120"/>
        <w:ind w:left="1418" w:hanging="0"/>
        <w:jc w:val="both"/>
        <w:rPr>
          <w:rFonts w:ascii="Times New Roman" w:hAnsi="Times New Roman" w:cs="Times New Roman"/>
          <w:i/>
          <w:i/>
          <w:sz w:val="18"/>
          <w:szCs w:val="16"/>
        </w:rPr>
      </w:pPr>
      <w:r>
        <w:rPr>
          <w:rFonts w:cs="Times New Roman" w:ascii="Times New Roman" w:hAnsi="Times New Roman"/>
          <w:i/>
          <w:sz w:val="18"/>
          <w:szCs w:val="16"/>
        </w:rPr>
      </w:r>
    </w:p>
    <w:p>
      <w:pPr>
        <w:pStyle w:val="Normal"/>
        <w:widowControl w:val="false"/>
        <w:numPr>
          <w:ilvl w:val="2"/>
          <w:numId w:val="1"/>
        </w:numPr>
        <w:spacing w:lineRule="auto" w:line="276" w:before="120" w:after="120"/>
        <w:ind w:left="680" w:hanging="0"/>
        <w:jc w:val="both"/>
        <w:rPr>
          <w:rFonts w:ascii="Times New Roman" w:hAnsi="Times New Roman" w:cs="Times New Roman"/>
        </w:rPr>
      </w:pPr>
      <w:r>
        <w:rPr>
          <w:rFonts w:cs="Times New Roman" w:ascii="Times New Roman" w:hAnsi="Times New Roman"/>
        </w:rPr>
        <w:t>O justo valor do uso desses materiais e afins será incluído, mediante apresentação de nota fiscal, ao final do tratamento, na conta do paciente, e submetido à Seção de Auditoria de Contas Médicas do CREDENCIANTE.</w:t>
      </w:r>
    </w:p>
    <w:p>
      <w:pPr>
        <w:pStyle w:val="Normal"/>
        <w:widowControl w:val="false"/>
        <w:numPr>
          <w:ilvl w:val="2"/>
          <w:numId w:val="1"/>
        </w:numPr>
        <w:spacing w:lineRule="auto" w:line="276" w:before="120" w:after="120"/>
        <w:ind w:left="680" w:hanging="0"/>
        <w:jc w:val="both"/>
        <w:rPr>
          <w:rFonts w:ascii="Times New Roman" w:hAnsi="Times New Roman" w:cs="Times New Roman"/>
        </w:rPr>
      </w:pPr>
      <w:r>
        <w:rPr>
          <w:rFonts w:cs="Times New Roman" w:ascii="Times New Roman" w:hAnsi="Times New Roman"/>
        </w:rPr>
        <w:t>O CREDENCIANTE poderá fornecer medicamentos, materiais de penso, órteses, próteses, materiais cirúrgicos especiais (reutilizáveis), dietas e outros produtos nutricionais e materiais de alto custo e outros que julgar necessários para a execução do contrato, respeitado o protocolo de tratamento do CREDENCIADO.</w:t>
      </w:r>
    </w:p>
    <w:p>
      <w:pPr>
        <w:pStyle w:val="Normal"/>
        <w:widowControl w:val="false"/>
        <w:numPr>
          <w:ilvl w:val="1"/>
          <w:numId w:val="1"/>
        </w:numPr>
        <w:spacing w:lineRule="auto" w:line="276" w:before="120" w:after="120"/>
        <w:ind w:left="0" w:hanging="0"/>
        <w:jc w:val="both"/>
        <w:rPr>
          <w:rFonts w:ascii="Times New Roman" w:hAnsi="Times New Roman" w:cs="Times New Roman"/>
        </w:rPr>
      </w:pPr>
      <w:r>
        <w:rPr>
          <w:rFonts w:cs="Times New Roman" w:ascii="Times New Roman" w:hAnsi="Times New Roman"/>
        </w:rPr>
        <w:t>Nos contratos cujo objeto refere-se aos tratamentos de fonoaudiologia, de fisioterapia e de terapia ocupacional devem-se respeitar as 8 (oito) sessões por área, em um período de 30 (trinta) dias, bem como o número máximo de 200 (duzentas) sessões dentro de cada área, para total do tratamento, conforme estabelece o art. 38 da Portaria nº DGP-48/2008.</w:t>
      </w:r>
    </w:p>
    <w:p>
      <w:pPr>
        <w:pStyle w:val="Normal"/>
        <w:widowControl w:val="false"/>
        <w:numPr>
          <w:ilvl w:val="1"/>
          <w:numId w:val="1"/>
        </w:numPr>
        <w:spacing w:lineRule="auto" w:line="276" w:before="120" w:after="120"/>
        <w:ind w:left="0" w:hanging="0"/>
        <w:jc w:val="both"/>
        <w:rPr>
          <w:rFonts w:ascii="Times New Roman" w:hAnsi="Times New Roman" w:cs="Times New Roman"/>
        </w:rPr>
      </w:pPr>
      <w:r>
        <w:rPr>
          <w:rFonts w:cs="Times New Roman" w:ascii="Times New Roman" w:hAnsi="Times New Roman"/>
        </w:rPr>
        <w:t>Nos contratos cuja especialidade seja psicoterapia, limitam-se a 2 (duas) sessões em um período de 30 (trinta) dias, podendo, em casos excepcionais, ser autorizada a realização de 4 (quatro) sessões no mesmo período, mediante justificativa formalizada do profissional prestador do serviço, desde que homologada por médico militar, bem como o número máximo de 200 (duzentas) sessões dentro de cada área, para total do tratamento, conforme estabelece o art. 38 da Portaria nº DGP-48/2008.</w:t>
      </w:r>
    </w:p>
    <w:p>
      <w:pPr>
        <w:pStyle w:val="Normal"/>
        <w:widowControl w:val="false"/>
        <w:numPr>
          <w:ilvl w:val="1"/>
          <w:numId w:val="1"/>
        </w:numPr>
        <w:spacing w:lineRule="auto" w:line="276" w:before="120" w:after="120"/>
        <w:ind w:left="0" w:hanging="0"/>
        <w:jc w:val="both"/>
        <w:rPr>
          <w:rFonts w:ascii="Times New Roman" w:hAnsi="Times New Roman" w:cs="Times New Roman"/>
        </w:rPr>
      </w:pPr>
      <w:r>
        <w:rPr>
          <w:rFonts w:cs="Times New Roman" w:ascii="Times New Roman" w:hAnsi="Times New Roman"/>
        </w:rPr>
        <w:t xml:space="preserve">Nos contratos a que se referem os subitens </w:t>
      </w:r>
      <w:r>
        <w:rPr>
          <w:rFonts w:cs="Times New Roman" w:ascii="Times New Roman" w:hAnsi="Times New Roman"/>
          <w:highlight w:val="lightGray"/>
        </w:rPr>
        <w:t>7.8 e 7.9</w:t>
      </w:r>
      <w:r>
        <w:rPr>
          <w:rFonts w:cs="Times New Roman" w:ascii="Times New Roman" w:hAnsi="Times New Roman"/>
        </w:rPr>
        <w:t xml:space="preserve"> ficam fixados em 50 (cinquenta) minutos o tempo de duração de cada sessão, conforme estabelece o art. 38 da Portaria nº DGP-48/2008.</w:t>
      </w:r>
    </w:p>
    <w:p>
      <w:pPr>
        <w:pStyle w:val="Normal"/>
        <w:widowControl w:val="false"/>
        <w:numPr>
          <w:ilvl w:val="1"/>
          <w:numId w:val="1"/>
        </w:numPr>
        <w:spacing w:lineRule="auto" w:line="276" w:before="120" w:after="120"/>
        <w:ind w:left="0" w:hanging="0"/>
        <w:jc w:val="both"/>
        <w:rPr>
          <w:rFonts w:ascii="Times New Roman" w:hAnsi="Times New Roman" w:cs="Times New Roman"/>
        </w:rPr>
      </w:pPr>
      <w:r>
        <w:rPr>
          <w:rFonts w:cs="Times New Roman" w:ascii="Times New Roman" w:hAnsi="Times New Roman"/>
        </w:rPr>
        <w:t>O CREDENCIADO é responsável pelos encargos trabalhista, fiscal, previdenciário e comercial resultantes da execução do contrato.</w:t>
      </w:r>
    </w:p>
    <w:p>
      <w:pPr>
        <w:pStyle w:val="Normal"/>
        <w:widowControl w:val="false"/>
        <w:numPr>
          <w:ilvl w:val="1"/>
          <w:numId w:val="1"/>
        </w:numPr>
        <w:spacing w:lineRule="auto" w:line="276" w:before="120" w:after="120"/>
        <w:ind w:left="0" w:hanging="0"/>
        <w:jc w:val="both"/>
        <w:rPr>
          <w:rFonts w:ascii="Times New Roman" w:hAnsi="Times New Roman" w:cs="Times New Roman"/>
        </w:rPr>
      </w:pPr>
      <w:r>
        <w:rPr>
          <w:rFonts w:cs="Times New Roman" w:ascii="Times New Roman" w:hAnsi="Times New Roman"/>
        </w:rPr>
        <w:t xml:space="preserve">Os procedimentos sujeitos a parecer de Comissão Ética Médica e de Serviço de Auditoria Médica de OMS, bem como os procedimentos médico-hospitalares e odontológicos não cobertos (ZM2) nem financiados (ZM1), foram enumerados no </w:t>
      </w:r>
      <w:r>
        <w:rPr>
          <w:rFonts w:cs="Times New Roman" w:ascii="Times New Roman" w:hAnsi="Times New Roman"/>
          <w:highlight w:val="lightGray"/>
        </w:rPr>
        <w:t xml:space="preserve">Anexo “S” </w:t>
      </w:r>
      <w:r>
        <w:rPr>
          <w:rFonts w:eastAsia="" w:cs="Times New Roman" w:ascii="Times New Roman" w:hAnsi="Times New Roman" w:eastAsiaTheme="minorEastAsia"/>
          <w:highlight w:val="yellow"/>
        </w:rPr>
        <w:t>SERÁ Q, d</w:t>
      </w:r>
      <w:r>
        <w:rPr>
          <w:rFonts w:cs="Times New Roman" w:ascii="Times New Roman" w:hAnsi="Times New Roman"/>
        </w:rPr>
        <w:t>este edital.</w:t>
      </w:r>
    </w:p>
    <w:p>
      <w:pPr>
        <w:pStyle w:val="Normal"/>
        <w:widowControl w:val="false"/>
        <w:numPr>
          <w:ilvl w:val="1"/>
          <w:numId w:val="1"/>
        </w:numPr>
        <w:spacing w:lineRule="auto" w:line="276" w:before="120" w:after="120"/>
        <w:ind w:left="0" w:hanging="0"/>
        <w:jc w:val="both"/>
        <w:rPr>
          <w:rFonts w:ascii="Times New Roman" w:hAnsi="Times New Roman" w:cs="Times New Roman"/>
        </w:rPr>
      </w:pPr>
      <w:r>
        <w:rPr>
          <w:rFonts w:cs="Times New Roman" w:ascii="Times New Roman" w:hAnsi="Times New Roman"/>
        </w:rPr>
        <w:t>O CREDENCIADO deverá considerar o prazo de 30 (trinta) dias para os casos de RETORNO DE CONSULTAS ambulatoriais.</w:t>
      </w:r>
    </w:p>
    <w:p>
      <w:pPr>
        <w:pStyle w:val="Normal"/>
        <w:widowControl w:val="false"/>
        <w:numPr>
          <w:ilvl w:val="1"/>
          <w:numId w:val="1"/>
        </w:numPr>
        <w:spacing w:lineRule="auto" w:line="276" w:before="120" w:after="120"/>
        <w:ind w:left="0" w:hanging="0"/>
        <w:jc w:val="both"/>
        <w:rPr>
          <w:rFonts w:ascii="Times New Roman" w:hAnsi="Times New Roman" w:cs="Times New Roman"/>
          <w:highlight w:val="lightGray"/>
        </w:rPr>
      </w:pPr>
      <w:r>
        <w:rPr>
          <w:rFonts w:cs="Times New Roman" w:ascii="Times New Roman" w:hAnsi="Times New Roman"/>
          <w:highlight w:val="lightGray"/>
        </w:rPr>
        <w:t>A execução e controle dos serviços contratados serão avaliados pela CREDENCIANTE, mediante supervisão direta ou indireta dos procedimentos realizados.</w:t>
      </w:r>
    </w:p>
    <w:p>
      <w:pPr>
        <w:pStyle w:val="Normal"/>
        <w:widowControl w:val="false"/>
        <w:spacing w:lineRule="auto" w:line="276" w:before="120" w:after="120"/>
        <w:ind w:firstLine="708"/>
        <w:jc w:val="both"/>
        <w:rPr>
          <w:rFonts w:ascii="Times New Roman" w:hAnsi="Times New Roman" w:cs="Times New Roman"/>
          <w:highlight w:val="lightGray"/>
        </w:rPr>
      </w:pPr>
      <w:r>
        <w:rPr>
          <w:rFonts w:cs="Times New Roman" w:ascii="Times New Roman" w:hAnsi="Times New Roman"/>
          <w:highlight w:val="lightGray"/>
        </w:rPr>
        <w:t>7.14.1 Nos casos de tratamentos prolongados, as contas deverão ser encerradas e apresentadas a cada 15 (quinze) dias. Nesses casos, deve ser emitida nova Guia de Encaminhamento, com as devidas comprovações para a necessidade de prorrogação de internações.</w:t>
      </w:r>
    </w:p>
    <w:p>
      <w:pPr>
        <w:pStyle w:val="Normal"/>
        <w:widowControl w:val="false"/>
        <w:numPr>
          <w:ilvl w:val="1"/>
          <w:numId w:val="1"/>
        </w:numPr>
        <w:spacing w:lineRule="auto" w:line="276" w:before="120" w:after="120"/>
        <w:ind w:left="0" w:hanging="0"/>
        <w:jc w:val="both"/>
        <w:rPr>
          <w:rFonts w:ascii="Times New Roman" w:hAnsi="Times New Roman" w:cs="Times New Roman"/>
          <w:highlight w:val="lightGray"/>
        </w:rPr>
      </w:pPr>
      <w:r>
        <w:rPr>
          <w:rFonts w:cs="Times New Roman" w:ascii="Times New Roman" w:hAnsi="Times New Roman"/>
          <w:highlight w:val="lightGray"/>
        </w:rPr>
        <w:t>É vedado ao CREDENCIADO exigir que o usuário assine fatura ou guia de atendimento ou quaisquer papéis em branco.</w:t>
      </w:r>
    </w:p>
    <w:p>
      <w:pPr>
        <w:pStyle w:val="Normal"/>
        <w:widowControl w:val="false"/>
        <w:numPr>
          <w:ilvl w:val="0"/>
          <w:numId w:val="1"/>
        </w:numPr>
        <w:spacing w:lineRule="auto" w:line="276" w:before="120" w:after="120"/>
        <w:ind w:left="0" w:hanging="0"/>
        <w:jc w:val="both"/>
        <w:rPr>
          <w:rFonts w:ascii="Times New Roman" w:hAnsi="Times New Roman" w:cs="Times New Roman"/>
          <w:b/>
          <w:b/>
          <w:u w:val="single"/>
        </w:rPr>
      </w:pPr>
      <w:r>
        <w:rPr>
          <w:rFonts w:cs="Times New Roman" w:ascii="Times New Roman" w:hAnsi="Times New Roman"/>
          <w:b/>
          <w:bCs/>
          <w:u w:val="single"/>
        </w:rPr>
        <w:t>DO PREÇO E CONDIÇÕES DE PAGAMENTO.</w:t>
      </w:r>
    </w:p>
    <w:p>
      <w:pPr>
        <w:pStyle w:val="Normal"/>
        <w:widowControl w:val="false"/>
        <w:numPr>
          <w:ilvl w:val="1"/>
          <w:numId w:val="1"/>
        </w:numPr>
        <w:spacing w:lineRule="auto" w:line="276" w:before="120" w:after="120"/>
        <w:ind w:left="0" w:hanging="0"/>
        <w:jc w:val="both"/>
        <w:rPr>
          <w:rFonts w:ascii="Times New Roman" w:hAnsi="Times New Roman" w:cs="Times New Roman"/>
        </w:rPr>
      </w:pPr>
      <w:r>
        <w:rPr>
          <w:rFonts w:cs="Times New Roman" w:ascii="Times New Roman" w:hAnsi="Times New Roman"/>
        </w:rPr>
        <w:t>Os serviços serão remunerados com base nos seguintes valores:</w:t>
      </w:r>
    </w:p>
    <w:p>
      <w:pPr>
        <w:pStyle w:val="Normal"/>
        <w:widowControl w:val="false"/>
        <w:spacing w:lineRule="auto" w:line="276" w:before="120" w:after="120"/>
        <w:ind w:left="1418" w:hanging="0"/>
        <w:jc w:val="both"/>
        <w:rPr>
          <w:rFonts w:ascii="Times New Roman" w:hAnsi="Times New Roman" w:cs="Times New Roman"/>
          <w:i/>
          <w:i/>
          <w:sz w:val="18"/>
          <w:szCs w:val="18"/>
          <w:highlight w:val="yellow"/>
        </w:rPr>
      </w:pPr>
      <w:r>
        <w:rPr>
          <w:rFonts w:cs="Times New Roman" w:ascii="Times New Roman" w:hAnsi="Times New Roman"/>
          <w:i/>
          <w:sz w:val="18"/>
          <w:szCs w:val="18"/>
          <w:highlight w:val="yellow"/>
        </w:rPr>
        <w:t>Nota Explicativa: O modelo adotado desdobra os preços pagos no credenciamento da seguinte forma: a) Taxas, diárias, materiais, dietas e suplementos; b) Pacotes de prestação de serviços; c) Assistência domiciliar; d) Outras especialidades (odontologia, psicologia, nutrição, fisioterapia, terapia ocupacional e fonoaudiologia); e) Procedimentos odontológicos; f) Consultas médicas; g) Medicamentos; h) Serviço de Apoio Diagnóstico Terapêutico - SADT; i) Procedimentos médicos; j) Filme/documentação dos procedimentos de Radiologia e Diagnóstico por Imagem  radiológico.</w:t>
      </w:r>
    </w:p>
    <w:p>
      <w:pPr>
        <w:pStyle w:val="Normal"/>
        <w:widowControl w:val="false"/>
        <w:spacing w:lineRule="auto" w:line="276" w:before="120" w:after="120"/>
        <w:ind w:left="1418" w:hanging="0"/>
        <w:jc w:val="both"/>
        <w:rPr>
          <w:rFonts w:ascii="Times New Roman" w:hAnsi="Times New Roman" w:cs="Times New Roman"/>
          <w:i/>
          <w:i/>
          <w:sz w:val="18"/>
          <w:szCs w:val="18"/>
          <w:highlight w:val="yellow"/>
        </w:rPr>
      </w:pPr>
      <w:r>
        <w:rPr>
          <w:rFonts w:cs="Times New Roman" w:ascii="Times New Roman" w:hAnsi="Times New Roman"/>
          <w:i/>
          <w:sz w:val="18"/>
          <w:szCs w:val="18"/>
          <w:highlight w:val="yellow"/>
        </w:rPr>
        <w:t>Deve o órgão realizar a pesquisa de preços, no âmbito do mercado de serviços de saúde, podendo, ao final, elaborar tabela própria ou adotar tabelas de associações ou conselhos de classe, desde que reflitam a realidade daquele mercado.</w:t>
      </w:r>
    </w:p>
    <w:p>
      <w:pPr>
        <w:pStyle w:val="Normal"/>
        <w:widowControl w:val="false"/>
        <w:spacing w:lineRule="auto" w:line="276" w:before="120" w:after="120"/>
        <w:ind w:left="1418" w:hanging="0"/>
        <w:jc w:val="both"/>
        <w:rPr>
          <w:rFonts w:ascii="Times New Roman" w:hAnsi="Times New Roman" w:cs="Times New Roman"/>
          <w:i/>
          <w:i/>
          <w:sz w:val="18"/>
          <w:szCs w:val="18"/>
        </w:rPr>
      </w:pPr>
      <w:r>
        <w:rPr>
          <w:rFonts w:cs="Times New Roman" w:ascii="Times New Roman" w:hAnsi="Times New Roman"/>
          <w:i/>
          <w:sz w:val="18"/>
          <w:szCs w:val="18"/>
          <w:highlight w:val="yellow"/>
        </w:rPr>
        <w:t>As referências às tabelas CBHPM da AMB e do Colégio Brasileiro de Radiologia serão meramente exemplificativas. Reitera-se que o órgão deve realizar pesquisa de mercado nos termos da IN SEGES/ME nº 73/2020 ou justifique no caso de impossibilidade de sua aplicação.</w:t>
      </w:r>
    </w:p>
    <w:p>
      <w:pPr>
        <w:pStyle w:val="Normal"/>
        <w:widowControl w:val="false"/>
        <w:spacing w:lineRule="auto" w:line="276" w:before="120" w:after="120"/>
        <w:ind w:left="284" w:hanging="0"/>
        <w:jc w:val="both"/>
        <w:rPr>
          <w:rFonts w:ascii="Times New Roman" w:hAnsi="Times New Roman" w:cs="Times New Roman"/>
        </w:rPr>
      </w:pPr>
      <w:r>
        <w:rPr>
          <w:rFonts w:cs="Times New Roman" w:ascii="Times New Roman" w:hAnsi="Times New Roman"/>
        </w:rPr>
        <w:t>8.1.1 Para diárias, taxas, materiais, dietas, contrates e pacotes de serviços serão adotados os valores constantes das tabelas dos</w:t>
      </w:r>
      <w:r>
        <w:rPr>
          <w:rFonts w:eastAsia="" w:cs="Times New Roman" w:ascii="Times New Roman" w:hAnsi="Times New Roman" w:eastAsiaTheme="minorEastAsia"/>
          <w:highlight w:val="yellow"/>
        </w:rPr>
        <w:t xml:space="preserve"> Anexos </w:t>
      </w:r>
      <w:r>
        <w:rPr>
          <w:rFonts w:eastAsia="" w:cs="Times New Roman" w:ascii="Times New Roman" w:hAnsi="Times New Roman" w:eastAsiaTheme="minorEastAsia"/>
          <w:color w:val="000000"/>
          <w:kern w:val="0"/>
          <w:sz w:val="20"/>
          <w:szCs w:val="20"/>
          <w:highlight w:val="yellow"/>
          <w:lang w:val="pt-BR" w:eastAsia="pt-BR" w:bidi="ar-SA"/>
        </w:rPr>
        <w:t>M</w:t>
      </w:r>
      <w:r>
        <w:rPr>
          <w:rFonts w:eastAsia="" w:cs="Times New Roman" w:ascii="Times New Roman" w:hAnsi="Times New Roman" w:eastAsiaTheme="minorEastAsia"/>
          <w:highlight w:val="yellow"/>
        </w:rPr>
        <w:t>, respectivamente, deste Edital.</w:t>
      </w:r>
    </w:p>
    <w:p>
      <w:pPr>
        <w:pStyle w:val="Normal"/>
        <w:widowControl w:val="false"/>
        <w:spacing w:lineRule="auto" w:line="276" w:before="120" w:after="120"/>
        <w:ind w:left="851" w:hanging="0"/>
        <w:jc w:val="both"/>
        <w:rPr>
          <w:rFonts w:ascii="Times New Roman" w:hAnsi="Times New Roman" w:cs="Times New Roman"/>
        </w:rPr>
      </w:pPr>
      <w:r>
        <w:rPr>
          <w:rFonts w:cs="Times New Roman" w:ascii="Times New Roman" w:hAnsi="Times New Roman"/>
        </w:rPr>
        <w:t>8.1.1.1 A qualquer momento, desde que acordado pelas partes, poderão ser estabelecidos novos pacotes de prestação de serviços com a condição de que os valores individuais dos itens inclusos em cada pacote correspondem aos valores estabelecidos neste Edital e seus anexos.</w:t>
      </w:r>
    </w:p>
    <w:p>
      <w:pPr>
        <w:pStyle w:val="Normal"/>
        <w:widowControl w:val="false"/>
        <w:spacing w:lineRule="auto" w:line="276" w:before="120" w:after="120"/>
        <w:ind w:left="1418" w:hanging="0"/>
        <w:jc w:val="both"/>
        <w:rPr>
          <w:rFonts w:ascii="Times New Roman" w:hAnsi="Times New Roman" w:cs="Times New Roman"/>
        </w:rPr>
      </w:pPr>
      <w:r>
        <w:rPr>
          <w:rFonts w:cs="Times New Roman" w:ascii="Times New Roman" w:hAnsi="Times New Roman"/>
        </w:rPr>
        <w:t xml:space="preserve">8.1.1.1.1 Caso seja estabelecido um novo pacote, este será automaticamente estendido aos demais credenciados. </w:t>
      </w:r>
    </w:p>
    <w:p>
      <w:pPr>
        <w:pStyle w:val="Normal"/>
        <w:widowControl w:val="false"/>
        <w:spacing w:lineRule="auto" w:line="276" w:before="120" w:after="120"/>
        <w:jc w:val="both"/>
        <w:rPr>
          <w:rFonts w:ascii="Times New Roman" w:hAnsi="Times New Roman" w:cs="Times New Roman"/>
        </w:rPr>
      </w:pPr>
      <w:r>
        <w:rPr>
          <w:rFonts w:cs="Times New Roman" w:ascii="Times New Roman" w:hAnsi="Times New Roman"/>
        </w:rPr>
        <w:t xml:space="preserve">8.1.2 Para consultas médicas eletivas ou em pronto atendimento, será adotado o valor de </w:t>
      </w:r>
      <w:r>
        <w:rPr>
          <w:rFonts w:cs="Times New Roman" w:ascii="Times New Roman" w:hAnsi="Times New Roman"/>
          <w:highlight w:val="lightGray"/>
        </w:rPr>
        <w:t>R$ ______________.</w:t>
      </w:r>
    </w:p>
    <w:p>
      <w:pPr>
        <w:pStyle w:val="Normal"/>
        <w:widowControl w:val="false"/>
        <w:spacing w:lineRule="auto" w:line="276" w:before="120" w:after="120"/>
        <w:jc w:val="both"/>
        <w:rPr>
          <w:rFonts w:ascii="Times New Roman" w:hAnsi="Times New Roman" w:cs="Times New Roman"/>
        </w:rPr>
      </w:pPr>
      <w:r>
        <w:rPr>
          <w:rFonts w:cs="Times New Roman" w:ascii="Times New Roman" w:hAnsi="Times New Roman"/>
        </w:rPr>
        <w:t xml:space="preserve">8.1.3 Para honorários de procedimentos médicos, </w:t>
      </w:r>
      <w:r>
        <w:rPr>
          <w:rFonts w:cs="Times New Roman" w:ascii="Times New Roman" w:hAnsi="Times New Roman"/>
          <w:highlight w:val="lightGray"/>
        </w:rPr>
        <w:t>classificados nos capítulos 1, 2 e 3 da tabela CBHPM</w:t>
      </w:r>
      <w:r>
        <w:rPr>
          <w:rFonts w:cs="Times New Roman" w:ascii="Times New Roman" w:hAnsi="Times New Roman"/>
        </w:rPr>
        <w:t xml:space="preserve">, será adotada a </w:t>
      </w:r>
      <w:r>
        <w:rPr>
          <w:rFonts w:cs="Times New Roman" w:ascii="Times New Roman" w:hAnsi="Times New Roman"/>
          <w:highlight w:val="lightGray"/>
        </w:rPr>
        <w:t>tabela CBHPM, ano 2014, e o valor de UCO de R$ ____.</w:t>
      </w:r>
    </w:p>
    <w:p>
      <w:pPr>
        <w:pStyle w:val="Normal"/>
        <w:widowControl w:val="false"/>
        <w:spacing w:lineRule="auto" w:line="276" w:before="120" w:after="120"/>
        <w:jc w:val="both"/>
        <w:rPr>
          <w:rFonts w:ascii="Times New Roman" w:hAnsi="Times New Roman" w:cs="Times New Roman"/>
        </w:rPr>
      </w:pPr>
      <w:r>
        <w:rPr>
          <w:rFonts w:cs="Times New Roman" w:ascii="Times New Roman" w:hAnsi="Times New Roman"/>
        </w:rPr>
        <w:t xml:space="preserve">8.1.4 Para o serviço de apoio ao diagnóstico e tratamento (SADT), classificados no capítulo 4 da tabela CBHPM, será adotada a </w:t>
      </w:r>
      <w:r>
        <w:rPr>
          <w:rFonts w:cs="Times New Roman" w:ascii="Times New Roman" w:hAnsi="Times New Roman"/>
          <w:highlight w:val="lightGray"/>
        </w:rPr>
        <w:t>tabela CBHPM, ano 2014, e o valor de UCO de R$ ____.</w:t>
      </w:r>
    </w:p>
    <w:p>
      <w:pPr>
        <w:pStyle w:val="Normal"/>
        <w:widowControl w:val="false"/>
        <w:spacing w:lineRule="auto" w:line="276" w:before="120" w:after="120"/>
        <w:jc w:val="both"/>
        <w:rPr>
          <w:rFonts w:ascii="Times New Roman" w:hAnsi="Times New Roman" w:cs="Times New Roman"/>
        </w:rPr>
      </w:pPr>
      <w:r>
        <w:rPr>
          <w:rFonts w:cs="Times New Roman" w:ascii="Times New Roman" w:hAnsi="Times New Roman"/>
        </w:rPr>
        <w:t xml:space="preserve">8.1.5 Para serviços auxiliares de diagnóstico e tratamento, em que seja necessário uso do filme radiológico, adotar-se-á a </w:t>
      </w:r>
      <w:r>
        <w:rPr>
          <w:rFonts w:cs="Times New Roman" w:ascii="Times New Roman" w:hAnsi="Times New Roman"/>
          <w:highlight w:val="lightGray"/>
        </w:rPr>
        <w:t>tabela do Colégio Brasileiro de Radiologia</w:t>
      </w:r>
      <w:r>
        <w:rPr>
          <w:rFonts w:cs="Times New Roman" w:ascii="Times New Roman" w:hAnsi="Times New Roman"/>
        </w:rPr>
        <w:t>.</w:t>
      </w:r>
    </w:p>
    <w:p>
      <w:pPr>
        <w:pStyle w:val="Normal"/>
        <w:widowControl w:val="false"/>
        <w:spacing w:lineRule="auto" w:line="276" w:before="120" w:after="120"/>
        <w:jc w:val="both"/>
        <w:rPr>
          <w:rFonts w:ascii="Times New Roman" w:hAnsi="Times New Roman" w:cs="Times New Roman"/>
        </w:rPr>
      </w:pPr>
      <w:r>
        <w:rPr>
          <w:rFonts w:cs="Times New Roman" w:ascii="Times New Roman" w:hAnsi="Times New Roman"/>
        </w:rPr>
        <w:t xml:space="preserve">8.1.6 Os serviços de fisioterapia, fonoaudiologia, psicologia, terapia ocupacional e nutrição serão remunerados conforme a </w:t>
      </w:r>
      <w:r>
        <w:rPr>
          <w:rFonts w:cs="Times New Roman" w:ascii="Times New Roman" w:hAnsi="Times New Roman"/>
          <w:highlight w:val="lightGray"/>
        </w:rPr>
        <w:t xml:space="preserve">tabela constante do </w:t>
      </w:r>
      <w:r>
        <w:rPr>
          <w:rFonts w:eastAsia="" w:cs="Times New Roman" w:ascii="Times New Roman" w:hAnsi="Times New Roman" w:eastAsiaTheme="minorEastAsia"/>
          <w:highlight w:val="yellow"/>
        </w:rPr>
        <w:t xml:space="preserve">Anexo M. </w:t>
      </w:r>
    </w:p>
    <w:p>
      <w:pPr>
        <w:pStyle w:val="Normal"/>
        <w:widowControl w:val="false"/>
        <w:spacing w:lineRule="auto" w:line="276" w:before="120" w:after="120"/>
        <w:jc w:val="both"/>
        <w:rPr>
          <w:rFonts w:ascii="Times New Roman" w:hAnsi="Times New Roman" w:cs="Times New Roman"/>
        </w:rPr>
      </w:pPr>
      <w:r>
        <w:rPr>
          <w:rFonts w:cs="Times New Roman" w:ascii="Times New Roman" w:hAnsi="Times New Roman"/>
        </w:rPr>
        <w:t>8.1.7 Ficam estipulados, dentro de cada Área/Especialidade, as seguintes formas de remuneração:</w:t>
      </w:r>
    </w:p>
    <w:p>
      <w:pPr>
        <w:pStyle w:val="ListParagraph"/>
        <w:widowControl w:val="false"/>
        <w:numPr>
          <w:ilvl w:val="3"/>
          <w:numId w:val="3"/>
        </w:numPr>
        <w:spacing w:lineRule="auto" w:line="276" w:before="120" w:after="120"/>
        <w:ind w:left="1276" w:hanging="850"/>
        <w:contextualSpacing/>
        <w:jc w:val="both"/>
        <w:rPr>
          <w:rFonts w:ascii="Times New Roman" w:hAnsi="Times New Roman" w:cs="Times New Roman"/>
          <w:highlight w:val="lightGray"/>
        </w:rPr>
      </w:pPr>
      <w:r>
        <w:rPr>
          <w:rFonts w:cs="Times New Roman" w:ascii="Times New Roman" w:hAnsi="Times New Roman"/>
          <w:highlight w:val="lightGray"/>
        </w:rPr>
        <w:t xml:space="preserve">Hospital(is) Geral(is)- </w:t>
      </w:r>
    </w:p>
    <w:p>
      <w:pPr>
        <w:pStyle w:val="ListParagraph"/>
        <w:widowControl w:val="false"/>
        <w:numPr>
          <w:ilvl w:val="3"/>
          <w:numId w:val="3"/>
        </w:numPr>
        <w:spacing w:lineRule="auto" w:line="276" w:before="120" w:after="120"/>
        <w:ind w:left="1276" w:hanging="850"/>
        <w:contextualSpacing/>
        <w:jc w:val="both"/>
        <w:rPr>
          <w:rFonts w:ascii="Times New Roman" w:hAnsi="Times New Roman" w:cs="Times New Roman"/>
          <w:highlight w:val="lightGray"/>
        </w:rPr>
      </w:pPr>
      <w:r>
        <w:rPr>
          <w:rFonts w:cs="Times New Roman" w:ascii="Times New Roman" w:hAnsi="Times New Roman"/>
          <w:highlight w:val="lightGray"/>
        </w:rPr>
        <w:t xml:space="preserve">Hospital(is) Geral(is) com Maternidade – </w:t>
      </w:r>
    </w:p>
    <w:p>
      <w:pPr>
        <w:pStyle w:val="ListParagraph"/>
        <w:widowControl w:val="false"/>
        <w:numPr>
          <w:ilvl w:val="3"/>
          <w:numId w:val="3"/>
        </w:numPr>
        <w:spacing w:lineRule="auto" w:line="276" w:before="120" w:after="120"/>
        <w:ind w:left="1276" w:hanging="850"/>
        <w:contextualSpacing/>
        <w:jc w:val="both"/>
        <w:rPr>
          <w:rFonts w:ascii="Times New Roman" w:hAnsi="Times New Roman" w:cs="Times New Roman"/>
          <w:highlight w:val="lightGray"/>
        </w:rPr>
      </w:pPr>
      <w:r>
        <w:rPr>
          <w:rFonts w:cs="Times New Roman" w:ascii="Times New Roman" w:hAnsi="Times New Roman"/>
          <w:highlight w:val="lightGray"/>
        </w:rPr>
        <w:t xml:space="preserve">Hospital(is) Maternidade – </w:t>
      </w:r>
    </w:p>
    <w:p>
      <w:pPr>
        <w:pStyle w:val="ListParagraph"/>
        <w:widowControl w:val="false"/>
        <w:numPr>
          <w:ilvl w:val="3"/>
          <w:numId w:val="3"/>
        </w:numPr>
        <w:spacing w:lineRule="auto" w:line="276" w:before="120" w:after="120"/>
        <w:ind w:left="1276" w:hanging="850"/>
        <w:contextualSpacing/>
        <w:jc w:val="both"/>
        <w:rPr>
          <w:rFonts w:ascii="Times New Roman" w:hAnsi="Times New Roman" w:cs="Times New Roman"/>
          <w:highlight w:val="lightGray"/>
        </w:rPr>
      </w:pPr>
      <w:r>
        <w:rPr>
          <w:rFonts w:cs="Times New Roman" w:ascii="Times New Roman" w:hAnsi="Times New Roman"/>
          <w:highlight w:val="lightGray"/>
        </w:rPr>
        <w:t xml:space="preserve">Cooperativa(s) de Trabalhos Médicos – </w:t>
      </w:r>
    </w:p>
    <w:p>
      <w:pPr>
        <w:pStyle w:val="ListParagraph"/>
        <w:widowControl w:val="false"/>
        <w:numPr>
          <w:ilvl w:val="3"/>
          <w:numId w:val="3"/>
        </w:numPr>
        <w:spacing w:lineRule="auto" w:line="276" w:before="120" w:after="120"/>
        <w:ind w:left="1276" w:hanging="850"/>
        <w:contextualSpacing/>
        <w:jc w:val="both"/>
        <w:rPr>
          <w:rFonts w:ascii="Times New Roman" w:hAnsi="Times New Roman" w:cs="Times New Roman"/>
          <w:highlight w:val="lightGray"/>
        </w:rPr>
      </w:pPr>
      <w:r>
        <w:rPr>
          <w:rFonts w:cs="Times New Roman" w:ascii="Times New Roman" w:hAnsi="Times New Roman"/>
          <w:highlight w:val="lightGray"/>
        </w:rPr>
        <w:t xml:space="preserve">Hospital(is) ou Clínica(s) Oftalmológica(s)- </w:t>
      </w:r>
    </w:p>
    <w:p>
      <w:pPr>
        <w:pStyle w:val="ListParagraph"/>
        <w:widowControl w:val="false"/>
        <w:numPr>
          <w:ilvl w:val="3"/>
          <w:numId w:val="3"/>
        </w:numPr>
        <w:spacing w:lineRule="auto" w:line="276" w:before="120" w:after="120"/>
        <w:ind w:left="1276" w:hanging="850"/>
        <w:contextualSpacing/>
        <w:jc w:val="both"/>
        <w:rPr>
          <w:rFonts w:ascii="Times New Roman" w:hAnsi="Times New Roman" w:cs="Times New Roman"/>
          <w:highlight w:val="lightGray"/>
        </w:rPr>
      </w:pPr>
      <w:r>
        <w:rPr>
          <w:rFonts w:cs="Times New Roman" w:ascii="Times New Roman" w:hAnsi="Times New Roman"/>
          <w:highlight w:val="lightGray"/>
        </w:rPr>
        <w:t xml:space="preserve">Hospital(is) ou Clínica(s) Psiquiátrica(s)- </w:t>
      </w:r>
    </w:p>
    <w:p>
      <w:pPr>
        <w:pStyle w:val="ListParagraph"/>
        <w:widowControl w:val="false"/>
        <w:numPr>
          <w:ilvl w:val="3"/>
          <w:numId w:val="3"/>
        </w:numPr>
        <w:spacing w:lineRule="auto" w:line="276" w:before="120" w:after="120"/>
        <w:ind w:left="1276" w:hanging="850"/>
        <w:contextualSpacing/>
        <w:jc w:val="both"/>
        <w:rPr>
          <w:rFonts w:ascii="Times New Roman" w:hAnsi="Times New Roman" w:cs="Times New Roman"/>
          <w:highlight w:val="lightGray"/>
        </w:rPr>
      </w:pPr>
      <w:r>
        <w:rPr>
          <w:rFonts w:cs="Times New Roman" w:ascii="Times New Roman" w:hAnsi="Times New Roman"/>
          <w:highlight w:val="lightGray"/>
        </w:rPr>
        <w:t xml:space="preserve">Hospital(is) Infantil(is)- </w:t>
      </w:r>
    </w:p>
    <w:p>
      <w:pPr>
        <w:pStyle w:val="ListParagraph"/>
        <w:widowControl w:val="false"/>
        <w:numPr>
          <w:ilvl w:val="3"/>
          <w:numId w:val="3"/>
        </w:numPr>
        <w:spacing w:lineRule="auto" w:line="276" w:before="120" w:after="120"/>
        <w:ind w:left="1276" w:hanging="850"/>
        <w:contextualSpacing/>
        <w:jc w:val="both"/>
        <w:rPr>
          <w:rFonts w:ascii="Times New Roman" w:hAnsi="Times New Roman" w:cs="Times New Roman"/>
          <w:highlight w:val="lightGray"/>
        </w:rPr>
      </w:pPr>
      <w:r>
        <w:rPr>
          <w:rFonts w:cs="Times New Roman" w:ascii="Times New Roman" w:hAnsi="Times New Roman"/>
          <w:highlight w:val="lightGray"/>
        </w:rPr>
        <w:t xml:space="preserve">Unidade(s) de Terapia Intensiva Neonatal- </w:t>
      </w:r>
    </w:p>
    <w:p>
      <w:pPr>
        <w:pStyle w:val="ListParagraph"/>
        <w:widowControl w:val="false"/>
        <w:numPr>
          <w:ilvl w:val="3"/>
          <w:numId w:val="3"/>
        </w:numPr>
        <w:spacing w:lineRule="auto" w:line="276" w:before="120" w:after="120"/>
        <w:ind w:left="1276" w:hanging="851"/>
        <w:contextualSpacing/>
        <w:jc w:val="both"/>
        <w:rPr>
          <w:rFonts w:ascii="Times New Roman" w:hAnsi="Times New Roman" w:cs="Times New Roman"/>
          <w:highlight w:val="lightGray"/>
        </w:rPr>
      </w:pPr>
      <w:r>
        <w:rPr>
          <w:rFonts w:cs="Times New Roman" w:ascii="Times New Roman" w:hAnsi="Times New Roman"/>
          <w:highlight w:val="lightGray"/>
        </w:rPr>
        <w:t xml:space="preserve">Unidade(s) de Terapia Intensiva para Adulto- </w:t>
      </w:r>
    </w:p>
    <w:p>
      <w:pPr>
        <w:pStyle w:val="ListParagraph"/>
        <w:widowControl w:val="false"/>
        <w:numPr>
          <w:ilvl w:val="3"/>
          <w:numId w:val="3"/>
        </w:numPr>
        <w:spacing w:lineRule="auto" w:line="276" w:before="120" w:after="120"/>
        <w:ind w:left="1276" w:hanging="851"/>
        <w:contextualSpacing/>
        <w:jc w:val="both"/>
        <w:rPr>
          <w:rFonts w:ascii="Times New Roman" w:hAnsi="Times New Roman" w:cs="Times New Roman"/>
          <w:highlight w:val="lightGray"/>
        </w:rPr>
      </w:pPr>
      <w:r>
        <w:rPr>
          <w:rFonts w:cs="Times New Roman" w:ascii="Times New Roman" w:hAnsi="Times New Roman"/>
          <w:highlight w:val="lightGray"/>
        </w:rPr>
        <w:t xml:space="preserve"> </w:t>
      </w:r>
      <w:r>
        <w:rPr>
          <w:rFonts w:cs="Times New Roman" w:ascii="Times New Roman" w:hAnsi="Times New Roman"/>
          <w:highlight w:val="lightGray"/>
        </w:rPr>
        <w:t xml:space="preserve">Clínica(s) de Reabilitação- </w:t>
      </w:r>
    </w:p>
    <w:p>
      <w:pPr>
        <w:pStyle w:val="ListParagraph"/>
        <w:widowControl w:val="false"/>
        <w:numPr>
          <w:ilvl w:val="3"/>
          <w:numId w:val="3"/>
        </w:numPr>
        <w:spacing w:lineRule="auto" w:line="276" w:before="120" w:after="120"/>
        <w:ind w:left="1276" w:hanging="851"/>
        <w:contextualSpacing/>
        <w:jc w:val="both"/>
        <w:rPr>
          <w:rFonts w:ascii="Times New Roman" w:hAnsi="Times New Roman" w:cs="Times New Roman"/>
          <w:highlight w:val="lightGray"/>
        </w:rPr>
      </w:pPr>
      <w:r>
        <w:rPr>
          <w:rFonts w:cs="Times New Roman" w:ascii="Times New Roman" w:hAnsi="Times New Roman"/>
          <w:highlight w:val="lightGray"/>
        </w:rPr>
        <w:t xml:space="preserve"> </w:t>
      </w:r>
      <w:r>
        <w:rPr>
          <w:rFonts w:cs="Times New Roman" w:ascii="Times New Roman" w:hAnsi="Times New Roman"/>
          <w:highlight w:val="lightGray"/>
        </w:rPr>
        <w:t xml:space="preserve">Laboratório de Análises Clínicas – </w:t>
      </w:r>
    </w:p>
    <w:p>
      <w:pPr>
        <w:pStyle w:val="ListParagraph"/>
        <w:widowControl w:val="false"/>
        <w:numPr>
          <w:ilvl w:val="3"/>
          <w:numId w:val="3"/>
        </w:numPr>
        <w:spacing w:lineRule="auto" w:line="276" w:before="120" w:after="120"/>
        <w:ind w:left="1276" w:hanging="851"/>
        <w:contextualSpacing/>
        <w:jc w:val="both"/>
        <w:rPr>
          <w:rFonts w:ascii="Times New Roman" w:hAnsi="Times New Roman" w:cs="Times New Roman"/>
          <w:highlight w:val="lightGray"/>
        </w:rPr>
      </w:pPr>
      <w:r>
        <w:rPr>
          <w:rFonts w:cs="Times New Roman" w:ascii="Times New Roman" w:hAnsi="Times New Roman"/>
          <w:highlight w:val="lightGray"/>
        </w:rPr>
        <w:t xml:space="preserve"> </w:t>
      </w:r>
      <w:r>
        <w:rPr>
          <w:rFonts w:cs="Times New Roman" w:ascii="Times New Roman" w:hAnsi="Times New Roman"/>
          <w:highlight w:val="lightGray"/>
        </w:rPr>
        <w:t>Laboratório de Exames de Anatomopatologia e de CitoPatologia –</w:t>
      </w:r>
    </w:p>
    <w:p>
      <w:pPr>
        <w:pStyle w:val="ListParagraph"/>
        <w:widowControl w:val="false"/>
        <w:numPr>
          <w:ilvl w:val="3"/>
          <w:numId w:val="3"/>
        </w:numPr>
        <w:spacing w:lineRule="auto" w:line="276" w:before="120" w:after="120"/>
        <w:ind w:left="1276" w:hanging="851"/>
        <w:contextualSpacing/>
        <w:jc w:val="both"/>
        <w:rPr>
          <w:rFonts w:ascii="Times New Roman" w:hAnsi="Times New Roman" w:cs="Times New Roman"/>
          <w:highlight w:val="lightGray"/>
        </w:rPr>
      </w:pPr>
      <w:r>
        <w:rPr>
          <w:rFonts w:cs="Times New Roman" w:ascii="Times New Roman" w:hAnsi="Times New Roman"/>
          <w:highlight w:val="lightGray"/>
        </w:rPr>
        <w:t xml:space="preserve">  </w:t>
      </w:r>
      <w:r>
        <w:rPr>
          <w:rFonts w:cs="Times New Roman" w:ascii="Times New Roman" w:hAnsi="Times New Roman"/>
          <w:highlight w:val="lightGray"/>
        </w:rPr>
        <w:t xml:space="preserve">SADT – Serviços de Apoio ao Diagnóstico e Terapêutica para hospitais </w:t>
      </w:r>
    </w:p>
    <w:p>
      <w:pPr>
        <w:pStyle w:val="ListParagraph"/>
        <w:widowControl w:val="false"/>
        <w:numPr>
          <w:ilvl w:val="3"/>
          <w:numId w:val="3"/>
        </w:numPr>
        <w:spacing w:lineRule="auto" w:line="276" w:before="120" w:after="120"/>
        <w:ind w:left="1276" w:hanging="850"/>
        <w:contextualSpacing/>
        <w:jc w:val="both"/>
        <w:rPr>
          <w:rFonts w:ascii="Times New Roman" w:hAnsi="Times New Roman" w:cs="Times New Roman"/>
          <w:highlight w:val="lightGray"/>
        </w:rPr>
      </w:pPr>
      <w:r>
        <w:rPr>
          <w:rFonts w:cs="Times New Roman" w:ascii="Times New Roman" w:hAnsi="Times New Roman"/>
          <w:highlight w:val="lightGray"/>
        </w:rPr>
        <w:t xml:space="preserve">  </w:t>
      </w:r>
      <w:r>
        <w:rPr>
          <w:rFonts w:cs="Times New Roman" w:ascii="Times New Roman" w:hAnsi="Times New Roman"/>
          <w:highlight w:val="lightGray"/>
        </w:rPr>
        <w:t xml:space="preserve">SADT – Serviços de Apoio ao Diagnóstico e Terapêutica para clínicas médicas – </w:t>
      </w:r>
    </w:p>
    <w:p>
      <w:pPr>
        <w:pStyle w:val="ListParagraph"/>
        <w:widowControl w:val="false"/>
        <w:numPr>
          <w:ilvl w:val="3"/>
          <w:numId w:val="3"/>
        </w:numPr>
        <w:spacing w:lineRule="auto" w:line="276" w:before="120" w:after="120"/>
        <w:ind w:left="1276" w:hanging="850"/>
        <w:contextualSpacing/>
        <w:jc w:val="both"/>
        <w:rPr>
          <w:rFonts w:ascii="Times New Roman" w:hAnsi="Times New Roman" w:cs="Times New Roman"/>
          <w:highlight w:val="lightGray"/>
        </w:rPr>
      </w:pPr>
      <w:r>
        <w:rPr>
          <w:rFonts w:cs="Times New Roman" w:ascii="Times New Roman" w:hAnsi="Times New Roman"/>
          <w:highlight w:val="lightGray"/>
        </w:rPr>
        <w:t>Clínica(s) de Especialidades Médicas –</w:t>
      </w:r>
    </w:p>
    <w:p>
      <w:pPr>
        <w:pStyle w:val="ListParagraph"/>
        <w:widowControl w:val="false"/>
        <w:numPr>
          <w:ilvl w:val="3"/>
          <w:numId w:val="3"/>
        </w:numPr>
        <w:spacing w:lineRule="auto" w:line="276" w:before="120" w:after="120"/>
        <w:ind w:left="1276" w:hanging="850"/>
        <w:contextualSpacing/>
        <w:jc w:val="both"/>
        <w:rPr>
          <w:rFonts w:ascii="Times New Roman" w:hAnsi="Times New Roman" w:cs="Times New Roman"/>
          <w:highlight w:val="lightGray"/>
        </w:rPr>
      </w:pPr>
      <w:r>
        <w:rPr>
          <w:rFonts w:cs="Times New Roman" w:ascii="Times New Roman" w:hAnsi="Times New Roman"/>
          <w:highlight w:val="lightGray"/>
        </w:rPr>
        <w:t>Profissionais de Saúde Autônomos (PSA):</w:t>
      </w:r>
    </w:p>
    <w:p>
      <w:pPr>
        <w:pStyle w:val="ListParagraph"/>
        <w:widowControl w:val="false"/>
        <w:spacing w:lineRule="auto" w:line="276" w:before="120" w:after="120"/>
        <w:ind w:left="1276" w:hanging="0"/>
        <w:contextualSpacing/>
        <w:jc w:val="both"/>
        <w:rPr>
          <w:rFonts w:ascii="Times New Roman" w:hAnsi="Times New Roman" w:cs="Times New Roman"/>
          <w:highlight w:val="lightGray"/>
        </w:rPr>
      </w:pPr>
      <w:r>
        <w:rPr>
          <w:rFonts w:cs="Times New Roman" w:ascii="Times New Roman" w:hAnsi="Times New Roman"/>
          <w:highlight w:val="lightGray"/>
        </w:rPr>
        <w:t>8.1.7.16.  Medicina:</w:t>
      </w:r>
    </w:p>
    <w:p>
      <w:pPr>
        <w:pStyle w:val="ListParagraph"/>
        <w:widowControl w:val="false"/>
        <w:numPr>
          <w:ilvl w:val="4"/>
          <w:numId w:val="3"/>
        </w:numPr>
        <w:spacing w:lineRule="auto" w:line="276" w:before="120" w:after="120"/>
        <w:ind w:left="2977" w:hanging="873"/>
        <w:contextualSpacing/>
        <w:jc w:val="both"/>
        <w:rPr>
          <w:rFonts w:ascii="Times New Roman" w:hAnsi="Times New Roman" w:cs="Times New Roman"/>
          <w:highlight w:val="lightGray"/>
        </w:rPr>
      </w:pPr>
      <w:r>
        <w:rPr>
          <w:rFonts w:cs="Times New Roman" w:ascii="Times New Roman" w:hAnsi="Times New Roman"/>
          <w:highlight w:val="lightGray"/>
        </w:rPr>
        <w:t>Consultas: R$  (_______ );</w:t>
      </w:r>
    </w:p>
    <w:p>
      <w:pPr>
        <w:pStyle w:val="ListParagraph"/>
        <w:widowControl w:val="false"/>
        <w:numPr>
          <w:ilvl w:val="4"/>
          <w:numId w:val="3"/>
        </w:numPr>
        <w:spacing w:lineRule="auto" w:line="276" w:before="120" w:after="120"/>
        <w:ind w:left="2977" w:hanging="873"/>
        <w:contextualSpacing/>
        <w:jc w:val="both"/>
        <w:rPr>
          <w:rFonts w:ascii="Times New Roman" w:hAnsi="Times New Roman" w:cs="Times New Roman"/>
          <w:highlight w:val="lightGray"/>
        </w:rPr>
      </w:pPr>
      <w:r>
        <w:rPr>
          <w:rFonts w:cs="Times New Roman" w:ascii="Times New Roman" w:hAnsi="Times New Roman"/>
          <w:highlight w:val="lightGray"/>
        </w:rPr>
        <w:t>Demais Procedimentos Médicos no consultório: R$  (___________);</w:t>
      </w:r>
    </w:p>
    <w:p>
      <w:pPr>
        <w:pStyle w:val="ListParagraph"/>
        <w:widowControl w:val="false"/>
        <w:numPr>
          <w:ilvl w:val="4"/>
          <w:numId w:val="3"/>
        </w:numPr>
        <w:spacing w:lineRule="auto" w:line="276" w:before="120" w:after="120"/>
        <w:ind w:left="2977" w:hanging="873"/>
        <w:contextualSpacing/>
        <w:jc w:val="both"/>
        <w:rPr>
          <w:rFonts w:ascii="Times New Roman" w:hAnsi="Times New Roman" w:cs="Times New Roman"/>
          <w:highlight w:val="lightGray"/>
        </w:rPr>
      </w:pPr>
      <w:r>
        <w:rPr>
          <w:rFonts w:cs="Times New Roman" w:ascii="Times New Roman" w:hAnsi="Times New Roman"/>
          <w:highlight w:val="lightGray"/>
        </w:rPr>
        <w:t>Exames realizados em consultório: R$  (___________);</w:t>
      </w:r>
    </w:p>
    <w:p>
      <w:pPr>
        <w:pStyle w:val="ListParagraph"/>
        <w:widowControl w:val="false"/>
        <w:numPr>
          <w:ilvl w:val="4"/>
          <w:numId w:val="3"/>
        </w:numPr>
        <w:spacing w:lineRule="auto" w:line="276" w:before="120" w:after="120"/>
        <w:ind w:left="2977" w:hanging="873"/>
        <w:contextualSpacing/>
        <w:jc w:val="both"/>
        <w:rPr>
          <w:rFonts w:ascii="Times New Roman" w:hAnsi="Times New Roman" w:cs="Times New Roman"/>
          <w:highlight w:val="lightGray"/>
        </w:rPr>
      </w:pPr>
      <w:r>
        <w:rPr>
          <w:rFonts w:cs="Times New Roman" w:ascii="Times New Roman" w:hAnsi="Times New Roman"/>
          <w:highlight w:val="lightGray"/>
        </w:rPr>
        <w:t>Consulta Domiciliar: R$  (___________).</w:t>
      </w:r>
    </w:p>
    <w:p>
      <w:pPr>
        <w:pStyle w:val="ListParagraph"/>
        <w:widowControl w:val="false"/>
        <w:numPr>
          <w:ilvl w:val="3"/>
          <w:numId w:val="3"/>
        </w:numPr>
        <w:spacing w:lineRule="auto" w:line="276" w:before="120" w:after="120"/>
        <w:ind w:left="2127" w:hanging="851"/>
        <w:contextualSpacing/>
        <w:jc w:val="both"/>
        <w:rPr>
          <w:rFonts w:ascii="Times New Roman" w:hAnsi="Times New Roman" w:cs="Times New Roman"/>
          <w:highlight w:val="lightGray"/>
        </w:rPr>
      </w:pPr>
      <w:r>
        <w:rPr>
          <w:rFonts w:cs="Times New Roman" w:ascii="Times New Roman" w:hAnsi="Times New Roman"/>
          <w:highlight w:val="lightGray"/>
        </w:rPr>
        <w:t>Fonoaudiologia:</w:t>
      </w:r>
    </w:p>
    <w:p>
      <w:pPr>
        <w:pStyle w:val="Normal"/>
        <w:widowControl w:val="false"/>
        <w:numPr>
          <w:ilvl w:val="4"/>
          <w:numId w:val="3"/>
        </w:numPr>
        <w:spacing w:lineRule="auto" w:line="276" w:before="120" w:after="120"/>
        <w:ind w:left="2977" w:hanging="850"/>
        <w:jc w:val="both"/>
        <w:rPr>
          <w:rFonts w:ascii="Times New Roman" w:hAnsi="Times New Roman" w:cs="Times New Roman"/>
          <w:highlight w:val="lightGray"/>
        </w:rPr>
      </w:pPr>
      <w:r>
        <w:rPr>
          <w:rFonts w:cs="Times New Roman" w:ascii="Times New Roman" w:hAnsi="Times New Roman"/>
          <w:highlight w:val="lightGray"/>
        </w:rPr>
        <w:t>Atendimento no consultório – R$  (___________);</w:t>
      </w:r>
    </w:p>
    <w:p>
      <w:pPr>
        <w:pStyle w:val="Normal"/>
        <w:widowControl w:val="false"/>
        <w:numPr>
          <w:ilvl w:val="4"/>
          <w:numId w:val="3"/>
        </w:numPr>
        <w:spacing w:lineRule="auto" w:line="276" w:before="120" w:after="120"/>
        <w:ind w:left="2977" w:hanging="850"/>
        <w:jc w:val="both"/>
        <w:rPr>
          <w:rFonts w:ascii="Times New Roman" w:hAnsi="Times New Roman" w:cs="Times New Roman"/>
          <w:highlight w:val="lightGray"/>
        </w:rPr>
      </w:pPr>
      <w:r>
        <w:rPr>
          <w:rFonts w:cs="Times New Roman" w:ascii="Times New Roman" w:hAnsi="Times New Roman"/>
          <w:highlight w:val="lightGray"/>
        </w:rPr>
        <w:t>Atendimento domiciliar – R$  (___________);</w:t>
      </w:r>
    </w:p>
    <w:p>
      <w:pPr>
        <w:pStyle w:val="Normal"/>
        <w:widowControl w:val="false"/>
        <w:numPr>
          <w:ilvl w:val="3"/>
          <w:numId w:val="3"/>
        </w:numPr>
        <w:spacing w:lineRule="auto" w:line="276" w:before="120" w:after="120"/>
        <w:ind w:left="1276" w:hanging="0"/>
        <w:jc w:val="both"/>
        <w:rPr>
          <w:rFonts w:ascii="Times New Roman" w:hAnsi="Times New Roman" w:cs="Times New Roman"/>
          <w:highlight w:val="lightGray"/>
        </w:rPr>
      </w:pPr>
      <w:r>
        <w:rPr>
          <w:rFonts w:cs="Times New Roman" w:ascii="Times New Roman" w:hAnsi="Times New Roman"/>
          <w:highlight w:val="lightGray"/>
        </w:rPr>
        <w:t>Psicologia:</w:t>
      </w:r>
    </w:p>
    <w:p>
      <w:pPr>
        <w:pStyle w:val="Normal"/>
        <w:widowControl w:val="false"/>
        <w:numPr>
          <w:ilvl w:val="4"/>
          <w:numId w:val="3"/>
        </w:numPr>
        <w:spacing w:lineRule="auto" w:line="276" w:before="120" w:after="120"/>
        <w:ind w:left="2977" w:hanging="850"/>
        <w:jc w:val="both"/>
        <w:rPr>
          <w:rFonts w:ascii="Times New Roman" w:hAnsi="Times New Roman" w:cs="Times New Roman"/>
          <w:highlight w:val="lightGray"/>
        </w:rPr>
      </w:pPr>
      <w:r>
        <w:rPr>
          <w:rFonts w:cs="Times New Roman" w:ascii="Times New Roman" w:hAnsi="Times New Roman"/>
          <w:highlight w:val="lightGray"/>
        </w:rPr>
        <w:t>Consulta inicial – R$  (___________);</w:t>
      </w:r>
    </w:p>
    <w:p>
      <w:pPr>
        <w:pStyle w:val="Normal"/>
        <w:widowControl w:val="false"/>
        <w:numPr>
          <w:ilvl w:val="4"/>
          <w:numId w:val="3"/>
        </w:numPr>
        <w:spacing w:lineRule="auto" w:line="276" w:before="120" w:after="120"/>
        <w:ind w:left="2977" w:hanging="850"/>
        <w:jc w:val="both"/>
        <w:rPr>
          <w:rFonts w:ascii="Times New Roman" w:hAnsi="Times New Roman" w:cs="Times New Roman"/>
          <w:highlight w:val="lightGray"/>
        </w:rPr>
      </w:pPr>
      <w:r>
        <w:rPr>
          <w:rFonts w:cs="Times New Roman" w:ascii="Times New Roman" w:hAnsi="Times New Roman"/>
          <w:highlight w:val="lightGray"/>
        </w:rPr>
        <w:t>Sessão – R$  (___________).</w:t>
      </w:r>
    </w:p>
    <w:p>
      <w:pPr>
        <w:pStyle w:val="Normal"/>
        <w:widowControl w:val="false"/>
        <w:numPr>
          <w:ilvl w:val="3"/>
          <w:numId w:val="3"/>
        </w:numPr>
        <w:spacing w:lineRule="auto" w:line="276" w:before="120" w:after="120"/>
        <w:ind w:left="1247" w:hanging="0"/>
        <w:jc w:val="both"/>
        <w:rPr>
          <w:rFonts w:ascii="Times New Roman" w:hAnsi="Times New Roman" w:cs="Times New Roman"/>
          <w:highlight w:val="lightGray"/>
        </w:rPr>
      </w:pPr>
      <w:r>
        <w:rPr>
          <w:rFonts w:cs="Times New Roman" w:ascii="Times New Roman" w:hAnsi="Times New Roman"/>
          <w:highlight w:val="lightGray"/>
        </w:rPr>
        <w:t>Nutrição:</w:t>
      </w:r>
    </w:p>
    <w:p>
      <w:pPr>
        <w:pStyle w:val="Normal"/>
        <w:widowControl w:val="false"/>
        <w:numPr>
          <w:ilvl w:val="4"/>
          <w:numId w:val="3"/>
        </w:numPr>
        <w:spacing w:lineRule="auto" w:line="276" w:before="120" w:after="120"/>
        <w:ind w:left="2977" w:hanging="850"/>
        <w:jc w:val="both"/>
        <w:rPr>
          <w:rFonts w:ascii="Times New Roman" w:hAnsi="Times New Roman" w:cs="Times New Roman"/>
          <w:highlight w:val="lightGray"/>
        </w:rPr>
      </w:pPr>
      <w:r>
        <w:rPr>
          <w:rFonts w:cs="Times New Roman" w:ascii="Times New Roman" w:hAnsi="Times New Roman"/>
          <w:highlight w:val="lightGray"/>
        </w:rPr>
        <w:t>Consulta – R$  (___________);</w:t>
      </w:r>
    </w:p>
    <w:p>
      <w:pPr>
        <w:pStyle w:val="Normal"/>
        <w:widowControl w:val="false"/>
        <w:numPr>
          <w:ilvl w:val="4"/>
          <w:numId w:val="3"/>
        </w:numPr>
        <w:spacing w:lineRule="auto" w:line="276" w:before="120" w:after="120"/>
        <w:ind w:left="2977" w:hanging="850"/>
        <w:jc w:val="both"/>
        <w:rPr>
          <w:rFonts w:ascii="Times New Roman" w:hAnsi="Times New Roman" w:cs="Times New Roman"/>
          <w:highlight w:val="lightGray"/>
        </w:rPr>
      </w:pPr>
      <w:r>
        <w:rPr>
          <w:rFonts w:cs="Times New Roman" w:ascii="Times New Roman" w:hAnsi="Times New Roman"/>
          <w:highlight w:val="lightGray"/>
        </w:rPr>
        <w:t>Domiciliar – R$  (___________).</w:t>
      </w:r>
    </w:p>
    <w:p>
      <w:pPr>
        <w:pStyle w:val="Normal"/>
        <w:widowControl w:val="false"/>
        <w:numPr>
          <w:ilvl w:val="3"/>
          <w:numId w:val="3"/>
        </w:numPr>
        <w:spacing w:lineRule="auto" w:line="276" w:before="120" w:after="120"/>
        <w:ind w:left="1247" w:hanging="0"/>
        <w:jc w:val="both"/>
        <w:rPr>
          <w:rFonts w:ascii="Times New Roman" w:hAnsi="Times New Roman" w:cs="Times New Roman"/>
          <w:highlight w:val="lightGray"/>
        </w:rPr>
      </w:pPr>
      <w:r>
        <w:rPr>
          <w:rFonts w:cs="Times New Roman" w:ascii="Times New Roman" w:hAnsi="Times New Roman"/>
          <w:highlight w:val="lightGray"/>
        </w:rPr>
        <w:t>Fisioterapia:</w:t>
      </w:r>
    </w:p>
    <w:p>
      <w:pPr>
        <w:pStyle w:val="Normal"/>
        <w:widowControl w:val="false"/>
        <w:numPr>
          <w:ilvl w:val="4"/>
          <w:numId w:val="3"/>
        </w:numPr>
        <w:spacing w:lineRule="auto" w:line="276" w:before="120" w:after="120"/>
        <w:ind w:left="2977" w:hanging="850"/>
        <w:jc w:val="both"/>
        <w:rPr>
          <w:rFonts w:ascii="Times New Roman" w:hAnsi="Times New Roman" w:cs="Times New Roman"/>
          <w:highlight w:val="lightGray"/>
        </w:rPr>
      </w:pPr>
      <w:r>
        <w:rPr>
          <w:rFonts w:cs="Times New Roman" w:ascii="Times New Roman" w:hAnsi="Times New Roman"/>
          <w:highlight w:val="lightGray"/>
        </w:rPr>
        <w:t>Procedimentos (consultório): R$  (___________);</w:t>
      </w:r>
    </w:p>
    <w:p>
      <w:pPr>
        <w:pStyle w:val="Normal"/>
        <w:widowControl w:val="false"/>
        <w:numPr>
          <w:ilvl w:val="4"/>
          <w:numId w:val="3"/>
        </w:numPr>
        <w:spacing w:lineRule="auto" w:line="276" w:before="120" w:after="120"/>
        <w:ind w:left="2977" w:hanging="850"/>
        <w:jc w:val="both"/>
        <w:rPr>
          <w:rFonts w:ascii="Times New Roman" w:hAnsi="Times New Roman" w:cs="Times New Roman"/>
          <w:highlight w:val="lightGray"/>
        </w:rPr>
      </w:pPr>
      <w:r>
        <w:rPr>
          <w:rFonts w:cs="Times New Roman" w:ascii="Times New Roman" w:hAnsi="Times New Roman"/>
          <w:highlight w:val="lightGray"/>
        </w:rPr>
        <w:t>Domiciliar – R$  (___________);.</w:t>
      </w:r>
    </w:p>
    <w:p>
      <w:pPr>
        <w:pStyle w:val="Normal"/>
        <w:widowControl w:val="false"/>
        <w:numPr>
          <w:ilvl w:val="3"/>
          <w:numId w:val="3"/>
        </w:numPr>
        <w:spacing w:lineRule="auto" w:line="276" w:before="120" w:after="120"/>
        <w:ind w:left="1247" w:hanging="0"/>
        <w:jc w:val="both"/>
        <w:rPr>
          <w:rFonts w:ascii="Times New Roman" w:hAnsi="Times New Roman" w:cs="Times New Roman"/>
          <w:highlight w:val="lightGray"/>
        </w:rPr>
      </w:pPr>
      <w:r>
        <w:rPr>
          <w:rFonts w:cs="Times New Roman" w:ascii="Times New Roman" w:hAnsi="Times New Roman"/>
          <w:highlight w:val="lightGray"/>
        </w:rPr>
        <w:t>Terapia Ocupacional:</w:t>
      </w:r>
    </w:p>
    <w:p>
      <w:pPr>
        <w:pStyle w:val="Normal"/>
        <w:widowControl w:val="false"/>
        <w:numPr>
          <w:ilvl w:val="4"/>
          <w:numId w:val="3"/>
        </w:numPr>
        <w:spacing w:lineRule="auto" w:line="276" w:before="120" w:after="120"/>
        <w:ind w:left="2977" w:hanging="850"/>
        <w:jc w:val="both"/>
        <w:rPr>
          <w:rFonts w:ascii="Times New Roman" w:hAnsi="Times New Roman" w:cs="Times New Roman"/>
          <w:highlight w:val="lightGray"/>
        </w:rPr>
      </w:pPr>
      <w:r>
        <w:rPr>
          <w:rFonts w:cs="Times New Roman" w:ascii="Times New Roman" w:hAnsi="Times New Roman"/>
          <w:highlight w:val="lightGray"/>
        </w:rPr>
        <w:t>Consulta – R$  (___________);</w:t>
      </w:r>
    </w:p>
    <w:p>
      <w:pPr>
        <w:pStyle w:val="Normal"/>
        <w:widowControl w:val="false"/>
        <w:numPr>
          <w:ilvl w:val="4"/>
          <w:numId w:val="3"/>
        </w:numPr>
        <w:spacing w:lineRule="auto" w:line="276" w:before="120" w:after="120"/>
        <w:ind w:left="2977" w:hanging="850"/>
        <w:jc w:val="both"/>
        <w:rPr>
          <w:rFonts w:ascii="Times New Roman" w:hAnsi="Times New Roman" w:cs="Times New Roman"/>
          <w:highlight w:val="lightGray"/>
        </w:rPr>
      </w:pPr>
      <w:r>
        <w:rPr>
          <w:rFonts w:cs="Times New Roman" w:ascii="Times New Roman" w:hAnsi="Times New Roman"/>
          <w:highlight w:val="lightGray"/>
        </w:rPr>
        <w:t>Domiciliar – R$  (___________);.</w:t>
      </w:r>
    </w:p>
    <w:p>
      <w:pPr>
        <w:pStyle w:val="ListParagraph"/>
        <w:widowControl w:val="false"/>
        <w:numPr>
          <w:ilvl w:val="3"/>
          <w:numId w:val="3"/>
        </w:numPr>
        <w:spacing w:lineRule="auto" w:line="276" w:before="120" w:after="120"/>
        <w:ind w:left="2127" w:hanging="939"/>
        <w:contextualSpacing/>
        <w:jc w:val="both"/>
        <w:rPr>
          <w:rFonts w:ascii="Times New Roman" w:hAnsi="Times New Roman" w:cs="Times New Roman"/>
          <w:highlight w:val="lightGray"/>
        </w:rPr>
      </w:pPr>
      <w:r>
        <w:rPr>
          <w:rFonts w:cs="Times New Roman" w:ascii="Times New Roman" w:hAnsi="Times New Roman"/>
          <w:highlight w:val="lightGray"/>
        </w:rPr>
        <w:t>Serviços de Atendimento Pré-Hospitalar e Inter-Hospitalar Móvel.</w:t>
      </w:r>
    </w:p>
    <w:p>
      <w:pPr>
        <w:pStyle w:val="Normal"/>
        <w:widowControl w:val="false"/>
        <w:spacing w:lineRule="auto" w:line="276" w:before="120" w:after="120"/>
        <w:ind w:left="2977" w:hanging="850"/>
        <w:jc w:val="both"/>
        <w:rPr>
          <w:rFonts w:ascii="Times New Roman" w:hAnsi="Times New Roman" w:cs="Times New Roman"/>
          <w:highlight w:val="lightGray"/>
        </w:rPr>
      </w:pPr>
      <w:r>
        <w:rPr>
          <w:rFonts w:cs="Times New Roman" w:ascii="Times New Roman" w:hAnsi="Times New Roman"/>
          <w:highlight w:val="lightGray"/>
        </w:rPr>
        <w:t>8.1.7.22.1TIPO A – Ambulância de Transporte: R$  (___________) para remoção no município de ____________-MG e R$  (___________)/km para remoções intermunicipais;</w:t>
      </w:r>
    </w:p>
    <w:p>
      <w:pPr>
        <w:pStyle w:val="ListParagraph"/>
        <w:widowControl w:val="false"/>
        <w:numPr>
          <w:ilvl w:val="4"/>
          <w:numId w:val="4"/>
        </w:numPr>
        <w:spacing w:lineRule="auto" w:line="276" w:before="120" w:after="120"/>
        <w:ind w:left="2977" w:hanging="850"/>
        <w:contextualSpacing/>
        <w:jc w:val="both"/>
        <w:rPr>
          <w:rFonts w:ascii="Times New Roman" w:hAnsi="Times New Roman" w:cs="Times New Roman"/>
          <w:highlight w:val="lightGray"/>
        </w:rPr>
      </w:pPr>
      <w:r>
        <w:rPr>
          <w:rFonts w:cs="Times New Roman" w:ascii="Times New Roman" w:hAnsi="Times New Roman"/>
          <w:highlight w:val="lightGray"/>
        </w:rPr>
        <w:t>TIPO B – Ambulância de Suporte Básico: R$  (___________) para remoção no município de ____________-MG e R$  (___________)/km para remoções intermunicipais;</w:t>
      </w:r>
    </w:p>
    <w:p>
      <w:pPr>
        <w:pStyle w:val="ListParagraph"/>
        <w:widowControl w:val="false"/>
        <w:numPr>
          <w:ilvl w:val="4"/>
          <w:numId w:val="4"/>
        </w:numPr>
        <w:spacing w:lineRule="auto" w:line="276" w:before="120" w:after="120"/>
        <w:ind w:left="2977" w:hanging="850"/>
        <w:contextualSpacing/>
        <w:jc w:val="both"/>
        <w:rPr>
          <w:rFonts w:ascii="Times New Roman" w:hAnsi="Times New Roman" w:cs="Times New Roman"/>
          <w:highlight w:val="lightGray"/>
        </w:rPr>
      </w:pPr>
      <w:r>
        <w:rPr>
          <w:rFonts w:cs="Times New Roman" w:ascii="Times New Roman" w:hAnsi="Times New Roman"/>
          <w:highlight w:val="lightGray"/>
        </w:rPr>
        <w:t>TIPO C – Ambulância de Resgate: R$  (___________) para remoção no município de ____________-MG e R$  (___________)/km para remoções intermunicipais;</w:t>
      </w:r>
    </w:p>
    <w:p>
      <w:pPr>
        <w:pStyle w:val="ListParagraph"/>
        <w:widowControl w:val="false"/>
        <w:numPr>
          <w:ilvl w:val="4"/>
          <w:numId w:val="4"/>
        </w:numPr>
        <w:spacing w:lineRule="auto" w:line="276" w:before="120" w:after="120"/>
        <w:ind w:left="2977" w:hanging="850"/>
        <w:contextualSpacing/>
        <w:jc w:val="both"/>
        <w:rPr>
          <w:rFonts w:ascii="Times New Roman" w:hAnsi="Times New Roman" w:cs="Times New Roman"/>
          <w:highlight w:val="lightGray"/>
        </w:rPr>
      </w:pPr>
      <w:r>
        <w:rPr>
          <w:rFonts w:cs="Times New Roman" w:ascii="Times New Roman" w:hAnsi="Times New Roman"/>
          <w:highlight w:val="lightGray"/>
        </w:rPr>
        <w:t>TIPO D – Ambulância de Suporte Avançado: R$  (___________) para remoção no município de ____________-MG e R$  (___________)/km para remoções intermunicipais;</w:t>
      </w:r>
    </w:p>
    <w:p>
      <w:pPr>
        <w:pStyle w:val="Normal"/>
        <w:widowControl w:val="false"/>
        <w:spacing w:lineRule="auto" w:line="276" w:before="120" w:after="120"/>
        <w:ind w:left="1276" w:hanging="0"/>
        <w:jc w:val="both"/>
        <w:rPr>
          <w:rFonts w:ascii="Times New Roman" w:hAnsi="Times New Roman" w:cs="Times New Roman"/>
          <w:highlight w:val="lightGray"/>
        </w:rPr>
      </w:pPr>
      <w:r>
        <w:rPr>
          <w:rFonts w:cs="Times New Roman" w:ascii="Times New Roman" w:hAnsi="Times New Roman"/>
          <w:highlight w:val="lightGray"/>
        </w:rPr>
        <w:t>8.1.7.23</w:t>
      </w:r>
      <w:r>
        <w:rPr>
          <w:rFonts w:cs="Times New Roman" w:ascii="Times New Roman" w:hAnsi="Times New Roman"/>
          <w:i/>
          <w:highlight w:val="lightGray"/>
        </w:rPr>
        <w:t xml:space="preserve"> Home care</w:t>
      </w:r>
      <w:r>
        <w:rPr>
          <w:rFonts w:cs="Times New Roman" w:ascii="Times New Roman" w:hAnsi="Times New Roman"/>
          <w:highlight w:val="lightGray"/>
        </w:rPr>
        <w:t xml:space="preserve">: valores conforme </w:t>
      </w:r>
      <w:r>
        <w:rPr>
          <w:rFonts w:eastAsia="" w:cs="Times New Roman" w:ascii="Times New Roman" w:hAnsi="Times New Roman" w:eastAsiaTheme="minorEastAsia"/>
          <w:highlight w:val="yellow"/>
        </w:rPr>
        <w:t>Anexo O será M? ​</w:t>
      </w:r>
      <w:r>
        <w:rPr>
          <w:rFonts w:cs="Times New Roman" w:ascii="Times New Roman" w:hAnsi="Times New Roman"/>
          <w:highlight w:val="lightGray"/>
        </w:rPr>
        <w:t xml:space="preserve"> deste Edital.</w:t>
      </w:r>
    </w:p>
    <w:p>
      <w:pPr>
        <w:pStyle w:val="Normal"/>
        <w:widowControl w:val="false"/>
        <w:numPr>
          <w:ilvl w:val="1"/>
          <w:numId w:val="4"/>
        </w:numPr>
        <w:spacing w:lineRule="auto" w:line="276" w:before="120" w:after="120"/>
        <w:ind w:left="0" w:hanging="0"/>
        <w:jc w:val="both"/>
        <w:rPr>
          <w:rFonts w:ascii="Times New Roman" w:hAnsi="Times New Roman" w:cs="Times New Roman"/>
        </w:rPr>
      </w:pPr>
      <w:r>
        <w:rPr>
          <w:rFonts w:cs="Times New Roman" w:ascii="Times New Roman" w:hAnsi="Times New Roman"/>
        </w:rPr>
        <w:t xml:space="preserve">No caso específico da(s) Clínica(s) Odontológica(s) e cirurgiões-dentistas serão adotados os valores constantes </w:t>
      </w:r>
      <w:r>
        <w:rPr>
          <w:rFonts w:cs="Times New Roman" w:ascii="Times New Roman" w:hAnsi="Times New Roman"/>
          <w:highlight w:val="lightGray"/>
        </w:rPr>
        <w:t>na Lista Referencial de Odontologia do FuSEX do</w:t>
      </w:r>
      <w:r>
        <w:rPr>
          <w:rFonts w:cs="Times New Roman" w:ascii="Times New Roman" w:hAnsi="Times New Roman"/>
        </w:rPr>
        <w:t xml:space="preserve"> </w:t>
      </w:r>
      <w:r>
        <w:rPr>
          <w:rFonts w:cs="Times New Roman" w:ascii="Times New Roman" w:hAnsi="Times New Roman"/>
          <w:highlight w:val="lightGray"/>
        </w:rPr>
        <w:t xml:space="preserve">(indicar nome do órgão) para contratos de credenciamento - Anexo </w:t>
      </w:r>
      <w:r>
        <w:rPr>
          <w:rFonts w:eastAsia="" w:cs="Times New Roman" w:ascii="Times New Roman" w:hAnsi="Times New Roman" w:eastAsiaTheme="minorEastAsia"/>
          <w:highlight w:val="yellow"/>
        </w:rPr>
        <w:t xml:space="preserve">N SERÁ M </w:t>
      </w:r>
      <w:r>
        <w:rPr>
          <w:rFonts w:cs="Times New Roman" w:ascii="Times New Roman" w:hAnsi="Times New Roman"/>
        </w:rPr>
        <w:t>do Edital.</w:t>
      </w:r>
    </w:p>
    <w:p>
      <w:pPr>
        <w:pStyle w:val="ListParagraph"/>
        <w:widowControl w:val="false"/>
        <w:numPr>
          <w:ilvl w:val="1"/>
          <w:numId w:val="4"/>
        </w:numPr>
        <w:spacing w:lineRule="auto" w:line="276" w:before="120" w:after="120"/>
        <w:ind w:left="0" w:hanging="0"/>
        <w:contextualSpacing/>
        <w:jc w:val="both"/>
        <w:rPr>
          <w:rFonts w:ascii="Times New Roman" w:hAnsi="Times New Roman" w:cs="Times New Roman"/>
        </w:rPr>
      </w:pPr>
      <w:r>
        <w:rPr>
          <w:rFonts w:cs="Times New Roman" w:ascii="Times New Roman" w:hAnsi="Times New Roman"/>
        </w:rPr>
        <w:t>Constam dos anexos contratuais, deste Edital, regras especiais de remuneração, conforme o serviço ou especialidade.</w:t>
      </w:r>
    </w:p>
    <w:p>
      <w:pPr>
        <w:pStyle w:val="Normal"/>
        <w:widowControl w:val="false"/>
        <w:numPr>
          <w:ilvl w:val="1"/>
          <w:numId w:val="4"/>
        </w:numPr>
        <w:spacing w:lineRule="auto" w:line="276" w:before="120" w:after="120"/>
        <w:ind w:left="0" w:hanging="0"/>
        <w:jc w:val="both"/>
        <w:rPr>
          <w:rFonts w:ascii="Times New Roman" w:hAnsi="Times New Roman" w:cs="Times New Roman"/>
        </w:rPr>
      </w:pPr>
      <w:r>
        <w:rPr>
          <w:rFonts w:cs="Times New Roman" w:ascii="Times New Roman" w:hAnsi="Times New Roman"/>
        </w:rPr>
        <w:t xml:space="preserve">A Diária Hospitalar inclui assistência enfermagem, serviço de camareira, copeira, serviços gerais, alojamento e alimentação do paciente e será paga conforme os valores constantes da </w:t>
      </w:r>
      <w:r>
        <w:rPr>
          <w:rFonts w:cs="Times New Roman" w:ascii="Times New Roman" w:hAnsi="Times New Roman"/>
          <w:highlight w:val="lightGray"/>
        </w:rPr>
        <w:t xml:space="preserve">Lista Referencial de Procedimentos Hospitalares do FuSEx do (indicar nome do órgão) para contratos de credenciamento - Anexo N </w:t>
      </w:r>
      <w:r>
        <w:rPr>
          <w:rFonts w:eastAsia="" w:cs="Times New Roman" w:ascii="Times New Roman" w:hAnsi="Times New Roman" w:eastAsiaTheme="minorEastAsia"/>
          <w:highlight w:val="yellow"/>
        </w:rPr>
        <w:t xml:space="preserve">SERÁ M </w:t>
      </w:r>
      <w:r>
        <w:rPr>
          <w:rFonts w:cs="Times New Roman" w:ascii="Times New Roman" w:hAnsi="Times New Roman"/>
        </w:rPr>
        <w:t>do Edital.</w:t>
      </w:r>
    </w:p>
    <w:p>
      <w:pPr>
        <w:pStyle w:val="Normal"/>
        <w:widowControl w:val="false"/>
        <w:numPr>
          <w:ilvl w:val="1"/>
          <w:numId w:val="4"/>
        </w:numPr>
        <w:spacing w:lineRule="auto" w:line="276" w:before="120" w:after="120"/>
        <w:ind w:left="0" w:hanging="0"/>
        <w:jc w:val="both"/>
        <w:rPr>
          <w:rFonts w:ascii="Times New Roman" w:hAnsi="Times New Roman" w:cs="Times New Roman"/>
        </w:rPr>
      </w:pPr>
      <w:r>
        <w:rPr>
          <w:rFonts w:cs="Times New Roman" w:ascii="Times New Roman" w:hAnsi="Times New Roman"/>
        </w:rPr>
        <w:t xml:space="preserve">A diária do CENTRO DE TERAPIA INTENSIVA (CTI) será paga conforme os valores constantes da </w:t>
      </w:r>
      <w:r>
        <w:rPr>
          <w:rFonts w:cs="Times New Roman" w:ascii="Times New Roman" w:hAnsi="Times New Roman"/>
          <w:highlight w:val="lightGray"/>
        </w:rPr>
        <w:t xml:space="preserve">Lista Referencial de Procedimentos Hospitalares do FuSEx do (indicar nome do órgão) para contratos de credenciamento - Anexo N </w:t>
      </w:r>
      <w:r>
        <w:rPr>
          <w:rFonts w:eastAsia="" w:cs="Times New Roman" w:ascii="Times New Roman" w:hAnsi="Times New Roman" w:eastAsiaTheme="minorEastAsia"/>
          <w:highlight w:val="yellow"/>
        </w:rPr>
        <w:t>SERÁ M</w:t>
      </w:r>
      <w:r>
        <w:rPr>
          <w:rFonts w:cs="Times New Roman" w:ascii="Times New Roman" w:hAnsi="Times New Roman"/>
        </w:rPr>
        <w:t xml:space="preserve"> do Edital, incluindo a utilização de aparelhagens, equipe técnica e exames de monitorização.</w:t>
      </w:r>
    </w:p>
    <w:p>
      <w:pPr>
        <w:pStyle w:val="ListParagraph"/>
        <w:widowControl w:val="false"/>
        <w:numPr>
          <w:ilvl w:val="2"/>
          <w:numId w:val="4"/>
        </w:numPr>
        <w:spacing w:lineRule="auto" w:line="276" w:before="120" w:after="120"/>
        <w:ind w:left="680" w:hanging="0"/>
        <w:contextualSpacing/>
        <w:jc w:val="both"/>
        <w:rPr>
          <w:rFonts w:ascii="Times New Roman" w:hAnsi="Times New Roman" w:cs="Times New Roman"/>
        </w:rPr>
      </w:pPr>
      <w:r>
        <w:rPr>
          <w:rFonts w:cs="Times New Roman" w:ascii="Times New Roman" w:hAnsi="Times New Roman"/>
        </w:rPr>
        <w:t xml:space="preserve">Os serviços de médicos plantonistas serão remunerados pelo valor previsto na </w:t>
      </w:r>
      <w:r>
        <w:rPr>
          <w:rFonts w:cs="Times New Roman" w:ascii="Times New Roman" w:hAnsi="Times New Roman"/>
          <w:highlight w:val="lightGray"/>
        </w:rPr>
        <w:t>(o órgão deve realizar pesquisa de mercado, podendo elaborar tabela própria ou adotar tabelas de associações - CBHPM/AMB, por exemplo - ou conselhos, desde que reflitam a realidade do mercado)</w:t>
      </w:r>
      <w:r>
        <w:rPr>
          <w:rFonts w:cs="Times New Roman" w:ascii="Times New Roman" w:hAnsi="Times New Roman"/>
        </w:rPr>
        <w:t>, por paciente por 24 (vinte e quatro) horas;</w:t>
      </w:r>
    </w:p>
    <w:p>
      <w:pPr>
        <w:pStyle w:val="ListParagraph"/>
        <w:widowControl w:val="false"/>
        <w:numPr>
          <w:ilvl w:val="2"/>
          <w:numId w:val="4"/>
        </w:numPr>
        <w:spacing w:lineRule="auto" w:line="276" w:before="120" w:after="120"/>
        <w:ind w:left="680" w:hanging="0"/>
        <w:contextualSpacing/>
        <w:jc w:val="both"/>
        <w:rPr>
          <w:rFonts w:ascii="Times New Roman" w:hAnsi="Times New Roman" w:cs="Times New Roman"/>
        </w:rPr>
      </w:pPr>
      <w:r>
        <w:rPr>
          <w:rFonts w:cs="Times New Roman" w:ascii="Times New Roman" w:hAnsi="Times New Roman"/>
        </w:rPr>
        <w:t>No valor previsto no subitem acima se incluirá todo e qualquer serviço profissional, prestado por parte do plantonista, durante a permanência do paciente no CTI;</w:t>
      </w:r>
    </w:p>
    <w:p>
      <w:pPr>
        <w:pStyle w:val="ListParagraph"/>
        <w:widowControl w:val="false"/>
        <w:numPr>
          <w:ilvl w:val="2"/>
          <w:numId w:val="4"/>
        </w:numPr>
        <w:spacing w:lineRule="auto" w:line="276" w:before="120" w:after="120"/>
        <w:ind w:left="680" w:hanging="0"/>
        <w:contextualSpacing/>
        <w:jc w:val="both"/>
        <w:rPr>
          <w:rFonts w:ascii="Times New Roman" w:hAnsi="Times New Roman" w:cs="Times New Roman"/>
        </w:rPr>
      </w:pPr>
      <w:r>
        <w:rPr>
          <w:rFonts w:cs="Times New Roman" w:ascii="Times New Roman" w:hAnsi="Times New Roman"/>
        </w:rPr>
        <w:t>Excluir-se-á do valor da diária do CTI, os exames complementares, sangue e derivados, curativos especiais, gases, materiais, medicações, respirador de volume, máquina de hemodiálise, intercorrências cirúrgicas e honorários médicos.</w:t>
      </w:r>
    </w:p>
    <w:p>
      <w:pPr>
        <w:pStyle w:val="ListParagraph"/>
        <w:widowControl w:val="false"/>
        <w:numPr>
          <w:ilvl w:val="1"/>
          <w:numId w:val="4"/>
        </w:numPr>
        <w:spacing w:lineRule="auto" w:line="276" w:before="120" w:after="120"/>
        <w:ind w:left="0" w:hanging="0"/>
        <w:contextualSpacing/>
        <w:jc w:val="both"/>
        <w:rPr>
          <w:rFonts w:ascii="Times New Roman" w:hAnsi="Times New Roman" w:cs="Times New Roman"/>
        </w:rPr>
      </w:pPr>
      <w:r>
        <w:rPr>
          <w:rFonts w:cs="Times New Roman" w:ascii="Times New Roman" w:hAnsi="Times New Roman"/>
        </w:rPr>
        <w:t xml:space="preserve">Os valores e as condições de pagamento referentes às diárias das acomodações para internação a que têm direito os beneficiários do SAMMED/FuSEx e os Servidores Civis do Exército Brasileiro serão cobrados de acordo com a </w:t>
      </w:r>
      <w:r>
        <w:rPr>
          <w:rFonts w:cs="Times New Roman" w:ascii="Times New Roman" w:hAnsi="Times New Roman"/>
          <w:highlight w:val="lightGray"/>
        </w:rPr>
        <w:t xml:space="preserve">Lista Referencial de Procedimentos Hospitalares do FuSEx do (indicar nome do órgão) para contratos de credenciamento - Anexo N </w:t>
      </w:r>
      <w:r>
        <w:rPr>
          <w:rFonts w:eastAsia="" w:cs="Times New Roman" w:ascii="Times New Roman" w:hAnsi="Times New Roman" w:eastAsiaTheme="minorEastAsia"/>
          <w:highlight w:val="yellow"/>
        </w:rPr>
        <w:t xml:space="preserve">SERÁ M </w:t>
      </w:r>
      <w:r>
        <w:rPr>
          <w:rFonts w:cs="Times New Roman" w:ascii="Times New Roman" w:hAnsi="Times New Roman"/>
        </w:rPr>
        <w:t xml:space="preserve"> do Edital.</w:t>
      </w:r>
    </w:p>
    <w:p>
      <w:pPr>
        <w:pStyle w:val="ListParagraph"/>
        <w:widowControl w:val="false"/>
        <w:numPr>
          <w:ilvl w:val="1"/>
          <w:numId w:val="4"/>
        </w:numPr>
        <w:spacing w:lineRule="auto" w:line="276" w:before="120" w:after="120"/>
        <w:ind w:left="0" w:hanging="0"/>
        <w:contextualSpacing/>
        <w:jc w:val="both"/>
        <w:rPr>
          <w:rFonts w:ascii="Times New Roman" w:hAnsi="Times New Roman" w:cs="Times New Roman"/>
        </w:rPr>
      </w:pPr>
      <w:r>
        <w:rPr>
          <w:rFonts w:cs="Times New Roman" w:ascii="Times New Roman" w:hAnsi="Times New Roman"/>
        </w:rPr>
        <w:t xml:space="preserve">Quando se tratar de taxas, lisura, órteses, próteses, materiais cirúrgicos especiais (reutilizáveis), procedimentos radiológicos contrastados, dietas e outros produtos nutricionais e curativos especiais, serão observados os valores e as instruções constantes das </w:t>
      </w:r>
      <w:r>
        <w:rPr>
          <w:rFonts w:cs="Times New Roman" w:ascii="Times New Roman" w:hAnsi="Times New Roman"/>
          <w:highlight w:val="lightGray"/>
        </w:rPr>
        <w:t>Listas Referenciais</w:t>
      </w:r>
      <w:r>
        <w:rPr>
          <w:rFonts w:cs="Times New Roman" w:ascii="Times New Roman" w:hAnsi="Times New Roman"/>
        </w:rPr>
        <w:t xml:space="preserve"> para contratos de credenciamento.</w:t>
      </w:r>
    </w:p>
    <w:p>
      <w:pPr>
        <w:pStyle w:val="ListParagraph"/>
        <w:widowControl w:val="false"/>
        <w:numPr>
          <w:ilvl w:val="1"/>
          <w:numId w:val="4"/>
        </w:numPr>
        <w:spacing w:lineRule="auto" w:line="276" w:before="120" w:after="120"/>
        <w:ind w:left="0" w:hanging="0"/>
        <w:contextualSpacing/>
        <w:jc w:val="both"/>
        <w:rPr>
          <w:rFonts w:ascii="Times New Roman" w:hAnsi="Times New Roman" w:cs="Times New Roman"/>
        </w:rPr>
      </w:pPr>
      <w:r>
        <w:rPr>
          <w:rFonts w:cs="Times New Roman" w:ascii="Times New Roman" w:hAnsi="Times New Roman"/>
        </w:rPr>
        <w:t>Constam dos anexos deste Edital, regras especiais de remuneração, conforme o serviço ou especialidade, cujo o justo valor será encontrado da seguinte forma:</w:t>
      </w:r>
    </w:p>
    <w:p>
      <w:pPr>
        <w:pStyle w:val="ListParagraph"/>
        <w:widowControl w:val="false"/>
        <w:spacing w:lineRule="auto" w:line="276" w:before="120" w:after="120"/>
        <w:ind w:left="1418" w:hanging="0"/>
        <w:contextualSpacing/>
        <w:jc w:val="both"/>
        <w:rPr>
          <w:rFonts w:ascii="Times New Roman" w:hAnsi="Times New Roman" w:cs="Times New Roman"/>
          <w:i/>
          <w:i/>
          <w:sz w:val="18"/>
          <w:szCs w:val="16"/>
        </w:rPr>
      </w:pPr>
      <w:r>
        <w:rPr>
          <w:rFonts w:cs="Times New Roman" w:ascii="Times New Roman" w:hAnsi="Times New Roman"/>
          <w:i/>
          <w:sz w:val="18"/>
          <w:szCs w:val="16"/>
          <w:highlight w:val="yellow"/>
        </w:rPr>
        <w:t>Nota Explicativa: Deverá observa-se, em razão do princípio da hierarquia, a Nota nº 2-SAS/SAMMED/4.4, 14 de novembro de 2006, ou norma posterior que lhe tenha retirado a vigência.</w:t>
      </w:r>
    </w:p>
    <w:p>
      <w:pPr>
        <w:pStyle w:val="ListParagraph"/>
        <w:widowControl w:val="false"/>
        <w:numPr>
          <w:ilvl w:val="2"/>
          <w:numId w:val="9"/>
        </w:numPr>
        <w:spacing w:lineRule="auto" w:line="276" w:before="120" w:after="120"/>
        <w:ind w:left="709" w:hanging="22"/>
        <w:contextualSpacing/>
        <w:jc w:val="both"/>
        <w:rPr>
          <w:rFonts w:ascii="Times New Roman" w:hAnsi="Times New Roman" w:cs="Times New Roman"/>
        </w:rPr>
      </w:pPr>
      <w:r>
        <w:rPr>
          <w:rFonts w:cs="Times New Roman" w:ascii="Times New Roman" w:hAnsi="Times New Roman"/>
        </w:rPr>
        <w:t>Medicamentos: valores acordados no parâmetro constante da coluna “preço fábrica - PF” da Lista de Preços de Medicamentos para compras públicas, emitida por parte da CMED/ANVISA.</w:t>
      </w:r>
    </w:p>
    <w:p>
      <w:pPr>
        <w:pStyle w:val="ListParagraph"/>
        <w:widowControl w:val="false"/>
        <w:spacing w:lineRule="auto" w:line="276" w:before="120" w:after="120"/>
        <w:ind w:left="1418" w:hanging="0"/>
        <w:contextualSpacing/>
        <w:jc w:val="both"/>
        <w:rPr>
          <w:rFonts w:ascii="Times New Roman" w:hAnsi="Times New Roman" w:cs="Times New Roman"/>
          <w:i/>
          <w:i/>
          <w:sz w:val="18"/>
          <w:szCs w:val="16"/>
        </w:rPr>
      </w:pPr>
      <w:r>
        <w:rPr>
          <w:rFonts w:cs="Times New Roman" w:ascii="Times New Roman" w:hAnsi="Times New Roman"/>
          <w:i/>
          <w:sz w:val="18"/>
          <w:szCs w:val="16"/>
          <w:highlight w:val="yellow"/>
        </w:rPr>
        <w:t>Nota explicativa: O parâmetro adotado no subitem tem por base a Orientação Interpretativa CMED/ANVISA nº 05/2009</w:t>
      </w:r>
      <w:r>
        <w:rPr>
          <w:rFonts w:cs="Times New Roman" w:ascii="Times New Roman" w:hAnsi="Times New Roman"/>
          <w:i/>
          <w:sz w:val="18"/>
          <w:szCs w:val="16"/>
        </w:rPr>
        <w:t>.</w:t>
      </w:r>
    </w:p>
    <w:p>
      <w:pPr>
        <w:pStyle w:val="ListParagraph"/>
        <w:widowControl w:val="false"/>
        <w:numPr>
          <w:ilvl w:val="3"/>
          <w:numId w:val="9"/>
        </w:numPr>
        <w:spacing w:lineRule="auto" w:line="276" w:before="120" w:after="120"/>
        <w:ind w:left="1418" w:hanging="0"/>
        <w:contextualSpacing/>
        <w:jc w:val="both"/>
        <w:rPr>
          <w:rFonts w:ascii="Times New Roman" w:hAnsi="Times New Roman" w:cs="Times New Roman"/>
        </w:rPr>
      </w:pPr>
      <w:r>
        <w:rPr>
          <w:rFonts w:cs="Times New Roman" w:ascii="Times New Roman" w:hAnsi="Times New Roman"/>
        </w:rPr>
        <w:t>Afasta-se a presente regra de preço caso, no momento de aferição das faturas (glosa), seja constatado valor superior ao praticado no mercado, por força do Acórdão nº 3.016/2012-Plenário/TCU.</w:t>
      </w:r>
    </w:p>
    <w:p>
      <w:pPr>
        <w:pStyle w:val="ListParagraph"/>
        <w:widowControl w:val="false"/>
        <w:numPr>
          <w:ilvl w:val="4"/>
          <w:numId w:val="9"/>
        </w:numPr>
        <w:spacing w:lineRule="auto" w:line="276" w:before="120" w:after="120"/>
        <w:ind w:left="2977" w:hanging="850"/>
        <w:contextualSpacing/>
        <w:jc w:val="both"/>
        <w:rPr>
          <w:rFonts w:ascii="Times New Roman" w:hAnsi="Times New Roman" w:cs="Times New Roman"/>
        </w:rPr>
      </w:pPr>
      <w:r>
        <w:rPr>
          <w:rFonts w:cs="Times New Roman" w:ascii="Times New Roman" w:hAnsi="Times New Roman"/>
        </w:rPr>
        <w:t>Na hipótese do item anterior será adotada a regra de preço para "medicamentos de preço livre".</w:t>
      </w:r>
    </w:p>
    <w:p>
      <w:pPr>
        <w:pStyle w:val="ListParagraph"/>
        <w:widowControl w:val="false"/>
        <w:spacing w:lineRule="auto" w:line="276" w:before="120" w:after="120"/>
        <w:ind w:left="2684" w:hanging="0"/>
        <w:contextualSpacing/>
        <w:jc w:val="both"/>
        <w:rPr>
          <w:rFonts w:ascii="Times New Roman" w:hAnsi="Times New Roman" w:cs="Times New Roman"/>
        </w:rPr>
      </w:pPr>
      <w:r>
        <w:rPr>
          <w:rFonts w:cs="Times New Roman" w:ascii="Times New Roman" w:hAnsi="Times New Roman"/>
        </w:rPr>
      </w:r>
    </w:p>
    <w:p>
      <w:pPr>
        <w:pStyle w:val="ListParagraph"/>
        <w:widowControl w:val="false"/>
        <w:spacing w:lineRule="auto" w:line="276" w:before="120" w:after="120"/>
        <w:ind w:left="1418" w:hanging="0"/>
        <w:contextualSpacing/>
        <w:jc w:val="both"/>
        <w:rPr>
          <w:rFonts w:ascii="Times New Roman" w:hAnsi="Times New Roman" w:cs="Times New Roman"/>
          <w:i/>
          <w:i/>
          <w:sz w:val="18"/>
          <w:szCs w:val="16"/>
        </w:rPr>
      </w:pPr>
      <w:r>
        <w:rPr>
          <w:rFonts w:cs="Times New Roman" w:ascii="Times New Roman" w:hAnsi="Times New Roman"/>
          <w:i/>
          <w:sz w:val="18"/>
          <w:szCs w:val="16"/>
          <w:highlight w:val="yellow"/>
        </w:rPr>
        <w:t>Nota explicativa: Como forma objetiva de aferição dos preços praticados no mercado distribuidor, recomenda-se, preferencialmente, a utilização do Banco de Preços em Saúde do Ministério da Saúde – BPS/MS</w:t>
      </w:r>
      <w:r>
        <w:rPr>
          <w:rFonts w:cs="Times New Roman" w:ascii="Times New Roman" w:hAnsi="Times New Roman"/>
          <w:i/>
          <w:sz w:val="18"/>
          <w:szCs w:val="16"/>
        </w:rPr>
        <w:t>.</w:t>
      </w:r>
    </w:p>
    <w:p>
      <w:pPr>
        <w:pStyle w:val="ListParagraph"/>
        <w:widowControl w:val="false"/>
        <w:spacing w:lineRule="auto" w:line="276" w:before="120" w:after="120"/>
        <w:ind w:left="1418" w:hanging="0"/>
        <w:contextualSpacing/>
        <w:jc w:val="both"/>
        <w:rPr>
          <w:rFonts w:ascii="Times New Roman" w:hAnsi="Times New Roman" w:cs="Times New Roman"/>
          <w:i/>
          <w:i/>
          <w:sz w:val="18"/>
          <w:szCs w:val="16"/>
        </w:rPr>
      </w:pPr>
      <w:r>
        <w:rPr>
          <w:rFonts w:cs="Times New Roman" w:ascii="Times New Roman" w:hAnsi="Times New Roman"/>
          <w:i/>
          <w:sz w:val="18"/>
          <w:szCs w:val="16"/>
        </w:rPr>
      </w:r>
    </w:p>
    <w:p>
      <w:pPr>
        <w:pStyle w:val="ListParagraph"/>
        <w:widowControl w:val="false"/>
        <w:numPr>
          <w:ilvl w:val="2"/>
          <w:numId w:val="9"/>
        </w:numPr>
        <w:spacing w:lineRule="auto" w:line="276" w:before="120" w:after="120"/>
        <w:contextualSpacing/>
        <w:jc w:val="both"/>
        <w:rPr>
          <w:rFonts w:ascii="Times New Roman" w:hAnsi="Times New Roman" w:cs="Times New Roman"/>
        </w:rPr>
      </w:pPr>
      <w:r>
        <w:rPr>
          <w:rFonts w:cs="Times New Roman" w:ascii="Times New Roman" w:hAnsi="Times New Roman"/>
        </w:rPr>
        <w:t>Quimioterápicos:</w:t>
      </w:r>
    </w:p>
    <w:p>
      <w:pPr>
        <w:pStyle w:val="ListParagraph"/>
        <w:widowControl w:val="false"/>
        <w:numPr>
          <w:ilvl w:val="3"/>
          <w:numId w:val="9"/>
        </w:numPr>
        <w:spacing w:lineRule="auto" w:line="276" w:before="120" w:after="120"/>
        <w:ind w:left="2160" w:hanging="742"/>
        <w:contextualSpacing/>
        <w:jc w:val="both"/>
        <w:rPr>
          <w:rFonts w:ascii="Times New Roman" w:hAnsi="Times New Roman" w:cs="Times New Roman"/>
        </w:rPr>
      </w:pPr>
      <w:r>
        <w:rPr>
          <w:rFonts w:cs="Times New Roman" w:ascii="Times New Roman" w:hAnsi="Times New Roman"/>
        </w:rPr>
        <w:t>Os medicamentos quimioterápicos injetáveis serão considerados os valores acordados no parâmetro CMED/ANVISA na coluna PF (</w:t>
      </w:r>
      <w:r>
        <w:rPr>
          <w:rFonts w:cs="Times New Roman" w:ascii="Times New Roman" w:hAnsi="Times New Roman"/>
          <w:highlight w:val="lightGray"/>
        </w:rPr>
        <w:t>ICMS 12%)</w:t>
      </w:r>
      <w:r>
        <w:rPr>
          <w:rFonts w:cs="Times New Roman" w:ascii="Times New Roman" w:hAnsi="Times New Roman"/>
        </w:rPr>
        <w:t xml:space="preserve"> para medicamentos genéricos e na coluna PF (</w:t>
      </w:r>
      <w:r>
        <w:rPr>
          <w:rFonts w:cs="Times New Roman" w:ascii="Times New Roman" w:hAnsi="Times New Roman"/>
          <w:highlight w:val="lightGray"/>
        </w:rPr>
        <w:t>ICMS 18%)</w:t>
      </w:r>
      <w:r>
        <w:rPr>
          <w:rFonts w:cs="Times New Roman" w:ascii="Times New Roman" w:hAnsi="Times New Roman"/>
        </w:rPr>
        <w:t xml:space="preserve"> para os demais medicamentos.</w:t>
      </w:r>
    </w:p>
    <w:p>
      <w:pPr>
        <w:pStyle w:val="ListParagraph"/>
        <w:widowControl w:val="false"/>
        <w:numPr>
          <w:ilvl w:val="3"/>
          <w:numId w:val="9"/>
        </w:numPr>
        <w:spacing w:lineRule="auto" w:line="276" w:before="120" w:after="120"/>
        <w:ind w:left="2160" w:hanging="742"/>
        <w:contextualSpacing/>
        <w:jc w:val="both"/>
        <w:rPr>
          <w:rFonts w:ascii="Times New Roman" w:hAnsi="Times New Roman" w:cs="Times New Roman"/>
        </w:rPr>
      </w:pPr>
      <w:r>
        <w:rPr>
          <w:rFonts w:cs="Times New Roman" w:ascii="Times New Roman" w:hAnsi="Times New Roman"/>
        </w:rPr>
        <w:t>Para os medicamentos Quimioterápicos orais serão considerados os valores acordados no parâmetro CMED/ANVISA na coluna PF (</w:t>
      </w:r>
      <w:r>
        <w:rPr>
          <w:rFonts w:cs="Times New Roman" w:ascii="Times New Roman" w:hAnsi="Times New Roman"/>
          <w:highlight w:val="lightGray"/>
        </w:rPr>
        <w:t>ICMS 12%)</w:t>
      </w:r>
      <w:r>
        <w:rPr>
          <w:rFonts w:cs="Times New Roman" w:ascii="Times New Roman" w:hAnsi="Times New Roman"/>
        </w:rPr>
        <w:t xml:space="preserve"> para medicamentos genéricos e na coluna PF (</w:t>
      </w:r>
      <w:r>
        <w:rPr>
          <w:rFonts w:cs="Times New Roman" w:ascii="Times New Roman" w:hAnsi="Times New Roman"/>
          <w:highlight w:val="lightGray"/>
        </w:rPr>
        <w:t>ICMS 18%)</w:t>
      </w:r>
      <w:r>
        <w:rPr>
          <w:rFonts w:cs="Times New Roman" w:ascii="Times New Roman" w:hAnsi="Times New Roman"/>
        </w:rPr>
        <w:t xml:space="preserve"> para demais medicamentos.</w:t>
      </w:r>
    </w:p>
    <w:p>
      <w:pPr>
        <w:pStyle w:val="ListParagraph"/>
        <w:widowControl w:val="false"/>
        <w:spacing w:lineRule="auto" w:line="276" w:before="120" w:after="120"/>
        <w:ind w:left="1418" w:hanging="0"/>
        <w:contextualSpacing/>
        <w:jc w:val="both"/>
        <w:rPr>
          <w:rFonts w:ascii="Times New Roman" w:hAnsi="Times New Roman" w:cs="Times New Roman"/>
        </w:rPr>
      </w:pPr>
      <w:r>
        <w:rPr>
          <w:rFonts w:cs="Times New Roman" w:ascii="Times New Roman" w:hAnsi="Times New Roman"/>
        </w:rPr>
      </w:r>
    </w:p>
    <w:p>
      <w:pPr>
        <w:pStyle w:val="ListParagraph"/>
        <w:widowControl w:val="false"/>
        <w:numPr>
          <w:ilvl w:val="2"/>
          <w:numId w:val="9"/>
        </w:numPr>
        <w:spacing w:lineRule="auto" w:line="276" w:before="120" w:after="120"/>
        <w:ind w:left="720" w:hanging="0"/>
        <w:contextualSpacing/>
        <w:jc w:val="both"/>
        <w:rPr>
          <w:rFonts w:ascii="Times New Roman" w:hAnsi="Times New Roman" w:cs="Times New Roman"/>
        </w:rPr>
      </w:pPr>
      <w:r>
        <w:rPr>
          <w:rFonts w:cs="Times New Roman" w:ascii="Times New Roman" w:hAnsi="Times New Roman"/>
        </w:rPr>
        <w:t xml:space="preserve">Material descartável: </w:t>
      </w:r>
      <w:r>
        <w:rPr>
          <w:rFonts w:cs="Times New Roman" w:ascii="Times New Roman" w:hAnsi="Times New Roman"/>
          <w:highlight w:val="lightGray"/>
        </w:rPr>
        <w:t>(o órgão deve realizar pesquisa de mercado, podendo elaborar tabela própria ou adotar tabelas de associações ou conselhos, desde que reflitam a realidade do mercado)</w:t>
      </w:r>
      <w:r>
        <w:rPr>
          <w:rFonts w:cs="Times New Roman" w:ascii="Times New Roman" w:hAnsi="Times New Roman"/>
        </w:rPr>
        <w:t>;</w:t>
      </w:r>
    </w:p>
    <w:p>
      <w:pPr>
        <w:pStyle w:val="ListParagraph"/>
        <w:widowControl w:val="false"/>
        <w:numPr>
          <w:ilvl w:val="2"/>
          <w:numId w:val="9"/>
        </w:numPr>
        <w:spacing w:lineRule="auto" w:line="276" w:before="120" w:after="120"/>
        <w:ind w:left="720" w:hanging="0"/>
        <w:contextualSpacing/>
        <w:jc w:val="both"/>
        <w:rPr>
          <w:rFonts w:ascii="Times New Roman" w:hAnsi="Times New Roman" w:cs="Times New Roman"/>
        </w:rPr>
      </w:pPr>
      <w:r>
        <w:rPr>
          <w:rFonts w:cs="Times New Roman" w:ascii="Times New Roman" w:hAnsi="Times New Roman"/>
        </w:rPr>
        <w:t xml:space="preserve">Material radiológico: </w:t>
      </w:r>
      <w:r>
        <w:rPr>
          <w:rFonts w:cs="Times New Roman" w:ascii="Times New Roman" w:hAnsi="Times New Roman"/>
          <w:highlight w:val="lightGray"/>
        </w:rPr>
        <w:t>(o órgão deve realizar pesquisa de mercado, podendo elaborar tabela própria ou adotar tabelas de associações ou conselhos, desde que reflitam a realidade do mercado)</w:t>
      </w:r>
      <w:r>
        <w:rPr>
          <w:rFonts w:cs="Times New Roman" w:ascii="Times New Roman" w:hAnsi="Times New Roman"/>
        </w:rPr>
        <w:t>;</w:t>
      </w:r>
    </w:p>
    <w:p>
      <w:pPr>
        <w:pStyle w:val="ListParagraph"/>
        <w:widowControl w:val="false"/>
        <w:numPr>
          <w:ilvl w:val="2"/>
          <w:numId w:val="9"/>
        </w:numPr>
        <w:spacing w:lineRule="auto" w:line="276" w:before="120" w:after="120"/>
        <w:ind w:left="720" w:hanging="0"/>
        <w:contextualSpacing/>
        <w:jc w:val="both"/>
        <w:rPr>
          <w:rFonts w:ascii="Times New Roman" w:hAnsi="Times New Roman" w:cs="Times New Roman"/>
        </w:rPr>
      </w:pPr>
      <w:r>
        <w:rPr>
          <w:rFonts w:cs="Times New Roman" w:ascii="Times New Roman" w:hAnsi="Times New Roman"/>
        </w:rPr>
        <w:t xml:space="preserve">Gases medicinais: valores constantes da </w:t>
      </w:r>
      <w:r>
        <w:rPr>
          <w:rFonts w:cs="Times New Roman" w:ascii="Times New Roman" w:hAnsi="Times New Roman"/>
          <w:highlight w:val="lightGray"/>
        </w:rPr>
        <w:t>Lista Referencial de Procedimentos Hospitalares do FuSEx do (indicar nome do órgão) para contratos de credenciamento - Anexo N do Edital;</w:t>
      </w:r>
    </w:p>
    <w:p>
      <w:pPr>
        <w:pStyle w:val="ListParagraph"/>
        <w:widowControl w:val="false"/>
        <w:numPr>
          <w:ilvl w:val="2"/>
          <w:numId w:val="9"/>
        </w:numPr>
        <w:spacing w:lineRule="auto" w:line="276" w:before="120" w:after="120"/>
        <w:ind w:left="720" w:hanging="0"/>
        <w:contextualSpacing/>
        <w:jc w:val="both"/>
        <w:rPr>
          <w:rFonts w:ascii="Times New Roman" w:hAnsi="Times New Roman" w:cs="Times New Roman"/>
        </w:rPr>
      </w:pPr>
      <w:r>
        <w:rPr>
          <w:rFonts w:cs="Times New Roman" w:ascii="Times New Roman" w:hAnsi="Times New Roman"/>
        </w:rPr>
        <w:t xml:space="preserve">OPMEC (órteses, próteses, materiais especiais e cirúrgicos): valores constantes da </w:t>
      </w:r>
      <w:r>
        <w:rPr>
          <w:rFonts w:cs="Times New Roman" w:ascii="Times New Roman" w:hAnsi="Times New Roman"/>
          <w:highlight w:val="lightGray"/>
        </w:rPr>
        <w:t>Lista Referencial de Procedimentos Hospitalares do FuSEx do (indicar nome do órgão) para contratos de credenciamento - Anexo N deste Edital</w:t>
      </w:r>
      <w:r>
        <w:rPr>
          <w:rFonts w:cs="Times New Roman" w:ascii="Times New Roman" w:hAnsi="Times New Roman"/>
        </w:rPr>
        <w:t>.</w:t>
      </w:r>
    </w:p>
    <w:p>
      <w:pPr>
        <w:pStyle w:val="ListParagraph"/>
        <w:widowControl w:val="false"/>
        <w:numPr>
          <w:ilvl w:val="1"/>
          <w:numId w:val="9"/>
        </w:numPr>
        <w:spacing w:lineRule="auto" w:line="276" w:before="120" w:after="120"/>
        <w:ind w:left="0" w:hanging="0"/>
        <w:contextualSpacing/>
        <w:jc w:val="both"/>
        <w:rPr>
          <w:rFonts w:ascii="Times New Roman" w:hAnsi="Times New Roman" w:cs="Times New Roman"/>
        </w:rPr>
      </w:pPr>
      <w:r>
        <w:rPr>
          <w:rFonts w:cs="Times New Roman" w:ascii="Times New Roman" w:hAnsi="Times New Roman"/>
        </w:rPr>
        <w:t>Em medicamentos não constantes da Lista de Preços de Medicamentos para compras públicas - medicamentos de preço livre:</w:t>
      </w:r>
    </w:p>
    <w:p>
      <w:pPr>
        <w:pStyle w:val="ListParagraph"/>
        <w:widowControl w:val="false"/>
        <w:numPr>
          <w:ilvl w:val="2"/>
          <w:numId w:val="9"/>
        </w:numPr>
        <w:spacing w:lineRule="auto" w:line="276" w:before="120" w:after="120"/>
        <w:ind w:left="680" w:hanging="0"/>
        <w:contextualSpacing/>
        <w:jc w:val="both"/>
        <w:rPr>
          <w:rFonts w:ascii="Times New Roman" w:hAnsi="Times New Roman" w:cs="Times New Roman"/>
        </w:rPr>
      </w:pPr>
      <w:r>
        <w:rPr>
          <w:rFonts w:cs="Times New Roman" w:ascii="Times New Roman" w:hAnsi="Times New Roman"/>
        </w:rPr>
        <w:t>O CREDENCIADO comprovará o custo do medicamento, por meio da apresentação de nota fiscal, com data atualizada e preços praticados no mercado distribuidor;</w:t>
      </w:r>
    </w:p>
    <w:p>
      <w:pPr>
        <w:pStyle w:val="ListParagraph"/>
        <w:widowControl w:val="false"/>
        <w:numPr>
          <w:ilvl w:val="2"/>
          <w:numId w:val="9"/>
        </w:numPr>
        <w:spacing w:lineRule="auto" w:line="276" w:before="120" w:after="120"/>
        <w:ind w:left="680" w:hanging="0"/>
        <w:contextualSpacing/>
        <w:jc w:val="both"/>
        <w:rPr>
          <w:rFonts w:ascii="Times New Roman" w:hAnsi="Times New Roman" w:cs="Times New Roman"/>
        </w:rPr>
      </w:pPr>
      <w:r>
        <w:rPr>
          <w:rFonts w:cs="Times New Roman" w:ascii="Times New Roman" w:hAnsi="Times New Roman"/>
        </w:rPr>
        <w:t xml:space="preserve">O CREDENCIANTE realizará a aferição das faturas, especialmente quanto à adequação do custo ao preço de mercado, por meio de seu </w:t>
      </w:r>
      <w:r>
        <w:rPr>
          <w:rFonts w:cs="Times New Roman" w:ascii="Times New Roman" w:hAnsi="Times New Roman"/>
          <w:highlight w:val="lightGray"/>
        </w:rPr>
        <w:t>Serviço de Auditoria Médica</w:t>
      </w:r>
      <w:r>
        <w:rPr>
          <w:rFonts w:cs="Times New Roman" w:ascii="Times New Roman" w:hAnsi="Times New Roman"/>
        </w:rPr>
        <w:t>, conforme o procedimento previsto no contrato.</w:t>
      </w:r>
    </w:p>
    <w:p>
      <w:pPr>
        <w:pStyle w:val="Normal"/>
        <w:widowControl w:val="false"/>
        <w:spacing w:lineRule="auto" w:line="276" w:before="120" w:after="120"/>
        <w:ind w:left="1418" w:hanging="0"/>
        <w:jc w:val="both"/>
        <w:rPr>
          <w:rFonts w:ascii="Times New Roman" w:hAnsi="Times New Roman" w:cs="Times New Roman"/>
          <w:i/>
          <w:i/>
          <w:sz w:val="18"/>
          <w:szCs w:val="16"/>
        </w:rPr>
      </w:pPr>
      <w:r>
        <w:rPr>
          <w:rFonts w:cs="Times New Roman" w:ascii="Times New Roman" w:hAnsi="Times New Roman"/>
          <w:i/>
          <w:sz w:val="18"/>
          <w:szCs w:val="16"/>
        </w:rPr>
      </w:r>
    </w:p>
    <w:p>
      <w:pPr>
        <w:pStyle w:val="Normal"/>
        <w:widowControl w:val="false"/>
        <w:spacing w:lineRule="auto" w:line="276" w:before="120" w:after="120"/>
        <w:ind w:left="1418" w:hanging="0"/>
        <w:jc w:val="both"/>
        <w:rPr>
          <w:rFonts w:ascii="Times New Roman" w:hAnsi="Times New Roman" w:cs="Times New Roman"/>
          <w:i/>
          <w:i/>
          <w:sz w:val="18"/>
          <w:szCs w:val="16"/>
        </w:rPr>
      </w:pPr>
      <w:r>
        <w:rPr>
          <w:rFonts w:cs="Times New Roman" w:ascii="Times New Roman" w:hAnsi="Times New Roman"/>
          <w:i/>
          <w:sz w:val="18"/>
          <w:szCs w:val="16"/>
          <w:highlight w:val="yellow"/>
        </w:rPr>
        <w:t>Nota explicativa: Como forma objetiva de aferição dos preços praticados no mercado distribuidor, recomenda-se, preferencialmente, a utilização do Banco de Preços em Saúde do Ministério da Saúde – BPS/MS.</w:t>
      </w:r>
    </w:p>
    <w:p>
      <w:pPr>
        <w:pStyle w:val="Normal"/>
        <w:widowControl w:val="false"/>
        <w:spacing w:lineRule="auto" w:line="276" w:before="120" w:after="120"/>
        <w:ind w:left="1418" w:hanging="0"/>
        <w:jc w:val="both"/>
        <w:rPr>
          <w:rFonts w:ascii="Times New Roman" w:hAnsi="Times New Roman" w:cs="Times New Roman"/>
          <w:i/>
          <w:i/>
          <w:sz w:val="18"/>
          <w:szCs w:val="16"/>
        </w:rPr>
      </w:pPr>
      <w:r>
        <w:rPr>
          <w:rFonts w:cs="Times New Roman" w:ascii="Times New Roman" w:hAnsi="Times New Roman"/>
          <w:i/>
          <w:sz w:val="18"/>
          <w:szCs w:val="16"/>
        </w:rPr>
      </w:r>
    </w:p>
    <w:p>
      <w:pPr>
        <w:pStyle w:val="ListParagraph"/>
        <w:widowControl w:val="false"/>
        <w:numPr>
          <w:ilvl w:val="1"/>
          <w:numId w:val="9"/>
        </w:numPr>
        <w:spacing w:lineRule="auto" w:line="276" w:before="120" w:after="120"/>
        <w:ind w:left="0" w:hanging="0"/>
        <w:contextualSpacing/>
        <w:jc w:val="both"/>
        <w:rPr>
          <w:rFonts w:ascii="Times New Roman" w:hAnsi="Times New Roman" w:cs="Times New Roman"/>
        </w:rPr>
      </w:pPr>
      <w:r>
        <w:rPr>
          <w:rFonts w:cs="Times New Roman" w:ascii="Times New Roman" w:hAnsi="Times New Roman"/>
        </w:rPr>
        <w:t>Quando porventura o material não constar na tabela referenciada, bem como as órteses e próteses:</w:t>
      </w:r>
    </w:p>
    <w:p>
      <w:pPr>
        <w:pStyle w:val="ListParagraph"/>
        <w:widowControl w:val="false"/>
        <w:numPr>
          <w:ilvl w:val="2"/>
          <w:numId w:val="9"/>
        </w:numPr>
        <w:spacing w:lineRule="auto" w:line="276" w:before="120" w:after="120"/>
        <w:ind w:left="680" w:hanging="0"/>
        <w:contextualSpacing/>
        <w:jc w:val="both"/>
        <w:rPr>
          <w:rFonts w:ascii="Times New Roman" w:hAnsi="Times New Roman" w:cs="Times New Roman"/>
        </w:rPr>
      </w:pPr>
      <w:r>
        <w:rPr>
          <w:rFonts w:cs="Times New Roman" w:ascii="Times New Roman" w:hAnsi="Times New Roman"/>
        </w:rPr>
        <w:t xml:space="preserve">O CREDENCIADO deverá apresentar 3 (três) orçamentos com os valores praticados no mercado distribuidor; </w:t>
      </w:r>
    </w:p>
    <w:p>
      <w:pPr>
        <w:pStyle w:val="ListParagraph"/>
        <w:widowControl w:val="false"/>
        <w:numPr>
          <w:ilvl w:val="2"/>
          <w:numId w:val="9"/>
        </w:numPr>
        <w:spacing w:lineRule="auto" w:line="276" w:before="120" w:after="120"/>
        <w:ind w:left="680" w:hanging="0"/>
        <w:contextualSpacing/>
        <w:jc w:val="both"/>
        <w:rPr>
          <w:rFonts w:ascii="Times New Roman" w:hAnsi="Times New Roman" w:cs="Times New Roman"/>
        </w:rPr>
      </w:pPr>
      <w:r>
        <w:rPr>
          <w:rFonts w:cs="Times New Roman" w:ascii="Times New Roman" w:hAnsi="Times New Roman"/>
        </w:rPr>
        <w:t xml:space="preserve">O CREDENCIANTE realizará a aferição das faturas, especialmente quanto à adequação do custo ao preço de mercado, por meio de seu </w:t>
      </w:r>
      <w:r>
        <w:rPr>
          <w:rFonts w:cs="Times New Roman" w:ascii="Times New Roman" w:hAnsi="Times New Roman"/>
          <w:highlight w:val="lightGray"/>
        </w:rPr>
        <w:t>Serviço de Auditoria Médica</w:t>
      </w:r>
      <w:r>
        <w:rPr>
          <w:rFonts w:cs="Times New Roman" w:ascii="Times New Roman" w:hAnsi="Times New Roman"/>
        </w:rPr>
        <w:t>, conforme o procedimento previsto no contrato.</w:t>
      </w:r>
    </w:p>
    <w:p>
      <w:pPr>
        <w:pStyle w:val="Normal"/>
        <w:widowControl w:val="false"/>
        <w:spacing w:lineRule="auto" w:line="276" w:before="120" w:after="120"/>
        <w:ind w:left="1418" w:hanging="0"/>
        <w:jc w:val="both"/>
        <w:rPr>
          <w:rFonts w:ascii="Times New Roman" w:hAnsi="Times New Roman" w:cs="Times New Roman"/>
          <w:i/>
          <w:i/>
          <w:sz w:val="18"/>
          <w:szCs w:val="16"/>
        </w:rPr>
      </w:pPr>
      <w:r>
        <w:rPr>
          <w:rFonts w:cs="Times New Roman" w:ascii="Times New Roman" w:hAnsi="Times New Roman"/>
          <w:i/>
          <w:sz w:val="18"/>
          <w:szCs w:val="16"/>
        </w:rPr>
      </w:r>
    </w:p>
    <w:p>
      <w:pPr>
        <w:pStyle w:val="Normal"/>
        <w:widowControl w:val="false"/>
        <w:spacing w:lineRule="auto" w:line="276" w:before="120" w:after="120"/>
        <w:ind w:left="1418" w:hanging="0"/>
        <w:jc w:val="both"/>
        <w:rPr>
          <w:rFonts w:ascii="Times New Roman" w:hAnsi="Times New Roman" w:cs="Times New Roman"/>
          <w:i/>
          <w:i/>
          <w:sz w:val="18"/>
          <w:szCs w:val="16"/>
        </w:rPr>
      </w:pPr>
      <w:r>
        <w:rPr>
          <w:rFonts w:cs="Times New Roman" w:ascii="Times New Roman" w:hAnsi="Times New Roman"/>
          <w:i/>
          <w:sz w:val="18"/>
          <w:szCs w:val="16"/>
          <w:highlight w:val="yellow"/>
        </w:rPr>
        <w:t>Nota explicativa: Como forma objetiva de aferição dos preços praticados no mercado distribuidor, recomenda-se, preferencialmente, a utilização do Banco de Preços em Saúde do Ministério da Saúde – BPS/MS.</w:t>
      </w:r>
    </w:p>
    <w:p>
      <w:pPr>
        <w:pStyle w:val="Normal"/>
        <w:widowControl w:val="false"/>
        <w:spacing w:lineRule="auto" w:line="276" w:before="120" w:after="120"/>
        <w:ind w:left="1418" w:hanging="0"/>
        <w:jc w:val="both"/>
        <w:rPr>
          <w:rFonts w:ascii="Times New Roman" w:hAnsi="Times New Roman" w:cs="Times New Roman"/>
          <w:i/>
          <w:i/>
          <w:sz w:val="18"/>
          <w:szCs w:val="16"/>
        </w:rPr>
      </w:pPr>
      <w:r>
        <w:rPr>
          <w:rFonts w:cs="Times New Roman" w:ascii="Times New Roman" w:hAnsi="Times New Roman"/>
          <w:i/>
          <w:sz w:val="18"/>
          <w:szCs w:val="16"/>
        </w:rPr>
      </w:r>
    </w:p>
    <w:p>
      <w:pPr>
        <w:pStyle w:val="ListParagraph"/>
        <w:numPr>
          <w:ilvl w:val="1"/>
          <w:numId w:val="9"/>
        </w:numPr>
        <w:spacing w:lineRule="auto" w:line="276" w:before="120" w:after="120"/>
        <w:ind w:left="0" w:hanging="0"/>
        <w:contextualSpacing/>
        <w:jc w:val="both"/>
        <w:rPr>
          <w:rFonts w:ascii="Times New Roman" w:hAnsi="Times New Roman" w:cs="Times New Roman"/>
        </w:rPr>
      </w:pPr>
      <w:r>
        <w:rPr>
          <w:rFonts w:cs="Times New Roman" w:ascii="Times New Roman" w:hAnsi="Times New Roman"/>
        </w:rPr>
        <w:t>Deverá constar na nota fiscal, averbação com referência ao nome do paciente, nome do profissional (médico, cirurgião-dentista, etc.) responsável e a data da realização da consulta ou procedimento.</w:t>
      </w:r>
    </w:p>
    <w:p>
      <w:pPr>
        <w:pStyle w:val="Normal"/>
        <w:widowControl w:val="false"/>
        <w:numPr>
          <w:ilvl w:val="1"/>
          <w:numId w:val="9"/>
        </w:numPr>
        <w:spacing w:lineRule="auto" w:line="276" w:before="120" w:after="120"/>
        <w:ind w:left="0" w:hanging="0"/>
        <w:jc w:val="both"/>
        <w:rPr>
          <w:rFonts w:ascii="Times New Roman" w:hAnsi="Times New Roman" w:cs="Times New Roman"/>
        </w:rPr>
      </w:pPr>
      <w:r>
        <w:rPr>
          <w:rFonts w:cs="Times New Roman" w:ascii="Times New Roman" w:hAnsi="Times New Roman"/>
        </w:rPr>
        <w:t>É vedado ao CREDENCIADO cobrar diretamente do beneficiário do FuSEx/SAMMED/PASS qualquer importância a título de taxas, honorários ou serviços prestados, inclusive depósitos prévios, além dos constantes das Tabelas acima pactuadas, salvo o direito do beneficiário do FuSEx/SAMMED/PASS de optar por melhoria de padrão de acomodação hospitalar para si ou para seus dependentes, quando internados em OCS.</w:t>
      </w:r>
    </w:p>
    <w:p>
      <w:pPr>
        <w:pStyle w:val="Normal"/>
        <w:widowControl w:val="false"/>
        <w:numPr>
          <w:ilvl w:val="2"/>
          <w:numId w:val="9"/>
        </w:numPr>
        <w:spacing w:lineRule="auto" w:line="276" w:before="120" w:after="120"/>
        <w:ind w:left="709" w:hanging="0"/>
        <w:jc w:val="both"/>
        <w:rPr>
          <w:rFonts w:ascii="Times New Roman" w:hAnsi="Times New Roman" w:cs="Times New Roman"/>
        </w:rPr>
      </w:pPr>
      <w:r>
        <w:rPr>
          <w:rFonts w:cs="Times New Roman" w:ascii="Times New Roman" w:hAnsi="Times New Roman"/>
        </w:rPr>
        <w:t>Neste caso, a diferença de honorários médicos e de despesas hospitalares referentes a esta opção será paga, integralmente, pelo titular junto ao prestador;</w:t>
      </w:r>
    </w:p>
    <w:p>
      <w:pPr>
        <w:pStyle w:val="Normal"/>
        <w:widowControl w:val="false"/>
        <w:numPr>
          <w:ilvl w:val="2"/>
          <w:numId w:val="9"/>
        </w:numPr>
        <w:spacing w:lineRule="auto" w:line="276" w:before="120" w:after="120"/>
        <w:ind w:left="709" w:hanging="0"/>
        <w:jc w:val="both"/>
        <w:rPr>
          <w:rFonts w:ascii="Times New Roman" w:hAnsi="Times New Roman" w:cs="Times New Roman"/>
        </w:rPr>
      </w:pPr>
      <w:r>
        <w:rPr>
          <w:rFonts w:cs="Times New Roman" w:ascii="Times New Roman" w:hAnsi="Times New Roman"/>
        </w:rPr>
        <w:t>Ao fazer esta opção, o beneficiário deverá assinar, em conjunto com o responsável pela OCS, o Termo de Ajuste Prévio – anexo aos termos de contrato -, tanto referente à melhoria do padrão de acomodação, quanto com o médico assistente ou odontólogo, que também assinará o termo.</w:t>
      </w:r>
    </w:p>
    <w:p>
      <w:pPr>
        <w:pStyle w:val="Normal"/>
        <w:widowControl w:val="false"/>
        <w:numPr>
          <w:ilvl w:val="1"/>
          <w:numId w:val="9"/>
        </w:numPr>
        <w:spacing w:lineRule="auto" w:line="276" w:before="120" w:after="120"/>
        <w:ind w:left="0" w:hanging="0"/>
        <w:jc w:val="both"/>
        <w:rPr>
          <w:rFonts w:ascii="Times New Roman" w:hAnsi="Times New Roman" w:cs="Times New Roman"/>
        </w:rPr>
      </w:pPr>
      <w:r>
        <w:rPr>
          <w:rFonts w:cs="Times New Roman" w:ascii="Times New Roman" w:hAnsi="Times New Roman"/>
        </w:rPr>
        <w:t>O pagamento será precedido de consulta quanto à regularidade fiscal do CREDENCIADO.</w:t>
      </w:r>
    </w:p>
    <w:p>
      <w:pPr>
        <w:pStyle w:val="Normal"/>
        <w:widowControl w:val="false"/>
        <w:numPr>
          <w:ilvl w:val="1"/>
          <w:numId w:val="9"/>
        </w:numPr>
        <w:spacing w:lineRule="auto" w:line="276" w:before="120" w:after="120"/>
        <w:ind w:left="0" w:hanging="0"/>
        <w:jc w:val="both"/>
        <w:rPr>
          <w:rFonts w:ascii="Times New Roman" w:hAnsi="Times New Roman" w:cs="Times New Roman"/>
        </w:rPr>
      </w:pPr>
      <w:r>
        <w:rPr>
          <w:rFonts w:cs="Times New Roman" w:ascii="Times New Roman" w:hAnsi="Times New Roman"/>
        </w:rPr>
        <w:t>Os pagamentos serão efetuados mediante Ordem Bancária, em favor do CREDENCIADO, na Conta Corrente, Agência e Banco informados, após a apresentação de Nota Fiscal dos serviços e lisura das faturas devidamente discriminadas. Deverá constar no corpo das respectivas faturas o período de competência do faturamento.</w:t>
      </w:r>
    </w:p>
    <w:p>
      <w:pPr>
        <w:pStyle w:val="Normal"/>
        <w:widowControl w:val="false"/>
        <w:numPr>
          <w:ilvl w:val="1"/>
          <w:numId w:val="9"/>
        </w:numPr>
        <w:spacing w:lineRule="auto" w:line="276" w:before="120" w:after="120"/>
        <w:ind w:left="0" w:hanging="0"/>
        <w:jc w:val="both"/>
        <w:rPr>
          <w:rFonts w:ascii="Times New Roman" w:hAnsi="Times New Roman" w:cs="Times New Roman"/>
        </w:rPr>
      </w:pPr>
      <w:r>
        <w:rPr>
          <w:rFonts w:cs="Times New Roman" w:ascii="Times New Roman" w:hAnsi="Times New Roman"/>
        </w:rPr>
        <w:t xml:space="preserve">A Nota Fiscal correspondente à prestação do serviço prestado deverá ser emitida em nome do </w:t>
      </w:r>
      <w:r>
        <w:rPr>
          <w:rFonts w:cs="Times New Roman" w:ascii="Times New Roman" w:hAnsi="Times New Roman"/>
          <w:highlight w:val="lightGray"/>
        </w:rPr>
        <w:t xml:space="preserve">Posto Médico da Guarnição de                 , </w:t>
      </w:r>
      <w:r>
        <w:rPr>
          <w:rFonts w:cs="Times New Roman" w:ascii="Times New Roman" w:hAnsi="Times New Roman"/>
        </w:rPr>
        <w:t xml:space="preserve">portador do </w:t>
      </w:r>
      <w:r>
        <w:rPr>
          <w:rFonts w:cs="Times New Roman" w:ascii="Times New Roman" w:hAnsi="Times New Roman"/>
          <w:b/>
          <w:bCs/>
        </w:rPr>
        <w:t xml:space="preserve">CNPJ nº </w:t>
      </w:r>
      <w:r>
        <w:rPr>
          <w:rFonts w:cs="Times New Roman" w:ascii="Times New Roman" w:hAnsi="Times New Roman"/>
          <w:b/>
          <w:bCs/>
          <w:highlight w:val="lightGray"/>
        </w:rPr>
        <w:t>XXX</w:t>
      </w:r>
      <w:r>
        <w:rPr>
          <w:rFonts w:cs="Times New Roman" w:ascii="Times New Roman" w:hAnsi="Times New Roman"/>
          <w:b/>
          <w:bCs/>
        </w:rPr>
        <w:t>,</w:t>
      </w:r>
      <w:r>
        <w:rPr>
          <w:rFonts w:cs="Times New Roman" w:ascii="Times New Roman" w:hAnsi="Times New Roman"/>
          <w:bCs/>
        </w:rPr>
        <w:t xml:space="preserve"> da qual deverá constar </w:t>
      </w:r>
      <w:r>
        <w:rPr>
          <w:rFonts w:cs="Times New Roman" w:ascii="Times New Roman" w:hAnsi="Times New Roman"/>
        </w:rPr>
        <w:t>o número da Nota de Empenho correspondente e os dados bancários do CREDENCIADO, para crédito em conta corrente do valor devido, assim como a discriminação detalhada dos serviços cobrados.</w:t>
      </w:r>
    </w:p>
    <w:p>
      <w:pPr>
        <w:pStyle w:val="Normal"/>
        <w:widowControl w:val="false"/>
        <w:numPr>
          <w:ilvl w:val="1"/>
          <w:numId w:val="9"/>
        </w:numPr>
        <w:spacing w:lineRule="auto" w:line="276" w:before="120" w:after="120"/>
        <w:ind w:left="0" w:hanging="0"/>
        <w:jc w:val="both"/>
        <w:rPr>
          <w:rFonts w:ascii="Times New Roman" w:hAnsi="Times New Roman" w:cs="Times New Roman"/>
        </w:rPr>
      </w:pPr>
      <w:r>
        <w:rPr>
          <w:rFonts w:cs="Times New Roman" w:ascii="Times New Roman" w:hAnsi="Times New Roman"/>
        </w:rPr>
        <w:t xml:space="preserve">O CREDENCIANTE efetuará o pagamento das faturas apresentadas nas condições prescritas, no prazo máximo de até 30 (trinta) dias, contado da data de protocolo das faturas no </w:t>
      </w:r>
      <w:r>
        <w:rPr>
          <w:rFonts w:cs="Times New Roman" w:ascii="Times New Roman" w:hAnsi="Times New Roman"/>
          <w:highlight w:val="lightGray"/>
        </w:rPr>
        <w:t xml:space="preserve">Posto Médico da Guarnição de </w:t>
        <w:softHyphen/>
        <w:t>__________________</w:t>
      </w:r>
      <w:r>
        <w:rPr>
          <w:rFonts w:cs="Times New Roman" w:ascii="Times New Roman" w:hAnsi="Times New Roman"/>
        </w:rPr>
        <w:t xml:space="preserve"> e após a aferição da respectiva lisura.</w:t>
      </w:r>
    </w:p>
    <w:p>
      <w:pPr>
        <w:pStyle w:val="Normal"/>
        <w:widowControl w:val="false"/>
        <w:numPr>
          <w:ilvl w:val="2"/>
          <w:numId w:val="9"/>
        </w:numPr>
        <w:spacing w:lineRule="auto" w:line="276" w:before="120" w:after="120"/>
        <w:ind w:left="709" w:hanging="0"/>
        <w:jc w:val="both"/>
        <w:rPr>
          <w:rFonts w:ascii="Times New Roman" w:hAnsi="Times New Roman" w:cs="Times New Roman"/>
        </w:rPr>
      </w:pPr>
      <w:r>
        <w:rPr>
          <w:rFonts w:cs="Times New Roman" w:ascii="Times New Roman" w:hAnsi="Times New Roman"/>
        </w:rPr>
        <w:t>Os pagamentos decorrentes de despesas cujos valores não ultrapassem o limite de que trata o inciso II do art. 75 da Lei nº 14.133, de 2021 deverão ser efetuados no prazo de até 5 (cinco) dias úteis, contados da apresentação da fatura.</w:t>
      </w:r>
    </w:p>
    <w:p>
      <w:pPr>
        <w:pStyle w:val="ListParagraph"/>
        <w:widowControl w:val="false"/>
        <w:numPr>
          <w:ilvl w:val="1"/>
          <w:numId w:val="9"/>
        </w:numPr>
        <w:spacing w:lineRule="auto" w:line="276" w:before="120" w:after="120"/>
        <w:ind w:left="0" w:hanging="0"/>
        <w:contextualSpacing/>
        <w:jc w:val="both"/>
        <w:rPr>
          <w:rFonts w:ascii="Times New Roman" w:hAnsi="Times New Roman" w:cs="Times New Roman"/>
        </w:rPr>
      </w:pPr>
      <w:r>
        <w:rPr>
          <w:rFonts w:cs="Times New Roman" w:ascii="Times New Roman" w:hAnsi="Times New Roman"/>
        </w:rPr>
        <w:t>Quando da ocorrência de eventuais atrasos de pagamento provocados exclusivamente pela Administração Pública Federal, o valor devido deverá ser acrescido de compensação financeira e sua apuração se fará desde a data de seu vencimento até a data do efetivo pagamento, em que os juros de mora serão calculados à taxa de 0,5% (meio por cento) ao mês, ou 6% (seis por cento) ao ano, mediante aplicação das seguintes fórmulas:</w:t>
      </w:r>
    </w:p>
    <w:p>
      <w:pPr>
        <w:pStyle w:val="Normal"/>
        <w:spacing w:lineRule="auto" w:line="276" w:before="120" w:after="120"/>
        <w:jc w:val="center"/>
        <w:rPr>
          <w:rFonts w:ascii="Times New Roman" w:hAnsi="Times New Roman" w:cs="Times New Roman"/>
        </w:rPr>
      </w:pPr>
      <w:r>
        <w:rPr>
          <w:rFonts w:cs="Times New Roman" w:ascii="Times New Roman" w:hAnsi="Times New Roman"/>
        </w:rPr>
        <w:t>I = (TX/100)/365</w:t>
      </w:r>
    </w:p>
    <w:p>
      <w:pPr>
        <w:pStyle w:val="Normal"/>
        <w:spacing w:lineRule="auto" w:line="276" w:before="120" w:after="120"/>
        <w:ind w:left="397" w:hanging="0"/>
        <w:jc w:val="both"/>
        <w:rPr>
          <w:rFonts w:ascii="Times New Roman" w:hAnsi="Times New Roman" w:cs="Times New Roman"/>
        </w:rPr>
      </w:pPr>
      <w:r>
        <w:rPr>
          <w:rFonts w:cs="Times New Roman" w:ascii="Times New Roman" w:hAnsi="Times New Roman"/>
        </w:rPr>
        <w:t>EM = I x N x VP, onde:</w:t>
      </w:r>
    </w:p>
    <w:p>
      <w:pPr>
        <w:pStyle w:val="Normal"/>
        <w:spacing w:lineRule="auto" w:line="276" w:before="120" w:after="120"/>
        <w:ind w:left="1418" w:hanging="0"/>
        <w:jc w:val="both"/>
        <w:rPr>
          <w:rFonts w:ascii="Times New Roman" w:hAnsi="Times New Roman" w:cs="Times New Roman"/>
        </w:rPr>
      </w:pPr>
      <w:r>
        <w:rPr>
          <w:rFonts w:cs="Times New Roman" w:ascii="Times New Roman" w:hAnsi="Times New Roman"/>
        </w:rPr>
        <w:t>I = Índice de compensação financeira;</w:t>
      </w:r>
    </w:p>
    <w:p>
      <w:pPr>
        <w:pStyle w:val="Normal"/>
        <w:spacing w:lineRule="auto" w:line="276" w:before="120" w:after="120"/>
        <w:ind w:left="1418" w:hanging="0"/>
        <w:jc w:val="both"/>
        <w:rPr>
          <w:rFonts w:ascii="Times New Roman" w:hAnsi="Times New Roman" w:cs="Times New Roman"/>
        </w:rPr>
      </w:pPr>
      <w:r>
        <w:rPr>
          <w:rFonts w:cs="Times New Roman" w:ascii="Times New Roman" w:hAnsi="Times New Roman"/>
        </w:rPr>
        <w:t>TX = Percentual da taxa de juros de mora anual;</w:t>
      </w:r>
    </w:p>
    <w:p>
      <w:pPr>
        <w:pStyle w:val="Normal"/>
        <w:spacing w:lineRule="auto" w:line="276" w:before="120" w:after="120"/>
        <w:ind w:left="1418" w:hanging="0"/>
        <w:jc w:val="both"/>
        <w:rPr>
          <w:rFonts w:ascii="Times New Roman" w:hAnsi="Times New Roman" w:cs="Times New Roman"/>
        </w:rPr>
      </w:pPr>
      <w:r>
        <w:rPr>
          <w:rFonts w:cs="Times New Roman" w:ascii="Times New Roman" w:hAnsi="Times New Roman"/>
        </w:rPr>
        <w:t>EM = Encargos moratórios;</w:t>
      </w:r>
    </w:p>
    <w:p>
      <w:pPr>
        <w:pStyle w:val="Normal"/>
        <w:spacing w:lineRule="auto" w:line="276" w:before="120" w:after="120"/>
        <w:ind w:left="1418" w:hanging="0"/>
        <w:jc w:val="both"/>
        <w:rPr>
          <w:rFonts w:ascii="Times New Roman" w:hAnsi="Times New Roman" w:cs="Times New Roman"/>
        </w:rPr>
      </w:pPr>
      <w:r>
        <w:rPr>
          <w:rFonts w:cs="Times New Roman" w:ascii="Times New Roman" w:hAnsi="Times New Roman"/>
        </w:rPr>
        <w:t>N = Número de dias entre a data prevista para o pagamento e a do efetivo pagamento;</w:t>
      </w:r>
    </w:p>
    <w:p>
      <w:pPr>
        <w:pStyle w:val="Normal"/>
        <w:spacing w:lineRule="auto" w:line="276" w:before="120" w:after="120"/>
        <w:ind w:left="1418" w:hanging="0"/>
        <w:jc w:val="both"/>
        <w:rPr>
          <w:rFonts w:ascii="Times New Roman" w:hAnsi="Times New Roman" w:cs="Times New Roman"/>
        </w:rPr>
      </w:pPr>
      <w:r>
        <w:rPr>
          <w:rFonts w:cs="Times New Roman" w:ascii="Times New Roman" w:hAnsi="Times New Roman"/>
        </w:rPr>
        <w:t>VP = Valor da parcela em atraso.</w:t>
      </w:r>
    </w:p>
    <w:p>
      <w:pPr>
        <w:pStyle w:val="ListParagraph"/>
        <w:widowControl w:val="false"/>
        <w:numPr>
          <w:ilvl w:val="1"/>
          <w:numId w:val="9"/>
        </w:numPr>
        <w:spacing w:lineRule="auto" w:line="276" w:before="120" w:after="120"/>
        <w:ind w:left="0" w:hanging="0"/>
        <w:contextualSpacing/>
        <w:jc w:val="both"/>
        <w:rPr>
          <w:rFonts w:ascii="Times New Roman" w:hAnsi="Times New Roman" w:cs="Times New Roman"/>
        </w:rPr>
      </w:pPr>
      <w:r>
        <w:rPr>
          <w:rFonts w:cs="Times New Roman" w:ascii="Times New Roman" w:hAnsi="Times New Roman"/>
        </w:rPr>
        <w:t>Os valores vigentes na data de atendimento serão os considerados para a quitação das faturas.</w:t>
      </w:r>
    </w:p>
    <w:p>
      <w:pPr>
        <w:pStyle w:val="ListParagraph"/>
        <w:widowControl w:val="false"/>
        <w:numPr>
          <w:ilvl w:val="1"/>
          <w:numId w:val="9"/>
        </w:numPr>
        <w:spacing w:lineRule="auto" w:line="276" w:before="120" w:after="120"/>
        <w:ind w:left="0" w:hanging="0"/>
        <w:contextualSpacing/>
        <w:jc w:val="both"/>
        <w:rPr>
          <w:rFonts w:ascii="Times New Roman" w:hAnsi="Times New Roman" w:cs="Times New Roman"/>
        </w:rPr>
      </w:pPr>
      <w:r>
        <w:rPr>
          <w:rFonts w:cs="Times New Roman" w:ascii="Times New Roman" w:hAnsi="Times New Roman"/>
        </w:rPr>
        <w:t>Sobre o valor devido ao CREDENCIADO, a Administração Pública Federal efetuará a retenção do Imposto sobre a Renda da Pessoa Jurídica (IRPJ), da Contribuição Social sobre o Lucro Líquido (CSLL), da Contribuição para o Financiamento da Seguridade Social (COFINS) e da Contribuição para o PIS/Pasep, conforme disposto na Instrução Normativa da Secretaria da Receita Federal nº 1.234, de 11 de janeiro de 2012.</w:t>
      </w:r>
    </w:p>
    <w:p>
      <w:pPr>
        <w:pStyle w:val="ListParagraph"/>
        <w:widowControl w:val="false"/>
        <w:numPr>
          <w:ilvl w:val="1"/>
          <w:numId w:val="9"/>
        </w:numPr>
        <w:spacing w:lineRule="auto" w:line="276" w:before="120" w:after="120"/>
        <w:ind w:left="0" w:hanging="0"/>
        <w:contextualSpacing/>
        <w:jc w:val="both"/>
        <w:rPr>
          <w:rFonts w:ascii="Times New Roman" w:hAnsi="Times New Roman" w:cs="Times New Roman"/>
        </w:rPr>
      </w:pPr>
      <w:r>
        <w:rPr>
          <w:rFonts w:cs="Times New Roman" w:ascii="Times New Roman" w:hAnsi="Times New Roman"/>
        </w:rPr>
        <w:t>Quanto ao Imposto sobre Serviços de Qualquer Natureza (ISSQN), será observado o disposto na Lei Complementar nº 116, de 2003, e legislação municipal aplicável.</w:t>
      </w:r>
    </w:p>
    <w:p>
      <w:pPr>
        <w:pStyle w:val="ListParagraph"/>
        <w:widowControl w:val="false"/>
        <w:numPr>
          <w:ilvl w:val="1"/>
          <w:numId w:val="9"/>
        </w:numPr>
        <w:spacing w:lineRule="auto" w:line="276" w:before="120" w:after="120"/>
        <w:ind w:left="0" w:hanging="0"/>
        <w:contextualSpacing/>
        <w:jc w:val="both"/>
        <w:rPr>
          <w:rFonts w:ascii="Times New Roman" w:hAnsi="Times New Roman" w:cs="Times New Roman"/>
        </w:rPr>
      </w:pPr>
      <w:r>
        <w:rPr>
          <w:rFonts w:cs="Times New Roman" w:ascii="Times New Roman" w:hAnsi="Times New Roman"/>
        </w:rPr>
        <w:t>O CREDENCIADO regularmente optante pelo Simples Nacional, nos termos da Lei Complementar nº 123/2006,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pPr>
        <w:pStyle w:val="ListParagraph"/>
        <w:widowControl w:val="false"/>
        <w:numPr>
          <w:ilvl w:val="1"/>
          <w:numId w:val="9"/>
        </w:numPr>
        <w:spacing w:lineRule="auto" w:line="276" w:before="120" w:after="120"/>
        <w:ind w:left="0" w:hanging="0"/>
        <w:contextualSpacing/>
        <w:jc w:val="both"/>
        <w:rPr>
          <w:rFonts w:ascii="Times New Roman" w:hAnsi="Times New Roman" w:cs="Times New Roman"/>
        </w:rPr>
      </w:pPr>
      <w:r>
        <w:rPr>
          <w:rFonts w:cs="Times New Roman" w:ascii="Times New Roman" w:hAnsi="Times New Roman"/>
        </w:rPr>
        <w:t>O procedimento de aferição as faturas dar-se-á da seguinte forma:</w:t>
      </w:r>
    </w:p>
    <w:p>
      <w:pPr>
        <w:pStyle w:val="ListParagraph"/>
        <w:widowControl w:val="false"/>
        <w:spacing w:lineRule="auto" w:line="276" w:before="120" w:after="120"/>
        <w:ind w:left="709" w:hanging="0"/>
        <w:contextualSpacing/>
        <w:jc w:val="both"/>
        <w:rPr>
          <w:rFonts w:ascii="Times New Roman" w:hAnsi="Times New Roman" w:cs="Times New Roman"/>
        </w:rPr>
      </w:pPr>
      <w:r>
        <w:rPr>
          <w:rFonts w:cs="Times New Roman" w:ascii="Times New Roman" w:hAnsi="Times New Roman"/>
        </w:rPr>
        <w:t>8.22.1 Somente serão aceitas faturas com as guias originais;</w:t>
      </w:r>
    </w:p>
    <w:p>
      <w:pPr>
        <w:pStyle w:val="ListParagraph"/>
        <w:widowControl w:val="false"/>
        <w:spacing w:lineRule="auto" w:line="276" w:before="120" w:after="120"/>
        <w:ind w:left="709" w:hanging="0"/>
        <w:contextualSpacing/>
        <w:jc w:val="both"/>
        <w:rPr>
          <w:rFonts w:ascii="Times New Roman" w:hAnsi="Times New Roman" w:cs="Times New Roman"/>
        </w:rPr>
      </w:pPr>
      <w:r>
        <w:rPr>
          <w:rFonts w:cs="Times New Roman" w:ascii="Times New Roman" w:hAnsi="Times New Roman"/>
        </w:rPr>
        <w:t>8.22.2 As faturas serão auditadas e verificadas eventuais inconformidades e os valores, parcial ou totalmente glosados, serão informados à CREDENCIADA, no prazo de 30 (trinta) dias, com as razões das glosas efetuadas, discriminando o item e o valor destas, através do Relatório de Glosas;</w:t>
      </w:r>
    </w:p>
    <w:p>
      <w:pPr>
        <w:pStyle w:val="ListParagraph"/>
        <w:widowControl w:val="false"/>
        <w:spacing w:lineRule="auto" w:line="276" w:before="120" w:after="120"/>
        <w:ind w:left="1276" w:hanging="0"/>
        <w:contextualSpacing/>
        <w:jc w:val="both"/>
        <w:rPr>
          <w:rFonts w:ascii="Times New Roman" w:hAnsi="Times New Roman" w:cs="Times New Roman"/>
        </w:rPr>
      </w:pPr>
      <w:r>
        <w:rPr>
          <w:rFonts w:cs="Times New Roman" w:ascii="Times New Roman" w:hAnsi="Times New Roman"/>
        </w:rPr>
        <w:t>8.22.2.1 A CREDENCIADA deverá notificar o recebimento do Relatório de Glosas, por meio do correio eletrônico, podendo ser enviado o relatório fisicamente, caso seja necessário;</w:t>
      </w:r>
    </w:p>
    <w:p>
      <w:pPr>
        <w:pStyle w:val="ListParagraph"/>
        <w:widowControl w:val="false"/>
        <w:spacing w:lineRule="auto" w:line="276" w:before="120" w:after="120"/>
        <w:ind w:left="1276" w:hanging="0"/>
        <w:contextualSpacing/>
        <w:jc w:val="both"/>
        <w:rPr>
          <w:rFonts w:ascii="Times New Roman" w:hAnsi="Times New Roman" w:cs="Times New Roman"/>
        </w:rPr>
      </w:pPr>
      <w:r>
        <w:rPr>
          <w:rFonts w:cs="Times New Roman" w:ascii="Times New Roman" w:hAnsi="Times New Roman"/>
        </w:rPr>
        <w:t xml:space="preserve">8.22.2.2 O recurso de glosa poderá ser apresentado em até 30 (trinta) dias; após a autorização para emissão da Nota Fiscal; </w:t>
      </w:r>
    </w:p>
    <w:p>
      <w:pPr>
        <w:pStyle w:val="ListParagraph"/>
        <w:widowControl w:val="false"/>
        <w:spacing w:lineRule="auto" w:line="276" w:before="120" w:after="120"/>
        <w:ind w:left="1276" w:hanging="0"/>
        <w:contextualSpacing/>
        <w:jc w:val="both"/>
        <w:rPr>
          <w:rFonts w:ascii="Times New Roman" w:hAnsi="Times New Roman" w:cs="Times New Roman"/>
        </w:rPr>
      </w:pPr>
      <w:r>
        <w:rPr>
          <w:rFonts w:cs="Times New Roman" w:ascii="Times New Roman" w:hAnsi="Times New Roman"/>
        </w:rPr>
        <w:t xml:space="preserve">8.22.2.3 A emissão da Nota Fiscal será autorizada por meio do e-mail </w:t>
      </w:r>
      <w:r>
        <w:rPr>
          <w:rFonts w:cs="Times New Roman" w:ascii="Times New Roman" w:hAnsi="Times New Roman"/>
          <w:highlight w:val="lightGray"/>
        </w:rPr>
        <w:t>faturamentofusex@gmail.com</w:t>
      </w:r>
    </w:p>
    <w:p>
      <w:pPr>
        <w:pStyle w:val="ListParagraph"/>
        <w:widowControl w:val="false"/>
        <w:spacing w:lineRule="auto" w:line="276" w:before="120" w:after="120"/>
        <w:ind w:left="3119" w:hanging="992"/>
        <w:contextualSpacing/>
        <w:jc w:val="both"/>
        <w:rPr>
          <w:rFonts w:ascii="Times New Roman" w:hAnsi="Times New Roman" w:cs="Times New Roman"/>
        </w:rPr>
      </w:pPr>
      <w:r>
        <w:rPr>
          <w:rFonts w:cs="Times New Roman" w:ascii="Times New Roman" w:hAnsi="Times New Roman"/>
          <w:highlight w:val="lightGray"/>
        </w:rPr>
        <w:t>8.25.2.3.1 A Nota Fiscal deverá ser emitida com os seguintes dados:</w:t>
      </w:r>
    </w:p>
    <w:p>
      <w:pPr>
        <w:pStyle w:val="Normal"/>
        <w:widowControl w:val="false"/>
        <w:spacing w:lineRule="auto" w:line="276" w:before="120" w:after="120"/>
        <w:ind w:left="3119" w:hanging="992"/>
        <w:jc w:val="both"/>
        <w:rPr>
          <w:rFonts w:ascii="Times New Roman" w:hAnsi="Times New Roman" w:cs="Times New Roman"/>
          <w:highlight w:val="lightGray"/>
        </w:rPr>
      </w:pPr>
      <w:r>
        <w:rPr>
          <w:rFonts w:cs="Times New Roman" w:ascii="Times New Roman" w:hAnsi="Times New Roman"/>
          <w:highlight w:val="lightGray"/>
        </w:rPr>
        <w:t>POSTO MÉDICO DA GUARNIÇÃO DE ___________</w:t>
      </w:r>
    </w:p>
    <w:p>
      <w:pPr>
        <w:pStyle w:val="Normal"/>
        <w:widowControl w:val="false"/>
        <w:spacing w:lineRule="auto" w:line="276" w:before="120" w:after="120"/>
        <w:ind w:left="3119" w:hanging="992"/>
        <w:jc w:val="both"/>
        <w:rPr>
          <w:rFonts w:ascii="Times New Roman" w:hAnsi="Times New Roman" w:cs="Times New Roman"/>
          <w:highlight w:val="lightGray"/>
        </w:rPr>
      </w:pPr>
      <w:r>
        <w:rPr>
          <w:rFonts w:cs="Times New Roman" w:ascii="Times New Roman" w:hAnsi="Times New Roman"/>
          <w:highlight w:val="lightGray"/>
        </w:rPr>
        <w:t>Endereço:</w:t>
      </w:r>
    </w:p>
    <w:p>
      <w:pPr>
        <w:pStyle w:val="Normal"/>
        <w:widowControl w:val="false"/>
        <w:spacing w:lineRule="auto" w:line="276" w:before="120" w:after="120"/>
        <w:ind w:left="3119" w:hanging="992"/>
        <w:jc w:val="both"/>
        <w:rPr>
          <w:rFonts w:ascii="Times New Roman" w:hAnsi="Times New Roman" w:cs="Times New Roman"/>
          <w:highlight w:val="lightGray"/>
        </w:rPr>
      </w:pPr>
      <w:r>
        <w:rPr>
          <w:rFonts w:cs="Times New Roman" w:ascii="Times New Roman" w:hAnsi="Times New Roman"/>
          <w:highlight w:val="lightGray"/>
        </w:rPr>
        <w:t>CEP:</w:t>
      </w:r>
    </w:p>
    <w:p>
      <w:pPr>
        <w:pStyle w:val="Normal"/>
        <w:widowControl w:val="false"/>
        <w:spacing w:lineRule="auto" w:line="276" w:before="120" w:after="120"/>
        <w:ind w:left="3119" w:hanging="992"/>
        <w:jc w:val="both"/>
        <w:rPr>
          <w:rFonts w:ascii="Times New Roman" w:hAnsi="Times New Roman" w:cs="Times New Roman"/>
          <w:highlight w:val="lightGray"/>
        </w:rPr>
      </w:pPr>
      <w:r>
        <w:rPr>
          <w:rFonts w:cs="Times New Roman" w:ascii="Times New Roman" w:hAnsi="Times New Roman"/>
          <w:highlight w:val="lightGray"/>
        </w:rPr>
        <w:t>MUNICÍPIO/MG</w:t>
      </w:r>
    </w:p>
    <w:p>
      <w:pPr>
        <w:pStyle w:val="Normal"/>
        <w:widowControl w:val="false"/>
        <w:spacing w:lineRule="auto" w:line="276" w:before="120" w:after="120"/>
        <w:ind w:left="3119" w:hanging="992"/>
        <w:jc w:val="both"/>
        <w:rPr>
          <w:rFonts w:ascii="Times New Roman" w:hAnsi="Times New Roman" w:cs="Times New Roman"/>
        </w:rPr>
      </w:pPr>
      <w:r>
        <w:rPr>
          <w:rFonts w:cs="Times New Roman" w:ascii="Times New Roman" w:hAnsi="Times New Roman"/>
          <w:highlight w:val="lightGray"/>
        </w:rPr>
        <w:t>CNPJ OU CPF</w:t>
      </w:r>
    </w:p>
    <w:p>
      <w:pPr>
        <w:pStyle w:val="ListParagraph"/>
        <w:widowControl w:val="false"/>
        <w:spacing w:lineRule="auto" w:line="276" w:before="120" w:after="120"/>
        <w:ind w:left="1276" w:hanging="0"/>
        <w:contextualSpacing/>
        <w:jc w:val="both"/>
        <w:rPr>
          <w:rFonts w:ascii="Times New Roman" w:hAnsi="Times New Roman" w:cs="Times New Roman"/>
        </w:rPr>
      </w:pPr>
      <w:r>
        <w:rPr>
          <w:rFonts w:cs="Times New Roman" w:ascii="Times New Roman" w:hAnsi="Times New Roman"/>
        </w:rPr>
        <w:t>8.22.2.4 A CREDENCIANTE terá o prazo máximo de 30 (trinta) dias para julgar o recurso de glosa apresentado pela CREDENCIADA.</w:t>
      </w:r>
    </w:p>
    <w:p>
      <w:pPr>
        <w:pStyle w:val="ListParagraph"/>
        <w:widowControl w:val="false"/>
        <w:spacing w:lineRule="auto" w:line="276" w:before="120" w:after="120"/>
        <w:ind w:left="1276" w:hanging="0"/>
        <w:contextualSpacing/>
        <w:jc w:val="both"/>
        <w:rPr>
          <w:rFonts w:ascii="Times New Roman" w:hAnsi="Times New Roman" w:cs="Times New Roman"/>
        </w:rPr>
      </w:pPr>
      <w:r>
        <w:rPr>
          <w:rFonts w:cs="Times New Roman" w:ascii="Times New Roman" w:hAnsi="Times New Roman"/>
        </w:rPr>
        <w:t>8.22.2.5 Uma vez procedente o recurso da glosa, a CREDENCIANTE efetuará o pagamento. Caso contrário, a CREDENCIANTE informará o resultado à CREDENCIADA e arquivará a documentação.</w:t>
      </w:r>
    </w:p>
    <w:p>
      <w:pPr>
        <w:pStyle w:val="ListParagraph"/>
        <w:widowControl w:val="false"/>
        <w:numPr>
          <w:ilvl w:val="1"/>
          <w:numId w:val="9"/>
        </w:numPr>
        <w:spacing w:lineRule="auto" w:line="276" w:before="120" w:after="120"/>
        <w:ind w:left="0" w:hanging="0"/>
        <w:contextualSpacing/>
        <w:jc w:val="both"/>
        <w:rPr>
          <w:rFonts w:ascii="Times New Roman" w:hAnsi="Times New Roman" w:cs="Times New Roman"/>
        </w:rPr>
      </w:pPr>
      <w:r>
        <w:rPr>
          <w:rFonts w:cs="Times New Roman" w:ascii="Times New Roman" w:hAnsi="Times New Roman"/>
        </w:rPr>
        <w:t>Toda situação anormal, que impossibilite ou prejudique o pagamento das despesas, será imediatamente informada ao CREDENCIADO.</w:t>
      </w:r>
    </w:p>
    <w:p>
      <w:pPr>
        <w:pStyle w:val="ListParagraph"/>
        <w:widowControl w:val="false"/>
        <w:numPr>
          <w:ilvl w:val="1"/>
          <w:numId w:val="9"/>
        </w:numPr>
        <w:spacing w:lineRule="auto" w:line="276" w:before="120" w:after="120"/>
        <w:ind w:left="0" w:hanging="0"/>
        <w:contextualSpacing/>
        <w:jc w:val="both"/>
        <w:rPr>
          <w:rFonts w:ascii="Times New Roman" w:hAnsi="Times New Roman" w:cs="Times New Roman"/>
        </w:rPr>
      </w:pPr>
      <w:r>
        <w:rPr>
          <w:rFonts w:cs="Times New Roman" w:ascii="Times New Roman" w:hAnsi="Times New Roman"/>
        </w:rPr>
        <w:t>A Administração deduzirá do montante a ser pago os valores correspondentes às multas e/ou indenizações devidas por parte do CREDENCIADO.</w:t>
      </w:r>
    </w:p>
    <w:p>
      <w:pPr>
        <w:pStyle w:val="ListParagraph"/>
        <w:widowControl w:val="false"/>
        <w:numPr>
          <w:ilvl w:val="2"/>
          <w:numId w:val="9"/>
        </w:numPr>
        <w:spacing w:lineRule="auto" w:line="276" w:before="120" w:after="120"/>
        <w:ind w:left="709" w:hanging="0"/>
        <w:contextualSpacing/>
        <w:jc w:val="both"/>
        <w:rPr>
          <w:rFonts w:ascii="Times New Roman" w:hAnsi="Times New Roman" w:cs="Times New Roman"/>
        </w:rPr>
      </w:pPr>
      <w:r>
        <w:rPr>
          <w:rFonts w:cs="Times New Roman" w:ascii="Times New Roman" w:hAnsi="Times New Roman"/>
        </w:rPr>
        <w:t>O desconto de qualquer valor no pagamento devido ao CREDENCIADO será precedido de processo administrativo em que será garantido o contraditório e a ampla defesa, com os recursos e meios que lhes são inerentes.</w:t>
      </w:r>
    </w:p>
    <w:p>
      <w:pPr>
        <w:pStyle w:val="ListParagraph"/>
        <w:widowControl w:val="false"/>
        <w:numPr>
          <w:ilvl w:val="1"/>
          <w:numId w:val="9"/>
        </w:numPr>
        <w:spacing w:lineRule="auto" w:line="276" w:before="120" w:after="120"/>
        <w:ind w:left="0" w:hanging="0"/>
        <w:contextualSpacing/>
        <w:jc w:val="both"/>
        <w:rPr>
          <w:rFonts w:ascii="Times New Roman" w:hAnsi="Times New Roman" w:cs="Times New Roman"/>
        </w:rPr>
      </w:pPr>
      <w:r>
        <w:rPr>
          <w:rFonts w:cs="Times New Roman" w:ascii="Times New Roman" w:hAnsi="Times New Roman"/>
        </w:rPr>
        <w:t>É vedado ao CREDENCIADO transferir a terceiros os direitos ou créditos decorrentes do contrato.</w:t>
      </w:r>
    </w:p>
    <w:p>
      <w:pPr>
        <w:pStyle w:val="Normal"/>
        <w:widowControl w:val="false"/>
        <w:numPr>
          <w:ilvl w:val="0"/>
          <w:numId w:val="9"/>
        </w:numPr>
        <w:spacing w:lineRule="auto" w:line="276" w:before="120" w:after="120"/>
        <w:ind w:left="0" w:hanging="0"/>
        <w:jc w:val="both"/>
        <w:rPr>
          <w:rFonts w:ascii="Times New Roman" w:hAnsi="Times New Roman" w:cs="Times New Roman"/>
          <w:b/>
          <w:b/>
          <w:color w:val="FF0000"/>
          <w:u w:val="single"/>
        </w:rPr>
      </w:pPr>
      <w:r>
        <w:rPr>
          <w:rFonts w:cs="Times New Roman" w:ascii="Times New Roman" w:hAnsi="Times New Roman"/>
          <w:b/>
          <w:color w:val="FF0000"/>
          <w:u w:val="single"/>
        </w:rPr>
        <w:t>DA ATUALIZAÇÃO DOS PREÇOS.</w:t>
      </w:r>
    </w:p>
    <w:p>
      <w:pPr>
        <w:pStyle w:val="ListParagraph"/>
        <w:widowControl w:val="false"/>
        <w:numPr>
          <w:ilvl w:val="1"/>
          <w:numId w:val="5"/>
        </w:numPr>
        <w:spacing w:lineRule="auto" w:line="276" w:before="120" w:after="120"/>
        <w:contextualSpacing/>
        <w:jc w:val="both"/>
        <w:rPr>
          <w:rFonts w:ascii="Times New Roman" w:hAnsi="Times New Roman" w:cs="Times New Roman"/>
          <w:color w:val="FF0000"/>
        </w:rPr>
      </w:pPr>
      <w:r>
        <w:rPr>
          <w:rFonts w:cs="Times New Roman" w:ascii="Times New Roman" w:hAnsi="Times New Roman"/>
          <w:color w:val="FF0000"/>
        </w:rPr>
        <w:t xml:space="preserve">Os valores previstos no corpo do Edital e em seus anexos (Listas Referenciais)  poderão ser atualizados e republicados a qualquer tempo, vinculando os contratos então existentes a partir de sua publicação, </w:t>
      </w:r>
      <w:r>
        <w:rPr>
          <w:rFonts w:cs="Times New Roman" w:ascii="Times New Roman" w:hAnsi="Times New Roman"/>
          <w:b/>
          <w:color w:val="FF0000"/>
        </w:rPr>
        <w:t xml:space="preserve">tendo como parâmetro pesquisa de preços, nos termos da Instrução Normativa SGSEDGGD/ME 65/2021. </w:t>
      </w:r>
    </w:p>
    <w:p>
      <w:pPr>
        <w:pStyle w:val="ListParagraph"/>
        <w:widowControl w:val="false"/>
        <w:spacing w:lineRule="auto" w:line="276" w:before="120" w:after="120"/>
        <w:contextualSpacing/>
        <w:jc w:val="both"/>
        <w:rPr>
          <w:rFonts w:ascii="Times New Roman" w:hAnsi="Times New Roman" w:cs="Times New Roman"/>
          <w:color w:val="FF0000"/>
        </w:rPr>
      </w:pPr>
      <w:r>
        <w:rPr>
          <w:rFonts w:cs="Times New Roman" w:ascii="Times New Roman" w:hAnsi="Times New Roman"/>
          <w:color w:val="FF0000"/>
        </w:rPr>
        <w:t>9.1.1 Os preços dos medicamentos </w:t>
      </w:r>
      <w:r>
        <w:rPr>
          <w:rFonts w:cs="Times New Roman" w:ascii="Times New Roman" w:hAnsi="Times New Roman"/>
          <w:b/>
          <w:color w:val="FF0000"/>
        </w:rPr>
        <w:t>serão pagos pela tabela CMED</w:t>
      </w:r>
      <w:r>
        <w:rPr>
          <w:rFonts w:cs="Times New Roman" w:ascii="Times New Roman" w:hAnsi="Times New Roman"/>
          <w:color w:val="FF0000"/>
        </w:rPr>
        <w:t>, com atualização publicada pela ANVISA, em momento e condições previstos nas resoluções da referida autarquia federal.</w:t>
      </w:r>
    </w:p>
    <w:p>
      <w:pPr>
        <w:pStyle w:val="ListParagraph"/>
        <w:widowControl w:val="false"/>
        <w:spacing w:lineRule="auto" w:line="276" w:before="120" w:after="120"/>
        <w:contextualSpacing/>
        <w:jc w:val="both"/>
        <w:rPr>
          <w:rFonts w:ascii="Times New Roman" w:hAnsi="Times New Roman" w:cs="Times New Roman"/>
          <w:color w:val="FF0000"/>
        </w:rPr>
      </w:pPr>
      <w:r>
        <w:rPr>
          <w:rFonts w:cs="Times New Roman" w:ascii="Times New Roman" w:hAnsi="Times New Roman"/>
          <w:color w:val="FF0000"/>
        </w:rPr>
        <w:t>9.1.2 O SADT e os procedimentos médicos </w:t>
      </w:r>
      <w:r>
        <w:rPr>
          <w:rFonts w:cs="Times New Roman" w:ascii="Times New Roman" w:hAnsi="Times New Roman"/>
          <w:b/>
          <w:color w:val="FF0000"/>
        </w:rPr>
        <w:t>serão pagos pela tabela CBHPM</w:t>
      </w:r>
      <w:r>
        <w:rPr>
          <w:rFonts w:cs="Times New Roman" w:ascii="Times New Roman" w:hAnsi="Times New Roman"/>
          <w:color w:val="FF0000"/>
        </w:rPr>
        <w:t>, publicada pela Associação Médica Brasileira, de acordo com portes e UCO's que </w:t>
      </w:r>
      <w:r>
        <w:rPr>
          <w:rFonts w:cs="Times New Roman" w:ascii="Times New Roman" w:hAnsi="Times New Roman"/>
          <w:b/>
          <w:color w:val="FF0000"/>
        </w:rPr>
        <w:t>reflitam a realidade do mercado</w:t>
      </w:r>
      <w:r>
        <w:rPr>
          <w:rFonts w:cs="Times New Roman" w:ascii="Times New Roman" w:hAnsi="Times New Roman"/>
          <w:color w:val="FF0000"/>
        </w:rPr>
        <w:t>.</w:t>
      </w:r>
    </w:p>
    <w:p>
      <w:pPr>
        <w:pStyle w:val="Normal"/>
        <w:spacing w:lineRule="auto" w:line="276" w:before="120" w:after="120"/>
        <w:ind w:left="709" w:hanging="0"/>
        <w:jc w:val="both"/>
        <w:rPr>
          <w:rFonts w:ascii="Times New Roman" w:hAnsi="Times New Roman" w:cs="Times New Roman"/>
          <w:color w:val="FF0000"/>
        </w:rPr>
      </w:pPr>
      <w:r>
        <w:rPr>
          <w:rFonts w:cs="Times New Roman" w:ascii="Times New Roman" w:hAnsi="Times New Roman"/>
          <w:color w:val="FF0000"/>
        </w:rPr>
        <w:t>9.1.3 O filme radiológico </w:t>
      </w:r>
      <w:r>
        <w:rPr>
          <w:rFonts w:cs="Times New Roman" w:ascii="Times New Roman" w:hAnsi="Times New Roman"/>
          <w:b/>
          <w:color w:val="FF0000"/>
        </w:rPr>
        <w:t>será pago pela tabela do Colégio Brasileiros de Radiologia vigente à época da republicação do edital</w:t>
      </w:r>
      <w:r>
        <w:rPr>
          <w:rFonts w:cs="Times New Roman" w:ascii="Times New Roman" w:hAnsi="Times New Roman"/>
          <w:color w:val="FF0000"/>
        </w:rPr>
        <w:t>, conforme condições e critérios da referida instituição.</w:t>
      </w:r>
    </w:p>
    <w:p>
      <w:pPr>
        <w:pStyle w:val="ListParagraph"/>
        <w:widowControl w:val="false"/>
        <w:numPr>
          <w:ilvl w:val="1"/>
          <w:numId w:val="5"/>
        </w:numPr>
        <w:spacing w:lineRule="auto" w:line="276" w:before="120" w:after="120"/>
        <w:contextualSpacing/>
        <w:jc w:val="both"/>
        <w:rPr>
          <w:rFonts w:ascii="Times New Roman" w:hAnsi="Times New Roman" w:cs="Times New Roman"/>
          <w:color w:val="FF0000"/>
        </w:rPr>
      </w:pPr>
      <w:r>
        <w:rPr>
          <w:rFonts w:cs="Times New Roman" w:ascii="Times New Roman" w:hAnsi="Times New Roman"/>
          <w:color w:val="FF0000"/>
        </w:rPr>
        <w:t>A atualização dos valores contratados poderá refletir diminuição dos anteriormente fixados.</w:t>
      </w:r>
    </w:p>
    <w:p>
      <w:pPr>
        <w:pStyle w:val="Normal"/>
        <w:spacing w:lineRule="auto" w:line="276" w:before="120" w:after="120"/>
        <w:ind w:left="1418" w:hanging="0"/>
        <w:jc w:val="both"/>
        <w:rPr>
          <w:rFonts w:ascii="Times New Roman" w:hAnsi="Times New Roman" w:eastAsia="Times New Roman" w:cs="Times New Roman"/>
          <w:i/>
          <w:i/>
          <w:iCs/>
          <w:highlight w:val="yellow"/>
        </w:rPr>
      </w:pPr>
      <w:r>
        <w:rPr>
          <w:rFonts w:eastAsia="Times New Roman" w:cs="Times New Roman" w:ascii="Times New Roman" w:hAnsi="Times New Roman"/>
          <w:i/>
          <w:iCs/>
          <w:highlight w:val="yellow"/>
        </w:rPr>
        <w:t>Nota Explicativa 1: A atualização dos valores deverá ser publicada sempre que se verificar a necessidade de atualização do preços. Recomenda-se que seja feita anualmente, e terá como parâmetro a flutuação do mercado de saúde, motivo pelo qual não se garante a sua majoração ao longo do tempo, podendo, se for o caso, ocorrer, inclusive, uma diminuição dos preços. Tal sistemática não retira o direito a que se possam fazer revisões de preços pontuais pontuado no conceito do reequilíbrio econômico-financeiro e como forma de se evitar o descredenciamento dos fornecedores levando ao colapsamento do sistema de fundo de saúde.</w:t>
      </w:r>
    </w:p>
    <w:p>
      <w:pPr>
        <w:pStyle w:val="Normal"/>
        <w:spacing w:lineRule="auto" w:line="276" w:before="120" w:after="120"/>
        <w:ind w:left="1418" w:hanging="0"/>
        <w:jc w:val="both"/>
        <w:rPr>
          <w:rFonts w:ascii="Times New Roman" w:hAnsi="Times New Roman" w:eastAsia="Times New Roman" w:cs="Times New Roman"/>
          <w:highlight w:val="yellow"/>
        </w:rPr>
      </w:pPr>
      <w:r>
        <w:rPr>
          <w:rFonts w:eastAsia="Times New Roman" w:cs="Times New Roman" w:ascii="Times New Roman" w:hAnsi="Times New Roman"/>
          <w:highlight w:val="yellow"/>
        </w:rPr>
      </w:r>
    </w:p>
    <w:p>
      <w:pPr>
        <w:pStyle w:val="Normal"/>
        <w:spacing w:lineRule="auto" w:line="276" w:before="120" w:after="120"/>
        <w:ind w:left="1418" w:hanging="0"/>
        <w:jc w:val="both"/>
        <w:rPr>
          <w:rFonts w:ascii="Times New Roman" w:hAnsi="Times New Roman" w:eastAsia="Times New Roman" w:cs="Times New Roman"/>
          <w:b/>
          <w:b/>
          <w:highlight w:val="yellow"/>
        </w:rPr>
      </w:pPr>
      <w:r>
        <w:rPr>
          <w:rFonts w:eastAsia="Times New Roman" w:cs="Times New Roman" w:ascii="Times New Roman" w:hAnsi="Times New Roman"/>
          <w:i/>
          <w:iCs/>
          <w:highlight w:val="yellow"/>
        </w:rPr>
        <w:t xml:space="preserve">Nota Explicativa 2: Segundo o § 1º do art. 3º da Lei nº 10.192, de 14 de fevereiro de 2001, a periodicidade anual nos contratos, para fins de reajuste do valor contratual, pode ser contada a partir da data limite para apresentação da proposta a que essa se referir. Em um momento inicial, os gestores do Fundo de Saúde elegeram a data de publicação do edital como marco de incidência de incidência de reajuste como preferencial. Entretanto, em face da obrigatoriedade do reajuste, constatou-se um descolamento do índice aplicado da realidade de mercado, seja para mais ou para menos. Diante de considerações de ordem prática, percebeu-se que a aplicação de reajuste linear ao preço contratado representa dano à União, visto que diversos itens contratados, no âmbito do credenciamento, não sofrem reajuste no mercado durante alguns anos, enquanto outros apresentam efetiva necessidade de alteração de preço. Logo, a previsão de um edital com a possibilidade de reajuste, quando a vigência ultrapassar 1 (um) ano, </w:t>
      </w:r>
      <w:r>
        <w:rPr>
          <w:rFonts w:eastAsia="Times New Roman" w:cs="Times New Roman" w:ascii="Times New Roman" w:hAnsi="Times New Roman"/>
          <w:b/>
          <w:i/>
          <w:iCs/>
          <w:highlight w:val="yellow"/>
        </w:rPr>
        <w:t>mostra-se inadequado, dado que inexiste índice linear aplicável ao reajuste da tabela, apresentada por parte da Administração, sem que provoque graves distorções.</w:t>
      </w:r>
    </w:p>
    <w:p>
      <w:pPr>
        <w:pStyle w:val="Normal"/>
        <w:spacing w:lineRule="auto" w:line="276" w:before="120" w:after="120"/>
        <w:ind w:left="1418" w:hanging="0"/>
        <w:jc w:val="both"/>
        <w:rPr>
          <w:rFonts w:ascii="Times New Roman" w:hAnsi="Times New Roman" w:eastAsia="Times New Roman" w:cs="Times New Roman"/>
        </w:rPr>
      </w:pPr>
      <w:r>
        <w:rPr>
          <w:rFonts w:eastAsia="Times New Roman" w:cs="Times New Roman" w:ascii="Times New Roman" w:hAnsi="Times New Roman"/>
          <w:i/>
          <w:iCs/>
          <w:highlight w:val="yellow"/>
        </w:rPr>
        <w:t>Dessa forma, no presente caso, adotar-se-á uma forma alternativa de atualização dos preços.</w:t>
      </w:r>
    </w:p>
    <w:p>
      <w:pPr>
        <w:pStyle w:val="Normal"/>
        <w:widowControl w:val="false"/>
        <w:numPr>
          <w:ilvl w:val="0"/>
          <w:numId w:val="9"/>
        </w:numPr>
        <w:spacing w:lineRule="auto" w:line="276" w:before="120" w:after="120"/>
        <w:ind w:left="0" w:hanging="0"/>
        <w:jc w:val="both"/>
        <w:rPr>
          <w:rFonts w:ascii="Times New Roman" w:hAnsi="Times New Roman" w:cs="Times New Roman"/>
          <w:b/>
          <w:b/>
          <w:u w:val="single"/>
        </w:rPr>
      </w:pPr>
      <w:r>
        <w:rPr>
          <w:rFonts w:cs="Times New Roman" w:ascii="Times New Roman" w:hAnsi="Times New Roman"/>
          <w:b/>
          <w:u w:val="single"/>
        </w:rPr>
        <w:t>DAS OBRIGAÇÕES DO CREDENCIANTE.</w:t>
      </w:r>
    </w:p>
    <w:p>
      <w:pPr>
        <w:pStyle w:val="ListParagraph"/>
        <w:widowControl w:val="false"/>
        <w:numPr>
          <w:ilvl w:val="1"/>
          <w:numId w:val="6"/>
        </w:numPr>
        <w:spacing w:lineRule="auto" w:line="276" w:before="120" w:after="120"/>
        <w:contextualSpacing/>
        <w:jc w:val="both"/>
        <w:rPr>
          <w:rFonts w:ascii="Times New Roman" w:hAnsi="Times New Roman" w:cs="Times New Roman"/>
        </w:rPr>
      </w:pPr>
      <w:r>
        <w:rPr>
          <w:rFonts w:cs="Times New Roman" w:ascii="Times New Roman" w:hAnsi="Times New Roman"/>
        </w:rPr>
        <w:t>O CREDENCIANTE</w:t>
      </w:r>
      <w:r>
        <w:rPr>
          <w:rFonts w:cs="Times New Roman" w:ascii="Times New Roman" w:hAnsi="Times New Roman"/>
          <w:i/>
        </w:rPr>
        <w:t xml:space="preserve"> </w:t>
      </w:r>
      <w:r>
        <w:rPr>
          <w:rFonts w:cs="Times New Roman" w:ascii="Times New Roman" w:hAnsi="Times New Roman"/>
        </w:rPr>
        <w:t>obriga-se a:</w:t>
      </w:r>
    </w:p>
    <w:p>
      <w:pPr>
        <w:pStyle w:val="ListParagraph"/>
        <w:widowControl w:val="false"/>
        <w:numPr>
          <w:ilvl w:val="2"/>
          <w:numId w:val="6"/>
        </w:numPr>
        <w:spacing w:lineRule="auto" w:line="276" w:before="120" w:after="120"/>
        <w:ind w:left="720" w:hanging="11"/>
        <w:contextualSpacing/>
        <w:jc w:val="both"/>
        <w:rPr>
          <w:rFonts w:ascii="Times New Roman" w:hAnsi="Times New Roman" w:cs="Times New Roman"/>
        </w:rPr>
      </w:pPr>
      <w:r>
        <w:rPr>
          <w:rFonts w:cs="Times New Roman" w:ascii="Times New Roman" w:hAnsi="Times New Roman"/>
        </w:rPr>
        <w:t>Efetuar o pagamento no tempo, lugar e forma estabelecidos no contrato;</w:t>
      </w:r>
    </w:p>
    <w:p>
      <w:pPr>
        <w:pStyle w:val="Normal"/>
        <w:widowControl w:val="false"/>
        <w:numPr>
          <w:ilvl w:val="2"/>
          <w:numId w:val="6"/>
        </w:numPr>
        <w:spacing w:lineRule="auto" w:line="276" w:before="120" w:after="120"/>
        <w:ind w:left="709" w:hanging="0"/>
        <w:jc w:val="both"/>
        <w:rPr>
          <w:rFonts w:ascii="Times New Roman" w:hAnsi="Times New Roman" w:cs="Times New Roman"/>
        </w:rPr>
      </w:pPr>
      <w:r>
        <w:rPr>
          <w:rFonts w:cs="Times New Roman" w:ascii="Times New Roman" w:hAnsi="Times New Roman"/>
        </w:rPr>
        <w:t xml:space="preserve">As fases do processamento das despesas médicas deverão ser acompanhadas por parte do órgão executor do FuSEx/SAMMED/PASS, por intermédio de auditorias prévias, concorrentes e a </w:t>
      </w:r>
      <w:r>
        <w:rPr>
          <w:rFonts w:cs="Times New Roman" w:ascii="Times New Roman" w:hAnsi="Times New Roman"/>
          <w:i/>
        </w:rPr>
        <w:t>posteriori</w:t>
      </w:r>
      <w:r>
        <w:rPr>
          <w:rFonts w:cs="Times New Roman" w:ascii="Times New Roman" w:hAnsi="Times New Roman"/>
        </w:rPr>
        <w:t>, além da verificação da lisura e inspeções administrativas, conforme estabelece o art. 80 da Portaria nº DGP-48/2008 e 18, § 2º, da Portaria nº DGP-117/2008 (IR 30-57).</w:t>
      </w:r>
    </w:p>
    <w:p>
      <w:pPr>
        <w:pStyle w:val="Normal"/>
        <w:widowControl w:val="false"/>
        <w:spacing w:lineRule="auto" w:line="276" w:before="120" w:after="120"/>
        <w:ind w:left="1418" w:hanging="0"/>
        <w:jc w:val="both"/>
        <w:rPr>
          <w:rFonts w:ascii="Times New Roman" w:hAnsi="Times New Roman" w:cs="Times New Roman"/>
          <w:i/>
          <w:i/>
          <w:sz w:val="18"/>
          <w:szCs w:val="16"/>
        </w:rPr>
      </w:pPr>
      <w:r>
        <w:rPr>
          <w:rFonts w:cs="Times New Roman" w:ascii="Times New Roman" w:hAnsi="Times New Roman"/>
          <w:i/>
          <w:sz w:val="18"/>
          <w:szCs w:val="16"/>
        </w:rPr>
      </w:r>
    </w:p>
    <w:p>
      <w:pPr>
        <w:pStyle w:val="Normal"/>
        <w:widowControl w:val="false"/>
        <w:spacing w:lineRule="auto" w:line="276" w:before="120" w:after="120"/>
        <w:ind w:left="1418" w:hanging="0"/>
        <w:jc w:val="both"/>
        <w:rPr>
          <w:rFonts w:ascii="Times New Roman" w:hAnsi="Times New Roman" w:cs="Times New Roman"/>
          <w:i/>
          <w:i/>
          <w:sz w:val="18"/>
          <w:szCs w:val="16"/>
        </w:rPr>
      </w:pPr>
      <w:r>
        <w:rPr>
          <w:rFonts w:cs="Times New Roman" w:ascii="Times New Roman" w:hAnsi="Times New Roman"/>
          <w:i/>
          <w:sz w:val="18"/>
          <w:szCs w:val="16"/>
          <w:highlight w:val="yellow"/>
        </w:rPr>
        <w:t>Nota Explicativa: o órgão deverá estabelecer as demais obrigações que julgar adequadas, de acordo com a natureza do objeto e a necessidade da Administração.</w:t>
      </w:r>
    </w:p>
    <w:p>
      <w:pPr>
        <w:pStyle w:val="Normal"/>
        <w:widowControl w:val="false"/>
        <w:spacing w:lineRule="auto" w:line="276" w:before="120" w:after="120"/>
        <w:ind w:left="1418" w:hanging="0"/>
        <w:jc w:val="both"/>
        <w:rPr>
          <w:rFonts w:ascii="Times New Roman" w:hAnsi="Times New Roman" w:cs="Times New Roman"/>
          <w:i/>
          <w:i/>
          <w:sz w:val="18"/>
          <w:szCs w:val="16"/>
        </w:rPr>
      </w:pPr>
      <w:r>
        <w:rPr>
          <w:rFonts w:cs="Times New Roman" w:ascii="Times New Roman" w:hAnsi="Times New Roman"/>
          <w:i/>
          <w:sz w:val="18"/>
          <w:szCs w:val="16"/>
        </w:rPr>
      </w:r>
    </w:p>
    <w:p>
      <w:pPr>
        <w:pStyle w:val="Normal"/>
        <w:widowControl w:val="false"/>
        <w:numPr>
          <w:ilvl w:val="0"/>
          <w:numId w:val="6"/>
        </w:numPr>
        <w:spacing w:lineRule="auto" w:line="276" w:before="120" w:after="120"/>
        <w:ind w:left="0" w:hanging="0"/>
        <w:jc w:val="both"/>
        <w:rPr>
          <w:rFonts w:ascii="Times New Roman" w:hAnsi="Times New Roman" w:cs="Times New Roman"/>
          <w:u w:val="single"/>
        </w:rPr>
      </w:pPr>
      <w:r>
        <w:rPr>
          <w:rFonts w:cs="Times New Roman" w:ascii="Times New Roman" w:hAnsi="Times New Roman"/>
          <w:b/>
          <w:bCs/>
          <w:u w:val="single"/>
        </w:rPr>
        <w:t>DAS OBRIGAÇÕES DOS CREDENCIADOS.</w:t>
      </w:r>
    </w:p>
    <w:p>
      <w:pPr>
        <w:pStyle w:val="Normal"/>
        <w:widowControl w:val="false"/>
        <w:spacing w:lineRule="auto" w:line="276" w:before="120" w:after="120"/>
        <w:jc w:val="both"/>
        <w:rPr>
          <w:rFonts w:ascii="Times New Roman" w:hAnsi="Times New Roman" w:cs="Times New Roman"/>
        </w:rPr>
      </w:pPr>
      <w:r>
        <w:rPr>
          <w:rFonts w:cs="Times New Roman" w:ascii="Times New Roman" w:hAnsi="Times New Roman"/>
        </w:rPr>
        <w:t>11.1 O CREDENCIADO obriga-se a:</w:t>
      </w:r>
    </w:p>
    <w:p>
      <w:pPr>
        <w:pStyle w:val="Normal"/>
        <w:widowControl w:val="false"/>
        <w:numPr>
          <w:ilvl w:val="2"/>
          <w:numId w:val="6"/>
        </w:numPr>
        <w:spacing w:lineRule="auto" w:line="276" w:before="120" w:after="120"/>
        <w:ind w:left="709" w:hanging="0"/>
        <w:jc w:val="both"/>
        <w:rPr>
          <w:rFonts w:ascii="Times New Roman" w:hAnsi="Times New Roman" w:cs="Times New Roman"/>
        </w:rPr>
      </w:pPr>
      <w:r>
        <w:rPr>
          <w:rFonts w:cs="Times New Roman" w:ascii="Times New Roman" w:hAnsi="Times New Roman"/>
        </w:rPr>
        <w:t>Indicar formalmente à Administração Pública Federal os prepostos e/ou responsáveis pela prestação dos serviços, objeto deste Edital;</w:t>
      </w:r>
    </w:p>
    <w:p>
      <w:pPr>
        <w:pStyle w:val="Normal"/>
        <w:widowControl w:val="false"/>
        <w:numPr>
          <w:ilvl w:val="2"/>
          <w:numId w:val="6"/>
        </w:numPr>
        <w:spacing w:lineRule="auto" w:line="276" w:before="120" w:after="120"/>
        <w:ind w:left="709" w:hanging="0"/>
        <w:jc w:val="both"/>
        <w:rPr>
          <w:rFonts w:ascii="Times New Roman" w:hAnsi="Times New Roman" w:cs="Times New Roman"/>
        </w:rPr>
      </w:pPr>
      <w:r>
        <w:rPr>
          <w:rFonts w:cs="Times New Roman" w:ascii="Times New Roman" w:hAnsi="Times New Roman"/>
        </w:rPr>
        <w:t>Manter disponibilidade de mão de obra dentro dos padrões quantitativo e qualitativo suficientes para atender a demanda ordinária, bem como eventuais acréscimos solicitados pela Administração Pública Federal, respeitadas as disposições da legislação trabalhista vigente;</w:t>
      </w:r>
    </w:p>
    <w:p>
      <w:pPr>
        <w:pStyle w:val="Normal"/>
        <w:widowControl w:val="false"/>
        <w:numPr>
          <w:ilvl w:val="2"/>
          <w:numId w:val="6"/>
        </w:numPr>
        <w:spacing w:lineRule="auto" w:line="276" w:before="120" w:after="120"/>
        <w:ind w:left="709" w:hanging="0"/>
        <w:jc w:val="both"/>
        <w:rPr>
          <w:rFonts w:ascii="Times New Roman" w:hAnsi="Times New Roman" w:cs="Times New Roman"/>
        </w:rPr>
      </w:pPr>
      <w:r>
        <w:rPr>
          <w:rFonts w:cs="Times New Roman" w:ascii="Times New Roman" w:hAnsi="Times New Roman"/>
        </w:rPr>
        <w:t>Arcar com o custo do fornecimento de uniformes e equipamentos de proteção individual (EPI) para a mão de obra envolvida, sendo vedado o repasse de tal custo ao CREDENCIANTE;</w:t>
      </w:r>
    </w:p>
    <w:p>
      <w:pPr>
        <w:pStyle w:val="Normal"/>
        <w:widowControl w:val="false"/>
        <w:numPr>
          <w:ilvl w:val="2"/>
          <w:numId w:val="6"/>
        </w:numPr>
        <w:spacing w:lineRule="auto" w:line="276" w:before="120" w:after="120"/>
        <w:ind w:left="709" w:hanging="0"/>
        <w:jc w:val="both"/>
        <w:rPr>
          <w:rFonts w:ascii="Times New Roman" w:hAnsi="Times New Roman" w:cs="Times New Roman"/>
        </w:rPr>
      </w:pPr>
      <w:r>
        <w:rPr>
          <w:rFonts w:cs="Times New Roman" w:ascii="Times New Roman" w:hAnsi="Times New Roman"/>
        </w:rPr>
        <w:t>Efetuar a reposição da mão de obra nos serviços, em caráter imediato, em eventual ausência;</w:t>
      </w:r>
    </w:p>
    <w:p>
      <w:pPr>
        <w:pStyle w:val="Normal"/>
        <w:widowControl w:val="false"/>
        <w:numPr>
          <w:ilvl w:val="2"/>
          <w:numId w:val="6"/>
        </w:numPr>
        <w:spacing w:lineRule="auto" w:line="276" w:before="120" w:after="120"/>
        <w:ind w:left="709" w:hanging="0"/>
        <w:jc w:val="both"/>
        <w:rPr>
          <w:rFonts w:ascii="Times New Roman" w:hAnsi="Times New Roman" w:cs="Times New Roman"/>
        </w:rPr>
      </w:pPr>
      <w:r>
        <w:rPr>
          <w:rFonts w:cs="Times New Roman" w:ascii="Times New Roman" w:hAnsi="Times New Roman"/>
        </w:rPr>
        <w:t>Atender de imediato as solicitações relativas à substituição de mão de obra desqualificada ou entendida por parte da Administração Pública Federal como inadequada para a prestação dos serviços;</w:t>
      </w:r>
    </w:p>
    <w:p>
      <w:pPr>
        <w:pStyle w:val="Normal"/>
        <w:widowControl w:val="false"/>
        <w:numPr>
          <w:ilvl w:val="2"/>
          <w:numId w:val="6"/>
        </w:numPr>
        <w:spacing w:lineRule="auto" w:line="276" w:before="120" w:after="120"/>
        <w:ind w:left="709" w:hanging="0"/>
        <w:jc w:val="both"/>
        <w:rPr>
          <w:rFonts w:ascii="Times New Roman" w:hAnsi="Times New Roman" w:cs="Times New Roman"/>
        </w:rPr>
      </w:pPr>
      <w:r>
        <w:rPr>
          <w:rFonts w:cs="Times New Roman" w:ascii="Times New Roman" w:hAnsi="Times New Roman"/>
        </w:rPr>
        <w:t>Instruir o seu preposto quanto à necessidade de acatar as orientações da Administração Pública Federal, inclusive quanto ao cumprimento das Normas Internas e de Segurança e Saúde Ocupacional;</w:t>
      </w:r>
    </w:p>
    <w:p>
      <w:pPr>
        <w:pStyle w:val="Normal"/>
        <w:widowControl w:val="false"/>
        <w:numPr>
          <w:ilvl w:val="2"/>
          <w:numId w:val="6"/>
        </w:numPr>
        <w:spacing w:lineRule="auto" w:line="276" w:before="120" w:after="120"/>
        <w:ind w:left="709" w:hanging="0"/>
        <w:jc w:val="both"/>
        <w:rPr>
          <w:rFonts w:ascii="Times New Roman" w:hAnsi="Times New Roman" w:cs="Times New Roman"/>
        </w:rPr>
      </w:pPr>
      <w:r>
        <w:rPr>
          <w:rFonts w:cs="Times New Roman" w:ascii="Times New Roman" w:hAnsi="Times New Roman"/>
        </w:rPr>
        <w:t>Relatar à Administração Pública Federal toda e qualquer irregularidade nos serviços prestados;</w:t>
      </w:r>
    </w:p>
    <w:p>
      <w:pPr>
        <w:pStyle w:val="Normal"/>
        <w:widowControl w:val="false"/>
        <w:numPr>
          <w:ilvl w:val="2"/>
          <w:numId w:val="6"/>
        </w:numPr>
        <w:spacing w:lineRule="auto" w:line="276" w:before="120" w:after="120"/>
        <w:ind w:left="709" w:hanging="0"/>
        <w:jc w:val="both"/>
        <w:rPr>
          <w:rFonts w:ascii="Times New Roman" w:hAnsi="Times New Roman" w:cs="Times New Roman"/>
        </w:rPr>
      </w:pPr>
      <w:r>
        <w:rPr>
          <w:rFonts w:cs="Times New Roman" w:ascii="Times New Roman" w:hAnsi="Times New Roman"/>
        </w:rPr>
        <w:t>Responsabilizar-se pelos encargos trabalhistas, previdenciários e fiscais resultantes da execução do contrato, nos termos da legislação aplicável; e,</w:t>
      </w:r>
    </w:p>
    <w:p>
      <w:pPr>
        <w:pStyle w:val="Normal"/>
        <w:widowControl w:val="false"/>
        <w:numPr>
          <w:ilvl w:val="2"/>
          <w:numId w:val="6"/>
        </w:numPr>
        <w:spacing w:lineRule="auto" w:line="276" w:before="120" w:after="120"/>
        <w:ind w:left="709" w:hanging="0"/>
        <w:jc w:val="both"/>
        <w:rPr>
          <w:rFonts w:ascii="Times New Roman" w:hAnsi="Times New Roman" w:cs="Times New Roman"/>
        </w:rPr>
      </w:pPr>
      <w:r>
        <w:rPr>
          <w:rFonts w:cs="Times New Roman" w:ascii="Times New Roman" w:hAnsi="Times New Roman"/>
        </w:rPr>
        <w:t>Manter, durante a execução do contrato, todas as condições exigidas para habilitação e qualificação no presente Edital.</w:t>
      </w:r>
    </w:p>
    <w:p>
      <w:pPr>
        <w:pStyle w:val="Normal"/>
        <w:widowControl w:val="false"/>
        <w:numPr>
          <w:ilvl w:val="3"/>
          <w:numId w:val="6"/>
        </w:numPr>
        <w:spacing w:lineRule="auto" w:line="276" w:before="120" w:after="120"/>
        <w:ind w:left="1418" w:hanging="0"/>
        <w:jc w:val="both"/>
        <w:rPr>
          <w:rFonts w:ascii="Times New Roman" w:hAnsi="Times New Roman" w:cs="Times New Roman"/>
        </w:rPr>
      </w:pPr>
      <w:r>
        <w:rPr>
          <w:rFonts w:cs="Times New Roman" w:ascii="Times New Roman" w:hAnsi="Times New Roman"/>
        </w:rPr>
        <w:t>Nesse caso, é vedada a retenção de pagamento se o contratado não incorrer em qualquer inexecução do serviço;</w:t>
      </w:r>
    </w:p>
    <w:p>
      <w:pPr>
        <w:pStyle w:val="Normal"/>
        <w:widowControl w:val="false"/>
        <w:numPr>
          <w:ilvl w:val="3"/>
          <w:numId w:val="6"/>
        </w:numPr>
        <w:spacing w:lineRule="auto" w:line="276" w:before="120" w:after="120"/>
        <w:ind w:left="1418" w:hanging="0"/>
        <w:jc w:val="both"/>
        <w:rPr>
          <w:rFonts w:ascii="Times New Roman" w:hAnsi="Times New Roman" w:cs="Times New Roman"/>
        </w:rPr>
      </w:pPr>
      <w:r>
        <w:rPr>
          <w:rFonts w:cs="Times New Roman" w:ascii="Times New Roman" w:hAnsi="Times New Roman"/>
        </w:rPr>
        <w:t>A Administração poderá conceder um prazo para que o CREDENCIADO regularize suas condições de habilitação, sob pena de rescisão contratual, quando não identificar má-fé ou a incapacidade da empresa de corrigir a situação.</w:t>
      </w:r>
    </w:p>
    <w:p>
      <w:pPr>
        <w:pStyle w:val="Normal"/>
        <w:widowControl w:val="false"/>
        <w:spacing w:lineRule="auto" w:line="276" w:before="120" w:after="120"/>
        <w:ind w:left="1418" w:hanging="0"/>
        <w:jc w:val="both"/>
        <w:rPr>
          <w:rFonts w:ascii="Times New Roman" w:hAnsi="Times New Roman" w:cs="Times New Roman"/>
          <w:i/>
          <w:i/>
          <w:sz w:val="18"/>
          <w:szCs w:val="16"/>
        </w:rPr>
      </w:pPr>
      <w:r>
        <w:rPr>
          <w:rFonts w:cs="Times New Roman" w:ascii="Times New Roman" w:hAnsi="Times New Roman"/>
          <w:i/>
          <w:sz w:val="18"/>
          <w:szCs w:val="16"/>
          <w:highlight w:val="yellow"/>
        </w:rPr>
        <w:t>Nota Explicativa: o órgão deverá estabelecer as demais obrigações que julgar adequadas, de acordo com a natureza do objeto e a necessidade da Administração.</w:t>
      </w:r>
    </w:p>
    <w:p>
      <w:pPr>
        <w:pStyle w:val="Normal"/>
        <w:widowControl w:val="false"/>
        <w:numPr>
          <w:ilvl w:val="0"/>
          <w:numId w:val="6"/>
        </w:numPr>
        <w:spacing w:lineRule="auto" w:line="276" w:before="120" w:after="120"/>
        <w:ind w:left="0" w:hanging="0"/>
        <w:jc w:val="both"/>
        <w:rPr>
          <w:rFonts w:ascii="Times New Roman" w:hAnsi="Times New Roman" w:cs="Times New Roman"/>
          <w:b/>
          <w:b/>
          <w:u w:val="single"/>
        </w:rPr>
      </w:pPr>
      <w:r>
        <w:rPr>
          <w:rFonts w:cs="Times New Roman" w:ascii="Times New Roman" w:hAnsi="Times New Roman"/>
          <w:b/>
          <w:u w:val="single"/>
        </w:rPr>
        <w:t>DAS SANÇÕES.</w:t>
      </w:r>
    </w:p>
    <w:p>
      <w:pPr>
        <w:pStyle w:val="Normal"/>
        <w:widowControl w:val="false"/>
        <w:spacing w:lineRule="auto" w:line="276" w:before="120" w:after="120"/>
        <w:ind w:left="1418" w:hanging="0"/>
        <w:jc w:val="both"/>
        <w:rPr>
          <w:rFonts w:ascii="Times New Roman" w:hAnsi="Times New Roman" w:cs="Times New Roman"/>
          <w:i/>
          <w:i/>
          <w:sz w:val="18"/>
          <w:szCs w:val="16"/>
          <w:highlight w:val="yellow"/>
        </w:rPr>
      </w:pPr>
      <w:bookmarkStart w:id="0" w:name="_Hlk158967684"/>
      <w:r>
        <w:rPr>
          <w:rFonts w:cs="Times New Roman" w:ascii="Times New Roman" w:hAnsi="Times New Roman"/>
          <w:i/>
          <w:sz w:val="18"/>
          <w:szCs w:val="16"/>
          <w:highlight w:val="yellow"/>
        </w:rPr>
        <w:t>Nota Explicativa: Em observância aos postulados da coerência e da proporcionalidade, considerando-se que a inexecução parcial do objeto é mais grave do que a mora, e que a inexecução total do objeto é mais danosa que a parcial, as sanções pecuniárias devem ser diferenciadas</w:t>
      </w:r>
      <w:bookmarkEnd w:id="0"/>
      <w:r>
        <w:rPr>
          <w:rFonts w:cs="Times New Roman" w:ascii="Times New Roman" w:hAnsi="Times New Roman"/>
          <w:i/>
          <w:sz w:val="18"/>
          <w:szCs w:val="16"/>
          <w:highlight w:val="yellow"/>
        </w:rPr>
        <w:t>.</w:t>
      </w:r>
    </w:p>
    <w:p>
      <w:pPr>
        <w:pStyle w:val="Normal"/>
        <w:widowControl w:val="false"/>
        <w:spacing w:lineRule="auto" w:line="276" w:before="120" w:after="120"/>
        <w:ind w:left="1418" w:hanging="0"/>
        <w:jc w:val="both"/>
        <w:rPr>
          <w:rFonts w:ascii="Times New Roman" w:hAnsi="Times New Roman" w:cs="Times New Roman"/>
          <w:i/>
          <w:i/>
          <w:sz w:val="18"/>
          <w:szCs w:val="16"/>
          <w:highlight w:val="yellow"/>
        </w:rPr>
      </w:pPr>
      <w:r>
        <w:rPr>
          <w:rFonts w:cs="Times New Roman" w:ascii="Times New Roman" w:hAnsi="Times New Roman"/>
          <w:i/>
          <w:sz w:val="18"/>
          <w:szCs w:val="16"/>
          <w:highlight w:val="yellow"/>
        </w:rPr>
        <w:t>Assim, o percentual de multa para o atraso injustificado deve ser menor que os fixados para a inexecução total ou parcial do objeto do contrato. Pelo mesmo motivo, o percentual da multa por dia de atraso deve ser menor que o da multa mínima da inexecução parcial, enquanto o percentual máximo da multa de inexecução parcial deve ser menor que o previsto para a inexecução total do contrato.</w:t>
      </w:r>
    </w:p>
    <w:p>
      <w:pPr>
        <w:pStyle w:val="Normal"/>
        <w:widowControl w:val="false"/>
        <w:spacing w:lineRule="auto" w:line="276" w:before="120" w:after="120"/>
        <w:ind w:left="1418" w:hanging="0"/>
        <w:jc w:val="both"/>
        <w:rPr>
          <w:rFonts w:ascii="Times New Roman" w:hAnsi="Times New Roman" w:cs="Times New Roman"/>
          <w:i/>
          <w:i/>
          <w:sz w:val="18"/>
          <w:szCs w:val="16"/>
        </w:rPr>
      </w:pPr>
      <w:r>
        <w:rPr>
          <w:rFonts w:cs="Times New Roman" w:ascii="Times New Roman" w:hAnsi="Times New Roman"/>
          <w:i/>
          <w:sz w:val="18"/>
          <w:szCs w:val="16"/>
          <w:highlight w:val="yellow"/>
        </w:rPr>
        <w:t xml:space="preserve">Também devem ser analisadas as circunstâncias previstas no §1º do art. 156 da Lei nº 14.133, de 2021, que prevê que na aplicação das penalidades, sejam considerados: I - a natureza e a gravidade da infração cometida; </w:t>
      </w:r>
      <w:bookmarkStart w:id="1" w:name="art156§1ii"/>
      <w:bookmarkEnd w:id="1"/>
      <w:r>
        <w:rPr>
          <w:rFonts w:cs="Times New Roman" w:ascii="Times New Roman" w:hAnsi="Times New Roman"/>
          <w:i/>
          <w:sz w:val="18"/>
          <w:szCs w:val="16"/>
          <w:highlight w:val="yellow"/>
        </w:rPr>
        <w:t xml:space="preserve">II - as peculiaridades do caso concreto; </w:t>
      </w:r>
      <w:bookmarkStart w:id="2" w:name="art156§1iii"/>
      <w:bookmarkEnd w:id="2"/>
      <w:r>
        <w:rPr>
          <w:rFonts w:cs="Times New Roman" w:ascii="Times New Roman" w:hAnsi="Times New Roman"/>
          <w:i/>
          <w:sz w:val="18"/>
          <w:szCs w:val="16"/>
          <w:highlight w:val="yellow"/>
        </w:rPr>
        <w:t xml:space="preserve">III - as circunstâncias agravantes ou atenuantes; </w:t>
      </w:r>
      <w:bookmarkStart w:id="3" w:name="art156§1iv"/>
      <w:bookmarkEnd w:id="3"/>
      <w:r>
        <w:rPr>
          <w:rFonts w:cs="Times New Roman" w:ascii="Times New Roman" w:hAnsi="Times New Roman"/>
          <w:i/>
          <w:sz w:val="18"/>
          <w:szCs w:val="16"/>
          <w:highlight w:val="yellow"/>
        </w:rPr>
        <w:t xml:space="preserve">IV - os danos que dela provierem para a Administração Pública; </w:t>
      </w:r>
      <w:bookmarkStart w:id="4" w:name="art156§1v"/>
      <w:bookmarkEnd w:id="4"/>
      <w:r>
        <w:rPr>
          <w:rFonts w:cs="Times New Roman" w:ascii="Times New Roman" w:hAnsi="Times New Roman"/>
          <w:i/>
          <w:sz w:val="18"/>
          <w:szCs w:val="16"/>
          <w:highlight w:val="yellow"/>
        </w:rPr>
        <w:t>V - a implantação ou o aperfeiçoamento de programa de integridade, conforme normas e orientações dos órgãos de controle.</w:t>
      </w:r>
    </w:p>
    <w:p>
      <w:pPr>
        <w:pStyle w:val="Normal"/>
        <w:widowControl w:val="false"/>
        <w:spacing w:lineRule="auto" w:line="276" w:before="120" w:after="120"/>
        <w:ind w:left="1418" w:hanging="0"/>
        <w:jc w:val="both"/>
        <w:rPr>
          <w:rFonts w:ascii="Times New Roman" w:hAnsi="Times New Roman" w:cs="Times New Roman"/>
          <w:i/>
          <w:i/>
          <w:sz w:val="18"/>
          <w:szCs w:val="16"/>
        </w:rPr>
      </w:pPr>
      <w:r>
        <w:rPr>
          <w:rFonts w:cs="Times New Roman" w:ascii="Times New Roman" w:hAnsi="Times New Roman"/>
          <w:i/>
          <w:sz w:val="18"/>
          <w:szCs w:val="16"/>
        </w:rPr>
      </w:r>
    </w:p>
    <w:p>
      <w:pPr>
        <w:pStyle w:val="ListParagraph"/>
        <w:widowControl w:val="false"/>
        <w:numPr>
          <w:ilvl w:val="1"/>
          <w:numId w:val="7"/>
        </w:numPr>
        <w:spacing w:lineRule="auto" w:line="276" w:before="120" w:after="120"/>
        <w:ind w:left="0" w:hanging="0"/>
        <w:contextualSpacing/>
        <w:jc w:val="both"/>
        <w:rPr>
          <w:rFonts w:ascii="Times New Roman" w:hAnsi="Times New Roman" w:cs="Times New Roman"/>
        </w:rPr>
      </w:pPr>
      <w:r>
        <w:rPr>
          <w:rFonts w:cs="Times New Roman" w:ascii="Times New Roman" w:hAnsi="Times New Roman"/>
        </w:rPr>
        <w:t>O CREDENCIADO será responsabilizado administrativamente nas seguintes hipóteses:</w:t>
      </w:r>
    </w:p>
    <w:p>
      <w:pPr>
        <w:pStyle w:val="ListParagraph"/>
        <w:widowControl w:val="false"/>
        <w:numPr>
          <w:ilvl w:val="2"/>
          <w:numId w:val="7"/>
        </w:numPr>
        <w:spacing w:lineRule="auto" w:line="276" w:before="120" w:after="120"/>
        <w:ind w:left="1418" w:hanging="720"/>
        <w:contextualSpacing/>
        <w:jc w:val="both"/>
        <w:rPr>
          <w:rFonts w:ascii="Times New Roman" w:hAnsi="Times New Roman" w:cs="Times New Roman"/>
        </w:rPr>
      </w:pPr>
      <w:r>
        <w:rPr>
          <w:rFonts w:cs="Times New Roman" w:ascii="Times New Roman" w:hAnsi="Times New Roman"/>
        </w:rPr>
        <w:t>dar causa à inexecução parcial do contrato;</w:t>
      </w:r>
    </w:p>
    <w:p>
      <w:pPr>
        <w:pStyle w:val="ListParagraph"/>
        <w:widowControl w:val="false"/>
        <w:numPr>
          <w:ilvl w:val="2"/>
          <w:numId w:val="7"/>
        </w:numPr>
        <w:spacing w:lineRule="auto" w:line="276" w:before="120" w:after="120"/>
        <w:ind w:left="1418" w:hanging="720"/>
        <w:contextualSpacing/>
        <w:jc w:val="both"/>
        <w:rPr>
          <w:rFonts w:ascii="Times New Roman" w:hAnsi="Times New Roman" w:cs="Times New Roman"/>
        </w:rPr>
      </w:pPr>
      <w:r>
        <w:rPr>
          <w:rFonts w:cs="Times New Roman" w:ascii="Times New Roman" w:hAnsi="Times New Roman"/>
        </w:rPr>
        <w:t>dar causa à inexecução parcial do contrato que cause grave dano à Administração, ao funcionamento dos serviços públicos ou ao interesse coletivo;</w:t>
      </w:r>
    </w:p>
    <w:p>
      <w:pPr>
        <w:pStyle w:val="ListParagraph"/>
        <w:widowControl w:val="false"/>
        <w:numPr>
          <w:ilvl w:val="2"/>
          <w:numId w:val="7"/>
        </w:numPr>
        <w:spacing w:lineRule="auto" w:line="276" w:before="120" w:after="120"/>
        <w:ind w:left="1418" w:hanging="720"/>
        <w:contextualSpacing/>
        <w:jc w:val="both"/>
        <w:rPr>
          <w:rFonts w:ascii="Times New Roman" w:hAnsi="Times New Roman" w:cs="Times New Roman"/>
        </w:rPr>
      </w:pPr>
      <w:r>
        <w:rPr>
          <w:rFonts w:cs="Times New Roman" w:ascii="Times New Roman" w:hAnsi="Times New Roman"/>
        </w:rPr>
        <w:t>dar causa à inexecução total do contrato;</w:t>
      </w:r>
    </w:p>
    <w:p>
      <w:pPr>
        <w:pStyle w:val="ListParagraph"/>
        <w:widowControl w:val="false"/>
        <w:numPr>
          <w:ilvl w:val="2"/>
          <w:numId w:val="7"/>
        </w:numPr>
        <w:spacing w:lineRule="auto" w:line="276" w:before="120" w:after="120"/>
        <w:ind w:left="1418" w:hanging="720"/>
        <w:contextualSpacing/>
        <w:jc w:val="both"/>
        <w:rPr>
          <w:rFonts w:ascii="Times New Roman" w:hAnsi="Times New Roman" w:cs="Times New Roman"/>
        </w:rPr>
      </w:pPr>
      <w:r>
        <w:rPr>
          <w:rFonts w:cs="Times New Roman" w:ascii="Times New Roman" w:hAnsi="Times New Roman"/>
        </w:rPr>
        <w:t>ensejar o retardamento da execução ou da entrega do objeto da licitação sem motivo justificado;</w:t>
      </w:r>
    </w:p>
    <w:p>
      <w:pPr>
        <w:pStyle w:val="ListParagraph"/>
        <w:widowControl w:val="false"/>
        <w:numPr>
          <w:ilvl w:val="2"/>
          <w:numId w:val="7"/>
        </w:numPr>
        <w:spacing w:lineRule="auto" w:line="276" w:before="120" w:after="120"/>
        <w:ind w:left="1418" w:hanging="720"/>
        <w:contextualSpacing/>
        <w:jc w:val="both"/>
        <w:rPr>
          <w:rFonts w:ascii="Times New Roman" w:hAnsi="Times New Roman" w:cs="Times New Roman"/>
        </w:rPr>
      </w:pPr>
      <w:r>
        <w:rPr>
          <w:rFonts w:cs="Times New Roman" w:ascii="Times New Roman" w:hAnsi="Times New Roman"/>
        </w:rPr>
        <w:t>apresentar declaração ou documentação falsa exigida para o credenciamento ou prestar declaração falsa durante credenciamento ou a execução do contrato;</w:t>
      </w:r>
    </w:p>
    <w:p>
      <w:pPr>
        <w:pStyle w:val="ListParagraph"/>
        <w:widowControl w:val="false"/>
        <w:numPr>
          <w:ilvl w:val="2"/>
          <w:numId w:val="7"/>
        </w:numPr>
        <w:spacing w:lineRule="auto" w:line="276" w:before="120" w:after="120"/>
        <w:ind w:left="1418" w:hanging="720"/>
        <w:contextualSpacing/>
        <w:jc w:val="both"/>
        <w:rPr>
          <w:rFonts w:ascii="Times New Roman" w:hAnsi="Times New Roman" w:cs="Times New Roman"/>
        </w:rPr>
      </w:pPr>
      <w:r>
        <w:rPr>
          <w:rFonts w:cs="Times New Roman" w:ascii="Times New Roman" w:hAnsi="Times New Roman"/>
        </w:rPr>
        <w:t>fraudar o credenciamento ou praticar ato fraudulento na execução do contrato;</w:t>
      </w:r>
    </w:p>
    <w:p>
      <w:pPr>
        <w:pStyle w:val="ListParagraph"/>
        <w:widowControl w:val="false"/>
        <w:numPr>
          <w:ilvl w:val="2"/>
          <w:numId w:val="7"/>
        </w:numPr>
        <w:spacing w:lineRule="auto" w:line="276" w:before="120" w:after="120"/>
        <w:ind w:left="1418" w:hanging="720"/>
        <w:contextualSpacing/>
        <w:jc w:val="both"/>
        <w:rPr>
          <w:rFonts w:ascii="Times New Roman" w:hAnsi="Times New Roman" w:cs="Times New Roman"/>
        </w:rPr>
      </w:pPr>
      <w:r>
        <w:rPr>
          <w:rFonts w:cs="Times New Roman" w:ascii="Times New Roman" w:hAnsi="Times New Roman"/>
        </w:rPr>
        <w:t>comportar-se de modo inidôneo ou cometer fraude de qualquer natureza;</w:t>
      </w:r>
    </w:p>
    <w:p>
      <w:pPr>
        <w:pStyle w:val="ListParagraph"/>
        <w:widowControl w:val="false"/>
        <w:numPr>
          <w:ilvl w:val="2"/>
          <w:numId w:val="7"/>
        </w:numPr>
        <w:spacing w:lineRule="auto" w:line="276" w:before="120" w:after="120"/>
        <w:ind w:left="1418" w:hanging="720"/>
        <w:contextualSpacing/>
        <w:jc w:val="both"/>
        <w:rPr>
          <w:rFonts w:ascii="Times New Roman" w:hAnsi="Times New Roman" w:cs="Times New Roman"/>
        </w:rPr>
      </w:pPr>
      <w:r>
        <w:rPr>
          <w:rFonts w:cs="Times New Roman" w:ascii="Times New Roman" w:hAnsi="Times New Roman"/>
        </w:rPr>
        <w:t>praticar atos ilícitos com vistas a frustrar os objetivos do credenciamento;</w:t>
      </w:r>
    </w:p>
    <w:p>
      <w:pPr>
        <w:pStyle w:val="ListParagraph"/>
        <w:widowControl w:val="false"/>
        <w:numPr>
          <w:ilvl w:val="2"/>
          <w:numId w:val="7"/>
        </w:numPr>
        <w:spacing w:lineRule="auto" w:line="276" w:before="120" w:after="120"/>
        <w:ind w:left="1418" w:hanging="720"/>
        <w:contextualSpacing/>
        <w:jc w:val="both"/>
        <w:rPr>
          <w:rFonts w:ascii="Times New Roman" w:hAnsi="Times New Roman" w:cs="Times New Roman"/>
        </w:rPr>
      </w:pPr>
      <w:r>
        <w:rPr>
          <w:rFonts w:cs="Times New Roman" w:ascii="Times New Roman" w:hAnsi="Times New Roman"/>
        </w:rPr>
        <w:t>praticar ato lesivo previsto no art. 5º da Lei nº 12.846, de 1º de agosto de 2013.</w:t>
      </w:r>
    </w:p>
    <w:p>
      <w:pPr>
        <w:pStyle w:val="ListParagraph"/>
        <w:widowControl w:val="false"/>
        <w:numPr>
          <w:ilvl w:val="1"/>
          <w:numId w:val="7"/>
        </w:numPr>
        <w:spacing w:lineRule="auto" w:line="276" w:before="120" w:after="120"/>
        <w:ind w:left="0" w:hanging="0"/>
        <w:contextualSpacing/>
        <w:jc w:val="both"/>
        <w:rPr>
          <w:rFonts w:ascii="Times New Roman" w:hAnsi="Times New Roman" w:cs="Times New Roman"/>
        </w:rPr>
      </w:pPr>
      <w:r>
        <w:rPr>
          <w:rFonts w:cs="Times New Roman" w:ascii="Times New Roman" w:hAnsi="Times New Roman"/>
        </w:rPr>
        <w:t>Pelo atraso injustificado na execução das obrigações decorrentes do contrato, o CREDENCIADO estará sujeito às seguintes multas:</w:t>
      </w:r>
    </w:p>
    <w:p>
      <w:pPr>
        <w:pStyle w:val="Normal"/>
        <w:widowControl w:val="false"/>
        <w:spacing w:lineRule="auto" w:line="276" w:before="120" w:after="120"/>
        <w:ind w:left="709" w:hanging="0"/>
        <w:jc w:val="both"/>
        <w:rPr>
          <w:rFonts w:ascii="Times New Roman" w:hAnsi="Times New Roman" w:cs="Times New Roman"/>
        </w:rPr>
      </w:pPr>
      <w:r>
        <w:rPr>
          <w:rFonts w:cs="Times New Roman" w:ascii="Times New Roman" w:hAnsi="Times New Roman"/>
        </w:rPr>
        <w:t xml:space="preserve">12.1.1  Multa, prevista no art. 156, II da Lei nº 14.133, de 2021, será calculada no percentual de __% (___ por cento) </w:t>
      </w:r>
      <w:r>
        <w:rPr>
          <w:rFonts w:cs="Times New Roman" w:ascii="Times New Roman" w:hAnsi="Times New Roman"/>
          <w:b/>
        </w:rPr>
        <w:t>sobre o valor do serviço em mora</w:t>
      </w:r>
      <w:r>
        <w:rPr>
          <w:rFonts w:cs="Times New Roman" w:ascii="Times New Roman" w:hAnsi="Times New Roman"/>
        </w:rPr>
        <w:t>, por dia de atraso até o limite de 30 (trinta) dias;</w:t>
      </w:r>
    </w:p>
    <w:p>
      <w:pPr>
        <w:pStyle w:val="Normal"/>
        <w:widowControl w:val="false"/>
        <w:spacing w:lineRule="auto" w:line="276" w:before="120" w:after="120"/>
        <w:ind w:left="709" w:hanging="0"/>
        <w:jc w:val="both"/>
        <w:rPr>
          <w:rFonts w:ascii="Times New Roman" w:hAnsi="Times New Roman" w:cs="Times New Roman"/>
        </w:rPr>
      </w:pPr>
      <w:r>
        <w:rPr>
          <w:rFonts w:cs="Times New Roman" w:ascii="Times New Roman" w:hAnsi="Times New Roman"/>
        </w:rPr>
        <w:t xml:space="preserve">12.1.2 Multa, prevista no art. 156, II da Lei nº 14.133, de 2021, será calculada no percentual de __% (___ por cento) </w:t>
      </w:r>
      <w:r>
        <w:rPr>
          <w:rFonts w:cs="Times New Roman" w:ascii="Times New Roman" w:hAnsi="Times New Roman"/>
          <w:b/>
        </w:rPr>
        <w:t>sobre o valor do serviço em mora</w:t>
      </w:r>
      <w:r>
        <w:rPr>
          <w:rFonts w:cs="Times New Roman" w:ascii="Times New Roman" w:hAnsi="Times New Roman"/>
        </w:rPr>
        <w:t>, incidente a partir do 31º (trigésimo primeiro) dia, nas hipóteses de atraso por período superior ao previsto no item acima, limitado em até 60 (sessenta) dias;</w:t>
      </w:r>
    </w:p>
    <w:p>
      <w:pPr>
        <w:pStyle w:val="Normal"/>
        <w:widowControl w:val="false"/>
        <w:spacing w:lineRule="auto" w:line="276" w:before="120" w:after="120"/>
        <w:ind w:left="709" w:hanging="0"/>
        <w:jc w:val="both"/>
        <w:rPr>
          <w:rFonts w:ascii="Times New Roman" w:hAnsi="Times New Roman" w:cs="Times New Roman"/>
        </w:rPr>
      </w:pPr>
      <w:r>
        <w:rPr>
          <w:rFonts w:cs="Times New Roman" w:ascii="Times New Roman" w:hAnsi="Times New Roman"/>
        </w:rPr>
        <w:t>12.1.3 As multas acima não impedem que a Administração Pública Federal rescinda unilateralmente o contrato e aplique as outras sanções previstas neste Edital.</w:t>
      </w:r>
    </w:p>
    <w:p>
      <w:pPr>
        <w:pStyle w:val="Normal"/>
        <w:widowControl w:val="false"/>
        <w:spacing w:lineRule="auto" w:line="276" w:before="120" w:after="120"/>
        <w:ind w:left="1134" w:hanging="0"/>
        <w:jc w:val="both"/>
        <w:rPr>
          <w:rFonts w:ascii="Times New Roman" w:hAnsi="Times New Roman" w:cs="Times New Roman"/>
        </w:rPr>
      </w:pPr>
      <w:r>
        <w:rPr>
          <w:rFonts w:cs="Times New Roman" w:ascii="Times New Roman" w:hAnsi="Times New Roman"/>
        </w:rPr>
      </w:r>
    </w:p>
    <w:p>
      <w:pPr>
        <w:pStyle w:val="Normal"/>
        <w:widowControl w:val="false"/>
        <w:spacing w:lineRule="auto" w:line="276" w:before="120" w:after="120"/>
        <w:ind w:left="1134" w:hanging="0"/>
        <w:jc w:val="both"/>
        <w:rPr>
          <w:rFonts w:ascii="Times New Roman" w:hAnsi="Times New Roman" w:cs="Times New Roman"/>
          <w:i/>
          <w:i/>
        </w:rPr>
      </w:pPr>
      <w:r>
        <w:rPr>
          <w:rFonts w:cs="Times New Roman" w:ascii="Times New Roman" w:hAnsi="Times New Roman"/>
          <w:i/>
          <w:highlight w:val="yellow"/>
        </w:rPr>
        <w:t>Nota Explicativa: Por disposição legal, as multas em seu conjunto, não podem ser inferiores a 0,5% (meio por cento) nem ultrapassar 30% (trinta por cento) do valor do contrato</w:t>
      </w:r>
      <w:r>
        <w:rPr>
          <w:rFonts w:cs="Times New Roman" w:ascii="Times New Roman" w:hAnsi="Times New Roman"/>
          <w:i/>
        </w:rPr>
        <w:t>.</w:t>
      </w:r>
    </w:p>
    <w:p>
      <w:pPr>
        <w:pStyle w:val="Normal"/>
        <w:widowControl w:val="false"/>
        <w:spacing w:lineRule="auto" w:line="276" w:before="120" w:after="120"/>
        <w:ind w:left="1134" w:hanging="0"/>
        <w:jc w:val="both"/>
        <w:rPr>
          <w:rFonts w:ascii="Times New Roman" w:hAnsi="Times New Roman" w:cs="Times New Roman"/>
        </w:rPr>
      </w:pPr>
      <w:r>
        <w:rPr>
          <w:rFonts w:cs="Times New Roman" w:ascii="Times New Roman" w:hAnsi="Times New Roman"/>
        </w:rPr>
      </w:r>
    </w:p>
    <w:p>
      <w:pPr>
        <w:pStyle w:val="ListParagraph"/>
        <w:widowControl w:val="false"/>
        <w:numPr>
          <w:ilvl w:val="1"/>
          <w:numId w:val="7"/>
        </w:numPr>
        <w:spacing w:lineRule="auto" w:line="276" w:before="120" w:after="120"/>
        <w:ind w:left="0" w:hanging="0"/>
        <w:contextualSpacing/>
        <w:jc w:val="both"/>
        <w:rPr>
          <w:rFonts w:ascii="Times New Roman" w:hAnsi="Times New Roman" w:cs="Times New Roman"/>
        </w:rPr>
      </w:pPr>
      <w:r>
        <w:rPr>
          <w:rFonts w:cs="Times New Roman" w:ascii="Times New Roman" w:hAnsi="Times New Roman"/>
        </w:rPr>
        <w:t>O descumprimento das obrigações contratuais, inclusive sua inexecução, total ou parcial, e/ou das condições previstas neste Edital sujeitará o CREDENCIADO, na forma do disposto no art. 156, da Lei nº 14.133, de 2021, às seguintes penalidades:</w:t>
      </w:r>
    </w:p>
    <w:p>
      <w:pPr>
        <w:pStyle w:val="Normal"/>
        <w:widowControl w:val="false"/>
        <w:spacing w:lineRule="auto" w:line="276" w:before="120" w:after="120"/>
        <w:ind w:left="709" w:hanging="0"/>
        <w:jc w:val="both"/>
        <w:rPr>
          <w:rFonts w:ascii="Times New Roman" w:hAnsi="Times New Roman" w:cs="Times New Roman"/>
        </w:rPr>
      </w:pPr>
      <w:r>
        <w:rPr>
          <w:rFonts w:cs="Times New Roman" w:ascii="Times New Roman" w:hAnsi="Times New Roman"/>
        </w:rPr>
        <w:t xml:space="preserve">12.3.1.  Advertência; </w:t>
      </w:r>
    </w:p>
    <w:p>
      <w:pPr>
        <w:pStyle w:val="Normal"/>
        <w:widowControl w:val="false"/>
        <w:spacing w:lineRule="auto" w:line="276" w:before="120" w:after="120"/>
        <w:ind w:left="709" w:hanging="0"/>
        <w:jc w:val="both"/>
        <w:rPr>
          <w:rFonts w:ascii="Times New Roman" w:hAnsi="Times New Roman" w:cs="Times New Roman"/>
        </w:rPr>
      </w:pPr>
      <w:r>
        <w:rPr>
          <w:rFonts w:cs="Times New Roman" w:ascii="Times New Roman" w:hAnsi="Times New Roman"/>
        </w:rPr>
        <w:t xml:space="preserve">12.3.2. Multa, </w:t>
      </w:r>
      <w:r>
        <w:rPr>
          <w:rFonts w:cs="Times New Roman" w:ascii="Times New Roman" w:hAnsi="Times New Roman"/>
          <w:color w:val="000000"/>
        </w:rPr>
        <w:t>que não poderá ser inferior a 0,5% (cinco décimos por cento) nem superior a 30% (trinta por cento) do valor do contrato</w:t>
      </w:r>
      <w:r>
        <w:rPr>
          <w:rFonts w:cs="Times New Roman" w:ascii="Times New Roman" w:hAnsi="Times New Roman"/>
        </w:rPr>
        <w:t xml:space="preserve">; </w:t>
      </w:r>
    </w:p>
    <w:p>
      <w:pPr>
        <w:pStyle w:val="Normal"/>
        <w:widowControl w:val="false"/>
        <w:spacing w:lineRule="auto" w:line="276" w:before="120" w:after="120"/>
        <w:ind w:left="709" w:hanging="0"/>
        <w:jc w:val="both"/>
        <w:rPr>
          <w:rFonts w:ascii="Times New Roman" w:hAnsi="Times New Roman" w:cs="Times New Roman"/>
        </w:rPr>
      </w:pPr>
      <w:r>
        <w:rPr>
          <w:rFonts w:cs="Times New Roman" w:ascii="Times New Roman" w:hAnsi="Times New Roman"/>
        </w:rPr>
        <w:t>12.3.3. Impedimento de licitar e contratar no âmbito da Administração Pública Federal direta e indireta, pelo prazo mínimo de 3 (três) anos e máximo de 6 (seis) anos; e,</w:t>
      </w:r>
    </w:p>
    <w:p>
      <w:pPr>
        <w:pStyle w:val="Normal"/>
        <w:widowControl w:val="false"/>
        <w:spacing w:lineRule="auto" w:line="276" w:before="120" w:after="120"/>
        <w:ind w:left="709" w:hanging="0"/>
        <w:jc w:val="both"/>
        <w:rPr>
          <w:rFonts w:ascii="Times New Roman" w:hAnsi="Times New Roman" w:cs="Times New Roman"/>
        </w:rPr>
      </w:pPr>
      <w:r>
        <w:rPr>
          <w:rFonts w:cs="Times New Roman" w:ascii="Times New Roman" w:hAnsi="Times New Roman"/>
        </w:rPr>
        <w:t>12.3.4. Declaração de inidoneidade para licitar ou contratar com a Administração Pública direta ou indireta de todos os entes federados, pelo prazo mínimo de 3 (três) anos e máximo de 6 (seis) anos.</w:t>
      </w:r>
    </w:p>
    <w:p>
      <w:pPr>
        <w:pStyle w:val="ListParagraph"/>
        <w:widowControl w:val="false"/>
        <w:numPr>
          <w:ilvl w:val="1"/>
          <w:numId w:val="7"/>
        </w:numPr>
        <w:spacing w:lineRule="auto" w:line="276" w:before="120" w:after="120"/>
        <w:ind w:left="0" w:hanging="0"/>
        <w:contextualSpacing/>
        <w:jc w:val="both"/>
        <w:rPr>
          <w:rFonts w:ascii="Times New Roman" w:hAnsi="Times New Roman" w:cs="Times New Roman"/>
        </w:rPr>
      </w:pPr>
      <w:r>
        <w:rPr>
          <w:rFonts w:cs="Times New Roman" w:ascii="Times New Roman" w:hAnsi="Times New Roman"/>
        </w:rPr>
        <w:t>As sanções de impedimento de licitar e contratar e de declaração de inidoneidade para licitar ou contratar com a Administração Pública poderão também ser aplicadas às empresas ou aos profissionais que, em razão dos contratos regidos por esta Lei</w:t>
      </w:r>
      <w:r>
        <w:rPr>
          <w:rFonts w:cs="Times New Roman" w:ascii="Times New Roman" w:hAnsi="Times New Roman"/>
          <w:sz w:val="24"/>
          <w:szCs w:val="24"/>
        </w:rPr>
        <w:t>:</w:t>
      </w:r>
    </w:p>
    <w:p>
      <w:pPr>
        <w:pStyle w:val="Normal"/>
        <w:widowControl w:val="false"/>
        <w:spacing w:lineRule="auto" w:line="276" w:before="120" w:after="120"/>
        <w:jc w:val="both"/>
        <w:rPr>
          <w:rFonts w:ascii="Times New Roman" w:hAnsi="Times New Roman" w:cs="Times New Roman"/>
        </w:rPr>
      </w:pPr>
      <w:r>
        <w:rPr>
          <w:rFonts w:cs="Times New Roman" w:ascii="Times New Roman" w:hAnsi="Times New Roman"/>
        </w:rPr>
        <w:t>12.3.1. Tenham sofrido condenação definitiva por praticarem, por meios dolosos, fraude fiscal no recolhimento de quaisquer tributos;</w:t>
      </w:r>
    </w:p>
    <w:p>
      <w:pPr>
        <w:pStyle w:val="Normal"/>
        <w:widowControl w:val="false"/>
        <w:spacing w:lineRule="auto" w:line="276" w:before="120" w:after="120"/>
        <w:jc w:val="both"/>
        <w:rPr>
          <w:rFonts w:ascii="Times New Roman" w:hAnsi="Times New Roman" w:cs="Times New Roman"/>
        </w:rPr>
      </w:pPr>
      <w:r>
        <w:rPr>
          <w:rFonts w:cs="Times New Roman" w:ascii="Times New Roman" w:hAnsi="Times New Roman"/>
        </w:rPr>
        <w:t>12.3.2. Tenham praticado atos ilícitos visando a frustrar os objetivos do credenciamento;</w:t>
      </w:r>
    </w:p>
    <w:p>
      <w:pPr>
        <w:pStyle w:val="Normal"/>
        <w:widowControl w:val="false"/>
        <w:spacing w:lineRule="auto" w:line="276" w:before="120" w:after="120"/>
        <w:jc w:val="both"/>
        <w:rPr>
          <w:rFonts w:ascii="Times New Roman" w:hAnsi="Times New Roman" w:cs="Times New Roman"/>
        </w:rPr>
      </w:pPr>
      <w:r>
        <w:rPr>
          <w:rFonts w:cs="Times New Roman" w:ascii="Times New Roman" w:hAnsi="Times New Roman"/>
        </w:rPr>
        <w:t>12.3.3. Demonstrem não possuir idoneidade para contratar com a Administração em virtude de atos ilícitos praticados.</w:t>
      </w:r>
    </w:p>
    <w:p>
      <w:pPr>
        <w:pStyle w:val="ListParagraph"/>
        <w:widowControl w:val="false"/>
        <w:numPr>
          <w:ilvl w:val="1"/>
          <w:numId w:val="7"/>
        </w:numPr>
        <w:spacing w:lineRule="auto" w:line="276" w:before="120" w:after="120"/>
        <w:ind w:left="0" w:hanging="0"/>
        <w:contextualSpacing/>
        <w:jc w:val="both"/>
        <w:rPr>
          <w:rFonts w:ascii="Times New Roman" w:hAnsi="Times New Roman" w:cs="Times New Roman"/>
        </w:rPr>
      </w:pPr>
      <w:r>
        <w:rPr>
          <w:rFonts w:cs="Times New Roman" w:ascii="Times New Roman" w:hAnsi="Times New Roman"/>
        </w:rPr>
        <w:t>As penalidades serão aplicadas após regular processo administrativo, em que seja assegurado ao licitante o contraditório e a ampla defesa, com os meios e recursos que lhes são inerentes.</w:t>
      </w:r>
    </w:p>
    <w:p>
      <w:pPr>
        <w:pStyle w:val="ListParagraph"/>
        <w:widowControl w:val="false"/>
        <w:numPr>
          <w:ilvl w:val="1"/>
          <w:numId w:val="7"/>
        </w:numPr>
        <w:spacing w:lineRule="auto" w:line="276" w:before="120" w:after="120"/>
        <w:ind w:left="0" w:hanging="0"/>
        <w:contextualSpacing/>
        <w:jc w:val="both"/>
        <w:rPr>
          <w:rFonts w:ascii="Times New Roman" w:hAnsi="Times New Roman" w:cs="Times New Roman"/>
        </w:rPr>
      </w:pPr>
      <w:r>
        <w:rPr>
          <w:rFonts w:cs="Times New Roman" w:ascii="Times New Roman" w:hAnsi="Times New Roman"/>
        </w:rPr>
        <w:t>A multa será descontada da garantia do contrato e de pagamentos eventualmente devidos pela Administração Pública Federal ou cobrada judicialmente.</w:t>
      </w:r>
    </w:p>
    <w:p>
      <w:pPr>
        <w:pStyle w:val="ListParagraph"/>
        <w:widowControl w:val="false"/>
        <w:numPr>
          <w:ilvl w:val="1"/>
          <w:numId w:val="7"/>
        </w:numPr>
        <w:spacing w:lineRule="auto" w:line="276" w:before="120" w:after="120"/>
        <w:ind w:left="0" w:hanging="0"/>
        <w:contextualSpacing/>
        <w:jc w:val="both"/>
        <w:rPr>
          <w:rFonts w:ascii="Times New Roman" w:hAnsi="Times New Roman" w:cs="Times New Roman"/>
          <w:sz w:val="24"/>
          <w:szCs w:val="24"/>
        </w:rPr>
      </w:pPr>
      <w:r>
        <w:rPr>
          <w:rFonts w:cs="Times New Roman" w:ascii="Times New Roman" w:hAnsi="Times New Roman"/>
        </w:rPr>
        <w:t>As sanções previstas nos subitens 12.3.1, 12.3.3 e 12.3.4 poderão ser aplicadas juntamente com a do subitem 12.3.2, facultada a defesa prévia do interessado, no respectivo processo, no prazo legal.</w:t>
      </w:r>
    </w:p>
    <w:p>
      <w:pPr>
        <w:pStyle w:val="ListParagraph"/>
        <w:widowControl w:val="false"/>
        <w:numPr>
          <w:ilvl w:val="1"/>
          <w:numId w:val="7"/>
        </w:numPr>
        <w:spacing w:lineRule="auto" w:line="276" w:before="120" w:after="120"/>
        <w:ind w:left="0" w:hanging="0"/>
        <w:contextualSpacing/>
        <w:jc w:val="both"/>
        <w:rPr>
          <w:rFonts w:ascii="Times New Roman" w:hAnsi="Times New Roman" w:cs="Times New Roman"/>
          <w:sz w:val="24"/>
          <w:szCs w:val="24"/>
        </w:rPr>
      </w:pPr>
      <w:r>
        <w:rPr>
          <w:rFonts w:cs="Times New Roman" w:ascii="Times New Roman" w:hAnsi="Times New Roman"/>
        </w:rPr>
        <w:t>A sanção de declaração de inidoneidade para licitar ou contratar com a Administração Pública é de competência do Ministro de Estado da Defesa, precedida de análise jurídica e facultada a defesa do interessado no respectivo processo, no prazo legal.</w:t>
      </w:r>
    </w:p>
    <w:p>
      <w:pPr>
        <w:pStyle w:val="ListParagraph"/>
        <w:widowControl w:val="false"/>
        <w:numPr>
          <w:ilvl w:val="1"/>
          <w:numId w:val="7"/>
        </w:numPr>
        <w:spacing w:lineRule="auto" w:line="276" w:before="120" w:after="120"/>
        <w:ind w:left="0" w:hanging="0"/>
        <w:contextualSpacing/>
        <w:jc w:val="both"/>
        <w:rPr>
          <w:rFonts w:ascii="Times New Roman" w:hAnsi="Times New Roman" w:cs="Times New Roman"/>
          <w:sz w:val="24"/>
          <w:szCs w:val="24"/>
        </w:rPr>
      </w:pPr>
      <w:r>
        <w:rPr>
          <w:rFonts w:cs="Times New Roman" w:ascii="Times New Roman" w:hAnsi="Times New Roman"/>
        </w:rPr>
        <w:t xml:space="preserve">As demais sanções são de competência exclusiva do </w:t>
      </w:r>
      <w:r>
        <w:rPr>
          <w:rFonts w:cs="Times New Roman" w:ascii="Times New Roman" w:hAnsi="Times New Roman"/>
          <w:highlight w:val="lightGray"/>
        </w:rPr>
        <w:t>[indicar a autoridade superior do órgão]</w:t>
      </w:r>
      <w:r>
        <w:rPr>
          <w:rFonts w:cs="Times New Roman" w:ascii="Times New Roman" w:hAnsi="Times New Roman"/>
        </w:rPr>
        <w:t>.</w:t>
      </w:r>
    </w:p>
    <w:p>
      <w:pPr>
        <w:pStyle w:val="Normal"/>
        <w:widowControl w:val="false"/>
        <w:numPr>
          <w:ilvl w:val="0"/>
          <w:numId w:val="8"/>
        </w:numPr>
        <w:spacing w:lineRule="auto" w:line="276" w:before="120" w:after="120"/>
        <w:ind w:left="0" w:hanging="0"/>
        <w:jc w:val="both"/>
        <w:rPr>
          <w:rFonts w:ascii="Times New Roman" w:hAnsi="Times New Roman" w:cs="Times New Roman"/>
          <w:b/>
          <w:b/>
          <w:u w:val="single"/>
        </w:rPr>
      </w:pPr>
      <w:r>
        <w:rPr>
          <w:rFonts w:cs="Times New Roman" w:ascii="Times New Roman" w:hAnsi="Times New Roman"/>
          <w:b/>
          <w:u w:val="single"/>
        </w:rPr>
        <w:t>DA RESCISÃO.</w:t>
      </w:r>
    </w:p>
    <w:p>
      <w:pPr>
        <w:pStyle w:val="Normal"/>
        <w:widowControl w:val="false"/>
        <w:numPr>
          <w:ilvl w:val="1"/>
          <w:numId w:val="8"/>
        </w:numPr>
        <w:spacing w:lineRule="auto" w:line="276" w:before="120" w:after="120"/>
        <w:ind w:left="0" w:hanging="0"/>
        <w:jc w:val="both"/>
        <w:rPr>
          <w:rFonts w:ascii="Times New Roman" w:hAnsi="Times New Roman" w:cs="Times New Roman"/>
        </w:rPr>
      </w:pPr>
      <w:r>
        <w:rPr>
          <w:rFonts w:cs="Times New Roman" w:ascii="Times New Roman" w:hAnsi="Times New Roman"/>
        </w:rPr>
        <w:t>Os contratos poderão ser rescindidos nos casos de inexecução total ou parcial, na incidência dos motivos citados no art. 155 da Lei nº 14.133, de 2021, conforme abaixo descrito:</w:t>
      </w:r>
    </w:p>
    <w:p>
      <w:pPr>
        <w:pStyle w:val="Normal"/>
        <w:widowControl w:val="false"/>
        <w:numPr>
          <w:ilvl w:val="2"/>
          <w:numId w:val="8"/>
        </w:numPr>
        <w:spacing w:lineRule="auto" w:line="276" w:before="120" w:after="120"/>
        <w:ind w:left="680" w:hanging="0"/>
        <w:jc w:val="both"/>
        <w:rPr>
          <w:rFonts w:ascii="Times New Roman" w:hAnsi="Times New Roman" w:cs="Times New Roman"/>
        </w:rPr>
      </w:pPr>
      <w:r>
        <w:rPr>
          <w:rFonts w:cs="Times New Roman" w:ascii="Times New Roman" w:hAnsi="Times New Roman"/>
        </w:rPr>
        <w:t>Determinado por ato unilateral e motivado da Administração Pública Federal, nos seguintes casos:</w:t>
      </w:r>
    </w:p>
    <w:p>
      <w:pPr>
        <w:pStyle w:val="Normal"/>
        <w:widowControl w:val="false"/>
        <w:numPr>
          <w:ilvl w:val="3"/>
          <w:numId w:val="8"/>
        </w:numPr>
        <w:spacing w:lineRule="auto" w:line="276" w:before="120" w:after="120"/>
        <w:ind w:left="1418" w:hanging="0"/>
        <w:jc w:val="both"/>
        <w:rPr>
          <w:rFonts w:ascii="Times New Roman" w:hAnsi="Times New Roman" w:cs="Times New Roman"/>
        </w:rPr>
      </w:pPr>
      <w:r>
        <w:rPr>
          <w:rFonts w:cs="Times New Roman" w:ascii="Times New Roman" w:hAnsi="Times New Roman"/>
          <w:color w:val="000000"/>
        </w:rPr>
        <w:t xml:space="preserve"> </w:t>
      </w:r>
      <w:r>
        <w:rPr>
          <w:rFonts w:cs="Times New Roman" w:ascii="Times New Roman" w:hAnsi="Times New Roman"/>
          <w:color w:val="000000"/>
        </w:rPr>
        <w:t>não cumprimento ou cumprimento irregular de normas editalícias ou de cláusulas contratuais, de especificações, de projetos ou de prazos</w:t>
      </w:r>
      <w:r>
        <w:rPr>
          <w:rFonts w:cs="Times New Roman" w:ascii="Times New Roman" w:hAnsi="Times New Roman"/>
        </w:rPr>
        <w:t>;</w:t>
      </w:r>
    </w:p>
    <w:p>
      <w:pPr>
        <w:pStyle w:val="Normal"/>
        <w:widowControl w:val="false"/>
        <w:numPr>
          <w:ilvl w:val="3"/>
          <w:numId w:val="8"/>
        </w:numPr>
        <w:spacing w:lineRule="auto" w:line="276" w:before="120" w:after="120"/>
        <w:ind w:left="1418" w:hanging="0"/>
        <w:jc w:val="both"/>
        <w:rPr>
          <w:rFonts w:ascii="Times New Roman" w:hAnsi="Times New Roman" w:cs="Times New Roman"/>
        </w:rPr>
      </w:pPr>
      <w:r>
        <w:rPr>
          <w:rFonts w:cs="Times New Roman" w:ascii="Times New Roman" w:hAnsi="Times New Roman"/>
          <w:color w:val="000000"/>
        </w:rPr>
        <w:t xml:space="preserve"> </w:t>
      </w:r>
      <w:r>
        <w:rPr>
          <w:rFonts w:cs="Times New Roman" w:ascii="Times New Roman" w:hAnsi="Times New Roman"/>
          <w:color w:val="000000"/>
        </w:rPr>
        <w:t>desatendimento das determinações regulares emitidas pela autoridade designada para acompanhar e fiscalizar sua execução ou por autoridade superior;</w:t>
      </w:r>
    </w:p>
    <w:p>
      <w:pPr>
        <w:pStyle w:val="Normal"/>
        <w:widowControl w:val="false"/>
        <w:numPr>
          <w:ilvl w:val="3"/>
          <w:numId w:val="8"/>
        </w:numPr>
        <w:spacing w:lineRule="auto" w:line="276" w:before="120" w:after="120"/>
        <w:ind w:left="1418" w:hanging="0"/>
        <w:jc w:val="both"/>
        <w:rPr>
          <w:rFonts w:ascii="Times New Roman" w:hAnsi="Times New Roman" w:cs="Times New Roman"/>
        </w:rPr>
      </w:pPr>
      <w:r>
        <w:rPr>
          <w:rFonts w:cs="Times New Roman" w:ascii="Times New Roman" w:hAnsi="Times New Roman"/>
        </w:rPr>
        <w:t xml:space="preserve"> </w:t>
      </w:r>
      <w:r>
        <w:rPr>
          <w:rFonts w:cs="Times New Roman" w:ascii="Times New Roman" w:hAnsi="Times New Roman"/>
        </w:rPr>
        <w:t>alteração social ou modificação da finalidade ou da estrutura da empresa que restrinja sua capacidade de concluir o contrato;</w:t>
      </w:r>
    </w:p>
    <w:p>
      <w:pPr>
        <w:pStyle w:val="Normal"/>
        <w:widowControl w:val="false"/>
        <w:numPr>
          <w:ilvl w:val="3"/>
          <w:numId w:val="8"/>
        </w:numPr>
        <w:spacing w:lineRule="auto" w:line="276" w:before="120" w:after="120"/>
        <w:ind w:left="1418" w:hanging="0"/>
        <w:jc w:val="both"/>
        <w:rPr>
          <w:rFonts w:ascii="Times New Roman" w:hAnsi="Times New Roman" w:cs="Times New Roman"/>
        </w:rPr>
      </w:pPr>
      <w:r>
        <w:rPr>
          <w:rFonts w:cs="Times New Roman" w:ascii="Times New Roman" w:hAnsi="Times New Roman"/>
        </w:rPr>
        <w:t xml:space="preserve"> </w:t>
      </w:r>
      <w:r>
        <w:rPr>
          <w:rFonts w:cs="Times New Roman" w:ascii="Times New Roman" w:hAnsi="Times New Roman"/>
        </w:rPr>
        <w:t>decretação de falência ou de insolvência civil, dissolução da sociedade ou falecimento do contratado;</w:t>
      </w:r>
    </w:p>
    <w:p>
      <w:pPr>
        <w:pStyle w:val="Normal"/>
        <w:widowControl w:val="false"/>
        <w:numPr>
          <w:ilvl w:val="3"/>
          <w:numId w:val="8"/>
        </w:numPr>
        <w:spacing w:lineRule="auto" w:line="276" w:before="120" w:after="120"/>
        <w:ind w:left="1418" w:hanging="0"/>
        <w:jc w:val="both"/>
        <w:rPr>
          <w:rFonts w:ascii="Times New Roman" w:hAnsi="Times New Roman" w:cs="Times New Roman"/>
        </w:rPr>
      </w:pPr>
      <w:r>
        <w:rPr>
          <w:rFonts w:cs="Times New Roman" w:ascii="Times New Roman" w:hAnsi="Times New Roman"/>
        </w:rPr>
        <w:t xml:space="preserve"> </w:t>
      </w:r>
      <w:r>
        <w:rPr>
          <w:rFonts w:cs="Times New Roman" w:ascii="Times New Roman" w:hAnsi="Times New Roman"/>
        </w:rPr>
        <w:t>caso fortuito ou força maior, regularmente comprovados, impeditivos da execução do contrato;</w:t>
      </w:r>
    </w:p>
    <w:p>
      <w:pPr>
        <w:pStyle w:val="Normal"/>
        <w:widowControl w:val="false"/>
        <w:numPr>
          <w:ilvl w:val="3"/>
          <w:numId w:val="8"/>
        </w:numPr>
        <w:spacing w:lineRule="auto" w:line="276" w:before="120" w:after="120"/>
        <w:ind w:left="1418" w:hanging="0"/>
        <w:jc w:val="both"/>
        <w:rPr>
          <w:rFonts w:ascii="Times New Roman" w:hAnsi="Times New Roman" w:cs="Times New Roman"/>
        </w:rPr>
      </w:pPr>
      <w:r>
        <w:rPr>
          <w:rFonts w:cs="Times New Roman" w:ascii="Times New Roman" w:hAnsi="Times New Roman"/>
        </w:rPr>
        <w:t xml:space="preserve"> </w:t>
      </w:r>
      <w:r>
        <w:rPr>
          <w:rFonts w:cs="Times New Roman" w:ascii="Times New Roman" w:hAnsi="Times New Roman"/>
        </w:rPr>
        <w:t>razões de interesse público, justificadas pela autoridade máxima do órgão ou da entidade contratante;</w:t>
      </w:r>
    </w:p>
    <w:p>
      <w:pPr>
        <w:pStyle w:val="Normal"/>
        <w:widowControl w:val="false"/>
        <w:numPr>
          <w:ilvl w:val="3"/>
          <w:numId w:val="8"/>
        </w:numPr>
        <w:spacing w:lineRule="auto" w:line="276" w:before="120" w:after="120"/>
        <w:ind w:left="1418" w:hanging="0"/>
        <w:jc w:val="both"/>
        <w:rPr>
          <w:rFonts w:ascii="Times New Roman" w:hAnsi="Times New Roman" w:cs="Times New Roman"/>
        </w:rPr>
      </w:pPr>
      <w:r>
        <w:rPr>
          <w:rFonts w:cs="Times New Roman" w:ascii="Times New Roman" w:hAnsi="Times New Roman"/>
        </w:rPr>
        <w:t xml:space="preserve"> </w:t>
      </w:r>
      <w:r>
        <w:rPr>
          <w:rFonts w:cs="Times New Roman" w:ascii="Times New Roman" w:hAnsi="Times New Roman"/>
        </w:rPr>
        <w:t>não cumprimento das obrigações relativas à reserva de cargos prevista em lei, bem como em outras normas específicas, para pessoa com deficiência, para reabilitado da Previdência Social ou para aprendiz;</w:t>
      </w:r>
      <w:bookmarkStart w:id="5" w:name="_Hlk159224020"/>
      <w:bookmarkEnd w:id="5"/>
    </w:p>
    <w:p>
      <w:pPr>
        <w:pStyle w:val="Normal"/>
        <w:widowControl w:val="false"/>
        <w:numPr>
          <w:ilvl w:val="2"/>
          <w:numId w:val="8"/>
        </w:numPr>
        <w:spacing w:lineRule="auto" w:line="276" w:before="120" w:after="120"/>
        <w:ind w:left="680" w:hanging="0"/>
        <w:jc w:val="both"/>
        <w:rPr>
          <w:rFonts w:ascii="Times New Roman" w:hAnsi="Times New Roman" w:cs="Times New Roman"/>
        </w:rPr>
      </w:pPr>
      <w:r>
        <w:rPr>
          <w:rFonts w:cs="Times New Roman" w:ascii="Times New Roman" w:hAnsi="Times New Roman"/>
        </w:rPr>
        <w:t>Por acordo entre as partes, reduzida a termo no procedimento de credenciamento, desde que haja conveniência para a Administração Pública Federal e não prejudique a saúde dos beneficiários do FuSEx/SAMMED/PASS, com antecedência mínima de 30 (trinta) dias;</w:t>
      </w:r>
    </w:p>
    <w:p>
      <w:pPr>
        <w:pStyle w:val="Normal"/>
        <w:widowControl w:val="false"/>
        <w:numPr>
          <w:ilvl w:val="3"/>
          <w:numId w:val="8"/>
        </w:numPr>
        <w:spacing w:lineRule="auto" w:line="276" w:before="120" w:after="120"/>
        <w:ind w:left="1418" w:hanging="0"/>
        <w:jc w:val="both"/>
        <w:rPr>
          <w:rFonts w:ascii="Times New Roman" w:hAnsi="Times New Roman" w:cs="Times New Roman"/>
        </w:rPr>
      </w:pPr>
      <w:r>
        <w:rPr>
          <w:rFonts w:cs="Times New Roman" w:ascii="Times New Roman" w:hAnsi="Times New Roman"/>
        </w:rPr>
        <w:t>Estando em processo de apuração de irregularidades na prestação de seus serviços, o CREDENCIADO não poderá solicitar a rescisão, enquanto não concluído o processo de apuração.</w:t>
      </w:r>
    </w:p>
    <w:p>
      <w:pPr>
        <w:pStyle w:val="Normal"/>
        <w:widowControl w:val="false"/>
        <w:numPr>
          <w:ilvl w:val="2"/>
          <w:numId w:val="8"/>
        </w:numPr>
        <w:spacing w:lineRule="auto" w:line="276" w:before="120" w:after="120"/>
        <w:ind w:left="680" w:hanging="0"/>
        <w:jc w:val="both"/>
        <w:rPr>
          <w:rFonts w:ascii="Times New Roman" w:hAnsi="Times New Roman" w:cs="Times New Roman"/>
        </w:rPr>
      </w:pPr>
      <w:r>
        <w:rPr>
          <w:rFonts w:cs="Times New Roman" w:ascii="Times New Roman" w:hAnsi="Times New Roman"/>
        </w:rPr>
        <w:t>Por rescisão judicial, promovida por parte do CREDENCIADO, se a Administração Pública Federal incidir em quaisquer das seguintes hipóteses:</w:t>
      </w:r>
    </w:p>
    <w:p>
      <w:pPr>
        <w:pStyle w:val="Normal"/>
        <w:widowControl w:val="false"/>
        <w:numPr>
          <w:ilvl w:val="3"/>
          <w:numId w:val="8"/>
        </w:numPr>
        <w:spacing w:lineRule="auto" w:line="276" w:before="120" w:after="120"/>
        <w:ind w:left="1418" w:hanging="0"/>
        <w:jc w:val="both"/>
        <w:rPr>
          <w:rFonts w:ascii="Times New Roman" w:hAnsi="Times New Roman" w:cs="Times New Roman"/>
        </w:rPr>
      </w:pPr>
      <w:r>
        <w:rPr>
          <w:rFonts w:cs="Times New Roman" w:ascii="Times New Roman" w:hAnsi="Times New Roman"/>
        </w:rPr>
        <w:t xml:space="preserve"> </w:t>
      </w:r>
      <w:r>
        <w:rPr>
          <w:rFonts w:cs="Times New Roman" w:ascii="Times New Roman" w:hAnsi="Times New Roman"/>
        </w:rPr>
        <w:t>Supressão, por parte da Administração, de obras, serviços ou compras que acarrete modificação do valor inicial do contrato além do limite permitido no art. 125 da Lei nº 14.133, de 2021;</w:t>
      </w:r>
    </w:p>
    <w:p>
      <w:pPr>
        <w:pStyle w:val="Normal"/>
        <w:widowControl w:val="false"/>
        <w:numPr>
          <w:ilvl w:val="3"/>
          <w:numId w:val="8"/>
        </w:numPr>
        <w:spacing w:lineRule="auto" w:line="276" w:before="120" w:after="120"/>
        <w:ind w:left="1418" w:hanging="0"/>
        <w:jc w:val="both"/>
        <w:rPr>
          <w:rFonts w:ascii="Times New Roman" w:hAnsi="Times New Roman" w:cs="Times New Roman"/>
        </w:rPr>
      </w:pPr>
      <w:r>
        <w:rPr>
          <w:rFonts w:cs="Times New Roman" w:ascii="Times New Roman" w:hAnsi="Times New Roman"/>
        </w:rPr>
        <w:t xml:space="preserve"> </w:t>
      </w:r>
      <w:r>
        <w:rPr>
          <w:rFonts w:cs="Times New Roman" w:ascii="Times New Roman" w:hAnsi="Times New Roman"/>
        </w:rPr>
        <w:t>suspensão de execução do contrato, por ordem escrita da Administração, por prazo superior a 3 (três) meses;</w:t>
      </w:r>
    </w:p>
    <w:p>
      <w:pPr>
        <w:pStyle w:val="Normal"/>
        <w:widowControl w:val="false"/>
        <w:numPr>
          <w:ilvl w:val="3"/>
          <w:numId w:val="8"/>
        </w:numPr>
        <w:spacing w:lineRule="auto" w:line="276" w:before="120" w:after="120"/>
        <w:ind w:left="1418" w:hanging="0"/>
        <w:jc w:val="both"/>
        <w:rPr>
          <w:rFonts w:ascii="Times New Roman" w:hAnsi="Times New Roman" w:cs="Times New Roman"/>
        </w:rPr>
      </w:pPr>
      <w:r>
        <w:rPr>
          <w:rFonts w:cs="Times New Roman" w:ascii="Times New Roman" w:hAnsi="Times New Roman"/>
        </w:rPr>
        <w:t xml:space="preserve"> </w:t>
      </w:r>
      <w:r>
        <w:rPr>
          <w:rFonts w:cs="Times New Roman" w:ascii="Times New Roman" w:hAnsi="Times New Roman"/>
        </w:rPr>
        <w:t>Repetidas suspensões que totalizem 90 (noventa) dias úteis, independentemente do pagamento obrigatório de indenização pelas sucessivas e contratualmente imprevistas desmobilizações e mobilizações e outras previstas;</w:t>
      </w:r>
    </w:p>
    <w:p>
      <w:pPr>
        <w:pStyle w:val="Normal"/>
        <w:widowControl w:val="false"/>
        <w:numPr>
          <w:ilvl w:val="3"/>
          <w:numId w:val="8"/>
        </w:numPr>
        <w:spacing w:lineRule="auto" w:line="276" w:before="120" w:after="120"/>
        <w:ind w:left="1418" w:hanging="0"/>
        <w:jc w:val="both"/>
        <w:rPr>
          <w:rFonts w:ascii="Times New Roman" w:hAnsi="Times New Roman" w:cs="Times New Roman"/>
        </w:rPr>
      </w:pPr>
      <w:r>
        <w:rPr>
          <w:rFonts w:cs="Times New Roman" w:ascii="Times New Roman" w:hAnsi="Times New Roman"/>
        </w:rPr>
        <w:t xml:space="preserve"> </w:t>
      </w:r>
      <w:r>
        <w:rPr>
          <w:rFonts w:cs="Times New Roman" w:ascii="Times New Roman" w:hAnsi="Times New Roman"/>
        </w:rPr>
        <w:t>atraso superior a 2 (dois) meses, contado da emissão da nota fiscal, dos pagamentos ou de parcelas de pagamentos devidos pela Administração por despesas de obras, serviços ou fornecimentos.</w:t>
      </w:r>
    </w:p>
    <w:p>
      <w:pPr>
        <w:pStyle w:val="Normal"/>
        <w:widowControl w:val="false"/>
        <w:numPr>
          <w:ilvl w:val="1"/>
          <w:numId w:val="8"/>
        </w:numPr>
        <w:spacing w:lineRule="auto" w:line="276" w:before="120" w:after="120"/>
        <w:ind w:left="0" w:hanging="0"/>
        <w:jc w:val="both"/>
        <w:rPr>
          <w:rFonts w:ascii="Times New Roman" w:hAnsi="Times New Roman" w:cs="Times New Roman"/>
        </w:rPr>
      </w:pPr>
      <w:r>
        <w:rPr>
          <w:rFonts w:cs="Times New Roman" w:ascii="Times New Roman" w:hAnsi="Times New Roman"/>
        </w:rPr>
        <w:t>A rescisão administrativa ou amigável deverá ser precedida de autorização escrita e fundamentada da autoridade competente, observado o devido processo legal.</w:t>
      </w:r>
    </w:p>
    <w:p>
      <w:pPr>
        <w:pStyle w:val="Normal"/>
        <w:widowControl w:val="false"/>
        <w:numPr>
          <w:ilvl w:val="1"/>
          <w:numId w:val="8"/>
        </w:numPr>
        <w:spacing w:lineRule="auto" w:line="276" w:before="120" w:after="120"/>
        <w:ind w:left="0" w:hanging="0"/>
        <w:jc w:val="both"/>
        <w:rPr>
          <w:rFonts w:ascii="Times New Roman" w:hAnsi="Times New Roman" w:cs="Times New Roman"/>
        </w:rPr>
      </w:pPr>
      <w:r>
        <w:rPr>
          <w:rFonts w:cs="Times New Roman" w:ascii="Times New Roman" w:hAnsi="Times New Roman"/>
        </w:rPr>
        <w:t xml:space="preserve">O </w:t>
      </w:r>
      <w:r>
        <w:rPr>
          <w:rFonts w:cs="Times New Roman" w:ascii="Times New Roman" w:hAnsi="Times New Roman"/>
          <w:highlight w:val="lightGray"/>
        </w:rPr>
        <w:t>Comando da 4ª Região Militar</w:t>
      </w:r>
      <w:r>
        <w:rPr>
          <w:rFonts w:cs="Times New Roman" w:ascii="Times New Roman" w:hAnsi="Times New Roman"/>
        </w:rPr>
        <w:t xml:space="preserve"> poderá, no curso de processo de apuração das hipóteses de rescisão administrativa, interromper temporariamente a execução dos serviços, observado o limite fixado no Subitem </w:t>
      </w:r>
      <w:r>
        <w:rPr>
          <w:rFonts w:cs="Times New Roman" w:ascii="Times New Roman" w:hAnsi="Times New Roman"/>
          <w:highlight w:val="lightGray"/>
        </w:rPr>
        <w:t>13.1.3.1</w:t>
      </w:r>
      <w:r>
        <w:rPr>
          <w:rFonts w:cs="Times New Roman" w:ascii="Times New Roman" w:hAnsi="Times New Roman"/>
        </w:rPr>
        <w:t>.</w:t>
      </w:r>
    </w:p>
    <w:p>
      <w:pPr>
        <w:pStyle w:val="Normal"/>
        <w:widowControl w:val="false"/>
        <w:numPr>
          <w:ilvl w:val="1"/>
          <w:numId w:val="8"/>
        </w:numPr>
        <w:spacing w:lineRule="auto" w:line="276" w:before="120" w:after="120"/>
        <w:ind w:left="0" w:hanging="0"/>
        <w:jc w:val="both"/>
        <w:rPr>
          <w:rFonts w:ascii="Times New Roman" w:hAnsi="Times New Roman" w:cs="Times New Roman"/>
        </w:rPr>
      </w:pPr>
      <w:r>
        <w:rPr>
          <w:rFonts w:cs="Times New Roman" w:ascii="Times New Roman" w:hAnsi="Times New Roman"/>
        </w:rPr>
        <w:t xml:space="preserve"> </w:t>
      </w:r>
      <w:r>
        <w:rPr>
          <w:rFonts w:cs="Times New Roman" w:ascii="Times New Roman" w:hAnsi="Times New Roman"/>
        </w:rPr>
        <w:t>Quando a rescisão ocorrer sem que haja culpa do CREDENCIADO, será este ressarcido dos prejuízos regularmente comprovados, tendo direito a:</w:t>
      </w:r>
    </w:p>
    <w:p>
      <w:pPr>
        <w:pStyle w:val="Normal"/>
        <w:widowControl w:val="false"/>
        <w:numPr>
          <w:ilvl w:val="2"/>
          <w:numId w:val="8"/>
        </w:numPr>
        <w:spacing w:lineRule="auto" w:line="276" w:before="120" w:after="120"/>
        <w:ind w:left="680" w:hanging="0"/>
        <w:jc w:val="both"/>
        <w:rPr>
          <w:rFonts w:ascii="Times New Roman" w:hAnsi="Times New Roman" w:cs="Times New Roman"/>
        </w:rPr>
      </w:pPr>
      <w:r>
        <w:rPr>
          <w:rFonts w:cs="Times New Roman" w:ascii="Times New Roman" w:hAnsi="Times New Roman"/>
        </w:rPr>
        <w:t>Devolução de garantia;</w:t>
      </w:r>
    </w:p>
    <w:p>
      <w:pPr>
        <w:pStyle w:val="Normal"/>
        <w:widowControl w:val="false"/>
        <w:numPr>
          <w:ilvl w:val="2"/>
          <w:numId w:val="8"/>
        </w:numPr>
        <w:spacing w:lineRule="auto" w:line="276" w:before="120" w:after="120"/>
        <w:ind w:left="680" w:hanging="0"/>
        <w:jc w:val="both"/>
        <w:rPr>
          <w:rFonts w:ascii="Times New Roman" w:hAnsi="Times New Roman" w:cs="Times New Roman"/>
        </w:rPr>
      </w:pPr>
      <w:r>
        <w:rPr>
          <w:rFonts w:cs="Times New Roman" w:ascii="Times New Roman" w:hAnsi="Times New Roman"/>
        </w:rPr>
        <w:t>Pagamentos devidos pela execução do contrato até a data da rescisão;</w:t>
      </w:r>
    </w:p>
    <w:p>
      <w:pPr>
        <w:pStyle w:val="Normal"/>
        <w:widowControl w:val="false"/>
        <w:numPr>
          <w:ilvl w:val="2"/>
          <w:numId w:val="8"/>
        </w:numPr>
        <w:spacing w:lineRule="auto" w:line="276" w:before="120" w:after="120"/>
        <w:ind w:left="680" w:hanging="0"/>
        <w:jc w:val="both"/>
        <w:rPr>
          <w:rFonts w:ascii="Times New Roman" w:hAnsi="Times New Roman" w:cs="Times New Roman"/>
        </w:rPr>
      </w:pPr>
      <w:r>
        <w:rPr>
          <w:rFonts w:cs="Times New Roman" w:ascii="Times New Roman" w:hAnsi="Times New Roman"/>
        </w:rPr>
        <w:t>Pagamento do custo da desmobilização.</w:t>
      </w:r>
    </w:p>
    <w:p>
      <w:pPr>
        <w:pStyle w:val="Normal"/>
        <w:widowControl w:val="false"/>
        <w:numPr>
          <w:ilvl w:val="1"/>
          <w:numId w:val="8"/>
        </w:numPr>
        <w:spacing w:lineRule="auto" w:line="276" w:before="120" w:after="120"/>
        <w:ind w:left="0" w:hanging="0"/>
        <w:jc w:val="both"/>
        <w:rPr>
          <w:rFonts w:ascii="Times New Roman" w:hAnsi="Times New Roman" w:cs="Times New Roman"/>
        </w:rPr>
      </w:pPr>
      <w:r>
        <w:rPr>
          <w:rFonts w:cs="Times New Roman" w:ascii="Times New Roman" w:hAnsi="Times New Roman"/>
        </w:rPr>
        <w:t>A rescisão unilateral, por ato da Administração Pública Federal, acarreta as seguintes consequências, sem prejuízo das sanções previstas neste Edital:</w:t>
      </w:r>
    </w:p>
    <w:p>
      <w:pPr>
        <w:pStyle w:val="Normal"/>
        <w:widowControl w:val="false"/>
        <w:numPr>
          <w:ilvl w:val="2"/>
          <w:numId w:val="8"/>
        </w:numPr>
        <w:spacing w:lineRule="auto" w:line="276" w:before="120" w:after="120"/>
        <w:ind w:left="680" w:hanging="0"/>
        <w:jc w:val="both"/>
        <w:rPr>
          <w:rFonts w:ascii="Times New Roman" w:hAnsi="Times New Roman" w:cs="Times New Roman"/>
        </w:rPr>
      </w:pPr>
      <w:r>
        <w:rPr>
          <w:rFonts w:cs="Times New Roman" w:ascii="Times New Roman" w:hAnsi="Times New Roman"/>
        </w:rPr>
        <w:t>Execução da garantia contratual, quando houver, para: a) ressarcimento da Administração Pública por prejuízos decorrentes da não execução; b) pagamento de multas devidas à Administração Pública.</w:t>
      </w:r>
    </w:p>
    <w:p>
      <w:pPr>
        <w:pStyle w:val="Normal"/>
        <w:widowControl w:val="false"/>
        <w:numPr>
          <w:ilvl w:val="2"/>
          <w:numId w:val="8"/>
        </w:numPr>
        <w:spacing w:lineRule="auto" w:line="276" w:before="120" w:after="120"/>
        <w:ind w:left="680" w:hanging="0"/>
        <w:jc w:val="both"/>
        <w:rPr>
          <w:rFonts w:ascii="Times New Roman" w:hAnsi="Times New Roman" w:cs="Times New Roman"/>
        </w:rPr>
      </w:pPr>
      <w:r>
        <w:rPr>
          <w:rFonts w:cs="Times New Roman" w:ascii="Times New Roman" w:hAnsi="Times New Roman"/>
        </w:rPr>
        <w:t>Retenção dos créditos decorrentes do contrato até o limite dos prejuízos causados à Administração Pública Federal e das multas aplicadas.</w:t>
      </w:r>
    </w:p>
    <w:p>
      <w:pPr>
        <w:pStyle w:val="Normal"/>
        <w:widowControl w:val="false"/>
        <w:numPr>
          <w:ilvl w:val="1"/>
          <w:numId w:val="8"/>
        </w:numPr>
        <w:spacing w:lineRule="auto" w:line="276" w:before="120" w:after="120"/>
        <w:ind w:left="0" w:hanging="0"/>
        <w:jc w:val="both"/>
        <w:rPr>
          <w:rFonts w:ascii="Times New Roman" w:hAnsi="Times New Roman" w:cs="Times New Roman"/>
        </w:rPr>
      </w:pPr>
      <w:r>
        <w:rPr>
          <w:rFonts w:cs="Times New Roman" w:ascii="Times New Roman" w:hAnsi="Times New Roman"/>
        </w:rPr>
        <w:t>É permitido à Administração Pública Federal, no caso de recuperação judicial ou extrajudicial do CREDENCIADO, manter o ajuste, podendo assumir o controle de determinadas atividades de serviços essenciais.</w:t>
      </w:r>
    </w:p>
    <w:p>
      <w:pPr>
        <w:pStyle w:val="Normal"/>
        <w:widowControl w:val="false"/>
        <w:numPr>
          <w:ilvl w:val="1"/>
          <w:numId w:val="8"/>
        </w:numPr>
        <w:spacing w:lineRule="auto" w:line="276" w:before="120" w:after="120"/>
        <w:ind w:left="0" w:hanging="0"/>
        <w:jc w:val="both"/>
        <w:rPr>
          <w:rFonts w:ascii="Times New Roman" w:hAnsi="Times New Roman" w:cs="Times New Roman"/>
        </w:rPr>
      </w:pPr>
      <w:r>
        <w:rPr>
          <w:rFonts w:cs="Times New Roman" w:ascii="Times New Roman" w:hAnsi="Times New Roman"/>
          <w:bCs/>
        </w:rPr>
        <w:t>Em caso de rescisão, os tratamentos em curso deverão ser concluídos por parte do CREDENCIADO, salvo nos casos de expressa manifestação técnica ou administrativa do CREDENCIANTE.</w:t>
      </w:r>
    </w:p>
    <w:p>
      <w:pPr>
        <w:pStyle w:val="Normal"/>
        <w:widowControl w:val="false"/>
        <w:numPr>
          <w:ilvl w:val="1"/>
          <w:numId w:val="8"/>
        </w:numPr>
        <w:spacing w:lineRule="auto" w:line="276" w:before="120" w:after="120"/>
        <w:ind w:left="0" w:hanging="0"/>
        <w:jc w:val="both"/>
        <w:rPr>
          <w:rFonts w:ascii="Times New Roman" w:hAnsi="Times New Roman" w:cs="Times New Roman"/>
        </w:rPr>
      </w:pPr>
      <w:r>
        <w:rPr>
          <w:rFonts w:cs="Times New Roman" w:ascii="Times New Roman" w:hAnsi="Times New Roman"/>
          <w:bCs/>
        </w:rPr>
        <w:t>A rescisão não eximirá o CREDENCIADO das garantias assumidas em relação aos serviços executados e de outras responsabilidades que legalmente lhe possam ser imputadas</w:t>
      </w:r>
      <w:r>
        <w:rPr>
          <w:rFonts w:cs="Times New Roman" w:ascii="Times New Roman" w:hAnsi="Times New Roman"/>
        </w:rPr>
        <w:t>.</w:t>
      </w:r>
    </w:p>
    <w:p>
      <w:pPr>
        <w:pStyle w:val="Normal"/>
        <w:widowControl w:val="false"/>
        <w:numPr>
          <w:ilvl w:val="1"/>
          <w:numId w:val="8"/>
        </w:numPr>
        <w:spacing w:lineRule="auto" w:line="276" w:before="120" w:after="120"/>
        <w:ind w:left="0" w:hanging="0"/>
        <w:jc w:val="both"/>
        <w:rPr>
          <w:rFonts w:ascii="Times New Roman" w:hAnsi="Times New Roman" w:cs="Times New Roman"/>
        </w:rPr>
      </w:pPr>
      <w:r>
        <w:rPr>
          <w:rFonts w:cs="Times New Roman" w:ascii="Times New Roman" w:hAnsi="Times New Roman"/>
          <w:bCs/>
        </w:rPr>
        <w:t>A rescisão poderá ainda ser realizada por ato unilateral do contratado, mediante descredenciamento por solicitação, ocasião em que gerará efeitos a partir de 30 (trinta) dias do protocolo do pedido</w:t>
      </w:r>
      <w:r>
        <w:rPr>
          <w:rFonts w:cs="Times New Roman" w:ascii="Times New Roman" w:hAnsi="Times New Roman"/>
        </w:rPr>
        <w:t>.</w:t>
      </w:r>
    </w:p>
    <w:p>
      <w:pPr>
        <w:pStyle w:val="Normal"/>
        <w:widowControl w:val="false"/>
        <w:numPr>
          <w:ilvl w:val="0"/>
          <w:numId w:val="8"/>
        </w:numPr>
        <w:spacing w:lineRule="auto" w:line="276" w:before="120" w:after="120"/>
        <w:ind w:left="0" w:hanging="0"/>
        <w:jc w:val="both"/>
        <w:rPr>
          <w:rFonts w:ascii="Times New Roman" w:hAnsi="Times New Roman" w:cs="Times New Roman"/>
          <w:b/>
          <w:b/>
          <w:u w:val="single"/>
        </w:rPr>
      </w:pPr>
      <w:r>
        <w:rPr>
          <w:rFonts w:cs="Times New Roman" w:ascii="Times New Roman" w:hAnsi="Times New Roman"/>
          <w:b/>
          <w:u w:val="single"/>
        </w:rPr>
        <w:t>DOS RECURSOS.</w:t>
      </w:r>
    </w:p>
    <w:p>
      <w:pPr>
        <w:pStyle w:val="Normal"/>
        <w:widowControl w:val="false"/>
        <w:numPr>
          <w:ilvl w:val="1"/>
          <w:numId w:val="8"/>
        </w:numPr>
        <w:spacing w:lineRule="auto" w:line="276" w:before="120" w:after="120"/>
        <w:ind w:left="0" w:hanging="0"/>
        <w:jc w:val="both"/>
        <w:rPr>
          <w:rFonts w:ascii="Times New Roman" w:hAnsi="Times New Roman" w:cs="Times New Roman"/>
        </w:rPr>
      </w:pPr>
      <w:r>
        <w:rPr>
          <w:rFonts w:cs="Times New Roman" w:ascii="Times New Roman" w:hAnsi="Times New Roman"/>
        </w:rPr>
        <w:t>Dos atos da Administração Pública Federal referentes ao indeferimento dos pedidos de credenciamento e demais procedimentos previstos neste Edital caberão recursos administrativos na forma e nos prazos previstos no art. 17 do Decreto nº 11.878, de 2024 e do art. 165 da Lei nº 14.133, de 2021.</w:t>
      </w:r>
    </w:p>
    <w:p>
      <w:pPr>
        <w:pStyle w:val="Normal"/>
        <w:widowControl w:val="false"/>
        <w:numPr>
          <w:ilvl w:val="2"/>
          <w:numId w:val="8"/>
        </w:numPr>
        <w:spacing w:lineRule="auto" w:line="276" w:before="120" w:after="120"/>
        <w:ind w:left="680" w:hanging="0"/>
        <w:jc w:val="both"/>
        <w:rPr>
          <w:rFonts w:ascii="Times New Roman" w:hAnsi="Times New Roman" w:cs="Times New Roman"/>
        </w:rPr>
      </w:pPr>
      <w:r>
        <w:rPr>
          <w:rFonts w:cs="Times New Roman" w:ascii="Times New Roman" w:hAnsi="Times New Roman"/>
        </w:rPr>
        <w:t>O recurso será formalizado em processo administrativo, observado o devido processo legal.</w:t>
      </w:r>
    </w:p>
    <w:p>
      <w:pPr>
        <w:pStyle w:val="Normal"/>
        <w:widowControl w:val="false"/>
        <w:numPr>
          <w:ilvl w:val="1"/>
          <w:numId w:val="8"/>
        </w:numPr>
        <w:spacing w:lineRule="auto" w:line="276" w:before="120" w:after="120"/>
        <w:ind w:left="0" w:hanging="0"/>
        <w:jc w:val="both"/>
        <w:rPr>
          <w:rFonts w:ascii="Times New Roman" w:hAnsi="Times New Roman" w:cs="Times New Roman"/>
        </w:rPr>
      </w:pPr>
      <w:r>
        <w:rPr>
          <w:rFonts w:cs="Times New Roman" w:ascii="Times New Roman" w:hAnsi="Times New Roman"/>
        </w:rPr>
        <w:t>Os recursos deverão ser via sistema do Compras.gov.br.</w:t>
      </w:r>
    </w:p>
    <w:p>
      <w:pPr>
        <w:pStyle w:val="Normal"/>
        <w:widowControl w:val="false"/>
        <w:numPr>
          <w:ilvl w:val="0"/>
          <w:numId w:val="8"/>
        </w:numPr>
        <w:spacing w:lineRule="auto" w:line="276" w:before="120" w:after="120"/>
        <w:ind w:left="0" w:hanging="0"/>
        <w:jc w:val="both"/>
        <w:rPr>
          <w:rFonts w:ascii="Times New Roman" w:hAnsi="Times New Roman" w:cs="Times New Roman"/>
          <w:b/>
          <w:b/>
          <w:u w:val="single"/>
        </w:rPr>
      </w:pPr>
      <w:r>
        <w:rPr>
          <w:rFonts w:cs="Times New Roman" w:ascii="Times New Roman" w:hAnsi="Times New Roman"/>
          <w:b/>
          <w:u w:val="single"/>
        </w:rPr>
        <w:t>DA IMPUGNAÇÃO DO EDITAL E PEDIDOS DE INFORMAÇÕES.</w:t>
      </w:r>
    </w:p>
    <w:p>
      <w:pPr>
        <w:pStyle w:val="Normal"/>
        <w:widowControl w:val="false"/>
        <w:numPr>
          <w:ilvl w:val="1"/>
          <w:numId w:val="8"/>
        </w:numPr>
        <w:spacing w:lineRule="auto" w:line="276" w:before="120" w:after="120"/>
        <w:ind w:left="0" w:hanging="0"/>
        <w:jc w:val="both"/>
        <w:rPr>
          <w:rFonts w:ascii="Times New Roman" w:hAnsi="Times New Roman" w:cs="Times New Roman"/>
          <w:color w:val="FF0000"/>
        </w:rPr>
      </w:pPr>
      <w:r>
        <w:rPr>
          <w:rFonts w:cs="Times New Roman" w:ascii="Times New Roman" w:hAnsi="Times New Roman"/>
          <w:color w:val="FF0000"/>
        </w:rPr>
        <w:t>Qualquer cidadão é parte legítima para impugnar o presente edital, após sua publicação no Portal Nacional de Contratações Públicas - PNCP.</w:t>
      </w:r>
    </w:p>
    <w:p>
      <w:pPr>
        <w:pStyle w:val="Normal"/>
        <w:widowControl w:val="false"/>
        <w:numPr>
          <w:ilvl w:val="1"/>
          <w:numId w:val="8"/>
        </w:numPr>
        <w:spacing w:lineRule="auto" w:line="276" w:before="120" w:after="120"/>
        <w:ind w:left="0" w:hanging="0"/>
        <w:jc w:val="both"/>
        <w:rPr>
          <w:rFonts w:ascii="Times New Roman" w:hAnsi="Times New Roman" w:cs="Times New Roman"/>
        </w:rPr>
      </w:pPr>
      <w:r>
        <w:rPr>
          <w:rFonts w:cs="Times New Roman" w:ascii="Times New Roman" w:hAnsi="Times New Roman"/>
        </w:rPr>
        <w:t>Os pedidos de impugnação ou informações deverão ser formalizados no sistema Compras.gov.br.</w:t>
      </w:r>
    </w:p>
    <w:p>
      <w:pPr>
        <w:pStyle w:val="Normal"/>
        <w:widowControl w:val="false"/>
        <w:numPr>
          <w:ilvl w:val="1"/>
          <w:numId w:val="8"/>
        </w:numPr>
        <w:spacing w:lineRule="auto" w:line="276" w:before="120" w:after="120"/>
        <w:ind w:left="0" w:hanging="0"/>
        <w:jc w:val="both"/>
        <w:rPr>
          <w:rFonts w:ascii="Times New Roman" w:hAnsi="Times New Roman" w:cs="Times New Roman"/>
        </w:rPr>
      </w:pPr>
      <w:r>
        <w:rPr>
          <w:rFonts w:cs="Times New Roman" w:ascii="Times New Roman" w:hAnsi="Times New Roman"/>
        </w:rPr>
        <w:t>Caberá à Comissão Especial de Licitação julgar e responder à impugnação em até 3 (três) dias úteis.</w:t>
      </w:r>
    </w:p>
    <w:p>
      <w:pPr>
        <w:pStyle w:val="Normal"/>
        <w:widowControl w:val="false"/>
        <w:numPr>
          <w:ilvl w:val="0"/>
          <w:numId w:val="8"/>
        </w:numPr>
        <w:spacing w:lineRule="auto" w:line="276" w:before="120" w:after="120"/>
        <w:ind w:left="0" w:hanging="0"/>
        <w:jc w:val="both"/>
        <w:rPr>
          <w:rFonts w:ascii="Times New Roman" w:hAnsi="Times New Roman" w:cs="Times New Roman"/>
          <w:b/>
          <w:b/>
          <w:u w:val="single"/>
        </w:rPr>
      </w:pPr>
      <w:r>
        <w:rPr>
          <w:rFonts w:cs="Times New Roman" w:ascii="Times New Roman" w:hAnsi="Times New Roman"/>
          <w:b/>
          <w:u w:val="single"/>
        </w:rPr>
        <w:t>DA REVOGAÇÃO</w:t>
      </w:r>
    </w:p>
    <w:p>
      <w:pPr>
        <w:pStyle w:val="Normal"/>
        <w:widowControl w:val="false"/>
        <w:numPr>
          <w:ilvl w:val="1"/>
          <w:numId w:val="8"/>
        </w:numPr>
        <w:spacing w:lineRule="auto" w:line="276" w:before="120" w:after="120"/>
        <w:ind w:left="0" w:hanging="0"/>
        <w:jc w:val="both"/>
        <w:rPr>
          <w:rFonts w:ascii="Times New Roman" w:hAnsi="Times New Roman" w:cs="Times New Roman"/>
        </w:rPr>
      </w:pPr>
      <w:r>
        <w:rPr>
          <w:rFonts w:cs="Times New Roman" w:ascii="Times New Roman" w:hAnsi="Times New Roman"/>
        </w:rPr>
        <w:t>A Administração Pública Federal poderá revogar a licitação por razões de interesse público decorrentes de fato superveniente devidamente comprovado, pertinente e suficiente para justificar tal conduta.</w:t>
      </w:r>
    </w:p>
    <w:p>
      <w:pPr>
        <w:pStyle w:val="Normal"/>
        <w:widowControl w:val="false"/>
        <w:numPr>
          <w:ilvl w:val="2"/>
          <w:numId w:val="8"/>
        </w:numPr>
        <w:spacing w:lineRule="auto" w:line="276" w:before="120" w:after="120"/>
        <w:ind w:left="680" w:hanging="0"/>
        <w:jc w:val="both"/>
        <w:rPr>
          <w:rFonts w:ascii="Times New Roman" w:hAnsi="Times New Roman" w:cs="Times New Roman"/>
        </w:rPr>
      </w:pPr>
      <w:r>
        <w:rPr>
          <w:rFonts w:cs="Times New Roman" w:ascii="Times New Roman" w:hAnsi="Times New Roman"/>
        </w:rPr>
        <w:t>A revogação será precedida de procedimento administrativo, assegurados o contraditório e a ampla defesa, e formalizada mediante parecer escrito e devidamente fundamentado.</w:t>
      </w:r>
    </w:p>
    <w:p>
      <w:pPr>
        <w:pStyle w:val="Normal"/>
        <w:widowControl w:val="false"/>
        <w:numPr>
          <w:ilvl w:val="0"/>
          <w:numId w:val="8"/>
        </w:numPr>
        <w:spacing w:lineRule="auto" w:line="276" w:before="120" w:after="120"/>
        <w:ind w:left="0" w:hanging="0"/>
        <w:jc w:val="both"/>
        <w:rPr>
          <w:rFonts w:ascii="Times New Roman" w:hAnsi="Times New Roman" w:cs="Times New Roman"/>
          <w:b/>
          <w:b/>
          <w:u w:val="single"/>
        </w:rPr>
      </w:pPr>
      <w:r>
        <w:rPr>
          <w:rFonts w:cs="Times New Roman" w:ascii="Times New Roman" w:hAnsi="Times New Roman"/>
          <w:b/>
          <w:u w:val="single"/>
        </w:rPr>
        <w:t>DAS DISPOSIÇÕES GERAIS.</w:t>
      </w:r>
    </w:p>
    <w:p>
      <w:pPr>
        <w:pStyle w:val="Normal"/>
        <w:widowControl w:val="false"/>
        <w:numPr>
          <w:ilvl w:val="1"/>
          <w:numId w:val="8"/>
        </w:numPr>
        <w:spacing w:lineRule="auto" w:line="276" w:before="120" w:after="120"/>
        <w:ind w:left="0" w:hanging="0"/>
        <w:jc w:val="both"/>
        <w:rPr>
          <w:rFonts w:ascii="Times New Roman" w:hAnsi="Times New Roman" w:cs="Times New Roman"/>
        </w:rPr>
      </w:pPr>
      <w:r>
        <w:rPr>
          <w:rFonts w:cs="Times New Roman" w:ascii="Times New Roman" w:hAnsi="Times New Roman"/>
        </w:rPr>
        <w:t>A qualquer tempo, o CREDENCIANTE, assistido por terceiros contratados para tal fim, poderá realizar inspeção nas instalações dos CREDENCIADOS para verificação das condições de atendimento, de higiene, de equipamentos e de capacidade técnico-operativa.</w:t>
      </w:r>
    </w:p>
    <w:p>
      <w:pPr>
        <w:pStyle w:val="Normal"/>
        <w:widowControl w:val="false"/>
        <w:numPr>
          <w:ilvl w:val="1"/>
          <w:numId w:val="8"/>
        </w:numPr>
        <w:spacing w:lineRule="auto" w:line="276" w:before="120" w:after="120"/>
        <w:ind w:left="0" w:hanging="0"/>
        <w:jc w:val="both"/>
        <w:rPr>
          <w:rFonts w:ascii="Times New Roman" w:hAnsi="Times New Roman" w:cs="Times New Roman"/>
        </w:rPr>
      </w:pPr>
      <w:r>
        <w:rPr>
          <w:rFonts w:cs="Times New Roman" w:ascii="Times New Roman" w:hAnsi="Times New Roman"/>
        </w:rPr>
        <w:t>No caso de instituições hospitalares, o CREDENCIADO obriga-se a permitir a auditoria técnica no local</w:t>
      </w:r>
      <w:r>
        <w:rPr>
          <w:rFonts w:cs="Times New Roman" w:ascii="Times New Roman" w:hAnsi="Times New Roman"/>
          <w:iCs/>
        </w:rPr>
        <w:t>,</w:t>
      </w:r>
      <w:r>
        <w:rPr>
          <w:rFonts w:cs="Times New Roman" w:ascii="Times New Roman" w:hAnsi="Times New Roman"/>
          <w:i/>
          <w:iCs/>
        </w:rPr>
        <w:t xml:space="preserve"> </w:t>
      </w:r>
      <w:r>
        <w:rPr>
          <w:rFonts w:cs="Times New Roman" w:ascii="Times New Roman" w:hAnsi="Times New Roman"/>
        </w:rPr>
        <w:t>nos seguintes termos:</w:t>
      </w:r>
    </w:p>
    <w:p>
      <w:pPr>
        <w:pStyle w:val="Normal"/>
        <w:widowControl w:val="false"/>
        <w:numPr>
          <w:ilvl w:val="2"/>
          <w:numId w:val="8"/>
        </w:numPr>
        <w:spacing w:lineRule="auto" w:line="276" w:before="120" w:after="120"/>
        <w:ind w:left="709" w:hanging="0"/>
        <w:jc w:val="both"/>
        <w:rPr>
          <w:rFonts w:ascii="Times New Roman" w:hAnsi="Times New Roman" w:cs="Times New Roman"/>
        </w:rPr>
      </w:pPr>
      <w:r>
        <w:rPr>
          <w:rFonts w:cs="Times New Roman" w:ascii="Times New Roman" w:hAnsi="Times New Roman"/>
        </w:rPr>
        <w:t>Identificação do usuário no setor de admissão do CREDENCIADO onde estiver sendo assistido;</w:t>
      </w:r>
    </w:p>
    <w:p>
      <w:pPr>
        <w:pStyle w:val="Normal"/>
        <w:widowControl w:val="false"/>
        <w:numPr>
          <w:ilvl w:val="2"/>
          <w:numId w:val="8"/>
        </w:numPr>
        <w:spacing w:lineRule="auto" w:line="276" w:before="120" w:after="120"/>
        <w:ind w:left="709" w:hanging="0"/>
        <w:jc w:val="both"/>
        <w:rPr>
          <w:rFonts w:ascii="Times New Roman" w:hAnsi="Times New Roman" w:cs="Times New Roman"/>
        </w:rPr>
      </w:pPr>
      <w:r>
        <w:rPr>
          <w:rFonts w:cs="Times New Roman" w:ascii="Times New Roman" w:hAnsi="Times New Roman"/>
        </w:rPr>
        <w:t>Análise do Prontuário Médico e demais registros clínicos;</w:t>
      </w:r>
    </w:p>
    <w:p>
      <w:pPr>
        <w:pStyle w:val="Normal"/>
        <w:widowControl w:val="false"/>
        <w:numPr>
          <w:ilvl w:val="2"/>
          <w:numId w:val="8"/>
        </w:numPr>
        <w:spacing w:lineRule="auto" w:line="276" w:before="120" w:after="120"/>
        <w:ind w:left="709" w:hanging="0"/>
        <w:jc w:val="both"/>
        <w:rPr>
          <w:rFonts w:ascii="Times New Roman" w:hAnsi="Times New Roman" w:cs="Times New Roman"/>
        </w:rPr>
      </w:pPr>
      <w:r>
        <w:rPr>
          <w:rFonts w:cs="Times New Roman" w:ascii="Times New Roman" w:hAnsi="Times New Roman"/>
        </w:rPr>
        <w:t>Visita ao paciente, com observação crítica de seu estado, correlacionando-o com o Prontuário Médico e com os demais registros clínicos;</w:t>
      </w:r>
    </w:p>
    <w:p>
      <w:pPr>
        <w:pStyle w:val="Normal"/>
        <w:widowControl w:val="false"/>
        <w:numPr>
          <w:ilvl w:val="2"/>
          <w:numId w:val="8"/>
        </w:numPr>
        <w:spacing w:lineRule="auto" w:line="276" w:before="120" w:after="120"/>
        <w:ind w:left="709" w:hanging="0"/>
        <w:jc w:val="both"/>
        <w:rPr>
          <w:rFonts w:ascii="Times New Roman" w:hAnsi="Times New Roman" w:cs="Times New Roman"/>
        </w:rPr>
      </w:pPr>
      <w:r>
        <w:rPr>
          <w:rFonts w:cs="Times New Roman" w:ascii="Times New Roman" w:hAnsi="Times New Roman"/>
        </w:rPr>
        <w:t>Discussão dos casos com a(s) equipe(s) médica(s) assistente(s), sempre que necessário para o satisfatório desempenho das funções de auditoria;</w:t>
      </w:r>
    </w:p>
    <w:p>
      <w:pPr>
        <w:pStyle w:val="Normal"/>
        <w:widowControl w:val="false"/>
        <w:numPr>
          <w:ilvl w:val="2"/>
          <w:numId w:val="8"/>
        </w:numPr>
        <w:spacing w:lineRule="auto" w:line="276" w:before="120" w:after="120"/>
        <w:ind w:left="709" w:hanging="0"/>
        <w:jc w:val="both"/>
        <w:rPr>
          <w:rFonts w:ascii="Times New Roman" w:hAnsi="Times New Roman" w:cs="Times New Roman"/>
        </w:rPr>
      </w:pPr>
      <w:r>
        <w:rPr>
          <w:rFonts w:cs="Times New Roman" w:ascii="Times New Roman" w:hAnsi="Times New Roman"/>
        </w:rPr>
        <w:t>Preenchimento do Relatório de Auditoria Hospitalar; e,</w:t>
      </w:r>
    </w:p>
    <w:p>
      <w:pPr>
        <w:pStyle w:val="Normal"/>
        <w:widowControl w:val="false"/>
        <w:numPr>
          <w:ilvl w:val="2"/>
          <w:numId w:val="8"/>
        </w:numPr>
        <w:spacing w:lineRule="auto" w:line="276" w:before="120" w:after="120"/>
        <w:ind w:left="709" w:hanging="0"/>
        <w:jc w:val="both"/>
        <w:rPr>
          <w:rFonts w:ascii="Times New Roman" w:hAnsi="Times New Roman" w:cs="Times New Roman"/>
        </w:rPr>
      </w:pPr>
      <w:r>
        <w:rPr>
          <w:rFonts w:cs="Times New Roman" w:ascii="Times New Roman" w:hAnsi="Times New Roman"/>
        </w:rPr>
        <w:t>Auditoria das faturas médico-hospitalares, correlacionando Prontuário Médico e Relatório de Auditoria Hospitalar.</w:t>
      </w:r>
    </w:p>
    <w:p>
      <w:pPr>
        <w:pStyle w:val="Normal"/>
        <w:widowControl w:val="false"/>
        <w:numPr>
          <w:ilvl w:val="1"/>
          <w:numId w:val="8"/>
        </w:numPr>
        <w:spacing w:lineRule="auto" w:line="276" w:before="120" w:after="120"/>
        <w:ind w:left="0" w:hanging="0"/>
        <w:jc w:val="both"/>
        <w:rPr>
          <w:rFonts w:ascii="Times New Roman" w:hAnsi="Times New Roman" w:cs="Times New Roman"/>
        </w:rPr>
      </w:pPr>
      <w:r>
        <w:rPr>
          <w:rFonts w:cs="Times New Roman" w:ascii="Times New Roman" w:hAnsi="Times New Roman"/>
        </w:rPr>
        <w:t>O desatendimento de exigências formais não essenciais não importará no afastamento do CREDENCIADO, desde que seja possível a aferição da sua qualificação e a exata compreensão da sua proposta.</w:t>
      </w:r>
    </w:p>
    <w:p>
      <w:pPr>
        <w:pStyle w:val="Normal"/>
        <w:widowControl w:val="false"/>
        <w:numPr>
          <w:ilvl w:val="1"/>
          <w:numId w:val="8"/>
        </w:numPr>
        <w:spacing w:lineRule="auto" w:line="276" w:before="120" w:after="120"/>
        <w:ind w:left="0" w:hanging="0"/>
        <w:jc w:val="both"/>
        <w:rPr>
          <w:rFonts w:ascii="Times New Roman" w:hAnsi="Times New Roman" w:cs="Times New Roman"/>
        </w:rPr>
      </w:pPr>
      <w:r>
        <w:rPr>
          <w:rFonts w:cs="Times New Roman" w:ascii="Times New Roman" w:hAnsi="Times New Roman"/>
        </w:rPr>
        <w:t>É facultada a autoridade competente, em qualquer fase do procedimento, a promoção de diligência destinada a esclarecer ou complementar a instrução do processo, inclusive com a fixação de prazo de resposta.</w:t>
      </w:r>
    </w:p>
    <w:p>
      <w:pPr>
        <w:pStyle w:val="Normal"/>
        <w:widowControl w:val="false"/>
        <w:numPr>
          <w:ilvl w:val="1"/>
          <w:numId w:val="8"/>
        </w:numPr>
        <w:spacing w:lineRule="auto" w:line="276" w:before="120" w:after="120"/>
        <w:ind w:left="0" w:hanging="0"/>
        <w:jc w:val="both"/>
        <w:rPr>
          <w:rFonts w:ascii="Times New Roman" w:hAnsi="Times New Roman" w:cs="Times New Roman"/>
        </w:rPr>
      </w:pPr>
      <w:r>
        <w:rPr>
          <w:rFonts w:cs="Times New Roman" w:ascii="Times New Roman" w:hAnsi="Times New Roman"/>
        </w:rPr>
        <w:t>Na contagem dos prazos estabelecidos neste Edital e seus Anexos, excluir-se-á o dia do início e incluir-se-á o do vencimento.</w:t>
      </w:r>
    </w:p>
    <w:p>
      <w:pPr>
        <w:pStyle w:val="Normal"/>
        <w:widowControl w:val="false"/>
        <w:numPr>
          <w:ilvl w:val="1"/>
          <w:numId w:val="8"/>
        </w:numPr>
        <w:spacing w:lineRule="auto" w:line="276" w:before="120" w:after="120"/>
        <w:ind w:left="0" w:hanging="0"/>
        <w:jc w:val="both"/>
        <w:rPr>
          <w:rFonts w:ascii="Times New Roman" w:hAnsi="Times New Roman" w:cs="Times New Roman"/>
        </w:rPr>
      </w:pPr>
      <w:r>
        <w:rPr>
          <w:rFonts w:cs="Times New Roman" w:ascii="Times New Roman" w:hAnsi="Times New Roman"/>
        </w:rPr>
        <w:t xml:space="preserve">Os prazos somente se iniciam e vencem em dias de expediente no </w:t>
      </w:r>
      <w:r>
        <w:rPr>
          <w:rFonts w:cs="Times New Roman" w:ascii="Times New Roman" w:hAnsi="Times New Roman"/>
          <w:highlight w:val="lightGray"/>
        </w:rPr>
        <w:t>[indicar o nome do Órgão]</w:t>
      </w:r>
      <w:r>
        <w:rPr>
          <w:rFonts w:cs="Times New Roman" w:ascii="Times New Roman" w:hAnsi="Times New Roman"/>
        </w:rPr>
        <w:t>.</w:t>
      </w:r>
    </w:p>
    <w:p>
      <w:pPr>
        <w:pStyle w:val="Normal"/>
        <w:widowControl w:val="false"/>
        <w:numPr>
          <w:ilvl w:val="1"/>
          <w:numId w:val="8"/>
        </w:numPr>
        <w:spacing w:lineRule="auto" w:line="276" w:before="120" w:after="120"/>
        <w:ind w:left="0" w:hanging="0"/>
        <w:jc w:val="both"/>
        <w:rPr>
          <w:rFonts w:ascii="Times New Roman" w:hAnsi="Times New Roman" w:cs="Times New Roman"/>
        </w:rPr>
      </w:pPr>
      <w:r>
        <w:rPr>
          <w:rFonts w:cs="Times New Roman" w:ascii="Times New Roman" w:hAnsi="Times New Roman"/>
        </w:rPr>
        <w:t>Em caso de revogação deste Edital, extinção, resolução ou rescisão do Contrato, havendo internação, o contrato continuará vigente até que o paciente tenha alta médica ou seja possível a transferência para outra OCS.</w:t>
      </w:r>
    </w:p>
    <w:p>
      <w:pPr>
        <w:pStyle w:val="ListParagraph"/>
        <w:widowControl w:val="false"/>
        <w:numPr>
          <w:ilvl w:val="2"/>
          <w:numId w:val="2"/>
        </w:numPr>
        <w:spacing w:lineRule="auto" w:line="276" w:before="120" w:after="120"/>
        <w:ind w:left="720" w:hanging="11"/>
        <w:contextualSpacing/>
        <w:jc w:val="both"/>
        <w:rPr>
          <w:rFonts w:ascii="Times New Roman" w:hAnsi="Times New Roman" w:cs="Times New Roman"/>
        </w:rPr>
      </w:pPr>
      <w:r>
        <w:rPr>
          <w:rFonts w:cs="Times New Roman" w:ascii="Times New Roman" w:hAnsi="Times New Roman"/>
        </w:rPr>
        <w:t>Havendo contrato com outra OCS, ligado a novo Edital de credenciamento, que pratique o mesmo objeto, o paciente deverá ser transferido, desde que tecnicamente possível.</w:t>
      </w:r>
    </w:p>
    <w:p>
      <w:pPr>
        <w:pStyle w:val="ListParagraph"/>
        <w:widowControl w:val="false"/>
        <w:numPr>
          <w:ilvl w:val="2"/>
          <w:numId w:val="2"/>
        </w:numPr>
        <w:spacing w:lineRule="auto" w:line="276" w:before="120" w:after="120"/>
        <w:ind w:left="720" w:hanging="11"/>
        <w:contextualSpacing/>
        <w:jc w:val="both"/>
        <w:rPr>
          <w:rFonts w:ascii="Times New Roman" w:hAnsi="Times New Roman" w:cs="Times New Roman"/>
        </w:rPr>
      </w:pPr>
      <w:r>
        <w:rPr>
          <w:rFonts w:cs="Times New Roman" w:ascii="Times New Roman" w:hAnsi="Times New Roman"/>
        </w:rPr>
        <w:t>Se a OCS, na qual o paciente está internado, firmar novo contrato conectado a novo credenciamento, este passará a regular a internação.</w:t>
      </w:r>
    </w:p>
    <w:p>
      <w:pPr>
        <w:pStyle w:val="Normal"/>
        <w:widowControl w:val="false"/>
        <w:numPr>
          <w:ilvl w:val="1"/>
          <w:numId w:val="8"/>
        </w:numPr>
        <w:spacing w:lineRule="auto" w:line="276" w:before="120" w:after="120"/>
        <w:ind w:left="0" w:hanging="0"/>
        <w:jc w:val="both"/>
        <w:rPr>
          <w:rFonts w:ascii="Times New Roman" w:hAnsi="Times New Roman" w:cs="Times New Roman"/>
        </w:rPr>
      </w:pPr>
      <w:r>
        <w:rPr>
          <w:rFonts w:cs="Times New Roman" w:ascii="Times New Roman" w:hAnsi="Times New Roman"/>
        </w:rPr>
        <w:t>Os casos omissos serão resolvidos, pelo Comandante da 4ª Região Militar, com base nas disposições constantes da Lei n˚ 14.133, de 2021 e no Decreto nº 11.878, de 2024 e nas demais Leis, Decretos, Portarias e Instruções 'Normativas a que este instrumento de convocação se encontra subordinado.</w:t>
      </w:r>
    </w:p>
    <w:p>
      <w:pPr>
        <w:pStyle w:val="Normal"/>
        <w:widowControl w:val="false"/>
        <w:numPr>
          <w:ilvl w:val="1"/>
          <w:numId w:val="8"/>
        </w:numPr>
        <w:spacing w:lineRule="auto" w:line="276" w:before="120" w:after="120"/>
        <w:ind w:left="0" w:hanging="0"/>
        <w:jc w:val="both"/>
        <w:rPr>
          <w:rFonts w:ascii="Times New Roman" w:hAnsi="Times New Roman" w:cs="Times New Roman"/>
        </w:rPr>
      </w:pPr>
      <w:r>
        <w:rPr>
          <w:rFonts w:cs="Times New Roman" w:ascii="Times New Roman" w:hAnsi="Times New Roman"/>
        </w:rPr>
        <w:t xml:space="preserve">As dúvidas referentes ao Edital poderão ser formuladas ao </w:t>
      </w:r>
      <w:r>
        <w:rPr>
          <w:rFonts w:cs="Times New Roman" w:ascii="Times New Roman" w:hAnsi="Times New Roman"/>
          <w:highlight w:val="lightGray"/>
        </w:rPr>
        <w:t>Posto Médico da Guarnição de</w:t>
      </w:r>
      <w:r>
        <w:rPr>
          <w:rFonts w:cs="Times New Roman" w:ascii="Times New Roman" w:hAnsi="Times New Roman"/>
        </w:rPr>
        <w:t xml:space="preserve">               e encaminhadas para endereço eletrônico </w:t>
      </w:r>
      <w:hyperlink r:id="rId6">
        <w:r>
          <w:rPr>
            <w:rStyle w:val="LinkdaInternet"/>
            <w:rFonts w:cs="Times New Roman" w:ascii="Times New Roman" w:hAnsi="Times New Roman"/>
            <w:color w:val="auto"/>
            <w:highlight w:val="lightGray"/>
          </w:rPr>
          <w:t>fusex@gmail.com</w:t>
        </w:r>
      </w:hyperlink>
      <w:r>
        <w:rPr>
          <w:rFonts w:cs="Times New Roman" w:ascii="Times New Roman" w:hAnsi="Times New Roman"/>
        </w:rPr>
        <w:t>.</w:t>
      </w:r>
    </w:p>
    <w:p>
      <w:pPr>
        <w:pStyle w:val="Normal"/>
        <w:widowControl w:val="false"/>
        <w:numPr>
          <w:ilvl w:val="1"/>
          <w:numId w:val="8"/>
        </w:numPr>
        <w:spacing w:lineRule="auto" w:line="276" w:before="120" w:after="120"/>
        <w:ind w:left="0" w:hanging="0"/>
        <w:jc w:val="both"/>
        <w:rPr>
          <w:rFonts w:ascii="Times New Roman" w:hAnsi="Times New Roman" w:cs="Times New Roman"/>
        </w:rPr>
      </w:pPr>
      <w:r>
        <w:rPr>
          <w:rFonts w:cs="Times New Roman" w:ascii="Times New Roman" w:hAnsi="Times New Roman"/>
        </w:rPr>
        <w:t>A minuta do presente Edital foi elaborada pela Advocacia-Geral da União, conforme despacho de aprovação no NUP nº __________________________.</w:t>
      </w:r>
    </w:p>
    <w:p>
      <w:pPr>
        <w:pStyle w:val="Normal"/>
        <w:widowControl w:val="false"/>
        <w:numPr>
          <w:ilvl w:val="0"/>
          <w:numId w:val="8"/>
        </w:numPr>
        <w:spacing w:lineRule="auto" w:line="276" w:before="120" w:after="120"/>
        <w:ind w:left="0" w:hanging="0"/>
        <w:jc w:val="both"/>
        <w:rPr>
          <w:rFonts w:ascii="Times New Roman" w:hAnsi="Times New Roman" w:cs="Times New Roman"/>
          <w:b/>
          <w:b/>
          <w:u w:val="single"/>
        </w:rPr>
      </w:pPr>
      <w:r>
        <w:rPr>
          <w:rFonts w:cs="Times New Roman" w:ascii="Times New Roman" w:hAnsi="Times New Roman"/>
          <w:b/>
          <w:u w:val="single"/>
        </w:rPr>
        <w:t>DO FORO.</w:t>
      </w:r>
    </w:p>
    <w:p>
      <w:pPr>
        <w:pStyle w:val="Normal"/>
        <w:widowControl w:val="false"/>
        <w:spacing w:lineRule="auto" w:line="276" w:before="120" w:after="120"/>
        <w:ind w:left="1418" w:hanging="0"/>
        <w:jc w:val="both"/>
        <w:rPr>
          <w:rFonts w:ascii="Times New Roman" w:hAnsi="Times New Roman" w:cs="Times New Roman"/>
          <w:i/>
          <w:i/>
          <w:sz w:val="18"/>
          <w:szCs w:val="18"/>
        </w:rPr>
      </w:pPr>
      <w:r>
        <w:rPr>
          <w:rFonts w:cs="Times New Roman" w:ascii="Times New Roman" w:hAnsi="Times New Roman"/>
          <w:i/>
          <w:sz w:val="18"/>
          <w:szCs w:val="18"/>
        </w:rPr>
      </w:r>
    </w:p>
    <w:p>
      <w:pPr>
        <w:pStyle w:val="Normal"/>
        <w:widowControl w:val="false"/>
        <w:spacing w:lineRule="auto" w:line="276" w:before="120" w:after="120"/>
        <w:ind w:left="1418" w:hanging="0"/>
        <w:jc w:val="both"/>
        <w:rPr>
          <w:rFonts w:ascii="Times New Roman" w:hAnsi="Times New Roman" w:cs="Times New Roman"/>
          <w:i/>
          <w:i/>
          <w:sz w:val="18"/>
          <w:szCs w:val="18"/>
          <w:highlight w:val="yellow"/>
        </w:rPr>
      </w:pPr>
      <w:r>
        <w:rPr>
          <w:rFonts w:cs="Times New Roman" w:ascii="Times New Roman" w:hAnsi="Times New Roman"/>
          <w:i/>
          <w:sz w:val="18"/>
          <w:szCs w:val="18"/>
          <w:highlight w:val="yellow"/>
        </w:rPr>
        <w:t>Nota Explicativa: o §1º do art. 92 da Lei nº 14.133, de 2021, dispõe: “Os contratos celebrados pela Administração Pública com pessoas físicas ou jurídicas, inclusive as domiciliadas no exterior, deverão conter cláusula que declare competente o foro da sede da Administração para dirimir qualquer questão contratual, ressalvadas as seguintes hipóteses:</w:t>
      </w:r>
    </w:p>
    <w:p>
      <w:pPr>
        <w:pStyle w:val="Normal"/>
        <w:widowControl w:val="false"/>
        <w:spacing w:lineRule="auto" w:line="276" w:before="120" w:after="120"/>
        <w:ind w:left="1418" w:hanging="0"/>
        <w:jc w:val="both"/>
        <w:rPr>
          <w:rFonts w:ascii="Times New Roman" w:hAnsi="Times New Roman" w:cs="Times New Roman"/>
          <w:i/>
          <w:i/>
          <w:sz w:val="18"/>
          <w:szCs w:val="18"/>
          <w:highlight w:val="yellow"/>
        </w:rPr>
      </w:pPr>
      <w:r>
        <w:rPr>
          <w:rFonts w:cs="Times New Roman" w:ascii="Times New Roman" w:hAnsi="Times New Roman"/>
          <w:i/>
          <w:sz w:val="18"/>
          <w:szCs w:val="18"/>
          <w:highlight w:val="yellow"/>
        </w:rPr>
      </w:r>
    </w:p>
    <w:p>
      <w:pPr>
        <w:pStyle w:val="Normal"/>
        <w:widowControl w:val="false"/>
        <w:spacing w:lineRule="auto" w:line="276" w:before="120" w:after="120"/>
        <w:ind w:left="1418" w:hanging="0"/>
        <w:jc w:val="both"/>
        <w:rPr>
          <w:rFonts w:ascii="Times New Roman" w:hAnsi="Times New Roman" w:cs="Times New Roman"/>
          <w:i/>
          <w:i/>
          <w:sz w:val="18"/>
          <w:szCs w:val="18"/>
          <w:highlight w:val="yellow"/>
        </w:rPr>
      </w:pPr>
      <w:r>
        <w:rPr>
          <w:rFonts w:cs="Times New Roman" w:ascii="Times New Roman" w:hAnsi="Times New Roman"/>
          <w:i/>
          <w:sz w:val="18"/>
          <w:szCs w:val="18"/>
          <w:highlight w:val="yellow"/>
        </w:rPr>
        <w:t>I - licitação internacional para a aquisição de bens e serviços cujo pagamento seja feito com o produto de financiamento concedido por organismo financeiro internacional de que o Brasil faça parte ou por agência estrangeira de cooperação;</w:t>
      </w:r>
    </w:p>
    <w:p>
      <w:pPr>
        <w:pStyle w:val="Normal"/>
        <w:widowControl w:val="false"/>
        <w:spacing w:lineRule="auto" w:line="276" w:before="120" w:after="120"/>
        <w:ind w:left="1418" w:hanging="0"/>
        <w:jc w:val="both"/>
        <w:rPr>
          <w:rFonts w:ascii="Times New Roman" w:hAnsi="Times New Roman" w:cs="Times New Roman"/>
          <w:i/>
          <w:i/>
          <w:sz w:val="18"/>
          <w:szCs w:val="18"/>
          <w:highlight w:val="yellow"/>
        </w:rPr>
      </w:pPr>
      <w:r>
        <w:rPr>
          <w:rFonts w:cs="Times New Roman" w:ascii="Times New Roman" w:hAnsi="Times New Roman"/>
          <w:i/>
          <w:sz w:val="18"/>
          <w:szCs w:val="18"/>
          <w:highlight w:val="yellow"/>
        </w:rPr>
      </w:r>
    </w:p>
    <w:p>
      <w:pPr>
        <w:pStyle w:val="Normal"/>
        <w:widowControl w:val="false"/>
        <w:spacing w:lineRule="auto" w:line="276" w:before="120" w:after="120"/>
        <w:ind w:left="1418" w:hanging="0"/>
        <w:jc w:val="both"/>
        <w:rPr>
          <w:rFonts w:ascii="Times New Roman" w:hAnsi="Times New Roman" w:cs="Times New Roman"/>
          <w:i/>
          <w:i/>
          <w:sz w:val="18"/>
          <w:szCs w:val="18"/>
          <w:highlight w:val="yellow"/>
        </w:rPr>
      </w:pPr>
      <w:r>
        <w:rPr>
          <w:rFonts w:cs="Times New Roman" w:ascii="Times New Roman" w:hAnsi="Times New Roman"/>
          <w:i/>
          <w:sz w:val="18"/>
          <w:szCs w:val="18"/>
          <w:highlight w:val="yellow"/>
        </w:rPr>
        <w:t>II - contratação com empresa estrangeira para a compra de equipamentos fabricados e entregues no exterior precedida de autorização do Chefe do Poder Executivo;</w:t>
      </w:r>
    </w:p>
    <w:p>
      <w:pPr>
        <w:pStyle w:val="Normal"/>
        <w:widowControl w:val="false"/>
        <w:spacing w:lineRule="auto" w:line="276" w:before="120" w:after="120"/>
        <w:ind w:left="1418" w:hanging="0"/>
        <w:jc w:val="both"/>
        <w:rPr>
          <w:rFonts w:ascii="Times New Roman" w:hAnsi="Times New Roman" w:cs="Times New Roman"/>
          <w:i/>
          <w:i/>
          <w:sz w:val="18"/>
          <w:szCs w:val="18"/>
          <w:highlight w:val="yellow"/>
        </w:rPr>
      </w:pPr>
      <w:r>
        <w:rPr>
          <w:rFonts w:cs="Times New Roman" w:ascii="Times New Roman" w:hAnsi="Times New Roman"/>
          <w:i/>
          <w:sz w:val="18"/>
          <w:szCs w:val="18"/>
          <w:highlight w:val="yellow"/>
        </w:rPr>
      </w:r>
    </w:p>
    <w:p>
      <w:pPr>
        <w:pStyle w:val="Normal"/>
        <w:widowControl w:val="false"/>
        <w:spacing w:lineRule="auto" w:line="276" w:before="120" w:after="120"/>
        <w:ind w:left="1418" w:hanging="0"/>
        <w:jc w:val="both"/>
        <w:rPr>
          <w:rFonts w:ascii="Times New Roman" w:hAnsi="Times New Roman" w:cs="Times New Roman"/>
          <w:i/>
          <w:i/>
          <w:sz w:val="18"/>
          <w:szCs w:val="18"/>
          <w:highlight w:val="yellow"/>
        </w:rPr>
      </w:pPr>
      <w:r>
        <w:rPr>
          <w:rFonts w:cs="Times New Roman" w:ascii="Times New Roman" w:hAnsi="Times New Roman"/>
          <w:i/>
          <w:sz w:val="18"/>
          <w:szCs w:val="18"/>
          <w:highlight w:val="yellow"/>
        </w:rPr>
        <w:t xml:space="preserve">III - aquisição de bens e serviços realizada por unidades administrativas com sede no exterior. </w:t>
      </w:r>
    </w:p>
    <w:p>
      <w:pPr>
        <w:pStyle w:val="Normal"/>
        <w:widowControl w:val="false"/>
        <w:spacing w:lineRule="auto" w:line="276" w:before="120" w:after="120"/>
        <w:ind w:left="1418" w:hanging="0"/>
        <w:jc w:val="both"/>
        <w:rPr>
          <w:rFonts w:ascii="Times New Roman" w:hAnsi="Times New Roman" w:cs="Times New Roman"/>
          <w:i/>
          <w:i/>
          <w:sz w:val="18"/>
          <w:szCs w:val="18"/>
          <w:highlight w:val="yellow"/>
        </w:rPr>
      </w:pPr>
      <w:r>
        <w:rPr>
          <w:rFonts w:cs="Times New Roman" w:ascii="Times New Roman" w:hAnsi="Times New Roman"/>
          <w:i/>
          <w:sz w:val="18"/>
          <w:szCs w:val="18"/>
          <w:highlight w:val="yellow"/>
        </w:rPr>
        <w:t>  </w:t>
      </w:r>
    </w:p>
    <w:p>
      <w:pPr>
        <w:pStyle w:val="Normal"/>
        <w:widowControl w:val="false"/>
        <w:spacing w:lineRule="auto" w:line="276" w:before="120" w:after="120"/>
        <w:ind w:left="1418" w:hanging="0"/>
        <w:jc w:val="both"/>
        <w:rPr>
          <w:rFonts w:ascii="Times New Roman" w:hAnsi="Times New Roman" w:cs="Times New Roman"/>
          <w:i/>
          <w:i/>
          <w:sz w:val="18"/>
          <w:szCs w:val="18"/>
        </w:rPr>
      </w:pPr>
      <w:r>
        <w:rPr>
          <w:rFonts w:cs="Times New Roman" w:ascii="Times New Roman" w:hAnsi="Times New Roman"/>
          <w:i/>
          <w:sz w:val="18"/>
          <w:szCs w:val="18"/>
          <w:highlight w:val="yellow"/>
        </w:rPr>
        <w:t>Por se tratar de matéria que deve guardar uniformidade, a cidade definida como foro na minuta de edital deverá também ser fixada nos demais anexos do credenciamento.</w:t>
      </w:r>
    </w:p>
    <w:p>
      <w:pPr>
        <w:pStyle w:val="Normal"/>
        <w:widowControl w:val="false"/>
        <w:spacing w:lineRule="auto" w:line="276" w:before="120" w:after="120"/>
        <w:ind w:left="1418" w:hanging="0"/>
        <w:jc w:val="both"/>
        <w:rPr>
          <w:rFonts w:ascii="Times New Roman" w:hAnsi="Times New Roman" w:cs="Times New Roman"/>
          <w:i/>
          <w:i/>
          <w:sz w:val="18"/>
          <w:szCs w:val="18"/>
        </w:rPr>
      </w:pPr>
      <w:r>
        <w:rPr>
          <w:rFonts w:cs="Times New Roman" w:ascii="Times New Roman" w:hAnsi="Times New Roman"/>
          <w:i/>
          <w:sz w:val="18"/>
          <w:szCs w:val="18"/>
        </w:rPr>
      </w:r>
    </w:p>
    <w:p>
      <w:pPr>
        <w:pStyle w:val="Normal"/>
        <w:widowControl w:val="false"/>
        <w:numPr>
          <w:ilvl w:val="1"/>
          <w:numId w:val="8"/>
        </w:numPr>
        <w:spacing w:lineRule="auto" w:line="276" w:before="120" w:after="120"/>
        <w:ind w:left="0" w:hanging="0"/>
        <w:jc w:val="both"/>
        <w:rPr>
          <w:rFonts w:ascii="Times New Roman" w:hAnsi="Times New Roman" w:cs="Times New Roman"/>
        </w:rPr>
      </w:pPr>
      <w:r>
        <w:rPr>
          <w:rFonts w:cs="Times New Roman" w:ascii="Times New Roman" w:hAnsi="Times New Roman"/>
        </w:rPr>
        <w:t xml:space="preserve">O foro para dirimir questões relativas ao presente Edital será o de </w:t>
      </w:r>
      <w:r>
        <w:rPr>
          <w:rFonts w:cs="Times New Roman" w:ascii="Times New Roman" w:hAnsi="Times New Roman"/>
          <w:highlight w:val="lightGray"/>
        </w:rPr>
        <w:t>Belo Horizonte/MG</w:t>
      </w:r>
      <w:r>
        <w:rPr>
          <w:rFonts w:cs="Times New Roman" w:ascii="Times New Roman" w:hAnsi="Times New Roman"/>
        </w:rPr>
        <w:t>, com exclusão de qualquer outro, por mais privilegiado que seja.</w:t>
      </w:r>
    </w:p>
    <w:p>
      <w:pPr>
        <w:pStyle w:val="Normal"/>
        <w:widowControl w:val="false"/>
        <w:spacing w:lineRule="auto" w:line="276" w:before="120" w:after="120"/>
        <w:jc w:val="both"/>
        <w:rPr>
          <w:rFonts w:ascii="Times New Roman" w:hAnsi="Times New Roman" w:cs="Times New Roman"/>
        </w:rPr>
      </w:pPr>
      <w:r>
        <w:rPr>
          <w:rFonts w:cs="Times New Roman" w:ascii="Times New Roman" w:hAnsi="Times New Roman"/>
        </w:rPr>
      </w:r>
    </w:p>
    <w:p>
      <w:pPr>
        <w:pStyle w:val="Normal"/>
        <w:widowControl w:val="false"/>
        <w:spacing w:lineRule="auto" w:line="276" w:before="120" w:after="120"/>
        <w:jc w:val="center"/>
        <w:rPr>
          <w:rFonts w:ascii="Times New Roman" w:hAnsi="Times New Roman" w:cs="Times New Roman"/>
        </w:rPr>
      </w:pPr>
      <w:r>
        <w:rPr>
          <w:rFonts w:cs="Times New Roman" w:ascii="Times New Roman" w:hAnsi="Times New Roman"/>
          <w:highlight w:val="lightGray"/>
        </w:rPr>
        <w:t>[Localidade]</w:t>
      </w:r>
      <w:r>
        <w:rPr>
          <w:rFonts w:cs="Times New Roman" w:ascii="Times New Roman" w:hAnsi="Times New Roman"/>
        </w:rPr>
        <w:t xml:space="preserve">, </w:t>
      </w:r>
      <w:r>
        <w:rPr>
          <w:rFonts w:cs="Times New Roman" w:ascii="Times New Roman" w:hAnsi="Times New Roman"/>
          <w:highlight w:val="lightGray"/>
        </w:rPr>
        <w:t>XX</w:t>
      </w:r>
      <w:r>
        <w:rPr>
          <w:rFonts w:cs="Times New Roman" w:ascii="Times New Roman" w:hAnsi="Times New Roman"/>
        </w:rPr>
        <w:t xml:space="preserve"> de </w:t>
      </w:r>
      <w:r>
        <w:rPr>
          <w:rFonts w:cs="Times New Roman" w:ascii="Times New Roman" w:hAnsi="Times New Roman"/>
          <w:highlight w:val="lightGray"/>
        </w:rPr>
        <w:t>XXXXXXX</w:t>
      </w:r>
      <w:r>
        <w:rPr>
          <w:rFonts w:cs="Times New Roman" w:ascii="Times New Roman" w:hAnsi="Times New Roman"/>
        </w:rPr>
        <w:t xml:space="preserve"> de 20</w:t>
      </w:r>
      <w:r>
        <w:rPr>
          <w:rFonts w:cs="Times New Roman" w:ascii="Times New Roman" w:hAnsi="Times New Roman"/>
          <w:highlight w:val="lightGray"/>
        </w:rPr>
        <w:t>XX</w:t>
      </w:r>
      <w:r>
        <w:rPr>
          <w:rFonts w:cs="Times New Roman" w:ascii="Times New Roman" w:hAnsi="Times New Roman"/>
        </w:rPr>
        <w:t>.</w:t>
      </w:r>
    </w:p>
    <w:p>
      <w:pPr>
        <w:pStyle w:val="Normal"/>
        <w:widowControl w:val="false"/>
        <w:spacing w:lineRule="auto" w:line="276" w:before="120" w:after="120"/>
        <w:jc w:val="center"/>
        <w:rPr>
          <w:rFonts w:ascii="Times New Roman" w:hAnsi="Times New Roman" w:cs="Times New Roman"/>
          <w:highlight w:val="lightGray"/>
        </w:rPr>
      </w:pPr>
      <w:r>
        <w:rPr>
          <w:rFonts w:cs="Times New Roman" w:ascii="Times New Roman" w:hAnsi="Times New Roman"/>
          <w:highlight w:val="lightGray"/>
        </w:rPr>
        <w:t>[Assinatura da autoridade competente]</w:t>
      </w:r>
    </w:p>
    <w:p>
      <w:pPr>
        <w:pStyle w:val="Normal"/>
        <w:widowControl w:val="false"/>
        <w:spacing w:lineRule="auto" w:line="276" w:before="120" w:after="120"/>
        <w:jc w:val="center"/>
        <w:rPr>
          <w:rFonts w:ascii="Times New Roman" w:hAnsi="Times New Roman" w:cs="Times New Roman"/>
          <w:highlight w:val="lightGray"/>
        </w:rPr>
      </w:pPr>
      <w:r>
        <w:rPr>
          <w:rFonts w:cs="Times New Roman" w:ascii="Times New Roman" w:hAnsi="Times New Roman"/>
          <w:highlight w:val="lightGray"/>
        </w:rPr>
        <w:t>[Nome da autoridade competente]</w:t>
      </w:r>
    </w:p>
    <w:p>
      <w:pPr>
        <w:pStyle w:val="Normal"/>
        <w:widowControl w:val="false"/>
        <w:spacing w:lineRule="auto" w:line="276" w:before="120" w:after="120"/>
        <w:jc w:val="center"/>
        <w:rPr>
          <w:rFonts w:ascii="Times New Roman" w:hAnsi="Times New Roman" w:cs="Times New Roman"/>
          <w:sz w:val="24"/>
          <w:szCs w:val="24"/>
        </w:rPr>
      </w:pPr>
      <w:r>
        <w:rPr>
          <w:rFonts w:cs="Times New Roman" w:ascii="Times New Roman" w:hAnsi="Times New Roman"/>
          <w:highlight w:val="lightGray"/>
        </w:rPr>
        <w:t>[Função da autoridade competente]</w:t>
      </w:r>
    </w:p>
    <w:sectPr>
      <w:headerReference w:type="default" r:id="rId7"/>
      <w:footerReference w:type="default" r:id="rId8"/>
      <w:type w:val="nextPage"/>
      <w:pgSz w:w="11906" w:h="16838"/>
      <w:pgMar w:left="1701" w:right="1701" w:header="720" w:top="1417" w:footer="720" w:bottom="1417" w:gutter="0"/>
      <w:pgNumType w:fmt="decimal"/>
      <w:formProt w:val="false"/>
      <w:textDirection w:val="lrTb"/>
      <w:docGrid w:type="default" w:linePitch="360" w:charSpace="8192"/>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libri">
    <w:charset w:val="01"/>
    <w:family w:val="roman"/>
    <w:pitch w:val="variable"/>
  </w:font>
  <w:font w:name="Cambria">
    <w:charset w:val="01"/>
    <w:family w:val="roman"/>
    <w:pitch w:val="variable"/>
  </w:font>
  <w:font w:name="Tahoma">
    <w:charset w:val="01"/>
    <w:family w:val="roman"/>
    <w:pitch w:val="variable"/>
  </w:font>
  <w:font w:name="Courier New">
    <w:charset w:val="01"/>
    <w:family w:val="roman"/>
    <w:pitch w:val="variable"/>
  </w:font>
  <w:font w:name="Liberation Sans">
    <w:altName w:val="Arial"/>
    <w:charset w:val="01"/>
    <w:family w:val="roman"/>
    <w:pitch w:val="variable"/>
  </w:font>
  <w:font w:name="Times New Roman">
    <w:charset w:val="01"/>
    <w:family w:val="roman"/>
    <w:pitch w:val="variable"/>
  </w:font>
  <w:font w:name="Arial">
    <w:charset w:val="01"/>
    <w:family w:val="roman"/>
    <w:pitch w:val="variable"/>
  </w:font>
  <w:font w:name="Ecofont_Spranq_eco_Sans">
    <w:charset w:val="01"/>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Rodap"/>
      <w:rPr>
        <w:rFonts w:ascii="Times New Roman" w:hAnsi="Times New Roman"/>
      </w:rPr>
    </w:pPr>
    <w:r>
      <w:rPr>
        <w:rFonts w:ascii="Times New Roman" w:hAnsi="Times New Roman"/>
      </w:rPr>
      <w:t>____________________________________________________________________</w:t>
    </w:r>
  </w:p>
  <w:p>
    <w:pPr>
      <w:pStyle w:val="Rodap"/>
      <w:rPr>
        <w:rFonts w:cs="Arial"/>
        <w:sz w:val="12"/>
        <w:szCs w:val="12"/>
      </w:rPr>
    </w:pPr>
    <w:r>
      <w:rPr>
        <w:rFonts w:cs="Arial"/>
        <w:sz w:val="12"/>
        <w:szCs w:val="12"/>
      </w:rPr>
      <w:t xml:space="preserve">Consultoria Jurídica da União Especializada em Serviços Sem Dedicação Exclusiva de Mão de Obra  </w:t>
    </w:r>
  </w:p>
  <w:p>
    <w:pPr>
      <w:pStyle w:val="Rodap"/>
      <w:rPr>
        <w:rFonts w:cs="Arial"/>
        <w:sz w:val="12"/>
        <w:szCs w:val="12"/>
      </w:rPr>
    </w:pPr>
    <w:r>
      <w:rPr>
        <w:rFonts w:cs="Arial"/>
        <w:sz w:val="12"/>
        <w:szCs w:val="12"/>
      </w:rPr>
      <w:t>Edital modelo para credenciamento de pessoas físicas e jurídicas para a prestação de serviços médico-hospitalares e odontológicos</w:t>
    </w:r>
  </w:p>
  <w:p>
    <w:pPr>
      <w:pStyle w:val="Rodap"/>
      <w:rPr>
        <w:rFonts w:cs="Arial"/>
        <w:color w:val="FF0000"/>
        <w:sz w:val="12"/>
        <w:szCs w:val="12"/>
      </w:rPr>
    </w:pPr>
    <w:r>
      <w:rPr>
        <w:rFonts w:cs="Arial"/>
        <w:sz w:val="12"/>
        <w:szCs w:val="12"/>
      </w:rPr>
      <w:t>Atualização:</w:t>
    </w:r>
    <w:r>
      <w:rPr>
        <w:rFonts w:cs="Arial"/>
        <w:color w:val="FF0000"/>
        <w:sz w:val="12"/>
        <w:szCs w:val="12"/>
      </w:rPr>
      <w:t xml:space="preserve"> FEVEREIRO/2024 – LEI 14.133/2021</w:t>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Rodap"/>
      <w:rPr>
        <w:rFonts w:ascii="Times New Roman" w:hAnsi="Times New Roman"/>
      </w:rPr>
    </w:pPr>
    <w:r>
      <w:rPr>
        <w:rFonts w:ascii="Times New Roman" w:hAnsi="Times New Roman"/>
      </w:rPr>
      <w:t>____________________________________________________________________</w:t>
    </w:r>
  </w:p>
  <w:p>
    <w:pPr>
      <w:pStyle w:val="Rodap"/>
      <w:rPr>
        <w:rFonts w:cs="Arial"/>
        <w:sz w:val="12"/>
        <w:szCs w:val="12"/>
      </w:rPr>
    </w:pPr>
    <w:r>
      <w:rPr>
        <w:rFonts w:cs="Arial"/>
        <w:sz w:val="12"/>
        <w:szCs w:val="12"/>
      </w:rPr>
      <w:t xml:space="preserve">Consultoria Jurídica da União Especializada em Serviços Sem Dedicação Exclusiva de Mão de Obra  </w:t>
    </w:r>
  </w:p>
  <w:p>
    <w:pPr>
      <w:pStyle w:val="Rodap"/>
      <w:rPr>
        <w:rFonts w:cs="Arial"/>
        <w:sz w:val="12"/>
        <w:szCs w:val="12"/>
      </w:rPr>
    </w:pPr>
    <w:r>
      <w:rPr>
        <w:rFonts w:cs="Arial"/>
        <w:sz w:val="12"/>
        <w:szCs w:val="12"/>
      </w:rPr>
      <w:t>Edital modelo para credenciamento de pessoas físicas e jurídicas para a prestação de serviços médico-hospitalares e odontológicos</w:t>
    </w:r>
  </w:p>
  <w:p>
    <w:pPr>
      <w:pStyle w:val="Rodap"/>
      <w:rPr>
        <w:rFonts w:cs="Arial"/>
        <w:color w:val="FF0000"/>
        <w:sz w:val="12"/>
        <w:szCs w:val="12"/>
      </w:rPr>
    </w:pPr>
    <w:r>
      <w:rPr>
        <w:rFonts w:cs="Arial"/>
        <w:sz w:val="12"/>
        <w:szCs w:val="12"/>
      </w:rPr>
      <w:t>Atualização:</w:t>
    </w:r>
    <w:r>
      <w:rPr>
        <w:rFonts w:cs="Arial"/>
        <w:color w:val="FF0000"/>
        <w:sz w:val="12"/>
        <w:szCs w:val="12"/>
      </w:rPr>
      <w:t xml:space="preserve"> FEVEREIRO/2024 – LEI 14.133/2021</w:t>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Cabealho"/>
      <w:jc w:val="right"/>
      <w:rPr>
        <w:rFonts w:ascii="Ecofont_Spranq_eco_Sans" w:hAnsi="Ecofont_Spranq_eco_Sans"/>
        <w:sz w:val="16"/>
        <w:szCs w:val="16"/>
      </w:rPr>
    </w:pPr>
    <w:r>
      <w:rPr>
        <w:rFonts w:ascii="Ecofont_Spranq_eco_Sans" w:hAnsi="Ecofont_Spranq_eco_Sans"/>
        <w:sz w:val="16"/>
        <w:szCs w:val="16"/>
      </w:rPr>
      <w:fldChar w:fldCharType="begin"/>
    </w:r>
    <w:r>
      <w:rPr>
        <w:sz w:val="16"/>
        <w:szCs w:val="16"/>
        <w:rFonts w:ascii="Ecofont_Spranq_eco_Sans" w:hAnsi="Ecofont_Spranq_eco_Sans"/>
      </w:rPr>
      <w:instrText> PAGE </w:instrText>
    </w:r>
    <w:r>
      <w:rPr>
        <w:sz w:val="16"/>
        <w:szCs w:val="16"/>
        <w:rFonts w:ascii="Ecofont_Spranq_eco_Sans" w:hAnsi="Ecofont_Spranq_eco_Sans"/>
      </w:rPr>
      <w:fldChar w:fldCharType="separate"/>
    </w:r>
    <w:r>
      <w:rPr>
        <w:sz w:val="16"/>
        <w:szCs w:val="16"/>
        <w:rFonts w:ascii="Ecofont_Spranq_eco_Sans" w:hAnsi="Ecofont_Spranq_eco_Sans"/>
      </w:rPr>
      <w:t>2</w:t>
    </w:r>
    <w:r>
      <w:rPr>
        <w:sz w:val="16"/>
        <w:szCs w:val="16"/>
        <w:rFonts w:ascii="Ecofont_Spranq_eco_Sans" w:hAnsi="Ecofont_Spranq_eco_Sans"/>
      </w:rPr>
      <w:fldChar w:fldCharType="end"/>
    </w:r>
    <w:r>
      <w:rPr>
        <w:rFonts w:ascii="Ecofont_Spranq_eco_Sans" w:hAnsi="Ecofont_Spranq_eco_Sans"/>
        <w:sz w:val="16"/>
        <w:szCs w:val="16"/>
      </w:rPr>
      <w:t>/</w:t>
    </w:r>
    <w:r>
      <w:rPr>
        <w:rFonts w:ascii="Ecofont_Spranq_eco_Sans" w:hAnsi="Ecofont_Spranq_eco_Sans"/>
        <w:sz w:val="16"/>
        <w:szCs w:val="16"/>
      </w:rPr>
      <w:fldChar w:fldCharType="begin"/>
    </w:r>
    <w:r>
      <w:rPr>
        <w:sz w:val="16"/>
        <w:szCs w:val="16"/>
        <w:rFonts w:ascii="Ecofont_Spranq_eco_Sans" w:hAnsi="Ecofont_Spranq_eco_Sans"/>
      </w:rPr>
      <w:instrText> NUMPAGES </w:instrText>
    </w:r>
    <w:r>
      <w:rPr>
        <w:sz w:val="16"/>
        <w:szCs w:val="16"/>
        <w:rFonts w:ascii="Ecofont_Spranq_eco_Sans" w:hAnsi="Ecofont_Spranq_eco_Sans"/>
      </w:rPr>
      <w:fldChar w:fldCharType="separate"/>
    </w:r>
    <w:r>
      <w:rPr>
        <w:sz w:val="16"/>
        <w:szCs w:val="16"/>
        <w:rFonts w:ascii="Ecofont_Spranq_eco_Sans" w:hAnsi="Ecofont_Spranq_eco_Sans"/>
      </w:rPr>
      <w:t>30</w:t>
    </w:r>
    <w:r>
      <w:rPr>
        <w:sz w:val="16"/>
        <w:szCs w:val="16"/>
        <w:rFonts w:ascii="Ecofont_Spranq_eco_Sans" w:hAnsi="Ecofont_Spranq_eco_Sans"/>
      </w:rPr>
      <w:fldChar w:fldCharType="end"/>
    </w:r>
    <w:r>
      <w:rPr>
        <w:rFonts w:ascii="Ecofont_Spranq_eco_Sans" w:hAnsi="Ecofont_Spranq_eco_Sans"/>
        <w:sz w:val="16"/>
        <w:szCs w:val="16"/>
      </w:rPr>
      <w:t>.</w:t>
    </w:r>
  </w:p>
  <w:p>
    <w:pPr>
      <w:pStyle w:val="Cabealho"/>
      <w:rPr>
        <w:rFonts w:ascii="Ecofont_Spranq_eco_Sans" w:hAnsi="Ecofont_Spranq_eco_Sans"/>
        <w:sz w:val="16"/>
        <w:szCs w:val="16"/>
      </w:rPr>
    </w:pPr>
    <w:r>
      <w:rPr>
        <w:rFonts w:ascii="Ecofont_Spranq_eco_Sans" w:hAnsi="Ecofont_Spranq_eco_Sans"/>
        <w:sz w:val="16"/>
        <w:szCs w:val="16"/>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Cabealho"/>
      <w:jc w:val="right"/>
      <w:rPr>
        <w:rFonts w:ascii="Ecofont_Spranq_eco_Sans" w:hAnsi="Ecofont_Spranq_eco_Sans"/>
        <w:sz w:val="16"/>
        <w:szCs w:val="16"/>
      </w:rPr>
    </w:pPr>
    <w:r>
      <w:rPr>
        <w:rFonts w:ascii="Ecofont_Spranq_eco_Sans" w:hAnsi="Ecofont_Spranq_eco_Sans"/>
        <w:sz w:val="16"/>
        <w:szCs w:val="16"/>
      </w:rPr>
      <w:fldChar w:fldCharType="begin"/>
    </w:r>
    <w:r>
      <w:rPr>
        <w:sz w:val="16"/>
        <w:szCs w:val="16"/>
        <w:rFonts w:ascii="Ecofont_Spranq_eco_Sans" w:hAnsi="Ecofont_Spranq_eco_Sans"/>
      </w:rPr>
      <w:instrText> PAGE </w:instrText>
    </w:r>
    <w:r>
      <w:rPr>
        <w:sz w:val="16"/>
        <w:szCs w:val="16"/>
        <w:rFonts w:ascii="Ecofont_Spranq_eco_Sans" w:hAnsi="Ecofont_Spranq_eco_Sans"/>
      </w:rPr>
      <w:fldChar w:fldCharType="separate"/>
    </w:r>
    <w:r>
      <w:rPr>
        <w:sz w:val="16"/>
        <w:szCs w:val="16"/>
        <w:rFonts w:ascii="Ecofont_Spranq_eco_Sans" w:hAnsi="Ecofont_Spranq_eco_Sans"/>
      </w:rPr>
      <w:t>30</w:t>
    </w:r>
    <w:r>
      <w:rPr>
        <w:sz w:val="16"/>
        <w:szCs w:val="16"/>
        <w:rFonts w:ascii="Ecofont_Spranq_eco_Sans" w:hAnsi="Ecofont_Spranq_eco_Sans"/>
      </w:rPr>
      <w:fldChar w:fldCharType="end"/>
    </w:r>
    <w:r>
      <w:rPr>
        <w:rFonts w:ascii="Ecofont_Spranq_eco_Sans" w:hAnsi="Ecofont_Spranq_eco_Sans"/>
        <w:sz w:val="16"/>
        <w:szCs w:val="16"/>
      </w:rPr>
      <w:t>/</w:t>
    </w:r>
    <w:r>
      <w:rPr>
        <w:rFonts w:ascii="Ecofont_Spranq_eco_Sans" w:hAnsi="Ecofont_Spranq_eco_Sans"/>
        <w:sz w:val="16"/>
        <w:szCs w:val="16"/>
      </w:rPr>
      <w:fldChar w:fldCharType="begin"/>
    </w:r>
    <w:r>
      <w:rPr>
        <w:sz w:val="16"/>
        <w:szCs w:val="16"/>
        <w:rFonts w:ascii="Ecofont_Spranq_eco_Sans" w:hAnsi="Ecofont_Spranq_eco_Sans"/>
      </w:rPr>
      <w:instrText> NUMPAGES </w:instrText>
    </w:r>
    <w:r>
      <w:rPr>
        <w:sz w:val="16"/>
        <w:szCs w:val="16"/>
        <w:rFonts w:ascii="Ecofont_Spranq_eco_Sans" w:hAnsi="Ecofont_Spranq_eco_Sans"/>
      </w:rPr>
      <w:fldChar w:fldCharType="separate"/>
    </w:r>
    <w:r>
      <w:rPr>
        <w:sz w:val="16"/>
        <w:szCs w:val="16"/>
        <w:rFonts w:ascii="Ecofont_Spranq_eco_Sans" w:hAnsi="Ecofont_Spranq_eco_Sans"/>
      </w:rPr>
      <w:t>30</w:t>
    </w:r>
    <w:r>
      <w:rPr>
        <w:sz w:val="16"/>
        <w:szCs w:val="16"/>
        <w:rFonts w:ascii="Ecofont_Spranq_eco_Sans" w:hAnsi="Ecofont_Spranq_eco_Sans"/>
      </w:rPr>
      <w:fldChar w:fldCharType="end"/>
    </w:r>
    <w:r>
      <w:rPr>
        <w:rFonts w:ascii="Ecofont_Spranq_eco_Sans" w:hAnsi="Ecofont_Spranq_eco_Sans"/>
        <w:sz w:val="16"/>
        <w:szCs w:val="16"/>
      </w:rPr>
      <w:t>.</w:t>
    </w:r>
  </w:p>
  <w:p>
    <w:pPr>
      <w:pStyle w:val="Cabealho"/>
      <w:rPr>
        <w:rFonts w:ascii="Ecofont_Spranq_eco_Sans" w:hAnsi="Ecofont_Spranq_eco_Sans"/>
        <w:sz w:val="16"/>
        <w:szCs w:val="16"/>
      </w:rPr>
    </w:pPr>
    <w:r>
      <w:rPr>
        <w:rFonts w:ascii="Ecofont_Spranq_eco_Sans" w:hAnsi="Ecofont_Spranq_eco_Sans"/>
        <w:sz w:val="16"/>
        <w:szCs w:val="16"/>
      </w:rPr>
    </w:r>
  </w:p>
</w:hdr>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decimal"/>
      <w:lvlText w:val="%1."/>
      <w:lvlJc w:val="left"/>
      <w:pPr>
        <w:tabs>
          <w:tab w:val="num" w:pos="0"/>
        </w:tabs>
        <w:ind w:left="3054" w:hanging="360"/>
      </w:pPr>
    </w:lvl>
    <w:lvl w:ilvl="1">
      <w:start w:val="1"/>
      <w:numFmt w:val="decimal"/>
      <w:lvlText w:val="%1.%2."/>
      <w:lvlJc w:val="left"/>
      <w:pPr>
        <w:tabs>
          <w:tab w:val="num" w:pos="0"/>
        </w:tabs>
        <w:ind w:left="432" w:hanging="432"/>
      </w:pPr>
    </w:lvl>
    <w:lvl w:ilvl="2">
      <w:start w:val="1"/>
      <w:numFmt w:val="decimal"/>
      <w:lvlText w:val="%1.%2.%3."/>
      <w:lvlJc w:val="left"/>
      <w:pPr>
        <w:tabs>
          <w:tab w:val="num" w:pos="0"/>
        </w:tabs>
        <w:ind w:left="2064" w:hanging="504"/>
      </w:pPr>
    </w:lvl>
    <w:lvl w:ilvl="3">
      <w:start w:val="1"/>
      <w:numFmt w:val="decimal"/>
      <w:lvlText w:val="%1.%2.%3.%4."/>
      <w:lvlJc w:val="left"/>
      <w:pPr>
        <w:tabs>
          <w:tab w:val="num" w:pos="0"/>
        </w:tabs>
        <w:ind w:left="3059" w:hanging="648"/>
      </w:pPr>
    </w:lvl>
    <w:lvl w:ilvl="4">
      <w:start w:val="1"/>
      <w:numFmt w:val="decimal"/>
      <w:lvlText w:val="%1.%2.%3.%4.%5."/>
      <w:lvlJc w:val="left"/>
      <w:pPr>
        <w:tabs>
          <w:tab w:val="num" w:pos="0"/>
        </w:tabs>
        <w:ind w:left="4336"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2">
    <w:lvl w:ilvl="0">
      <w:start w:val="17"/>
      <w:numFmt w:val="decimal"/>
      <w:lvlText w:val="%1"/>
      <w:lvlJc w:val="left"/>
      <w:pPr>
        <w:tabs>
          <w:tab w:val="num" w:pos="0"/>
        </w:tabs>
        <w:ind w:left="600" w:hanging="600"/>
      </w:pPr>
    </w:lvl>
    <w:lvl w:ilvl="1">
      <w:start w:val="7"/>
      <w:numFmt w:val="decimal"/>
      <w:lvlText w:val="%1.%2"/>
      <w:lvlJc w:val="left"/>
      <w:pPr>
        <w:tabs>
          <w:tab w:val="num" w:pos="0"/>
        </w:tabs>
        <w:ind w:left="720" w:hanging="72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1080" w:hanging="1080"/>
      </w:pPr>
    </w:lvl>
    <w:lvl w:ilvl="4">
      <w:start w:val="1"/>
      <w:numFmt w:val="decimal"/>
      <w:lvlText w:val="%1.%2.%3.%4.%5"/>
      <w:lvlJc w:val="left"/>
      <w:pPr>
        <w:tabs>
          <w:tab w:val="num" w:pos="0"/>
        </w:tabs>
        <w:ind w:left="1440" w:hanging="1440"/>
      </w:pPr>
    </w:lvl>
    <w:lvl w:ilvl="5">
      <w:start w:val="1"/>
      <w:numFmt w:val="decimal"/>
      <w:lvlText w:val="%1.%2.%3.%4.%5.%6"/>
      <w:lvlJc w:val="left"/>
      <w:pPr>
        <w:tabs>
          <w:tab w:val="num" w:pos="0"/>
        </w:tabs>
        <w:ind w:left="1440" w:hanging="1440"/>
      </w:pPr>
    </w:lvl>
    <w:lvl w:ilvl="6">
      <w:start w:val="1"/>
      <w:numFmt w:val="decimal"/>
      <w:lvlText w:val="%1.%2.%3.%4.%5.%6.%7"/>
      <w:lvlJc w:val="left"/>
      <w:pPr>
        <w:tabs>
          <w:tab w:val="num" w:pos="0"/>
        </w:tabs>
        <w:ind w:left="1800" w:hanging="1800"/>
      </w:pPr>
    </w:lvl>
    <w:lvl w:ilvl="7">
      <w:start w:val="1"/>
      <w:numFmt w:val="decimal"/>
      <w:lvlText w:val="%1.%2.%3.%4.%5.%6.%7.%8"/>
      <w:lvlJc w:val="left"/>
      <w:pPr>
        <w:tabs>
          <w:tab w:val="num" w:pos="0"/>
        </w:tabs>
        <w:ind w:left="1800" w:hanging="1800"/>
      </w:pPr>
    </w:lvl>
    <w:lvl w:ilvl="8">
      <w:start w:val="1"/>
      <w:numFmt w:val="decimal"/>
      <w:lvlText w:val="%1.%2.%3.%4.%5.%6.%7.%8.%9"/>
      <w:lvlJc w:val="left"/>
      <w:pPr>
        <w:tabs>
          <w:tab w:val="num" w:pos="0"/>
        </w:tabs>
        <w:ind w:left="2160" w:hanging="2160"/>
      </w:pPr>
    </w:lvl>
  </w:abstractNum>
  <w:abstractNum w:abstractNumId="3">
    <w:lvl w:ilvl="0">
      <w:start w:val="8"/>
      <w:numFmt w:val="decimal"/>
      <w:lvlText w:val="%1"/>
      <w:lvlJc w:val="left"/>
      <w:pPr>
        <w:tabs>
          <w:tab w:val="num" w:pos="0"/>
        </w:tabs>
        <w:ind w:left="660" w:hanging="660"/>
      </w:pPr>
    </w:lvl>
    <w:lvl w:ilvl="1">
      <w:start w:val="1"/>
      <w:numFmt w:val="decimal"/>
      <w:lvlText w:val="%1.%2"/>
      <w:lvlJc w:val="left"/>
      <w:pPr>
        <w:tabs>
          <w:tab w:val="num" w:pos="0"/>
        </w:tabs>
        <w:ind w:left="946" w:hanging="720"/>
      </w:pPr>
    </w:lvl>
    <w:lvl w:ilvl="2">
      <w:start w:val="7"/>
      <w:numFmt w:val="decimal"/>
      <w:lvlText w:val="%1.%2.%3"/>
      <w:lvlJc w:val="left"/>
      <w:pPr>
        <w:tabs>
          <w:tab w:val="num" w:pos="0"/>
        </w:tabs>
        <w:ind w:left="1172" w:hanging="720"/>
      </w:pPr>
    </w:lvl>
    <w:lvl w:ilvl="3">
      <w:start w:val="1"/>
      <w:numFmt w:val="decimal"/>
      <w:lvlText w:val="%1.%2.%3.%4"/>
      <w:lvlJc w:val="left"/>
      <w:pPr>
        <w:tabs>
          <w:tab w:val="num" w:pos="0"/>
        </w:tabs>
        <w:ind w:left="1758" w:hanging="1080"/>
      </w:pPr>
    </w:lvl>
    <w:lvl w:ilvl="4">
      <w:start w:val="1"/>
      <w:numFmt w:val="decimal"/>
      <w:lvlText w:val="%1.%2.%3.%4.%5"/>
      <w:lvlJc w:val="left"/>
      <w:pPr>
        <w:tabs>
          <w:tab w:val="num" w:pos="0"/>
        </w:tabs>
        <w:ind w:left="2344" w:hanging="1440"/>
      </w:pPr>
    </w:lvl>
    <w:lvl w:ilvl="5">
      <w:start w:val="1"/>
      <w:numFmt w:val="decimal"/>
      <w:lvlText w:val="%1.%2.%3.%4.%5.%6"/>
      <w:lvlJc w:val="left"/>
      <w:pPr>
        <w:tabs>
          <w:tab w:val="num" w:pos="0"/>
        </w:tabs>
        <w:ind w:left="2570" w:hanging="1440"/>
      </w:pPr>
    </w:lvl>
    <w:lvl w:ilvl="6">
      <w:start w:val="1"/>
      <w:numFmt w:val="decimal"/>
      <w:lvlText w:val="%1.%2.%3.%4.%5.%6.%7"/>
      <w:lvlJc w:val="left"/>
      <w:pPr>
        <w:tabs>
          <w:tab w:val="num" w:pos="0"/>
        </w:tabs>
        <w:ind w:left="3156" w:hanging="1800"/>
      </w:pPr>
    </w:lvl>
    <w:lvl w:ilvl="7">
      <w:start w:val="1"/>
      <w:numFmt w:val="decimal"/>
      <w:lvlText w:val="%1.%2.%3.%4.%5.%6.%7.%8"/>
      <w:lvlJc w:val="left"/>
      <w:pPr>
        <w:tabs>
          <w:tab w:val="num" w:pos="0"/>
        </w:tabs>
        <w:ind w:left="3382" w:hanging="1800"/>
      </w:pPr>
    </w:lvl>
    <w:lvl w:ilvl="8">
      <w:start w:val="1"/>
      <w:numFmt w:val="decimal"/>
      <w:lvlText w:val="%1.%2.%3.%4.%5.%6.%7.%8.%9"/>
      <w:lvlJc w:val="left"/>
      <w:pPr>
        <w:tabs>
          <w:tab w:val="num" w:pos="0"/>
        </w:tabs>
        <w:ind w:left="3968" w:hanging="2160"/>
      </w:pPr>
    </w:lvl>
  </w:abstractNum>
  <w:abstractNum w:abstractNumId="4">
    <w:lvl w:ilvl="0">
      <w:start w:val="8"/>
      <w:numFmt w:val="decimal"/>
      <w:lvlText w:val="%1"/>
      <w:lvlJc w:val="left"/>
      <w:pPr>
        <w:tabs>
          <w:tab w:val="num" w:pos="0"/>
        </w:tabs>
        <w:ind w:left="960" w:hanging="960"/>
      </w:pPr>
    </w:lvl>
    <w:lvl w:ilvl="1">
      <w:start w:val="1"/>
      <w:numFmt w:val="decimal"/>
      <w:lvlText w:val="%1.%2"/>
      <w:lvlJc w:val="left"/>
      <w:pPr>
        <w:tabs>
          <w:tab w:val="num" w:pos="0"/>
        </w:tabs>
        <w:ind w:left="1271" w:hanging="960"/>
      </w:pPr>
    </w:lvl>
    <w:lvl w:ilvl="2">
      <w:start w:val="7"/>
      <w:numFmt w:val="decimal"/>
      <w:lvlText w:val="%1.%2.%3"/>
      <w:lvlJc w:val="left"/>
      <w:pPr>
        <w:tabs>
          <w:tab w:val="num" w:pos="0"/>
        </w:tabs>
        <w:ind w:left="1582" w:hanging="960"/>
      </w:pPr>
    </w:lvl>
    <w:lvl w:ilvl="3">
      <w:start w:val="22"/>
      <w:numFmt w:val="decimal"/>
      <w:lvlText w:val="%1.%2.%3.%4"/>
      <w:lvlJc w:val="left"/>
      <w:pPr>
        <w:tabs>
          <w:tab w:val="num" w:pos="0"/>
        </w:tabs>
        <w:ind w:left="2013" w:hanging="1080"/>
      </w:pPr>
    </w:lvl>
    <w:lvl w:ilvl="4">
      <w:start w:val="2"/>
      <w:numFmt w:val="decimal"/>
      <w:lvlText w:val="%1.%2.%3.%4.%5"/>
      <w:lvlJc w:val="left"/>
      <w:pPr>
        <w:tabs>
          <w:tab w:val="num" w:pos="0"/>
        </w:tabs>
        <w:ind w:left="2684" w:hanging="1440"/>
      </w:pPr>
    </w:lvl>
    <w:lvl w:ilvl="5">
      <w:start w:val="1"/>
      <w:numFmt w:val="decimal"/>
      <w:lvlText w:val="%1.%2.%3.%4.%5.%6"/>
      <w:lvlJc w:val="left"/>
      <w:pPr>
        <w:tabs>
          <w:tab w:val="num" w:pos="0"/>
        </w:tabs>
        <w:ind w:left="2995" w:hanging="1440"/>
      </w:pPr>
    </w:lvl>
    <w:lvl w:ilvl="6">
      <w:start w:val="1"/>
      <w:numFmt w:val="decimal"/>
      <w:lvlText w:val="%1.%2.%3.%4.%5.%6.%7"/>
      <w:lvlJc w:val="left"/>
      <w:pPr>
        <w:tabs>
          <w:tab w:val="num" w:pos="0"/>
        </w:tabs>
        <w:ind w:left="3666" w:hanging="1800"/>
      </w:pPr>
    </w:lvl>
    <w:lvl w:ilvl="7">
      <w:start w:val="1"/>
      <w:numFmt w:val="decimal"/>
      <w:lvlText w:val="%1.%2.%3.%4.%5.%6.%7.%8"/>
      <w:lvlJc w:val="left"/>
      <w:pPr>
        <w:tabs>
          <w:tab w:val="num" w:pos="0"/>
        </w:tabs>
        <w:ind w:left="3977" w:hanging="1800"/>
      </w:pPr>
    </w:lvl>
    <w:lvl w:ilvl="8">
      <w:start w:val="1"/>
      <w:numFmt w:val="decimal"/>
      <w:lvlText w:val="%1.%2.%3.%4.%5.%6.%7.%8.%9"/>
      <w:lvlJc w:val="left"/>
      <w:pPr>
        <w:tabs>
          <w:tab w:val="num" w:pos="0"/>
        </w:tabs>
        <w:ind w:left="4648" w:hanging="2160"/>
      </w:pPr>
    </w:lvl>
  </w:abstractNum>
  <w:abstractNum w:abstractNumId="5">
    <w:lvl w:ilvl="0">
      <w:start w:val="9"/>
      <w:numFmt w:val="decimal"/>
      <w:lvlText w:val="%1"/>
      <w:lvlJc w:val="left"/>
      <w:pPr>
        <w:tabs>
          <w:tab w:val="num" w:pos="0"/>
        </w:tabs>
        <w:ind w:left="360" w:hanging="360"/>
      </w:pPr>
    </w:lvl>
    <w:lvl w:ilvl="1">
      <w:start w:val="1"/>
      <w:numFmt w:val="decimal"/>
      <w:lvlText w:val="%1.%2"/>
      <w:lvlJc w:val="left"/>
      <w:pPr>
        <w:tabs>
          <w:tab w:val="num" w:pos="0"/>
        </w:tabs>
        <w:ind w:left="720" w:hanging="72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1080" w:hanging="1080"/>
      </w:pPr>
    </w:lvl>
    <w:lvl w:ilvl="4">
      <w:start w:val="1"/>
      <w:numFmt w:val="decimal"/>
      <w:lvlText w:val="%1.%2.%3.%4.%5"/>
      <w:lvlJc w:val="left"/>
      <w:pPr>
        <w:tabs>
          <w:tab w:val="num" w:pos="0"/>
        </w:tabs>
        <w:ind w:left="1440" w:hanging="1440"/>
      </w:pPr>
    </w:lvl>
    <w:lvl w:ilvl="5">
      <w:start w:val="1"/>
      <w:numFmt w:val="decimal"/>
      <w:lvlText w:val="%1.%2.%3.%4.%5.%6"/>
      <w:lvlJc w:val="left"/>
      <w:pPr>
        <w:tabs>
          <w:tab w:val="num" w:pos="0"/>
        </w:tabs>
        <w:ind w:left="1440" w:hanging="1440"/>
      </w:pPr>
    </w:lvl>
    <w:lvl w:ilvl="6">
      <w:start w:val="1"/>
      <w:numFmt w:val="decimal"/>
      <w:lvlText w:val="%1.%2.%3.%4.%5.%6.%7"/>
      <w:lvlJc w:val="left"/>
      <w:pPr>
        <w:tabs>
          <w:tab w:val="num" w:pos="0"/>
        </w:tabs>
        <w:ind w:left="1800" w:hanging="1800"/>
      </w:pPr>
    </w:lvl>
    <w:lvl w:ilvl="7">
      <w:start w:val="1"/>
      <w:numFmt w:val="decimal"/>
      <w:lvlText w:val="%1.%2.%3.%4.%5.%6.%7.%8"/>
      <w:lvlJc w:val="left"/>
      <w:pPr>
        <w:tabs>
          <w:tab w:val="num" w:pos="0"/>
        </w:tabs>
        <w:ind w:left="1800" w:hanging="1800"/>
      </w:pPr>
    </w:lvl>
    <w:lvl w:ilvl="8">
      <w:start w:val="1"/>
      <w:numFmt w:val="decimal"/>
      <w:lvlText w:val="%1.%2.%3.%4.%5.%6.%7.%8.%9"/>
      <w:lvlJc w:val="left"/>
      <w:pPr>
        <w:tabs>
          <w:tab w:val="num" w:pos="0"/>
        </w:tabs>
        <w:ind w:left="2160" w:hanging="2160"/>
      </w:pPr>
    </w:lvl>
  </w:abstractNum>
  <w:abstractNum w:abstractNumId="6">
    <w:lvl w:ilvl="0">
      <w:start w:val="10"/>
      <w:numFmt w:val="decimal"/>
      <w:lvlText w:val="%1"/>
      <w:lvlJc w:val="left"/>
      <w:pPr>
        <w:tabs>
          <w:tab w:val="num" w:pos="0"/>
        </w:tabs>
        <w:ind w:left="420" w:hanging="420"/>
      </w:pPr>
    </w:lvl>
    <w:lvl w:ilvl="1">
      <w:start w:val="1"/>
      <w:numFmt w:val="decimal"/>
      <w:lvlText w:val="%1.%2"/>
      <w:lvlJc w:val="left"/>
      <w:pPr>
        <w:tabs>
          <w:tab w:val="num" w:pos="0"/>
        </w:tabs>
        <w:ind w:left="720" w:hanging="72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1080" w:hanging="1080"/>
      </w:pPr>
    </w:lvl>
    <w:lvl w:ilvl="4">
      <w:start w:val="1"/>
      <w:numFmt w:val="decimal"/>
      <w:lvlText w:val="%1.%2.%3.%4.%5"/>
      <w:lvlJc w:val="left"/>
      <w:pPr>
        <w:tabs>
          <w:tab w:val="num" w:pos="0"/>
        </w:tabs>
        <w:ind w:left="1440" w:hanging="1440"/>
      </w:pPr>
    </w:lvl>
    <w:lvl w:ilvl="5">
      <w:start w:val="1"/>
      <w:numFmt w:val="decimal"/>
      <w:lvlText w:val="%1.%2.%3.%4.%5.%6"/>
      <w:lvlJc w:val="left"/>
      <w:pPr>
        <w:tabs>
          <w:tab w:val="num" w:pos="0"/>
        </w:tabs>
        <w:ind w:left="1440" w:hanging="1440"/>
      </w:pPr>
    </w:lvl>
    <w:lvl w:ilvl="6">
      <w:start w:val="1"/>
      <w:numFmt w:val="decimal"/>
      <w:lvlText w:val="%1.%2.%3.%4.%5.%6.%7"/>
      <w:lvlJc w:val="left"/>
      <w:pPr>
        <w:tabs>
          <w:tab w:val="num" w:pos="0"/>
        </w:tabs>
        <w:ind w:left="1800" w:hanging="1800"/>
      </w:pPr>
    </w:lvl>
    <w:lvl w:ilvl="7">
      <w:start w:val="1"/>
      <w:numFmt w:val="decimal"/>
      <w:lvlText w:val="%1.%2.%3.%4.%5.%6.%7.%8"/>
      <w:lvlJc w:val="left"/>
      <w:pPr>
        <w:tabs>
          <w:tab w:val="num" w:pos="0"/>
        </w:tabs>
        <w:ind w:left="1800" w:hanging="1800"/>
      </w:pPr>
    </w:lvl>
    <w:lvl w:ilvl="8">
      <w:start w:val="1"/>
      <w:numFmt w:val="decimal"/>
      <w:lvlText w:val="%1.%2.%3.%4.%5.%6.%7.%8.%9"/>
      <w:lvlJc w:val="left"/>
      <w:pPr>
        <w:tabs>
          <w:tab w:val="num" w:pos="0"/>
        </w:tabs>
        <w:ind w:left="2160" w:hanging="2160"/>
      </w:pPr>
    </w:lvl>
  </w:abstractNum>
  <w:abstractNum w:abstractNumId="7">
    <w:lvl w:ilvl="0">
      <w:start w:val="12"/>
      <w:numFmt w:val="decimal"/>
      <w:lvlText w:val="%1"/>
      <w:lvlJc w:val="left"/>
      <w:pPr>
        <w:tabs>
          <w:tab w:val="num" w:pos="0"/>
        </w:tabs>
        <w:ind w:left="420" w:hanging="420"/>
      </w:pPr>
    </w:lvl>
    <w:lvl w:ilvl="1">
      <w:start w:val="1"/>
      <w:numFmt w:val="decimal"/>
      <w:lvlText w:val="%1.%2"/>
      <w:lvlJc w:val="left"/>
      <w:pPr>
        <w:tabs>
          <w:tab w:val="num" w:pos="0"/>
        </w:tabs>
        <w:ind w:left="1031" w:hanging="720"/>
      </w:pPr>
      <w:rPr>
        <w:sz w:val="20"/>
        <w:szCs w:val="20"/>
        <w:rFonts w:cs="Times New Roman"/>
        <w:color w:val="auto"/>
      </w:rPr>
    </w:lvl>
    <w:lvl w:ilvl="2">
      <w:start w:val="1"/>
      <w:numFmt w:val="decimal"/>
      <w:lvlText w:val="%1.%2.%3"/>
      <w:lvlJc w:val="left"/>
      <w:pPr>
        <w:tabs>
          <w:tab w:val="num" w:pos="0"/>
        </w:tabs>
        <w:ind w:left="1342" w:hanging="720"/>
      </w:pPr>
    </w:lvl>
    <w:lvl w:ilvl="3">
      <w:start w:val="1"/>
      <w:numFmt w:val="decimal"/>
      <w:lvlText w:val="%1.%2.%3.%4"/>
      <w:lvlJc w:val="left"/>
      <w:pPr>
        <w:tabs>
          <w:tab w:val="num" w:pos="0"/>
        </w:tabs>
        <w:ind w:left="2013" w:hanging="1080"/>
      </w:pPr>
    </w:lvl>
    <w:lvl w:ilvl="4">
      <w:start w:val="1"/>
      <w:numFmt w:val="decimal"/>
      <w:lvlText w:val="%1.%2.%3.%4.%5"/>
      <w:lvlJc w:val="left"/>
      <w:pPr>
        <w:tabs>
          <w:tab w:val="num" w:pos="0"/>
        </w:tabs>
        <w:ind w:left="2684" w:hanging="1440"/>
      </w:pPr>
    </w:lvl>
    <w:lvl w:ilvl="5">
      <w:start w:val="1"/>
      <w:numFmt w:val="decimal"/>
      <w:lvlText w:val="%1.%2.%3.%4.%5.%6"/>
      <w:lvlJc w:val="left"/>
      <w:pPr>
        <w:tabs>
          <w:tab w:val="num" w:pos="0"/>
        </w:tabs>
        <w:ind w:left="2995" w:hanging="1440"/>
      </w:pPr>
    </w:lvl>
    <w:lvl w:ilvl="6">
      <w:start w:val="1"/>
      <w:numFmt w:val="decimal"/>
      <w:lvlText w:val="%1.%2.%3.%4.%5.%6.%7"/>
      <w:lvlJc w:val="left"/>
      <w:pPr>
        <w:tabs>
          <w:tab w:val="num" w:pos="0"/>
        </w:tabs>
        <w:ind w:left="3666" w:hanging="1800"/>
      </w:pPr>
    </w:lvl>
    <w:lvl w:ilvl="7">
      <w:start w:val="1"/>
      <w:numFmt w:val="decimal"/>
      <w:lvlText w:val="%1.%2.%3.%4.%5.%6.%7.%8"/>
      <w:lvlJc w:val="left"/>
      <w:pPr>
        <w:tabs>
          <w:tab w:val="num" w:pos="0"/>
        </w:tabs>
        <w:ind w:left="3977" w:hanging="1800"/>
      </w:pPr>
    </w:lvl>
    <w:lvl w:ilvl="8">
      <w:start w:val="1"/>
      <w:numFmt w:val="decimal"/>
      <w:lvlText w:val="%1.%2.%3.%4.%5.%6.%7.%8.%9"/>
      <w:lvlJc w:val="left"/>
      <w:pPr>
        <w:tabs>
          <w:tab w:val="num" w:pos="0"/>
        </w:tabs>
        <w:ind w:left="4648" w:hanging="2160"/>
      </w:pPr>
    </w:lvl>
  </w:abstractNum>
  <w:abstractNum w:abstractNumId="8">
    <w:lvl w:ilvl="0">
      <w:start w:val="13"/>
      <w:numFmt w:val="decimal"/>
      <w:lvlText w:val="%1."/>
      <w:lvlJc w:val="left"/>
      <w:pPr>
        <w:tabs>
          <w:tab w:val="num" w:pos="0"/>
        </w:tabs>
        <w:ind w:left="3054" w:hanging="360"/>
      </w:pPr>
    </w:lvl>
    <w:lvl w:ilvl="1">
      <w:start w:val="1"/>
      <w:numFmt w:val="decimal"/>
      <w:lvlText w:val="%1.%2."/>
      <w:lvlJc w:val="left"/>
      <w:pPr>
        <w:tabs>
          <w:tab w:val="num" w:pos="0"/>
        </w:tabs>
        <w:ind w:left="432" w:hanging="432"/>
      </w:pPr>
    </w:lvl>
    <w:lvl w:ilvl="2">
      <w:start w:val="1"/>
      <w:numFmt w:val="decimal"/>
      <w:lvlText w:val="%1.%2.%3."/>
      <w:lvlJc w:val="left"/>
      <w:pPr>
        <w:tabs>
          <w:tab w:val="num" w:pos="0"/>
        </w:tabs>
        <w:ind w:left="3482" w:hanging="504"/>
      </w:pPr>
    </w:lvl>
    <w:lvl w:ilvl="3">
      <w:start w:val="1"/>
      <w:numFmt w:val="decimal"/>
      <w:lvlText w:val="%1.%2.%3.%4."/>
      <w:lvlJc w:val="left"/>
      <w:pPr>
        <w:tabs>
          <w:tab w:val="num" w:pos="0"/>
        </w:tabs>
        <w:ind w:left="1925"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9">
    <w:lvl w:ilvl="0">
      <w:start w:val="8"/>
      <w:numFmt w:val="decimal"/>
      <w:lvlText w:val="%1"/>
      <w:lvlJc w:val="left"/>
      <w:pPr>
        <w:tabs>
          <w:tab w:val="num" w:pos="0"/>
        </w:tabs>
        <w:ind w:left="480" w:hanging="480"/>
      </w:pPr>
    </w:lvl>
    <w:lvl w:ilvl="1">
      <w:start w:val="8"/>
      <w:numFmt w:val="decimal"/>
      <w:lvlText w:val="%1.%2"/>
      <w:lvlJc w:val="left"/>
      <w:pPr>
        <w:tabs>
          <w:tab w:val="num" w:pos="0"/>
        </w:tabs>
        <w:ind w:left="1080" w:hanging="720"/>
      </w:pPr>
    </w:lvl>
    <w:lvl w:ilvl="2">
      <w:start w:val="1"/>
      <w:numFmt w:val="decimal"/>
      <w:lvlText w:val="%1.%2.%3"/>
      <w:lvlJc w:val="left"/>
      <w:pPr>
        <w:tabs>
          <w:tab w:val="num" w:pos="0"/>
        </w:tabs>
        <w:ind w:left="1440" w:hanging="720"/>
      </w:pPr>
    </w:lvl>
    <w:lvl w:ilvl="3">
      <w:start w:val="1"/>
      <w:numFmt w:val="decimal"/>
      <w:lvlText w:val="%1.%2.%3.%4"/>
      <w:lvlJc w:val="left"/>
      <w:pPr>
        <w:tabs>
          <w:tab w:val="num" w:pos="0"/>
        </w:tabs>
        <w:ind w:left="2160" w:hanging="1080"/>
      </w:pPr>
    </w:lvl>
    <w:lvl w:ilvl="4">
      <w:start w:val="1"/>
      <w:numFmt w:val="decimal"/>
      <w:lvlText w:val="%1.%2.%3.%4.%5"/>
      <w:lvlJc w:val="left"/>
      <w:pPr>
        <w:tabs>
          <w:tab w:val="num" w:pos="0"/>
        </w:tabs>
        <w:ind w:left="2880" w:hanging="1440"/>
      </w:pPr>
    </w:lvl>
    <w:lvl w:ilvl="5">
      <w:start w:val="1"/>
      <w:numFmt w:val="decimal"/>
      <w:lvlText w:val="%1.%2.%3.%4.%5.%6"/>
      <w:lvlJc w:val="left"/>
      <w:pPr>
        <w:tabs>
          <w:tab w:val="num" w:pos="0"/>
        </w:tabs>
        <w:ind w:left="3240" w:hanging="1440"/>
      </w:pPr>
    </w:lvl>
    <w:lvl w:ilvl="6">
      <w:start w:val="1"/>
      <w:numFmt w:val="decimal"/>
      <w:lvlText w:val="%1.%2.%3.%4.%5.%6.%7"/>
      <w:lvlJc w:val="left"/>
      <w:pPr>
        <w:tabs>
          <w:tab w:val="num" w:pos="0"/>
        </w:tabs>
        <w:ind w:left="3960" w:hanging="1800"/>
      </w:pPr>
    </w:lvl>
    <w:lvl w:ilvl="7">
      <w:start w:val="1"/>
      <w:numFmt w:val="decimal"/>
      <w:lvlText w:val="%1.%2.%3.%4.%5.%6.%7.%8"/>
      <w:lvlJc w:val="left"/>
      <w:pPr>
        <w:tabs>
          <w:tab w:val="num" w:pos="0"/>
        </w:tabs>
        <w:ind w:left="4320" w:hanging="1800"/>
      </w:pPr>
    </w:lvl>
    <w:lvl w:ilvl="8">
      <w:start w:val="1"/>
      <w:numFmt w:val="decimal"/>
      <w:lvlText w:val="%1.%2.%3.%4.%5.%6.%7.%8.%9"/>
      <w:lvlJc w:val="left"/>
      <w:pPr>
        <w:tabs>
          <w:tab w:val="num" w:pos="0"/>
        </w:tabs>
        <w:ind w:left="5040" w:hanging="2160"/>
      </w:pPr>
    </w:lvl>
  </w:abstractNum>
  <w:abstractNum w:abstractNumId="10">
    <w:lvl w:ilvl="0">
      <w:start w:val="1"/>
      <w:numFmt w:val="decimal"/>
      <w:lvlText w:val="%1."/>
      <w:lvlJc w:val="left"/>
      <w:pPr>
        <w:tabs>
          <w:tab w:val="num" w:pos="0"/>
        </w:tabs>
        <w:ind w:left="360" w:hanging="360"/>
      </w:p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1">
    <w:lvl w:ilvl="0">
      <w:start w:val="1"/>
      <w:numFmt w:val="decimal"/>
      <w:lvlText w:val="%1."/>
      <w:lvlJc w:val="left"/>
      <w:pPr>
        <w:tabs>
          <w:tab w:val="num" w:pos="0"/>
        </w:tabs>
        <w:ind w:left="360" w:hanging="360"/>
      </w:p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2">
    <w:lvl w:ilvl="0">
      <w:start w:val="1"/>
      <w:numFmt w:val="decimal"/>
      <w:lvlText w:val="%1."/>
      <w:lvlJc w:val="left"/>
      <w:pPr>
        <w:tabs>
          <w:tab w:val="num" w:pos="0"/>
        </w:tabs>
        <w:ind w:left="360" w:hanging="360"/>
      </w:p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3">
    <w:lvl w:ilvl="0">
      <w:start w:val="1"/>
      <w:numFmt w:val="decimal"/>
      <w:lvlText w:val="%1."/>
      <w:lvlJc w:val="left"/>
      <w:pPr>
        <w:tabs>
          <w:tab w:val="num" w:pos="0"/>
        </w:tabs>
        <w:ind w:left="360" w:hanging="360"/>
      </w:p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4">
    <w:lvl w:ilvl="0">
      <w:start w:val="1"/>
      <w:numFmt w:val="decimal"/>
      <w:lvlText w:val="%1."/>
      <w:lvlJc w:val="left"/>
      <w:pPr>
        <w:tabs>
          <w:tab w:val="num" w:pos="0"/>
        </w:tabs>
        <w:ind w:left="360" w:hanging="360"/>
      </w:p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5">
    <w:lvl w:ilvl="0">
      <w:start w:val="1"/>
      <w:numFmt w:val="decimal"/>
      <w:lvlText w:val="%1."/>
      <w:lvlJc w:val="left"/>
      <w:pPr>
        <w:tabs>
          <w:tab w:val="num" w:pos="0"/>
        </w:tabs>
        <w:ind w:left="360" w:hanging="360"/>
      </w:p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6">
    <w:lvl w:ilvl="0">
      <w:start w:val="1"/>
      <w:numFmt w:val="decimal"/>
      <w:lvlText w:val="%1."/>
      <w:lvlJc w:val="left"/>
      <w:pPr>
        <w:tabs>
          <w:tab w:val="num" w:pos="0"/>
        </w:tabs>
        <w:ind w:left="360" w:hanging="360"/>
      </w:p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7">
    <w:lvl w:ilvl="0">
      <w:start w:val="1"/>
      <w:numFmt w:val="decimal"/>
      <w:lvlText w:val="%1."/>
      <w:lvlJc w:val="left"/>
      <w:pPr>
        <w:tabs>
          <w:tab w:val="num" w:pos="0"/>
        </w:tabs>
        <w:ind w:left="360" w:hanging="360"/>
      </w:p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8">
    <w:lvl w:ilvl="0">
      <w:start w:val="1"/>
      <w:numFmt w:val="decimal"/>
      <w:lvlText w:val="%1."/>
      <w:lvlJc w:val="left"/>
      <w:pPr>
        <w:tabs>
          <w:tab w:val="num" w:pos="0"/>
        </w:tabs>
        <w:ind w:left="360" w:hanging="360"/>
      </w:p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9">
    <w:lvl w:ilvl="0">
      <w:start w:val="1"/>
      <w:numFmt w:val="decimal"/>
      <w:lvlText w:val="%1."/>
      <w:lvlJc w:val="left"/>
      <w:pPr>
        <w:tabs>
          <w:tab w:val="num" w:pos="0"/>
        </w:tabs>
        <w:ind w:left="360" w:hanging="360"/>
      </w:p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20">
    <w:lvl w:ilvl="0">
      <w:start w:val="1"/>
      <w:numFmt w:val="decimal"/>
      <w:lvlText w:val="%1."/>
      <w:lvlJc w:val="left"/>
      <w:pPr>
        <w:tabs>
          <w:tab w:val="num" w:pos="0"/>
        </w:tabs>
        <w:ind w:left="360" w:hanging="360"/>
      </w:p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21">
    <w:lvl w:ilvl="0">
      <w:start w:val="1"/>
      <w:numFmt w:val="decimal"/>
      <w:lvlText w:val="%1."/>
      <w:lvlJc w:val="left"/>
      <w:pPr>
        <w:tabs>
          <w:tab w:val="num" w:pos="0"/>
        </w:tabs>
        <w:ind w:left="360" w:hanging="360"/>
      </w:p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22">
    <w:lvl w:ilvl="0">
      <w:start w:val="1"/>
      <w:numFmt w:val="decimal"/>
      <w:lvlText w:val="%1."/>
      <w:lvlJc w:val="left"/>
      <w:pPr>
        <w:tabs>
          <w:tab w:val="num" w:pos="0"/>
        </w:tabs>
        <w:ind w:left="360" w:hanging="360"/>
      </w:p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23">
    <w:lvl w:ilvl="0">
      <w:start w:val="1"/>
      <w:numFmt w:val="decimal"/>
      <w:lvlText w:val="%1."/>
      <w:lvlJc w:val="left"/>
      <w:pPr>
        <w:tabs>
          <w:tab w:val="num" w:pos="0"/>
        </w:tabs>
        <w:ind w:left="360" w:hanging="360"/>
      </w:p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24">
    <w:lvl w:ilvl="0">
      <w:start w:val="1"/>
      <w:numFmt w:val="decimal"/>
      <w:lvlText w:val="%1."/>
      <w:lvlJc w:val="left"/>
      <w:pPr>
        <w:tabs>
          <w:tab w:val="num" w:pos="0"/>
        </w:tabs>
        <w:ind w:left="360" w:hanging="360"/>
      </w:p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25">
    <w:lvl w:ilvl="0">
      <w:start w:val="1"/>
      <w:numFmt w:val="decimal"/>
      <w:lvlText w:val="%1."/>
      <w:lvlJc w:val="left"/>
      <w:pPr>
        <w:tabs>
          <w:tab w:val="num" w:pos="0"/>
        </w:tabs>
        <w:ind w:left="360" w:hanging="360"/>
      </w:p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26">
    <w:lvl w:ilvl="0">
      <w:start w:val="1"/>
      <w:numFmt w:val="decimal"/>
      <w:lvlText w:val="%1."/>
      <w:lvlJc w:val="left"/>
      <w:pPr>
        <w:tabs>
          <w:tab w:val="num" w:pos="0"/>
        </w:tabs>
        <w:ind w:left="360" w:hanging="360"/>
      </w:p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27">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10"/>
    <w:lvlOverride w:ilvl="0">
      <w:startOverride w:val="1"/>
    </w:lvlOverride>
  </w:num>
  <w:num w:numId="29">
    <w:abstractNumId w:val="10"/>
  </w:num>
  <w:num w:numId="30">
    <w:abstractNumId w:val="10"/>
  </w:num>
  <w:num w:numId="31">
    <w:abstractNumId w:val="10"/>
  </w:num>
  <w:num w:numId="32">
    <w:abstractNumId w:val="10"/>
  </w:num>
  <w:num w:numId="33">
    <w:abstractNumId w:val="10"/>
  </w:num>
  <w:num w:numId="34">
    <w:abstractNumId w:val="10"/>
  </w:num>
  <w:num w:numId="35">
    <w:abstractNumId w:val="10"/>
  </w:num>
  <w:num w:numId="36">
    <w:abstractNumId w:val="10"/>
  </w:num>
  <w:num w:numId="37">
    <w:abstractNumId w:val="10"/>
  </w:num>
  <w:num w:numId="38">
    <w:abstractNumId w:val="10"/>
  </w:num>
  <w:num w:numId="39">
    <w:abstractNumId w:val="10"/>
  </w:num>
  <w:num w:numId="40">
    <w:abstractNumId w:val="10"/>
  </w:num>
  <w:num w:numId="41">
    <w:abstractNumId w:val="10"/>
  </w:num>
  <w:num w:numId="42">
    <w:abstractNumId w:val="10"/>
  </w:num>
  <w:num w:numId="43">
    <w:abstractNumId w:val="10"/>
  </w:num>
  <w:num w:numId="44">
    <w:abstractNumId w:val="10"/>
  </w:num>
</w:numbering>
</file>

<file path=word/settings.xml><?xml version="1.0" encoding="utf-8"?>
<w:settings xmlns:w="http://schemas.openxmlformats.org/wordprocessingml/2006/main">
  <w:zoom w:percent="100"/>
  <w:defaultTabStop w:val="709"/>
  <w:autoHyphenation w:val="tru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hyphenationZone w:val="425"/>
  <w:themeFontLang w:val="pt-BR"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 w:cs="" w:asciiTheme="minorHAnsi" w:cstheme="minorBidi" w:eastAsiaTheme="minorEastAsia" w:hAnsiTheme="minorHAnsi"/>
        <w:lang w:val="pt-BR" w:eastAsia="pt-BR" w:bidi="ar-SA"/>
      </w:rPr>
    </w:rPrDefault>
    <w:pPrDefault>
      <w:pPr>
        <w:suppressAutoHyphens w:val="true"/>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67632b"/>
    <w:pPr>
      <w:widowControl/>
      <w:suppressAutoHyphens w:val="true"/>
      <w:bidi w:val="0"/>
      <w:spacing w:lineRule="auto" w:line="264" w:before="0" w:after="120"/>
      <w:jc w:val="left"/>
    </w:pPr>
    <w:rPr>
      <w:rFonts w:ascii="Calibri" w:hAnsi="Calibri" w:eastAsia="" w:cs="" w:asciiTheme="minorHAnsi" w:cstheme="minorBidi" w:eastAsiaTheme="minorEastAsia" w:hAnsiTheme="minorHAnsi"/>
      <w:color w:val="auto"/>
      <w:kern w:val="0"/>
      <w:sz w:val="20"/>
      <w:szCs w:val="20"/>
      <w:lang w:val="pt-BR" w:eastAsia="pt-BR" w:bidi="ar-SA"/>
    </w:rPr>
  </w:style>
  <w:style w:type="paragraph" w:styleId="Ttulo1">
    <w:name w:val="Heading 1"/>
    <w:basedOn w:val="Normal"/>
    <w:next w:val="Normal"/>
    <w:link w:val="Ttulo1Char"/>
    <w:uiPriority w:val="9"/>
    <w:qFormat/>
    <w:rsid w:val="0067632b"/>
    <w:pPr>
      <w:keepNext w:val="true"/>
      <w:keepLines/>
      <w:spacing w:lineRule="auto" w:line="240" w:before="320" w:after="0"/>
      <w:outlineLvl w:val="0"/>
    </w:pPr>
    <w:rPr>
      <w:rFonts w:ascii="Cambria" w:hAnsi="Cambria" w:eastAsia="" w:cs="" w:asciiTheme="majorHAnsi" w:cstheme="majorBidi" w:eastAsiaTheme="majorEastAsia" w:hAnsiTheme="majorHAnsi"/>
      <w:color w:val="365F91" w:themeColor="accent1" w:themeShade="bf"/>
      <w:sz w:val="32"/>
      <w:szCs w:val="32"/>
    </w:rPr>
  </w:style>
  <w:style w:type="paragraph" w:styleId="Ttulo2">
    <w:name w:val="Heading 2"/>
    <w:basedOn w:val="Normal"/>
    <w:next w:val="Normal"/>
    <w:link w:val="Ttulo2Char"/>
    <w:uiPriority w:val="9"/>
    <w:unhideWhenUsed/>
    <w:qFormat/>
    <w:rsid w:val="0067632b"/>
    <w:pPr>
      <w:keepNext w:val="true"/>
      <w:keepLines/>
      <w:spacing w:lineRule="auto" w:line="240" w:before="80" w:after="0"/>
      <w:outlineLvl w:val="1"/>
    </w:pPr>
    <w:rPr>
      <w:rFonts w:ascii="Cambria" w:hAnsi="Cambria" w:eastAsia="" w:cs="" w:asciiTheme="majorHAnsi" w:cstheme="majorBidi" w:eastAsiaTheme="majorEastAsia" w:hAnsiTheme="majorHAnsi"/>
      <w:color w:val="404040" w:themeColor="text1" w:themeTint="bf"/>
      <w:sz w:val="28"/>
      <w:szCs w:val="28"/>
    </w:rPr>
  </w:style>
  <w:style w:type="paragraph" w:styleId="Ttulo3">
    <w:name w:val="Heading 3"/>
    <w:basedOn w:val="Normal"/>
    <w:next w:val="Normal"/>
    <w:link w:val="Ttulo3Char"/>
    <w:uiPriority w:val="9"/>
    <w:semiHidden/>
    <w:unhideWhenUsed/>
    <w:qFormat/>
    <w:rsid w:val="0067632b"/>
    <w:pPr>
      <w:keepNext w:val="true"/>
      <w:keepLines/>
      <w:spacing w:lineRule="auto" w:line="240" w:before="40" w:after="0"/>
      <w:outlineLvl w:val="2"/>
    </w:pPr>
    <w:rPr>
      <w:rFonts w:ascii="Cambria" w:hAnsi="Cambria" w:eastAsia="" w:cs="" w:asciiTheme="majorHAnsi" w:cstheme="majorBidi" w:eastAsiaTheme="majorEastAsia" w:hAnsiTheme="majorHAnsi"/>
      <w:color w:val="1F497D" w:themeColor="text2"/>
      <w:sz w:val="24"/>
      <w:szCs w:val="24"/>
    </w:rPr>
  </w:style>
  <w:style w:type="paragraph" w:styleId="Ttulo4">
    <w:name w:val="Heading 4"/>
    <w:basedOn w:val="Normal"/>
    <w:next w:val="Normal"/>
    <w:link w:val="Ttulo4Char"/>
    <w:uiPriority w:val="9"/>
    <w:semiHidden/>
    <w:unhideWhenUsed/>
    <w:qFormat/>
    <w:rsid w:val="0067632b"/>
    <w:pPr>
      <w:keepNext w:val="true"/>
      <w:keepLines/>
      <w:spacing w:before="40" w:after="0"/>
      <w:outlineLvl w:val="3"/>
    </w:pPr>
    <w:rPr>
      <w:rFonts w:ascii="Cambria" w:hAnsi="Cambria" w:eastAsia="" w:cs="" w:asciiTheme="majorHAnsi" w:cstheme="majorBidi" w:eastAsiaTheme="majorEastAsia" w:hAnsiTheme="majorHAnsi"/>
      <w:sz w:val="22"/>
      <w:szCs w:val="22"/>
    </w:rPr>
  </w:style>
  <w:style w:type="paragraph" w:styleId="Ttulo5">
    <w:name w:val="Heading 5"/>
    <w:basedOn w:val="Normal"/>
    <w:next w:val="Normal"/>
    <w:link w:val="Ttulo5Char"/>
    <w:uiPriority w:val="9"/>
    <w:semiHidden/>
    <w:unhideWhenUsed/>
    <w:qFormat/>
    <w:rsid w:val="0067632b"/>
    <w:pPr>
      <w:keepNext w:val="true"/>
      <w:keepLines/>
      <w:spacing w:before="40" w:after="0"/>
      <w:outlineLvl w:val="4"/>
    </w:pPr>
    <w:rPr>
      <w:rFonts w:ascii="Cambria" w:hAnsi="Cambria" w:eastAsia="" w:cs="" w:asciiTheme="majorHAnsi" w:cstheme="majorBidi" w:eastAsiaTheme="majorEastAsia" w:hAnsiTheme="majorHAnsi"/>
      <w:color w:val="1F497D" w:themeColor="text2"/>
      <w:sz w:val="22"/>
      <w:szCs w:val="22"/>
    </w:rPr>
  </w:style>
  <w:style w:type="paragraph" w:styleId="Ttulo6">
    <w:name w:val="Heading 6"/>
    <w:basedOn w:val="Normal"/>
    <w:next w:val="Normal"/>
    <w:link w:val="Ttulo6Char"/>
    <w:uiPriority w:val="9"/>
    <w:semiHidden/>
    <w:unhideWhenUsed/>
    <w:qFormat/>
    <w:rsid w:val="0067632b"/>
    <w:pPr>
      <w:keepNext w:val="true"/>
      <w:keepLines/>
      <w:spacing w:before="40" w:after="0"/>
      <w:outlineLvl w:val="5"/>
    </w:pPr>
    <w:rPr>
      <w:rFonts w:ascii="Cambria" w:hAnsi="Cambria" w:eastAsia="" w:cs="" w:asciiTheme="majorHAnsi" w:cstheme="majorBidi" w:eastAsiaTheme="majorEastAsia" w:hAnsiTheme="majorHAnsi"/>
      <w:i/>
      <w:iCs/>
      <w:color w:val="1F497D" w:themeColor="text2"/>
      <w:sz w:val="21"/>
      <w:szCs w:val="21"/>
    </w:rPr>
  </w:style>
  <w:style w:type="paragraph" w:styleId="Ttulo7">
    <w:name w:val="Heading 7"/>
    <w:basedOn w:val="Normal"/>
    <w:next w:val="Normal"/>
    <w:link w:val="Ttulo7Char"/>
    <w:uiPriority w:val="9"/>
    <w:semiHidden/>
    <w:unhideWhenUsed/>
    <w:qFormat/>
    <w:rsid w:val="0067632b"/>
    <w:pPr>
      <w:keepNext w:val="true"/>
      <w:keepLines/>
      <w:spacing w:before="40" w:after="0"/>
      <w:outlineLvl w:val="6"/>
    </w:pPr>
    <w:rPr>
      <w:rFonts w:ascii="Cambria" w:hAnsi="Cambria" w:eastAsia="" w:cs="" w:asciiTheme="majorHAnsi" w:cstheme="majorBidi" w:eastAsiaTheme="majorEastAsia" w:hAnsiTheme="majorHAnsi"/>
      <w:i/>
      <w:iCs/>
      <w:color w:val="244061" w:themeColor="accent1" w:themeShade="80"/>
      <w:sz w:val="21"/>
      <w:szCs w:val="21"/>
    </w:rPr>
  </w:style>
  <w:style w:type="paragraph" w:styleId="Ttulo8">
    <w:name w:val="Heading 8"/>
    <w:basedOn w:val="Normal"/>
    <w:next w:val="Normal"/>
    <w:link w:val="Ttulo8Char"/>
    <w:uiPriority w:val="9"/>
    <w:semiHidden/>
    <w:unhideWhenUsed/>
    <w:qFormat/>
    <w:rsid w:val="0067632b"/>
    <w:pPr>
      <w:keepNext w:val="true"/>
      <w:keepLines/>
      <w:spacing w:before="40" w:after="0"/>
      <w:outlineLvl w:val="7"/>
    </w:pPr>
    <w:rPr>
      <w:rFonts w:ascii="Cambria" w:hAnsi="Cambria" w:eastAsia="" w:cs="" w:asciiTheme="majorHAnsi" w:cstheme="majorBidi" w:eastAsiaTheme="majorEastAsia" w:hAnsiTheme="majorHAnsi"/>
      <w:b/>
      <w:bCs/>
      <w:color w:val="1F497D" w:themeColor="text2"/>
    </w:rPr>
  </w:style>
  <w:style w:type="paragraph" w:styleId="Ttulo9">
    <w:name w:val="Heading 9"/>
    <w:basedOn w:val="Normal"/>
    <w:next w:val="Normal"/>
    <w:link w:val="Ttulo9Char"/>
    <w:uiPriority w:val="9"/>
    <w:semiHidden/>
    <w:unhideWhenUsed/>
    <w:qFormat/>
    <w:rsid w:val="0067632b"/>
    <w:pPr>
      <w:keepNext w:val="true"/>
      <w:keepLines/>
      <w:spacing w:before="40" w:after="0"/>
      <w:outlineLvl w:val="8"/>
    </w:pPr>
    <w:rPr>
      <w:rFonts w:ascii="Cambria" w:hAnsi="Cambria" w:eastAsia="" w:cs="" w:asciiTheme="majorHAnsi" w:cstheme="majorBidi" w:eastAsiaTheme="majorEastAsia" w:hAnsiTheme="majorHAnsi"/>
      <w:b/>
      <w:bCs/>
      <w:i/>
      <w:iCs/>
      <w:color w:val="1F497D" w:themeColor="text2"/>
    </w:rPr>
  </w:style>
  <w:style w:type="character" w:styleId="DefaultParagraphFont" w:default="1">
    <w:name w:val="Default Paragraph Font"/>
    <w:uiPriority w:val="1"/>
    <w:semiHidden/>
    <w:unhideWhenUsed/>
    <w:qFormat/>
    <w:rPr/>
  </w:style>
  <w:style w:type="character" w:styleId="TextodebaloChar" w:customStyle="1">
    <w:name w:val="Texto de balão Char"/>
    <w:link w:val="Textodebalo"/>
    <w:uiPriority w:val="99"/>
    <w:semiHidden/>
    <w:qFormat/>
    <w:rsid w:val="00283ac3"/>
    <w:rPr>
      <w:rFonts w:ascii="Tahoma" w:hAnsi="Tahoma" w:eastAsia="Times New Roman" w:cs="Tahoma"/>
      <w:sz w:val="16"/>
      <w:szCs w:val="16"/>
      <w:lang w:eastAsia="pt-BR"/>
    </w:rPr>
  </w:style>
  <w:style w:type="character" w:styleId="CabealhoChar" w:customStyle="1">
    <w:name w:val="Cabeçalho Char"/>
    <w:link w:val="Cabealho"/>
    <w:uiPriority w:val="99"/>
    <w:qFormat/>
    <w:rsid w:val="00d12051"/>
    <w:rPr>
      <w:rFonts w:eastAsia="Times New Roman"/>
      <w:lang w:eastAsia="pt-BR"/>
    </w:rPr>
  </w:style>
  <w:style w:type="character" w:styleId="RodapChar" w:customStyle="1">
    <w:name w:val="Rodapé Char"/>
    <w:link w:val="Rodap"/>
    <w:uiPriority w:val="99"/>
    <w:qFormat/>
    <w:rsid w:val="00d12051"/>
    <w:rPr>
      <w:rFonts w:eastAsia="Times New Roman"/>
      <w:lang w:eastAsia="pt-BR"/>
    </w:rPr>
  </w:style>
  <w:style w:type="character" w:styleId="LinkdaInternet">
    <w:name w:val="Link da Internet"/>
    <w:uiPriority w:val="99"/>
    <w:unhideWhenUsed/>
    <w:rsid w:val="00d3010a"/>
    <w:rPr>
      <w:color w:val="0000FF"/>
      <w:u w:val="single"/>
    </w:rPr>
  </w:style>
  <w:style w:type="character" w:styleId="Ttulo2Char" w:customStyle="1">
    <w:name w:val="Título 2 Char"/>
    <w:basedOn w:val="DefaultParagraphFont"/>
    <w:link w:val="Ttulo2"/>
    <w:uiPriority w:val="9"/>
    <w:qFormat/>
    <w:rsid w:val="0067632b"/>
    <w:rPr>
      <w:rFonts w:ascii="Cambria" w:hAnsi="Cambria" w:eastAsia="" w:cs="" w:asciiTheme="majorHAnsi" w:cstheme="majorBidi" w:eastAsiaTheme="majorEastAsia" w:hAnsiTheme="majorHAnsi"/>
      <w:color w:val="404040" w:themeColor="text1" w:themeTint="bf"/>
      <w:sz w:val="28"/>
      <w:szCs w:val="28"/>
    </w:rPr>
  </w:style>
  <w:style w:type="character" w:styleId="Linkdainternetvisitado">
    <w:name w:val="Link da internet visitado"/>
    <w:uiPriority w:val="99"/>
    <w:semiHidden/>
    <w:unhideWhenUsed/>
    <w:rsid w:val="00671f1a"/>
    <w:rPr>
      <w:color w:val="800080"/>
      <w:u w:val="single"/>
    </w:rPr>
  </w:style>
  <w:style w:type="character" w:styleId="Annotationreference">
    <w:name w:val="annotation reference"/>
    <w:basedOn w:val="DefaultParagraphFont"/>
    <w:uiPriority w:val="99"/>
    <w:semiHidden/>
    <w:unhideWhenUsed/>
    <w:qFormat/>
    <w:rsid w:val="003c3df3"/>
    <w:rPr>
      <w:sz w:val="16"/>
      <w:szCs w:val="16"/>
    </w:rPr>
  </w:style>
  <w:style w:type="character" w:styleId="TextodecomentrioChar" w:customStyle="1">
    <w:name w:val="Texto de comentário Char"/>
    <w:basedOn w:val="DefaultParagraphFont"/>
    <w:link w:val="Textodecomentrio"/>
    <w:uiPriority w:val="99"/>
    <w:semiHidden/>
    <w:qFormat/>
    <w:rsid w:val="003c3df3"/>
    <w:rPr>
      <w:rFonts w:eastAsia="Times New Roman"/>
    </w:rPr>
  </w:style>
  <w:style w:type="character" w:styleId="AssuntodocomentrioChar" w:customStyle="1">
    <w:name w:val="Assunto do comentário Char"/>
    <w:basedOn w:val="TextodecomentrioChar"/>
    <w:link w:val="Assuntodocomentrio"/>
    <w:uiPriority w:val="99"/>
    <w:semiHidden/>
    <w:qFormat/>
    <w:rsid w:val="003c3df3"/>
    <w:rPr>
      <w:rFonts w:eastAsia="Times New Roman"/>
      <w:b/>
      <w:bCs/>
    </w:rPr>
  </w:style>
  <w:style w:type="character" w:styleId="Estilo11pt" w:customStyle="1">
    <w:name w:val="Estilo 11 pt"/>
    <w:basedOn w:val="DefaultParagraphFont"/>
    <w:qFormat/>
    <w:rsid w:val="00230191"/>
    <w:rPr>
      <w:rFonts w:ascii="Courier New" w:hAnsi="Courier New"/>
      <w:sz w:val="22"/>
    </w:rPr>
  </w:style>
  <w:style w:type="character" w:styleId="Ttulo1Char" w:customStyle="1">
    <w:name w:val="Título 1 Char"/>
    <w:basedOn w:val="DefaultParagraphFont"/>
    <w:link w:val="Ttulo1"/>
    <w:uiPriority w:val="9"/>
    <w:qFormat/>
    <w:rsid w:val="0067632b"/>
    <w:rPr>
      <w:rFonts w:ascii="Cambria" w:hAnsi="Cambria" w:eastAsia="" w:cs="" w:asciiTheme="majorHAnsi" w:cstheme="majorBidi" w:eastAsiaTheme="majorEastAsia" w:hAnsiTheme="majorHAnsi"/>
      <w:color w:val="365F91" w:themeColor="accent1" w:themeShade="bf"/>
      <w:sz w:val="32"/>
      <w:szCs w:val="32"/>
    </w:rPr>
  </w:style>
  <w:style w:type="character" w:styleId="Ttulo3Char" w:customStyle="1">
    <w:name w:val="Título 3 Char"/>
    <w:basedOn w:val="DefaultParagraphFont"/>
    <w:link w:val="Ttulo3"/>
    <w:uiPriority w:val="9"/>
    <w:semiHidden/>
    <w:qFormat/>
    <w:rsid w:val="0067632b"/>
    <w:rPr>
      <w:rFonts w:ascii="Cambria" w:hAnsi="Cambria" w:eastAsia="" w:cs="" w:asciiTheme="majorHAnsi" w:cstheme="majorBidi" w:eastAsiaTheme="majorEastAsia" w:hAnsiTheme="majorHAnsi"/>
      <w:color w:val="1F497D" w:themeColor="text2"/>
      <w:sz w:val="24"/>
      <w:szCs w:val="24"/>
    </w:rPr>
  </w:style>
  <w:style w:type="character" w:styleId="Ttulo4Char" w:customStyle="1">
    <w:name w:val="Título 4 Char"/>
    <w:basedOn w:val="DefaultParagraphFont"/>
    <w:link w:val="Ttulo4"/>
    <w:uiPriority w:val="9"/>
    <w:semiHidden/>
    <w:qFormat/>
    <w:rsid w:val="0067632b"/>
    <w:rPr>
      <w:rFonts w:ascii="Cambria" w:hAnsi="Cambria" w:eastAsia="" w:cs="" w:asciiTheme="majorHAnsi" w:cstheme="majorBidi" w:eastAsiaTheme="majorEastAsia" w:hAnsiTheme="majorHAnsi"/>
      <w:sz w:val="22"/>
      <w:szCs w:val="22"/>
    </w:rPr>
  </w:style>
  <w:style w:type="character" w:styleId="Ttulo5Char" w:customStyle="1">
    <w:name w:val="Título 5 Char"/>
    <w:basedOn w:val="DefaultParagraphFont"/>
    <w:link w:val="Ttulo5"/>
    <w:uiPriority w:val="9"/>
    <w:semiHidden/>
    <w:qFormat/>
    <w:rsid w:val="0067632b"/>
    <w:rPr>
      <w:rFonts w:ascii="Cambria" w:hAnsi="Cambria" w:eastAsia="" w:cs="" w:asciiTheme="majorHAnsi" w:cstheme="majorBidi" w:eastAsiaTheme="majorEastAsia" w:hAnsiTheme="majorHAnsi"/>
      <w:color w:val="1F497D" w:themeColor="text2"/>
      <w:sz w:val="22"/>
      <w:szCs w:val="22"/>
    </w:rPr>
  </w:style>
  <w:style w:type="character" w:styleId="Ttulo6Char" w:customStyle="1">
    <w:name w:val="Título 6 Char"/>
    <w:basedOn w:val="DefaultParagraphFont"/>
    <w:link w:val="Ttulo6"/>
    <w:uiPriority w:val="9"/>
    <w:semiHidden/>
    <w:qFormat/>
    <w:rsid w:val="0067632b"/>
    <w:rPr>
      <w:rFonts w:ascii="Cambria" w:hAnsi="Cambria" w:eastAsia="" w:cs="" w:asciiTheme="majorHAnsi" w:cstheme="majorBidi" w:eastAsiaTheme="majorEastAsia" w:hAnsiTheme="majorHAnsi"/>
      <w:i/>
      <w:iCs/>
      <w:color w:val="1F497D" w:themeColor="text2"/>
      <w:sz w:val="21"/>
      <w:szCs w:val="21"/>
    </w:rPr>
  </w:style>
  <w:style w:type="character" w:styleId="Ttulo7Char" w:customStyle="1">
    <w:name w:val="Título 7 Char"/>
    <w:basedOn w:val="DefaultParagraphFont"/>
    <w:link w:val="Ttulo7"/>
    <w:uiPriority w:val="9"/>
    <w:semiHidden/>
    <w:qFormat/>
    <w:rsid w:val="0067632b"/>
    <w:rPr>
      <w:rFonts w:ascii="Cambria" w:hAnsi="Cambria" w:eastAsia="" w:cs="" w:asciiTheme="majorHAnsi" w:cstheme="majorBidi" w:eastAsiaTheme="majorEastAsia" w:hAnsiTheme="majorHAnsi"/>
      <w:i/>
      <w:iCs/>
      <w:color w:val="244061" w:themeColor="accent1" w:themeShade="80"/>
      <w:sz w:val="21"/>
      <w:szCs w:val="21"/>
    </w:rPr>
  </w:style>
  <w:style w:type="character" w:styleId="Ttulo8Char" w:customStyle="1">
    <w:name w:val="Título 8 Char"/>
    <w:basedOn w:val="DefaultParagraphFont"/>
    <w:link w:val="Ttulo8"/>
    <w:uiPriority w:val="9"/>
    <w:semiHidden/>
    <w:qFormat/>
    <w:rsid w:val="0067632b"/>
    <w:rPr>
      <w:rFonts w:ascii="Cambria" w:hAnsi="Cambria" w:eastAsia="" w:cs="" w:asciiTheme="majorHAnsi" w:cstheme="majorBidi" w:eastAsiaTheme="majorEastAsia" w:hAnsiTheme="majorHAnsi"/>
      <w:b/>
      <w:bCs/>
      <w:color w:val="1F497D" w:themeColor="text2"/>
    </w:rPr>
  </w:style>
  <w:style w:type="character" w:styleId="Ttulo9Char" w:customStyle="1">
    <w:name w:val="Título 9 Char"/>
    <w:basedOn w:val="DefaultParagraphFont"/>
    <w:link w:val="Ttulo9"/>
    <w:uiPriority w:val="9"/>
    <w:semiHidden/>
    <w:qFormat/>
    <w:rsid w:val="0067632b"/>
    <w:rPr>
      <w:rFonts w:ascii="Cambria" w:hAnsi="Cambria" w:eastAsia="" w:cs="" w:asciiTheme="majorHAnsi" w:cstheme="majorBidi" w:eastAsiaTheme="majorEastAsia" w:hAnsiTheme="majorHAnsi"/>
      <w:b/>
      <w:bCs/>
      <w:i/>
      <w:iCs/>
      <w:color w:val="1F497D" w:themeColor="text2"/>
    </w:rPr>
  </w:style>
  <w:style w:type="character" w:styleId="TtuloChar" w:customStyle="1">
    <w:name w:val="Título Char"/>
    <w:basedOn w:val="DefaultParagraphFont"/>
    <w:link w:val="Ttulo"/>
    <w:uiPriority w:val="10"/>
    <w:qFormat/>
    <w:rsid w:val="0067632b"/>
    <w:rPr>
      <w:rFonts w:ascii="Cambria" w:hAnsi="Cambria" w:eastAsia="" w:cs="" w:asciiTheme="majorHAnsi" w:cstheme="majorBidi" w:eastAsiaTheme="majorEastAsia" w:hAnsiTheme="majorHAnsi"/>
      <w:color w:val="4F81BD" w:themeColor="accent1"/>
      <w:spacing w:val="-10"/>
      <w:sz w:val="56"/>
      <w:szCs w:val="56"/>
    </w:rPr>
  </w:style>
  <w:style w:type="character" w:styleId="SubttuloChar" w:customStyle="1">
    <w:name w:val="Subtítulo Char"/>
    <w:basedOn w:val="DefaultParagraphFont"/>
    <w:link w:val="Subttulo"/>
    <w:uiPriority w:val="11"/>
    <w:qFormat/>
    <w:rsid w:val="0067632b"/>
    <w:rPr>
      <w:rFonts w:ascii="Cambria" w:hAnsi="Cambria" w:eastAsia="" w:cs="" w:asciiTheme="majorHAnsi" w:cstheme="majorBidi" w:eastAsiaTheme="majorEastAsia" w:hAnsiTheme="majorHAnsi"/>
      <w:sz w:val="24"/>
      <w:szCs w:val="24"/>
    </w:rPr>
  </w:style>
  <w:style w:type="character" w:styleId="Strong">
    <w:name w:val="Strong"/>
    <w:basedOn w:val="DefaultParagraphFont"/>
    <w:uiPriority w:val="22"/>
    <w:qFormat/>
    <w:rsid w:val="0067632b"/>
    <w:rPr>
      <w:b/>
      <w:bCs/>
    </w:rPr>
  </w:style>
  <w:style w:type="character" w:styleId="Nfase">
    <w:name w:val="Ênfase"/>
    <w:basedOn w:val="DefaultParagraphFont"/>
    <w:uiPriority w:val="20"/>
    <w:qFormat/>
    <w:rsid w:val="0067632b"/>
    <w:rPr>
      <w:i/>
      <w:iCs/>
    </w:rPr>
  </w:style>
  <w:style w:type="character" w:styleId="CitaoChar" w:customStyle="1">
    <w:name w:val="Citação Char"/>
    <w:basedOn w:val="DefaultParagraphFont"/>
    <w:link w:val="Citao"/>
    <w:uiPriority w:val="29"/>
    <w:qFormat/>
    <w:rsid w:val="0067632b"/>
    <w:rPr>
      <w:i/>
      <w:iCs/>
      <w:color w:val="404040" w:themeColor="text1" w:themeTint="bf"/>
    </w:rPr>
  </w:style>
  <w:style w:type="character" w:styleId="CitaoIntensaChar" w:customStyle="1">
    <w:name w:val="Citação Intensa Char"/>
    <w:basedOn w:val="DefaultParagraphFont"/>
    <w:link w:val="CitaoIntensa"/>
    <w:uiPriority w:val="30"/>
    <w:qFormat/>
    <w:rsid w:val="0067632b"/>
    <w:rPr>
      <w:rFonts w:ascii="Cambria" w:hAnsi="Cambria" w:eastAsia="" w:cs="" w:asciiTheme="majorHAnsi" w:cstheme="majorBidi" w:eastAsiaTheme="majorEastAsia" w:hAnsiTheme="majorHAnsi"/>
      <w:color w:val="4F81BD" w:themeColor="accent1"/>
      <w:sz w:val="28"/>
      <w:szCs w:val="28"/>
    </w:rPr>
  </w:style>
  <w:style w:type="character" w:styleId="SubtleEmphasis">
    <w:name w:val="Subtle Emphasis"/>
    <w:basedOn w:val="DefaultParagraphFont"/>
    <w:uiPriority w:val="19"/>
    <w:qFormat/>
    <w:rsid w:val="0067632b"/>
    <w:rPr>
      <w:i/>
      <w:iCs/>
      <w:color w:val="404040" w:themeColor="text1" w:themeTint="bf"/>
    </w:rPr>
  </w:style>
  <w:style w:type="character" w:styleId="IntenseEmphasis">
    <w:name w:val="Intense Emphasis"/>
    <w:basedOn w:val="DefaultParagraphFont"/>
    <w:uiPriority w:val="21"/>
    <w:qFormat/>
    <w:rsid w:val="0067632b"/>
    <w:rPr>
      <w:b/>
      <w:bCs/>
      <w:i/>
      <w:iCs/>
    </w:rPr>
  </w:style>
  <w:style w:type="character" w:styleId="SubtleReference">
    <w:name w:val="Subtle Reference"/>
    <w:basedOn w:val="DefaultParagraphFont"/>
    <w:uiPriority w:val="31"/>
    <w:qFormat/>
    <w:rsid w:val="0067632b"/>
    <w:rPr>
      <w:smallCaps/>
      <w:color w:val="404040" w:themeColor="text1" w:themeTint="bf"/>
      <w:u w:val="single" w:color="7F7F7F"/>
    </w:rPr>
  </w:style>
  <w:style w:type="character" w:styleId="IntenseReference">
    <w:name w:val="Intense Reference"/>
    <w:basedOn w:val="DefaultParagraphFont"/>
    <w:uiPriority w:val="32"/>
    <w:qFormat/>
    <w:rsid w:val="0067632b"/>
    <w:rPr>
      <w:b/>
      <w:bCs/>
      <w:smallCaps/>
      <w:spacing w:val="5"/>
      <w:u w:val="single"/>
    </w:rPr>
  </w:style>
  <w:style w:type="character" w:styleId="BookTitle">
    <w:name w:val="Book Title"/>
    <w:basedOn w:val="DefaultParagraphFont"/>
    <w:uiPriority w:val="33"/>
    <w:qFormat/>
    <w:rsid w:val="0067632b"/>
    <w:rPr>
      <w:b/>
      <w:bCs/>
      <w:smallCaps/>
    </w:rPr>
  </w:style>
  <w:style w:type="paragraph" w:styleId="Ttulo">
    <w:name w:val="Título"/>
    <w:basedOn w:val="Normal"/>
    <w:next w:val="Corpodotexto"/>
    <w:qFormat/>
    <w:pPr>
      <w:keepNext w:val="true"/>
      <w:spacing w:before="240" w:after="120"/>
    </w:pPr>
    <w:rPr>
      <w:rFonts w:ascii="Liberation Sans" w:hAnsi="Liberation Sans" w:eastAsia="Noto Sans CJK SC" w:cs="Lohit Devanagari"/>
      <w:sz w:val="28"/>
      <w:szCs w:val="28"/>
    </w:rPr>
  </w:style>
  <w:style w:type="paragraph" w:styleId="Corpodotexto">
    <w:name w:val="Body Text"/>
    <w:basedOn w:val="Normal"/>
    <w:pPr>
      <w:spacing w:lineRule="auto" w:line="276" w:before="0" w:after="140"/>
    </w:pPr>
    <w:rPr/>
  </w:style>
  <w:style w:type="paragraph" w:styleId="Lista">
    <w:name w:val="List"/>
    <w:basedOn w:val="Corpodotexto"/>
    <w:pPr/>
    <w:rPr>
      <w:rFonts w:cs="Lohit Devanagari"/>
    </w:rPr>
  </w:style>
  <w:style w:type="paragraph" w:styleId="Legenda">
    <w:name w:val="Caption"/>
    <w:basedOn w:val="Normal"/>
    <w:qFormat/>
    <w:pPr>
      <w:suppressLineNumbers/>
      <w:spacing w:before="120" w:after="120"/>
    </w:pPr>
    <w:rPr>
      <w:rFonts w:cs="Lohit Devanagari"/>
      <w:i/>
      <w:iCs/>
      <w:sz w:val="24"/>
      <w:szCs w:val="24"/>
    </w:rPr>
  </w:style>
  <w:style w:type="paragraph" w:styleId="Ndice">
    <w:name w:val="Índice"/>
    <w:basedOn w:val="Normal"/>
    <w:qFormat/>
    <w:pPr>
      <w:suppressLineNumbers/>
    </w:pPr>
    <w:rPr>
      <w:rFonts w:cs="Lohit Devanagari"/>
    </w:rPr>
  </w:style>
  <w:style w:type="paragraph" w:styleId="BalloonText">
    <w:name w:val="Balloon Text"/>
    <w:basedOn w:val="Normal"/>
    <w:link w:val="TextodebaloChar"/>
    <w:uiPriority w:val="99"/>
    <w:semiHidden/>
    <w:unhideWhenUsed/>
    <w:qFormat/>
    <w:rsid w:val="00283ac3"/>
    <w:pPr>
      <w:spacing w:lineRule="auto" w:line="240" w:before="0" w:after="0"/>
    </w:pPr>
    <w:rPr>
      <w:rFonts w:ascii="Tahoma" w:hAnsi="Tahoma"/>
      <w:sz w:val="16"/>
      <w:szCs w:val="16"/>
    </w:rPr>
  </w:style>
  <w:style w:type="paragraph" w:styleId="CabealhoeRodap">
    <w:name w:val="Cabeçalho e Rodapé"/>
    <w:basedOn w:val="Normal"/>
    <w:qFormat/>
    <w:pPr/>
    <w:rPr/>
  </w:style>
  <w:style w:type="paragraph" w:styleId="Cabealho">
    <w:name w:val="Header"/>
    <w:basedOn w:val="Normal"/>
    <w:link w:val="CabealhoChar"/>
    <w:uiPriority w:val="99"/>
    <w:unhideWhenUsed/>
    <w:rsid w:val="00d12051"/>
    <w:pPr>
      <w:tabs>
        <w:tab w:val="clear" w:pos="709"/>
        <w:tab w:val="center" w:pos="4252" w:leader="none"/>
        <w:tab w:val="right" w:pos="8504" w:leader="none"/>
      </w:tabs>
      <w:spacing w:lineRule="auto" w:line="240" w:before="0" w:after="0"/>
    </w:pPr>
    <w:rPr/>
  </w:style>
  <w:style w:type="paragraph" w:styleId="Rodap">
    <w:name w:val="Footer"/>
    <w:basedOn w:val="Normal"/>
    <w:link w:val="RodapChar"/>
    <w:uiPriority w:val="99"/>
    <w:unhideWhenUsed/>
    <w:rsid w:val="00d12051"/>
    <w:pPr>
      <w:tabs>
        <w:tab w:val="clear" w:pos="709"/>
        <w:tab w:val="center" w:pos="4252" w:leader="none"/>
        <w:tab w:val="right" w:pos="8504" w:leader="none"/>
      </w:tabs>
      <w:spacing w:lineRule="auto" w:line="240" w:before="0" w:after="0"/>
    </w:pPr>
    <w:rPr/>
  </w:style>
  <w:style w:type="paragraph" w:styleId="NormalWeb">
    <w:name w:val="Normal (Web)"/>
    <w:basedOn w:val="Normal"/>
    <w:uiPriority w:val="99"/>
    <w:semiHidden/>
    <w:unhideWhenUsed/>
    <w:qFormat/>
    <w:rsid w:val="005c0c1f"/>
    <w:pPr>
      <w:spacing w:lineRule="auto" w:line="240" w:beforeAutospacing="1" w:afterAutospacing="1"/>
    </w:pPr>
    <w:rPr>
      <w:rFonts w:ascii="Times New Roman" w:hAnsi="Times New Roman"/>
      <w:sz w:val="24"/>
      <w:szCs w:val="24"/>
    </w:rPr>
  </w:style>
  <w:style w:type="paragraph" w:styleId="Item" w:customStyle="1">
    <w:name w:val="Item"/>
    <w:basedOn w:val="Normal"/>
    <w:uiPriority w:val="99"/>
    <w:qFormat/>
    <w:rsid w:val="009324d8"/>
    <w:pPr>
      <w:overflowPunct w:val="true"/>
      <w:spacing w:lineRule="auto" w:line="240" w:before="480" w:after="0"/>
    </w:pPr>
    <w:rPr>
      <w:rFonts w:ascii="Arial" w:hAnsi="Arial" w:cs="Arial"/>
      <w:b/>
      <w:bCs/>
      <w:sz w:val="24"/>
      <w:szCs w:val="24"/>
    </w:rPr>
  </w:style>
  <w:style w:type="paragraph" w:styleId="Annotationtext">
    <w:name w:val="annotation text"/>
    <w:basedOn w:val="Normal"/>
    <w:link w:val="TextodecomentrioChar"/>
    <w:uiPriority w:val="99"/>
    <w:semiHidden/>
    <w:unhideWhenUsed/>
    <w:qFormat/>
    <w:rsid w:val="003c3df3"/>
    <w:pPr/>
    <w:rPr/>
  </w:style>
  <w:style w:type="paragraph" w:styleId="Annotationsubject">
    <w:name w:val="annotation subject"/>
    <w:basedOn w:val="Annotationtext"/>
    <w:next w:val="Annotationtext"/>
    <w:link w:val="AssuntodocomentrioChar"/>
    <w:uiPriority w:val="99"/>
    <w:semiHidden/>
    <w:unhideWhenUsed/>
    <w:qFormat/>
    <w:rsid w:val="003c3df3"/>
    <w:pPr/>
    <w:rPr>
      <w:b/>
      <w:bCs/>
    </w:rPr>
  </w:style>
  <w:style w:type="paragraph" w:styleId="ListParagraph">
    <w:name w:val="List Paragraph"/>
    <w:basedOn w:val="Normal"/>
    <w:uiPriority w:val="34"/>
    <w:qFormat/>
    <w:rsid w:val="003358ef"/>
    <w:pPr>
      <w:spacing w:before="0" w:after="120"/>
      <w:ind w:left="720" w:hanging="0"/>
      <w:contextualSpacing/>
    </w:pPr>
    <w:rPr/>
  </w:style>
  <w:style w:type="paragraph" w:styleId="Caption">
    <w:name w:val="caption"/>
    <w:basedOn w:val="Normal"/>
    <w:next w:val="Normal"/>
    <w:uiPriority w:val="35"/>
    <w:semiHidden/>
    <w:unhideWhenUsed/>
    <w:qFormat/>
    <w:rsid w:val="0067632b"/>
    <w:pPr>
      <w:spacing w:lineRule="auto" w:line="240"/>
    </w:pPr>
    <w:rPr>
      <w:b/>
      <w:bCs/>
      <w:smallCaps/>
      <w:color w:val="595959" w:themeColor="text1" w:themeTint="a6"/>
      <w:spacing w:val="6"/>
    </w:rPr>
  </w:style>
  <w:style w:type="paragraph" w:styleId="Ttulododocumento">
    <w:name w:val="Title"/>
    <w:basedOn w:val="Normal"/>
    <w:next w:val="Normal"/>
    <w:link w:val="TtuloChar"/>
    <w:uiPriority w:val="10"/>
    <w:qFormat/>
    <w:rsid w:val="0067632b"/>
    <w:pPr>
      <w:spacing w:lineRule="auto" w:line="240" w:before="0" w:after="0"/>
      <w:contextualSpacing/>
    </w:pPr>
    <w:rPr>
      <w:rFonts w:ascii="Cambria" w:hAnsi="Cambria" w:eastAsia="" w:cs="" w:asciiTheme="majorHAnsi" w:cstheme="majorBidi" w:eastAsiaTheme="majorEastAsia" w:hAnsiTheme="majorHAnsi"/>
      <w:color w:val="4F81BD" w:themeColor="accent1"/>
      <w:spacing w:val="-10"/>
      <w:sz w:val="56"/>
      <w:szCs w:val="56"/>
    </w:rPr>
  </w:style>
  <w:style w:type="paragraph" w:styleId="Subttulo">
    <w:name w:val="Subtitle"/>
    <w:basedOn w:val="Normal"/>
    <w:next w:val="Normal"/>
    <w:link w:val="SubttuloChar"/>
    <w:uiPriority w:val="11"/>
    <w:qFormat/>
    <w:rsid w:val="0067632b"/>
    <w:pPr>
      <w:spacing w:lineRule="auto" w:line="240"/>
    </w:pPr>
    <w:rPr>
      <w:rFonts w:ascii="Cambria" w:hAnsi="Cambria" w:eastAsia="" w:cs="" w:asciiTheme="majorHAnsi" w:cstheme="majorBidi" w:eastAsiaTheme="majorEastAsia" w:hAnsiTheme="majorHAnsi"/>
      <w:sz w:val="24"/>
      <w:szCs w:val="24"/>
    </w:rPr>
  </w:style>
  <w:style w:type="paragraph" w:styleId="NoSpacing">
    <w:name w:val="No Spacing"/>
    <w:uiPriority w:val="1"/>
    <w:qFormat/>
    <w:rsid w:val="0067632b"/>
    <w:pPr>
      <w:widowControl/>
      <w:suppressAutoHyphens w:val="true"/>
      <w:bidi w:val="0"/>
      <w:spacing w:lineRule="auto" w:line="240" w:before="0" w:after="0"/>
      <w:jc w:val="left"/>
    </w:pPr>
    <w:rPr>
      <w:rFonts w:ascii="Calibri" w:hAnsi="Calibri" w:eastAsia="" w:cs="" w:asciiTheme="minorHAnsi" w:cstheme="minorBidi" w:eastAsiaTheme="minorEastAsia" w:hAnsiTheme="minorHAnsi"/>
      <w:color w:val="auto"/>
      <w:kern w:val="0"/>
      <w:sz w:val="20"/>
      <w:szCs w:val="20"/>
      <w:lang w:val="pt-BR" w:eastAsia="pt-BR" w:bidi="ar-SA"/>
    </w:rPr>
  </w:style>
  <w:style w:type="paragraph" w:styleId="Quote">
    <w:name w:val="Quote"/>
    <w:basedOn w:val="Normal"/>
    <w:next w:val="Normal"/>
    <w:link w:val="CitaoChar"/>
    <w:uiPriority w:val="29"/>
    <w:qFormat/>
    <w:rsid w:val="0067632b"/>
    <w:pPr>
      <w:spacing w:before="160" w:after="120"/>
      <w:ind w:left="720" w:right="720" w:hanging="0"/>
    </w:pPr>
    <w:rPr>
      <w:i/>
      <w:iCs/>
      <w:color w:val="404040" w:themeColor="text1" w:themeTint="bf"/>
    </w:rPr>
  </w:style>
  <w:style w:type="paragraph" w:styleId="IntenseQuote">
    <w:name w:val="Intense Quote"/>
    <w:basedOn w:val="Normal"/>
    <w:next w:val="Normal"/>
    <w:link w:val="CitaoIntensaChar"/>
    <w:uiPriority w:val="30"/>
    <w:qFormat/>
    <w:rsid w:val="0067632b"/>
    <w:pPr>
      <w:pBdr>
        <w:left w:val="single" w:sz="18" w:space="12" w:color="4F81BD"/>
      </w:pBdr>
      <w:spacing w:lineRule="auto" w:line="300" w:beforeAutospacing="1" w:after="120"/>
      <w:ind w:left="1224" w:right="1224" w:hanging="0"/>
    </w:pPr>
    <w:rPr>
      <w:rFonts w:ascii="Cambria" w:hAnsi="Cambria" w:eastAsia="" w:cs="" w:asciiTheme="majorHAnsi" w:cstheme="majorBidi" w:eastAsiaTheme="majorEastAsia" w:hAnsiTheme="majorHAnsi"/>
      <w:color w:val="4F81BD" w:themeColor="accent1"/>
      <w:sz w:val="28"/>
      <w:szCs w:val="28"/>
    </w:rPr>
  </w:style>
  <w:style w:type="paragraph" w:styleId="TOCHeading">
    <w:name w:val="TOC Heading"/>
    <w:basedOn w:val="Ttulo1"/>
    <w:next w:val="Normal"/>
    <w:uiPriority w:val="39"/>
    <w:semiHidden/>
    <w:unhideWhenUsed/>
    <w:qFormat/>
    <w:rsid w:val="0067632b"/>
    <w:pPr/>
    <w:rPr/>
  </w:style>
  <w:style w:type="paragraph" w:styleId="Contedodatabela">
    <w:name w:val="Conteúdo da tabela"/>
    <w:basedOn w:val="Normal"/>
    <w:qFormat/>
    <w:pPr>
      <w:suppressLineNumbers/>
    </w:pPr>
    <w:rPr/>
  </w:style>
  <w:style w:type="paragraph" w:styleId="Ttulodetabela">
    <w:name w:val="Título de tabela"/>
    <w:basedOn w:val="Contedodatabela"/>
    <w:qFormat/>
    <w:pPr>
      <w:suppressLineNumbers/>
      <w:jc w:val="center"/>
    </w:pPr>
    <w:rPr>
      <w:b/>
      <w:bCs/>
    </w:rPr>
  </w:style>
  <w:style w:type="paragraph" w:styleId="Luca1">
    <w:name w:val="luca1"/>
    <w:basedOn w:val="Normal"/>
    <w:qFormat/>
    <w:pPr>
      <w:tabs>
        <w:tab w:val="left" w:pos="142" w:leader="none"/>
        <w:tab w:val="left" w:pos="284" w:leader="none"/>
        <w:tab w:val="left" w:pos="426" w:leader="none"/>
        <w:tab w:val="left" w:pos="567" w:leader="none"/>
        <w:tab w:val="left" w:pos="709" w:leader="none"/>
        <w:tab w:val="left" w:pos="851" w:leader="none"/>
        <w:tab w:val="left" w:pos="993" w:leader="none"/>
        <w:tab w:val="left" w:pos="1134" w:leader="none"/>
        <w:tab w:val="left" w:pos="1276" w:leader="none"/>
        <w:tab w:val="left" w:pos="1418" w:leader="none"/>
      </w:tabs>
      <w:jc w:val="both"/>
    </w:pPr>
    <w:rPr>
      <w:rFonts w:cs="Arial"/>
      <w:szCs w:val="24"/>
    </w:rPr>
  </w:style>
  <w:style w:type="numbering" w:styleId="NoList" w:default="1">
    <w:name w:val="No List"/>
    <w:uiPriority w:val="99"/>
    <w:semiHidden/>
    <w:unhideWhenUsed/>
    <w:qFormat/>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table" w:styleId="Tabelacomgrade">
    <w:name w:val="Table Grid"/>
    <w:basedOn w:val="Tabelanormal"/>
    <w:uiPriority w:val="59"/>
    <w:rsid w:val="000d2a4c"/>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wmf"/><Relationship Id="rId3" Type="http://schemas.openxmlformats.org/officeDocument/2006/relationships/header" Target="header1.xml"/><Relationship Id="rId4" Type="http://schemas.openxmlformats.org/officeDocument/2006/relationships/footer" Target="footer1.xml"/><Relationship Id="rId5" Type="http://schemas.openxmlformats.org/officeDocument/2006/relationships/hyperlink" Target="http://www.cnj.jus.br/improbidade_adm/consultar_requerido.php" TargetMode="External"/><Relationship Id="rId6" Type="http://schemas.openxmlformats.org/officeDocument/2006/relationships/hyperlink" Target="mailto:fusex@gmail.com" TargetMode="External"/><Relationship Id="rId7" Type="http://schemas.openxmlformats.org/officeDocument/2006/relationships/header" Target="header2.xml"/><Relationship Id="rId8" Type="http://schemas.openxmlformats.org/officeDocument/2006/relationships/footer" Target="footer2.xml"/><Relationship Id="rId9" Type="http://schemas.openxmlformats.org/officeDocument/2006/relationships/numbering" Target="numbering.xml"/><Relationship Id="rId10" Type="http://schemas.openxmlformats.org/officeDocument/2006/relationships/fontTable" Target="fontTable.xml"/><Relationship Id="rId11" Type="http://schemas.openxmlformats.org/officeDocument/2006/relationships/settings" Target="settings.xml"/><Relationship Id="rId12" Type="http://schemas.openxmlformats.org/officeDocument/2006/relationships/theme" Target="theme/theme1.xml"/><Relationship Id="rId13" Type="http://schemas.openxmlformats.org/officeDocument/2006/relationships/customXml" Target="../customXml/item1.xml"/><Relationship Id="rId14" Type="http://schemas.openxmlformats.org/officeDocument/2006/relationships/customXml" Target="../customXml/item2.xml"/><Relationship Id="rId15" Type="http://schemas.openxmlformats.org/officeDocument/2006/relationships/customXml" Target="../customXml/item3.xml"/><Relationship Id="rId16" Type="http://schemas.openxmlformats.org/officeDocument/2006/relationships/customXml" Target="../customXml/item4.xml"/>
</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_rels/item2.xml.rels><?xml version="1.0" encoding="UTF-8"?>
<Relationships xmlns="http://schemas.openxmlformats.org/package/2006/relationships"><Relationship Id="rId1" Type="http://schemas.openxmlformats.org/officeDocument/2006/relationships/customXmlProps" Target="itemProps2.xml"/>
</Relationships>
</file>

<file path=customXml/_rels/item3.xml.rels><?xml version="1.0" encoding="UTF-8"?>
<Relationships xmlns="http://schemas.openxmlformats.org/package/2006/relationships"><Relationship Id="rId1" Type="http://schemas.openxmlformats.org/officeDocument/2006/relationships/customXmlProps" Target="itemProps3.xml"/>
</Relationships>
</file>

<file path=customXml/_rels/item4.xml.rels><?xml version="1.0" encoding="UTF-8"?>
<Relationships xmlns="http://schemas.openxmlformats.org/package/2006/relationships"><Relationship Id="rId1" Type="http://schemas.openxmlformats.org/officeDocument/2006/relationships/customXmlProps" Target="itemProps4.xml"/>
</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o" ma:contentTypeID="0x0101005A08D7DBFEB39F4993BAF4471592047B" ma:contentTypeVersion="0" ma:contentTypeDescription="Crie um novo documento." ma:contentTypeScope="" ma:versionID="98f0eba75b33292d8b823422c621026f">
  <xsd:schema xmlns:xsd="http://www.w3.org/2001/XMLSchema" xmlns:xs="http://www.w3.org/2001/XMLSchema" xmlns:p="http://schemas.microsoft.com/office/2006/metadata/properties" targetNamespace="http://schemas.microsoft.com/office/2006/metadata/properties" ma:root="true" ma:fieldsID="574c6ccb71ee63fbc30cff3237551ec3">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B80735B-7BE8-4D97-A9C3-5DDABD73982A}">
  <ds:schemaRefs>
    <ds:schemaRef ds:uri="http://schemas.openxmlformats.org/officeDocument/2006/bibliography"/>
  </ds:schemaRefs>
</ds:datastoreItem>
</file>

<file path=customXml/itemProps2.xml><?xml version="1.0" encoding="utf-8"?>
<ds:datastoreItem xmlns:ds="http://schemas.openxmlformats.org/officeDocument/2006/customXml" ds:itemID="{296092C2-1F4E-4A3B-A318-876095AD0036}">
  <ds:schemaRefs>
    <ds:schemaRef ds:uri="http://schemas.microsoft.com/sharepoint/v3/contenttype/forms"/>
  </ds:schemaRefs>
</ds:datastoreItem>
</file>

<file path=customXml/itemProps3.xml><?xml version="1.0" encoding="utf-8"?>
<ds:datastoreItem xmlns:ds="http://schemas.openxmlformats.org/officeDocument/2006/customXml" ds:itemID="{86D8B986-FCFE-4778-A554-17FDF919F3DD}">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3543A225-7FC3-46B5-93C0-CE2DE85B9C80}"/>
</file>

<file path=docProps/app.xml><?xml version="1.0" encoding="utf-8"?>
<Properties xmlns="http://schemas.openxmlformats.org/officeDocument/2006/extended-properties" xmlns:vt="http://schemas.openxmlformats.org/officeDocument/2006/docPropsVTypes">
  <Template>Normal.dotm</Template>
  <TotalTime>4217</TotalTime>
  <Application>LibreOffice/6.4.7.2$Linux_X86_64 LibreOffice_project/40$Build-2</Application>
  <Pages>30</Pages>
  <Words>12320</Words>
  <Characters>70685</Characters>
  <CharactersWithSpaces>82199</CharactersWithSpaces>
  <Paragraphs>587</Paragraphs>
  <Company>MACV</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2024-02-16T12:33:00Z</dcterms:created>
  <dc:creator>Aristhéa Totti Silva Castelo Branco de Alencar</dc:creator>
  <dc:description/>
  <dc:language>pt-BR</dc:language>
  <cp:lastModifiedBy/>
  <cp:lastPrinted>2024-07-30T11:28:27Z</cp:lastPrinted>
  <dcterms:modified xsi:type="dcterms:W3CDTF">2024-07-31T13:09:39Z</dcterms:modified>
  <cp:revision>9</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mpany">
    <vt:lpwstr>MACV</vt:lpwstr>
  </property>
  <property fmtid="{D5CDD505-2E9C-101B-9397-08002B2CF9AE}" pid="4" name="ContentTypeId">
    <vt:lpwstr>0x0101005A08D7DBFEB39F4993BAF4471592047B</vt:lpwstr>
  </property>
  <property fmtid="{D5CDD505-2E9C-101B-9397-08002B2CF9AE}" pid="5" name="DocSecurity">
    <vt:i4>0</vt:i4>
  </property>
  <property fmtid="{D5CDD505-2E9C-101B-9397-08002B2CF9AE}" pid="6" name="HyperlinksChanged">
    <vt:bool>0</vt:bool>
  </property>
  <property fmtid="{D5CDD505-2E9C-101B-9397-08002B2CF9AE}" pid="7" name="LinksUpToDate">
    <vt:bool>0</vt:bool>
  </property>
  <property fmtid="{D5CDD505-2E9C-101B-9397-08002B2CF9AE}" pid="8" name="Order">
    <vt:i4>34293900</vt:i4>
  </property>
  <property fmtid="{D5CDD505-2E9C-101B-9397-08002B2CF9AE}" pid="9" name="ScaleCrop">
    <vt:bool>0</vt:bool>
  </property>
  <property fmtid="{D5CDD505-2E9C-101B-9397-08002B2CF9AE}" pid="10" name="ShareDoc">
    <vt:bool>0</vt:bool>
  </property>
</Properties>
</file>