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796" w:rsidRPr="00260481" w:rsidRDefault="00697410" w:rsidP="00545796">
      <w:pPr>
        <w:widowControl/>
        <w:jc w:val="center"/>
        <w:rPr>
          <w:sz w:val="22"/>
          <w:szCs w:val="22"/>
        </w:rPr>
      </w:pPr>
      <w:r w:rsidRPr="00260481">
        <w:rPr>
          <w:noProof/>
          <w:sz w:val="22"/>
          <w:szCs w:val="22"/>
          <w:lang w:eastAsia="pt-BR"/>
        </w:rPr>
        <w:drawing>
          <wp:inline distT="0" distB="0" distL="0" distR="0">
            <wp:extent cx="826770" cy="789940"/>
            <wp:effectExtent l="0" t="0" r="0" b="0"/>
            <wp:docPr id="1" name="Imagem 1" descr="armas naciona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as nacionai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796" w:rsidRPr="00260481" w:rsidRDefault="00545796" w:rsidP="00545796">
      <w:pPr>
        <w:pStyle w:val="Ttulo5"/>
        <w:widowControl/>
        <w:rPr>
          <w:sz w:val="22"/>
          <w:szCs w:val="22"/>
        </w:rPr>
      </w:pPr>
      <w:r w:rsidRPr="00260481">
        <w:rPr>
          <w:sz w:val="22"/>
          <w:szCs w:val="22"/>
        </w:rPr>
        <w:t>MINISTÉRIO DA DEFESA</w:t>
      </w:r>
    </w:p>
    <w:p w:rsidR="00545796" w:rsidRPr="00260481" w:rsidRDefault="00545796" w:rsidP="00545796">
      <w:pPr>
        <w:widowControl/>
        <w:jc w:val="center"/>
        <w:rPr>
          <w:b/>
          <w:bCs/>
          <w:sz w:val="22"/>
          <w:szCs w:val="22"/>
        </w:rPr>
      </w:pPr>
      <w:r w:rsidRPr="00260481">
        <w:rPr>
          <w:b/>
          <w:bCs/>
          <w:sz w:val="22"/>
          <w:szCs w:val="22"/>
        </w:rPr>
        <w:t>EXÉRCITO   BRASILEIRO</w:t>
      </w:r>
    </w:p>
    <w:p w:rsidR="00545796" w:rsidRPr="00260481" w:rsidRDefault="00545796" w:rsidP="00545796">
      <w:pPr>
        <w:widowControl/>
        <w:jc w:val="center"/>
        <w:rPr>
          <w:b/>
          <w:bCs/>
          <w:sz w:val="22"/>
          <w:szCs w:val="22"/>
        </w:rPr>
      </w:pPr>
      <w:r w:rsidRPr="00260481">
        <w:rPr>
          <w:b/>
          <w:bCs/>
          <w:sz w:val="22"/>
          <w:szCs w:val="22"/>
        </w:rPr>
        <w:t>CMP – 11ª REGIÃO MILITAR</w:t>
      </w:r>
    </w:p>
    <w:p w:rsidR="00545796" w:rsidRPr="00260481" w:rsidRDefault="00545796" w:rsidP="00545796">
      <w:pPr>
        <w:widowControl/>
        <w:jc w:val="center"/>
        <w:rPr>
          <w:b/>
          <w:bCs/>
          <w:sz w:val="22"/>
          <w:szCs w:val="22"/>
        </w:rPr>
      </w:pPr>
      <w:r w:rsidRPr="00260481">
        <w:rPr>
          <w:b/>
          <w:bCs/>
          <w:sz w:val="22"/>
          <w:szCs w:val="22"/>
        </w:rPr>
        <w:t>HOSPITAL MILITAR DE ÁREA DE BRASÍLIA</w:t>
      </w:r>
    </w:p>
    <w:p w:rsidR="00545796" w:rsidRPr="00260481" w:rsidRDefault="00545796" w:rsidP="00545796">
      <w:pPr>
        <w:jc w:val="center"/>
        <w:rPr>
          <w:b/>
          <w:sz w:val="22"/>
          <w:szCs w:val="22"/>
          <w:u w:val="single"/>
        </w:rPr>
      </w:pPr>
    </w:p>
    <w:p w:rsidR="00545796" w:rsidRPr="00260481" w:rsidRDefault="00545796" w:rsidP="00545796">
      <w:pPr>
        <w:jc w:val="center"/>
        <w:rPr>
          <w:b/>
          <w:sz w:val="22"/>
          <w:szCs w:val="22"/>
          <w:u w:val="single"/>
        </w:rPr>
      </w:pPr>
    </w:p>
    <w:p w:rsidR="00F10A4B" w:rsidRPr="00260481" w:rsidRDefault="00545796" w:rsidP="00545796">
      <w:pPr>
        <w:jc w:val="center"/>
        <w:rPr>
          <w:b/>
          <w:sz w:val="22"/>
          <w:szCs w:val="22"/>
          <w:u w:val="single"/>
        </w:rPr>
      </w:pPr>
      <w:r w:rsidRPr="00260481">
        <w:rPr>
          <w:b/>
          <w:sz w:val="22"/>
          <w:szCs w:val="22"/>
          <w:u w:val="single"/>
        </w:rPr>
        <w:t>RELATÓRIO DE PESQUISA DE PREÇOS</w:t>
      </w:r>
    </w:p>
    <w:p w:rsidR="00545796" w:rsidRPr="00260481" w:rsidRDefault="00545796" w:rsidP="00545796">
      <w:pPr>
        <w:jc w:val="center"/>
        <w:rPr>
          <w:b/>
          <w:sz w:val="22"/>
          <w:szCs w:val="22"/>
          <w:u w:val="single"/>
        </w:rPr>
      </w:pPr>
    </w:p>
    <w:p w:rsidR="00545796" w:rsidRPr="00260481" w:rsidRDefault="00545796" w:rsidP="00545796">
      <w:pPr>
        <w:jc w:val="center"/>
        <w:rPr>
          <w:b/>
          <w:color w:val="000000" w:themeColor="text1"/>
          <w:sz w:val="22"/>
          <w:szCs w:val="22"/>
          <w:u w:val="single"/>
        </w:rPr>
      </w:pPr>
    </w:p>
    <w:p w:rsidR="009434C0" w:rsidRPr="00260481" w:rsidRDefault="009434C0" w:rsidP="00260481">
      <w:pPr>
        <w:spacing w:line="480" w:lineRule="auto"/>
        <w:jc w:val="both"/>
        <w:rPr>
          <w:b/>
          <w:color w:val="000000" w:themeColor="text1"/>
          <w:sz w:val="22"/>
          <w:szCs w:val="22"/>
        </w:rPr>
      </w:pPr>
      <w:r w:rsidRPr="00260481">
        <w:rPr>
          <w:b/>
          <w:color w:val="000000" w:themeColor="text1"/>
          <w:sz w:val="22"/>
          <w:szCs w:val="22"/>
        </w:rPr>
        <w:t>1. REFERÊNCIA NORMATIVA</w:t>
      </w:r>
    </w:p>
    <w:p w:rsidR="008E24B6" w:rsidRPr="008E24B6" w:rsidRDefault="008E24B6" w:rsidP="008E24B6">
      <w:pPr>
        <w:widowControl/>
        <w:suppressAutoHyphens w:val="0"/>
        <w:autoSpaceDN w:val="0"/>
        <w:adjustRightInd w:val="0"/>
        <w:rPr>
          <w:rFonts w:eastAsiaTheme="minorHAnsi"/>
          <w:color w:val="000000"/>
          <w:sz w:val="24"/>
          <w:lang w:eastAsia="en-US"/>
        </w:rPr>
      </w:pPr>
    </w:p>
    <w:p w:rsidR="008E24B6" w:rsidRPr="008E24B6" w:rsidRDefault="008E24B6" w:rsidP="008E24B6">
      <w:pPr>
        <w:widowControl/>
        <w:suppressAutoHyphens w:val="0"/>
        <w:autoSpaceDN w:val="0"/>
        <w:adjustRightInd w:val="0"/>
        <w:spacing w:before="5" w:line="480" w:lineRule="auto"/>
        <w:ind w:firstLine="5"/>
        <w:jc w:val="both"/>
        <w:rPr>
          <w:rFonts w:eastAsiaTheme="minorHAnsi"/>
          <w:sz w:val="22"/>
          <w:szCs w:val="22"/>
          <w:lang w:eastAsia="en-US"/>
        </w:rPr>
      </w:pPr>
      <w:r w:rsidRPr="008E24B6">
        <w:rPr>
          <w:rFonts w:eastAsiaTheme="minorHAnsi"/>
          <w:sz w:val="22"/>
          <w:szCs w:val="22"/>
          <w:lang w:eastAsia="en-US"/>
        </w:rPr>
        <w:t xml:space="preserve"> - Lei 14.133/21, art. 82, §5º, 1º: “O registro de preços será precedido de ampla pesquisa de mercado”;</w:t>
      </w:r>
    </w:p>
    <w:p w:rsidR="008E24B6" w:rsidRPr="008E24B6" w:rsidRDefault="008E24B6" w:rsidP="008E24B6">
      <w:pPr>
        <w:widowControl/>
        <w:suppressAutoHyphens w:val="0"/>
        <w:autoSpaceDN w:val="0"/>
        <w:adjustRightInd w:val="0"/>
        <w:spacing w:before="7" w:line="480" w:lineRule="auto"/>
        <w:ind w:firstLine="5"/>
        <w:jc w:val="both"/>
        <w:rPr>
          <w:rFonts w:eastAsiaTheme="minorHAnsi"/>
          <w:sz w:val="22"/>
          <w:szCs w:val="22"/>
          <w:lang w:eastAsia="en-US"/>
        </w:rPr>
      </w:pPr>
      <w:r w:rsidRPr="008E24B6">
        <w:rPr>
          <w:rFonts w:eastAsiaTheme="minorHAnsi"/>
          <w:sz w:val="22"/>
          <w:szCs w:val="22"/>
          <w:lang w:eastAsia="en-US"/>
        </w:rPr>
        <w:t>- Lei 14.133/21, art. 33, “...conformidade de cada proposta, realizado de acordo com o critério de menor preço, com os preços correntes no mercado”;</w:t>
      </w:r>
    </w:p>
    <w:p w:rsidR="008E24B6" w:rsidRPr="008E24B6" w:rsidRDefault="008E24B6" w:rsidP="008E24B6">
      <w:pPr>
        <w:widowControl/>
        <w:suppressAutoHyphens w:val="0"/>
        <w:autoSpaceDN w:val="0"/>
        <w:adjustRightInd w:val="0"/>
        <w:spacing w:before="4" w:line="480" w:lineRule="auto"/>
        <w:ind w:firstLine="5"/>
        <w:jc w:val="both"/>
        <w:rPr>
          <w:rFonts w:eastAsiaTheme="minorHAnsi"/>
          <w:sz w:val="22"/>
          <w:szCs w:val="22"/>
          <w:lang w:eastAsia="en-US"/>
        </w:rPr>
      </w:pPr>
      <w:r w:rsidRPr="008E24B6">
        <w:rPr>
          <w:rFonts w:eastAsiaTheme="minorHAnsi"/>
          <w:sz w:val="22"/>
          <w:szCs w:val="22"/>
          <w:lang w:eastAsia="en-US"/>
        </w:rPr>
        <w:t>- Lei 14.133/21, art. 23º, V: “dos autos do procedimento constarão (...) o orçamento, elaborado pelo órgão ou entidade promotora da licitação, dos bens ou serviços a serem licitados”;</w:t>
      </w:r>
    </w:p>
    <w:p w:rsidR="008E24B6" w:rsidRPr="008E24B6" w:rsidRDefault="008E24B6" w:rsidP="008E24B6">
      <w:pPr>
        <w:widowControl/>
        <w:suppressAutoHyphens w:val="0"/>
        <w:autoSpaceDN w:val="0"/>
        <w:adjustRightInd w:val="0"/>
        <w:spacing w:before="2" w:line="480" w:lineRule="auto"/>
        <w:ind w:firstLine="5"/>
        <w:jc w:val="both"/>
        <w:rPr>
          <w:rFonts w:eastAsiaTheme="minorHAnsi"/>
          <w:sz w:val="22"/>
          <w:szCs w:val="22"/>
          <w:lang w:eastAsia="en-US"/>
        </w:rPr>
      </w:pPr>
      <w:r w:rsidRPr="008E24B6">
        <w:rPr>
          <w:rFonts w:eastAsiaTheme="minorHAnsi"/>
          <w:sz w:val="22"/>
          <w:szCs w:val="22"/>
          <w:lang w:eastAsia="en-US"/>
        </w:rPr>
        <w:t>- Decreto Federal n. 11.462/2023, art. 7º, IV: “realizar pesquisa de mercado para identificação do valor estimado da licitação...”;</w:t>
      </w:r>
    </w:p>
    <w:p w:rsidR="008E24B6" w:rsidRPr="008E24B6" w:rsidRDefault="008E24B6" w:rsidP="008E24B6">
      <w:pPr>
        <w:widowControl/>
        <w:suppressAutoHyphens w:val="0"/>
        <w:autoSpaceDN w:val="0"/>
        <w:adjustRightInd w:val="0"/>
        <w:spacing w:before="2" w:line="480" w:lineRule="auto"/>
        <w:ind w:firstLine="5"/>
        <w:jc w:val="both"/>
        <w:rPr>
          <w:rFonts w:eastAsiaTheme="minorHAnsi"/>
          <w:sz w:val="22"/>
          <w:szCs w:val="22"/>
          <w:lang w:eastAsia="en-US"/>
        </w:rPr>
      </w:pPr>
      <w:r w:rsidRPr="008E24B6">
        <w:rPr>
          <w:rFonts w:eastAsiaTheme="minorHAnsi"/>
          <w:sz w:val="22"/>
          <w:szCs w:val="22"/>
          <w:lang w:eastAsia="en-US"/>
        </w:rPr>
        <w:t>- Decreto 3.555/00, art. 8º, § 2º, II: “...propiciar a avaliação do custo pela Administração, diante de orçamento detalhado, considerando os preços praticados no mercado”;</w:t>
      </w:r>
    </w:p>
    <w:p w:rsidR="009434C0" w:rsidRPr="008E24B6" w:rsidRDefault="008E24B6" w:rsidP="008E24B6">
      <w:pPr>
        <w:spacing w:line="480" w:lineRule="auto"/>
        <w:jc w:val="both"/>
        <w:rPr>
          <w:rFonts w:eastAsiaTheme="minorHAnsi"/>
          <w:sz w:val="22"/>
          <w:szCs w:val="22"/>
          <w:lang w:eastAsia="en-US"/>
        </w:rPr>
      </w:pPr>
      <w:r w:rsidRPr="008E24B6">
        <w:rPr>
          <w:rFonts w:eastAsiaTheme="minorHAnsi"/>
          <w:sz w:val="22"/>
          <w:szCs w:val="22"/>
          <w:lang w:eastAsia="en-US"/>
        </w:rPr>
        <w:t>- Instrução Normativa nº 65, de 07 de julho de 2021.</w:t>
      </w:r>
    </w:p>
    <w:p w:rsidR="008E24B6" w:rsidRPr="00260481" w:rsidRDefault="008E24B6" w:rsidP="008E24B6">
      <w:pPr>
        <w:jc w:val="both"/>
        <w:rPr>
          <w:b/>
          <w:sz w:val="22"/>
          <w:szCs w:val="22"/>
        </w:rPr>
      </w:pPr>
    </w:p>
    <w:p w:rsidR="00545796" w:rsidRPr="00260481" w:rsidRDefault="009434C0" w:rsidP="00260481">
      <w:pPr>
        <w:spacing w:line="480" w:lineRule="auto"/>
        <w:jc w:val="both"/>
        <w:rPr>
          <w:b/>
          <w:sz w:val="22"/>
          <w:szCs w:val="22"/>
        </w:rPr>
      </w:pPr>
      <w:r w:rsidRPr="00260481">
        <w:rPr>
          <w:b/>
          <w:color w:val="000000" w:themeColor="text1"/>
          <w:sz w:val="22"/>
          <w:szCs w:val="22"/>
        </w:rPr>
        <w:t>2</w:t>
      </w:r>
      <w:r w:rsidR="00545796" w:rsidRPr="00260481">
        <w:rPr>
          <w:b/>
          <w:color w:val="000000" w:themeColor="text1"/>
          <w:sz w:val="22"/>
          <w:szCs w:val="22"/>
        </w:rPr>
        <w:t xml:space="preserve">. </w:t>
      </w:r>
      <w:r w:rsidR="0096783C" w:rsidRPr="00260481">
        <w:rPr>
          <w:b/>
          <w:color w:val="000000" w:themeColor="text1"/>
          <w:sz w:val="22"/>
          <w:szCs w:val="22"/>
        </w:rPr>
        <w:t>OBJETIVO</w:t>
      </w:r>
    </w:p>
    <w:p w:rsidR="00545796" w:rsidRPr="00260481" w:rsidRDefault="00545796" w:rsidP="0096783C">
      <w:pPr>
        <w:widowControl/>
        <w:suppressAutoHyphens w:val="0"/>
        <w:autoSpaceDN w:val="0"/>
        <w:adjustRightInd w:val="0"/>
        <w:spacing w:line="360" w:lineRule="auto"/>
        <w:ind w:firstLine="709"/>
        <w:jc w:val="both"/>
        <w:rPr>
          <w:sz w:val="22"/>
          <w:szCs w:val="22"/>
        </w:rPr>
      </w:pPr>
      <w:r w:rsidRPr="00260481">
        <w:rPr>
          <w:sz w:val="22"/>
          <w:szCs w:val="22"/>
        </w:rPr>
        <w:t>Aferir</w:t>
      </w:r>
      <w:r w:rsidR="009434C0" w:rsidRPr="00260481">
        <w:rPr>
          <w:sz w:val="22"/>
          <w:szCs w:val="22"/>
        </w:rPr>
        <w:t xml:space="preserve"> e demonstrar de</w:t>
      </w:r>
      <w:r w:rsidRPr="00260481">
        <w:rPr>
          <w:sz w:val="22"/>
          <w:szCs w:val="22"/>
        </w:rPr>
        <w:t xml:space="preserve"> </w:t>
      </w:r>
      <w:r w:rsidRPr="00260481">
        <w:rPr>
          <w:rFonts w:eastAsiaTheme="minorHAnsi"/>
          <w:sz w:val="22"/>
          <w:szCs w:val="22"/>
          <w:lang w:eastAsia="en-US"/>
        </w:rPr>
        <w:t>forma objetiva</w:t>
      </w:r>
      <w:r w:rsidR="00DB4CCC" w:rsidRPr="00260481">
        <w:rPr>
          <w:rFonts w:eastAsiaTheme="minorHAnsi"/>
          <w:sz w:val="22"/>
          <w:szCs w:val="22"/>
          <w:lang w:eastAsia="en-US"/>
        </w:rPr>
        <w:t xml:space="preserve"> </w:t>
      </w:r>
      <w:r w:rsidR="009434C0" w:rsidRPr="00260481">
        <w:rPr>
          <w:rFonts w:eastAsiaTheme="minorHAnsi"/>
          <w:sz w:val="22"/>
          <w:szCs w:val="22"/>
          <w:lang w:eastAsia="en-US"/>
        </w:rPr>
        <w:t>a</w:t>
      </w:r>
      <w:r w:rsidR="009434C0" w:rsidRPr="00260481">
        <w:rPr>
          <w:sz w:val="22"/>
          <w:szCs w:val="22"/>
        </w:rPr>
        <w:t xml:space="preserve"> formação dos preços de referência em licitações e contratações diretas</w:t>
      </w:r>
      <w:r w:rsidRPr="00260481">
        <w:rPr>
          <w:rFonts w:eastAsiaTheme="minorHAnsi"/>
          <w:sz w:val="22"/>
          <w:szCs w:val="22"/>
          <w:lang w:eastAsia="en-US"/>
        </w:rPr>
        <w:t>, a partir da análise crítica</w:t>
      </w:r>
      <w:r w:rsidRPr="00260481">
        <w:rPr>
          <w:sz w:val="22"/>
          <w:szCs w:val="22"/>
        </w:rPr>
        <w:t xml:space="preserve"> </w:t>
      </w:r>
      <w:r w:rsidR="009434C0" w:rsidRPr="00260481">
        <w:rPr>
          <w:rFonts w:eastAsiaTheme="minorHAnsi"/>
          <w:sz w:val="22"/>
          <w:szCs w:val="22"/>
          <w:lang w:eastAsia="en-US"/>
        </w:rPr>
        <w:t>dos parâmetros estabelecidos na</w:t>
      </w:r>
      <w:r w:rsidR="009434C0" w:rsidRPr="00260481">
        <w:rPr>
          <w:sz w:val="22"/>
          <w:szCs w:val="22"/>
        </w:rPr>
        <w:t xml:space="preserve"> </w:t>
      </w:r>
      <w:r w:rsidR="00C5287C" w:rsidRPr="00260481">
        <w:rPr>
          <w:b/>
          <w:bCs/>
          <w:sz w:val="22"/>
          <w:szCs w:val="22"/>
        </w:rPr>
        <w:t>Instrução Normativa nº 65, de 07 de julho de 2021</w:t>
      </w:r>
      <w:r w:rsidR="009434C0" w:rsidRPr="00260481">
        <w:rPr>
          <w:bCs/>
          <w:sz w:val="22"/>
          <w:szCs w:val="22"/>
        </w:rPr>
        <w:t>.</w:t>
      </w:r>
      <w:r w:rsidR="009434C0" w:rsidRPr="00260481">
        <w:rPr>
          <w:b/>
          <w:bCs/>
          <w:sz w:val="22"/>
          <w:szCs w:val="22"/>
        </w:rPr>
        <w:t xml:space="preserve"> </w:t>
      </w:r>
      <w:r w:rsidR="009434C0" w:rsidRPr="00260481">
        <w:rPr>
          <w:bCs/>
          <w:sz w:val="22"/>
          <w:szCs w:val="22"/>
        </w:rPr>
        <w:t>Tudo com a finalidade de</w:t>
      </w:r>
      <w:r w:rsidR="009B2444" w:rsidRPr="00260481">
        <w:rPr>
          <w:bCs/>
          <w:sz w:val="22"/>
          <w:szCs w:val="22"/>
        </w:rPr>
        <w:t xml:space="preserve"> obter uma</w:t>
      </w:r>
      <w:r w:rsidR="009434C0" w:rsidRPr="00260481">
        <w:rPr>
          <w:sz w:val="22"/>
          <w:szCs w:val="22"/>
        </w:rPr>
        <w:t xml:space="preserve"> </w:t>
      </w:r>
      <w:r w:rsidR="009B2444" w:rsidRPr="00260481">
        <w:rPr>
          <w:rFonts w:eastAsiaTheme="minorHAnsi"/>
          <w:sz w:val="22"/>
          <w:szCs w:val="22"/>
          <w:lang w:eastAsia="en-US"/>
        </w:rPr>
        <w:t xml:space="preserve">estimativa prévia que permita verificar se os preços propostos são realizáveis, exequíveis ou compatíveis com os preços praticados pelo mercado, </w:t>
      </w:r>
      <w:r w:rsidR="009B2444" w:rsidRPr="00260481">
        <w:rPr>
          <w:sz w:val="22"/>
          <w:szCs w:val="22"/>
        </w:rPr>
        <w:t>assegurando, assim,</w:t>
      </w:r>
      <w:r w:rsidR="009434C0" w:rsidRPr="00260481">
        <w:rPr>
          <w:sz w:val="22"/>
          <w:szCs w:val="22"/>
        </w:rPr>
        <w:t xml:space="preserve"> a proposta que apresente maior vantagem econômica (custo X benefício) para a Administração.   </w:t>
      </w:r>
    </w:p>
    <w:p w:rsidR="00545796" w:rsidRPr="00260481" w:rsidRDefault="00545796" w:rsidP="009434C0">
      <w:pPr>
        <w:spacing w:line="360" w:lineRule="auto"/>
        <w:ind w:firstLine="294"/>
        <w:jc w:val="both"/>
        <w:rPr>
          <w:b/>
          <w:sz w:val="22"/>
          <w:szCs w:val="22"/>
        </w:rPr>
      </w:pPr>
    </w:p>
    <w:p w:rsidR="00545796" w:rsidRPr="00260481" w:rsidRDefault="009434C0" w:rsidP="00260481">
      <w:pPr>
        <w:spacing w:line="480" w:lineRule="auto"/>
        <w:jc w:val="both"/>
        <w:rPr>
          <w:b/>
          <w:color w:val="000000" w:themeColor="text1"/>
          <w:sz w:val="22"/>
          <w:szCs w:val="22"/>
        </w:rPr>
      </w:pPr>
      <w:r w:rsidRPr="00260481">
        <w:rPr>
          <w:b/>
          <w:color w:val="000000" w:themeColor="text1"/>
          <w:sz w:val="22"/>
          <w:szCs w:val="22"/>
        </w:rPr>
        <w:t>3.</w:t>
      </w:r>
      <w:r w:rsidR="00545796" w:rsidRPr="00260481">
        <w:rPr>
          <w:b/>
          <w:color w:val="000000" w:themeColor="text1"/>
          <w:sz w:val="22"/>
          <w:szCs w:val="22"/>
        </w:rPr>
        <w:t xml:space="preserve"> INTRODUÇÃO</w:t>
      </w:r>
    </w:p>
    <w:p w:rsidR="0096783C" w:rsidRPr="00260481" w:rsidRDefault="006F35B1" w:rsidP="0096783C">
      <w:pPr>
        <w:spacing w:line="360" w:lineRule="auto"/>
        <w:ind w:firstLine="709"/>
        <w:jc w:val="both"/>
        <w:rPr>
          <w:sz w:val="22"/>
          <w:szCs w:val="22"/>
        </w:rPr>
      </w:pPr>
      <w:r w:rsidRPr="00260481">
        <w:rPr>
          <w:sz w:val="22"/>
          <w:szCs w:val="22"/>
        </w:rPr>
        <w:t xml:space="preserve">Trata o presente relatório de apresentar a metodologia utilizada para a formação do preço de referência, visando </w:t>
      </w:r>
      <w:r w:rsidR="00527604" w:rsidRPr="00260481">
        <w:rPr>
          <w:sz w:val="22"/>
          <w:szCs w:val="22"/>
        </w:rPr>
        <w:t>à</w:t>
      </w:r>
      <w:r w:rsidRPr="00260481">
        <w:rPr>
          <w:sz w:val="22"/>
          <w:szCs w:val="22"/>
        </w:rPr>
        <w:t xml:space="preserve"> </w:t>
      </w:r>
      <w:r w:rsidR="00527604" w:rsidRPr="00260481">
        <w:rPr>
          <w:sz w:val="22"/>
          <w:szCs w:val="22"/>
        </w:rPr>
        <w:t xml:space="preserve">aquisição de material </w:t>
      </w:r>
      <w:r w:rsidR="00CF2704">
        <w:rPr>
          <w:sz w:val="22"/>
          <w:szCs w:val="22"/>
        </w:rPr>
        <w:t>de consumo</w:t>
      </w:r>
      <w:r w:rsidR="00527604" w:rsidRPr="00260481">
        <w:rPr>
          <w:sz w:val="22"/>
          <w:szCs w:val="22"/>
        </w:rPr>
        <w:t xml:space="preserve"> </w:t>
      </w:r>
      <w:r w:rsidR="0096783C" w:rsidRPr="00260481">
        <w:rPr>
          <w:sz w:val="22"/>
          <w:szCs w:val="22"/>
        </w:rPr>
        <w:t xml:space="preserve">que atenda ao princípio da eficiência </w:t>
      </w:r>
      <w:r w:rsidR="0096783C" w:rsidRPr="00260481">
        <w:rPr>
          <w:sz w:val="22"/>
          <w:szCs w:val="22"/>
        </w:rPr>
        <w:lastRenderedPageBreak/>
        <w:t>(custo/benefício), por meio da proposta mais vantajosa para a Administração.</w:t>
      </w:r>
    </w:p>
    <w:p w:rsidR="00DD546C" w:rsidRPr="00260481" w:rsidRDefault="00CF2704" w:rsidP="002D4229">
      <w:pPr>
        <w:widowControl/>
        <w:suppressAutoHyphens w:val="0"/>
        <w:autoSpaceDN w:val="0"/>
        <w:adjustRightInd w:val="0"/>
        <w:spacing w:line="36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No caso em tela, trata-se do valor estimado </w:t>
      </w:r>
      <w:r w:rsidR="00567C65" w:rsidRPr="00260481">
        <w:rPr>
          <w:sz w:val="22"/>
          <w:szCs w:val="22"/>
        </w:rPr>
        <w:t xml:space="preserve">para </w:t>
      </w:r>
      <w:r w:rsidR="00D5349B">
        <w:rPr>
          <w:sz w:val="22"/>
          <w:szCs w:val="22"/>
        </w:rPr>
        <w:t>Dispensa de Licitação para cirurgias de Fcaoemulsificação</w:t>
      </w:r>
      <w:r w:rsidR="00DD546C" w:rsidRPr="00260481">
        <w:rPr>
          <w:sz w:val="22"/>
          <w:szCs w:val="22"/>
        </w:rPr>
        <w:t xml:space="preserve"> para o Hospital Militar de Brasília</w:t>
      </w:r>
      <w:r w:rsidR="00786570" w:rsidRPr="00260481">
        <w:rPr>
          <w:sz w:val="22"/>
          <w:szCs w:val="22"/>
        </w:rPr>
        <w:t xml:space="preserve"> (HMAB)</w:t>
      </w:r>
      <w:r w:rsidR="00DD546C" w:rsidRPr="00260481">
        <w:rPr>
          <w:sz w:val="22"/>
          <w:szCs w:val="22"/>
        </w:rPr>
        <w:t xml:space="preserve">, localizado na Avenida Duque de Caxias, S/N, </w:t>
      </w:r>
      <w:r w:rsidR="007C27E2" w:rsidRPr="00260481">
        <w:rPr>
          <w:sz w:val="22"/>
          <w:szCs w:val="22"/>
        </w:rPr>
        <w:t>Setor Militar Ur</w:t>
      </w:r>
      <w:r w:rsidR="00260481" w:rsidRPr="00260481">
        <w:rPr>
          <w:sz w:val="22"/>
          <w:szCs w:val="22"/>
        </w:rPr>
        <w:t>bano, Brasília-DF, CEP: 70.630-2</w:t>
      </w:r>
      <w:r w:rsidR="007C27E2" w:rsidRPr="00260481">
        <w:rPr>
          <w:sz w:val="22"/>
          <w:szCs w:val="22"/>
        </w:rPr>
        <w:t xml:space="preserve">00, </w:t>
      </w:r>
      <w:r w:rsidR="00DD546C" w:rsidRPr="00260481">
        <w:rPr>
          <w:sz w:val="22"/>
          <w:szCs w:val="22"/>
        </w:rPr>
        <w:t>conforme se verifica na tabela abaixo:</w:t>
      </w:r>
    </w:p>
    <w:tbl>
      <w:tblPr>
        <w:tblW w:w="963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"/>
        <w:gridCol w:w="1025"/>
        <w:gridCol w:w="3543"/>
        <w:gridCol w:w="993"/>
        <w:gridCol w:w="708"/>
        <w:gridCol w:w="1276"/>
        <w:gridCol w:w="1559"/>
      </w:tblGrid>
      <w:tr w:rsidR="00477250" w:rsidRPr="00D5349B" w:rsidTr="00477250">
        <w:trPr>
          <w:tblCellSpacing w:w="0" w:type="dxa"/>
        </w:trPr>
        <w:tc>
          <w:tcPr>
            <w:tcW w:w="530" w:type="dxa"/>
            <w:vAlign w:val="center"/>
            <w:hideMark/>
          </w:tcPr>
          <w:p w:rsidR="00D5349B" w:rsidRPr="00D5349B" w:rsidRDefault="00D5349B" w:rsidP="00D5349B">
            <w:pPr>
              <w:widowControl/>
              <w:suppressAutoHyphens w:val="0"/>
              <w:autoSpaceDE/>
              <w:spacing w:before="100" w:beforeAutospacing="1" w:after="100" w:afterAutospacing="1"/>
              <w:rPr>
                <w:szCs w:val="20"/>
                <w:lang w:eastAsia="pt-BR"/>
              </w:rPr>
            </w:pPr>
            <w:r w:rsidRPr="00477250">
              <w:rPr>
                <w:b/>
                <w:bCs/>
                <w:szCs w:val="20"/>
                <w:lang w:eastAsia="pt-BR"/>
              </w:rPr>
              <w:t>Item</w:t>
            </w:r>
          </w:p>
        </w:tc>
        <w:tc>
          <w:tcPr>
            <w:tcW w:w="1025" w:type="dxa"/>
            <w:vAlign w:val="center"/>
            <w:hideMark/>
          </w:tcPr>
          <w:p w:rsidR="00D5349B" w:rsidRPr="00D5349B" w:rsidRDefault="00D5349B" w:rsidP="00D5349B">
            <w:pPr>
              <w:widowControl/>
              <w:suppressAutoHyphens w:val="0"/>
              <w:autoSpaceDE/>
              <w:spacing w:before="100" w:beforeAutospacing="1" w:after="100" w:afterAutospacing="1"/>
              <w:rPr>
                <w:szCs w:val="20"/>
                <w:lang w:eastAsia="pt-BR"/>
              </w:rPr>
            </w:pPr>
            <w:r w:rsidRPr="00477250">
              <w:rPr>
                <w:b/>
                <w:bCs/>
                <w:szCs w:val="20"/>
                <w:lang w:eastAsia="pt-BR"/>
              </w:rPr>
              <w:t>CATMAT</w:t>
            </w:r>
          </w:p>
        </w:tc>
        <w:tc>
          <w:tcPr>
            <w:tcW w:w="3543" w:type="dxa"/>
            <w:vAlign w:val="center"/>
            <w:hideMark/>
          </w:tcPr>
          <w:p w:rsidR="00D5349B" w:rsidRPr="00D5349B" w:rsidRDefault="00D5349B" w:rsidP="00D5349B">
            <w:pPr>
              <w:widowControl/>
              <w:suppressAutoHyphens w:val="0"/>
              <w:autoSpaceDE/>
              <w:spacing w:before="100" w:beforeAutospacing="1" w:after="100" w:afterAutospacing="1"/>
              <w:rPr>
                <w:szCs w:val="20"/>
                <w:lang w:eastAsia="pt-BR"/>
              </w:rPr>
            </w:pPr>
            <w:r w:rsidRPr="00477250">
              <w:rPr>
                <w:b/>
                <w:bCs/>
                <w:szCs w:val="20"/>
                <w:lang w:eastAsia="pt-BR"/>
              </w:rPr>
              <w:t>DESCRIÇÃO</w:t>
            </w:r>
          </w:p>
        </w:tc>
        <w:tc>
          <w:tcPr>
            <w:tcW w:w="993" w:type="dxa"/>
            <w:vAlign w:val="center"/>
            <w:hideMark/>
          </w:tcPr>
          <w:p w:rsidR="00D5349B" w:rsidRPr="00D5349B" w:rsidRDefault="00D5349B" w:rsidP="00D5349B">
            <w:pPr>
              <w:widowControl/>
              <w:suppressAutoHyphens w:val="0"/>
              <w:autoSpaceDE/>
              <w:spacing w:before="100" w:beforeAutospacing="1" w:after="100" w:afterAutospacing="1"/>
              <w:rPr>
                <w:szCs w:val="20"/>
                <w:lang w:eastAsia="pt-BR"/>
              </w:rPr>
            </w:pPr>
            <w:r w:rsidRPr="00477250">
              <w:rPr>
                <w:b/>
                <w:bCs/>
                <w:szCs w:val="20"/>
                <w:lang w:eastAsia="pt-BR"/>
              </w:rPr>
              <w:t>Unidade</w:t>
            </w:r>
          </w:p>
        </w:tc>
        <w:tc>
          <w:tcPr>
            <w:tcW w:w="708" w:type="dxa"/>
            <w:vAlign w:val="center"/>
            <w:hideMark/>
          </w:tcPr>
          <w:p w:rsidR="00D5349B" w:rsidRPr="00D5349B" w:rsidRDefault="00D5349B" w:rsidP="00D5349B">
            <w:pPr>
              <w:widowControl/>
              <w:suppressAutoHyphens w:val="0"/>
              <w:autoSpaceDE/>
              <w:spacing w:before="100" w:beforeAutospacing="1" w:after="100" w:afterAutospacing="1"/>
              <w:rPr>
                <w:szCs w:val="20"/>
                <w:lang w:eastAsia="pt-BR"/>
              </w:rPr>
            </w:pPr>
            <w:r w:rsidRPr="00477250">
              <w:rPr>
                <w:b/>
                <w:bCs/>
                <w:szCs w:val="20"/>
                <w:lang w:eastAsia="pt-BR"/>
              </w:rPr>
              <w:t>Qtd</w:t>
            </w:r>
          </w:p>
        </w:tc>
        <w:tc>
          <w:tcPr>
            <w:tcW w:w="1276" w:type="dxa"/>
            <w:vAlign w:val="center"/>
            <w:hideMark/>
          </w:tcPr>
          <w:p w:rsidR="00D5349B" w:rsidRPr="00D5349B" w:rsidRDefault="00D5349B" w:rsidP="00D5349B">
            <w:pPr>
              <w:widowControl/>
              <w:suppressAutoHyphens w:val="0"/>
              <w:autoSpaceDE/>
              <w:spacing w:before="100" w:beforeAutospacing="1" w:after="100" w:afterAutospacing="1"/>
              <w:rPr>
                <w:szCs w:val="20"/>
                <w:lang w:eastAsia="pt-BR"/>
              </w:rPr>
            </w:pPr>
            <w:r w:rsidRPr="00477250">
              <w:rPr>
                <w:b/>
                <w:bCs/>
                <w:szCs w:val="20"/>
                <w:lang w:eastAsia="pt-BR"/>
              </w:rPr>
              <w:t>Valor</w:t>
            </w:r>
            <w:r w:rsidRPr="00D5349B">
              <w:rPr>
                <w:b/>
                <w:bCs/>
                <w:szCs w:val="20"/>
                <w:lang w:eastAsia="pt-BR"/>
              </w:rPr>
              <w:br/>
            </w:r>
            <w:r w:rsidRPr="00477250">
              <w:rPr>
                <w:b/>
                <w:bCs/>
                <w:szCs w:val="20"/>
                <w:lang w:eastAsia="pt-BR"/>
              </w:rPr>
              <w:t>Unitário</w:t>
            </w:r>
          </w:p>
        </w:tc>
        <w:tc>
          <w:tcPr>
            <w:tcW w:w="1559" w:type="dxa"/>
            <w:vAlign w:val="center"/>
            <w:hideMark/>
          </w:tcPr>
          <w:p w:rsidR="00D5349B" w:rsidRPr="00D5349B" w:rsidRDefault="00D5349B" w:rsidP="00D5349B">
            <w:pPr>
              <w:widowControl/>
              <w:suppressAutoHyphens w:val="0"/>
              <w:autoSpaceDE/>
              <w:spacing w:before="100" w:beforeAutospacing="1" w:after="100" w:afterAutospacing="1"/>
              <w:rPr>
                <w:szCs w:val="20"/>
                <w:lang w:eastAsia="pt-BR"/>
              </w:rPr>
            </w:pPr>
            <w:r w:rsidRPr="00477250">
              <w:rPr>
                <w:b/>
                <w:bCs/>
                <w:szCs w:val="20"/>
                <w:lang w:eastAsia="pt-BR"/>
              </w:rPr>
              <w:t>Valor Total</w:t>
            </w:r>
          </w:p>
        </w:tc>
      </w:tr>
      <w:tr w:rsidR="00477250" w:rsidRPr="00D5349B" w:rsidTr="00477250">
        <w:trPr>
          <w:tblCellSpacing w:w="0" w:type="dxa"/>
        </w:trPr>
        <w:tc>
          <w:tcPr>
            <w:tcW w:w="530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spacing w:before="100" w:beforeAutospacing="1" w:after="100" w:afterAutospacing="1"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1</w:t>
            </w:r>
          </w:p>
        </w:tc>
        <w:tc>
          <w:tcPr>
            <w:tcW w:w="1025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spacing w:before="100" w:beforeAutospacing="1" w:after="100" w:afterAutospacing="1"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461953</w:t>
            </w:r>
          </w:p>
        </w:tc>
        <w:tc>
          <w:tcPr>
            <w:tcW w:w="354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spacing w:before="100" w:beforeAutospacing="1" w:after="100" w:afterAutospacing="1"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Lente Intraocular Material: Polímero De Metacrilato , Grau: Grau Entre 20 A 21° DPT, Fixação: C/ Alça , Filtro: C/ Filtro , Tipo Óptico: Biconvexa , Constante: Constante Superior A 118 , Peça: Peça Única , Diâmetro: Diâmetro Entre 6,0 E 6,4 MM, Tipo: Dobrável , Características Adicionais: C/ Sistema Implante Pré Carregado , Câmara: Câmara Posterior , Esterilidade: Estéril</w:t>
            </w:r>
          </w:p>
        </w:tc>
        <w:tc>
          <w:tcPr>
            <w:tcW w:w="99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spacing w:before="100" w:beforeAutospacing="1" w:after="100" w:afterAutospacing="1"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Unidade</w:t>
            </w:r>
          </w:p>
        </w:tc>
        <w:tc>
          <w:tcPr>
            <w:tcW w:w="708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spacing w:before="100" w:beforeAutospacing="1" w:after="100" w:afterAutospacing="1"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590</w:t>
            </w:r>
          </w:p>
        </w:tc>
        <w:tc>
          <w:tcPr>
            <w:tcW w:w="1276" w:type="dxa"/>
            <w:vAlign w:val="center"/>
            <w:hideMark/>
          </w:tcPr>
          <w:p w:rsidR="00477250" w:rsidRPr="007D7AC7" w:rsidRDefault="00477250" w:rsidP="00477250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t-BR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R$ 3.101,00</w:t>
            </w:r>
          </w:p>
        </w:tc>
        <w:tc>
          <w:tcPr>
            <w:tcW w:w="1559" w:type="dxa"/>
            <w:vAlign w:val="center"/>
            <w:hideMark/>
          </w:tcPr>
          <w:p w:rsidR="00477250" w:rsidRPr="007D7AC7" w:rsidRDefault="00477250" w:rsidP="00477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R$ 1.829.590,00</w:t>
            </w:r>
          </w:p>
        </w:tc>
      </w:tr>
      <w:tr w:rsidR="00477250" w:rsidRPr="00D5349B" w:rsidTr="00477250">
        <w:trPr>
          <w:tblCellSpacing w:w="0" w:type="dxa"/>
        </w:trPr>
        <w:tc>
          <w:tcPr>
            <w:tcW w:w="530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2</w:t>
            </w:r>
          </w:p>
        </w:tc>
        <w:tc>
          <w:tcPr>
            <w:tcW w:w="1025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476758</w:t>
            </w:r>
          </w:p>
        </w:tc>
        <w:tc>
          <w:tcPr>
            <w:tcW w:w="354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Lente Intraocular Material: Polímero De Metacrilato , Grau: Grau Entre 20 A 21° DPT, Fixação: C/ Alça , Tipo Óptico: Biconvexa , Constante: Constante Superior A 118 , Peça: Três Peças , Diâmetro: Diâmetro Entre 5,5 E 5,9 MM, Tipo: Dobrável , Características Adicionais: Cartucho E Injetor , Câmara: Câmara Posterior , Esterilidade: Estéril</w:t>
            </w:r>
          </w:p>
        </w:tc>
        <w:tc>
          <w:tcPr>
            <w:tcW w:w="99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Unidade</w:t>
            </w:r>
          </w:p>
        </w:tc>
        <w:tc>
          <w:tcPr>
            <w:tcW w:w="708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60</w:t>
            </w:r>
          </w:p>
        </w:tc>
        <w:tc>
          <w:tcPr>
            <w:tcW w:w="1276" w:type="dxa"/>
            <w:vAlign w:val="center"/>
          </w:tcPr>
          <w:p w:rsidR="00477250" w:rsidRPr="007D7AC7" w:rsidRDefault="00477250" w:rsidP="00477250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t-BR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R$ 1.082,13</w:t>
            </w:r>
          </w:p>
        </w:tc>
        <w:tc>
          <w:tcPr>
            <w:tcW w:w="1559" w:type="dxa"/>
            <w:vAlign w:val="center"/>
          </w:tcPr>
          <w:p w:rsidR="00477250" w:rsidRPr="007D7AC7" w:rsidRDefault="00477250" w:rsidP="00477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R$ 64.927,80</w:t>
            </w:r>
          </w:p>
        </w:tc>
      </w:tr>
      <w:tr w:rsidR="00477250" w:rsidRPr="00D5349B" w:rsidTr="00477250">
        <w:trPr>
          <w:tblCellSpacing w:w="0" w:type="dxa"/>
        </w:trPr>
        <w:tc>
          <w:tcPr>
            <w:tcW w:w="530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3</w:t>
            </w:r>
          </w:p>
        </w:tc>
        <w:tc>
          <w:tcPr>
            <w:tcW w:w="1025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476569</w:t>
            </w:r>
          </w:p>
        </w:tc>
        <w:tc>
          <w:tcPr>
            <w:tcW w:w="354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Cassete Aplicação: Compatível C/ Facoemulsificador , Componente 1: Sensor De Pressão, Regulador De Fluídos , Componente 2: C/ Linha De Irrigação Aspiração Em Silicone , Apresentação: Estojo Plástico Rígido</w:t>
            </w:r>
          </w:p>
        </w:tc>
        <w:tc>
          <w:tcPr>
            <w:tcW w:w="99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Unidade</w:t>
            </w:r>
          </w:p>
        </w:tc>
        <w:tc>
          <w:tcPr>
            <w:tcW w:w="708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600</w:t>
            </w:r>
          </w:p>
        </w:tc>
        <w:tc>
          <w:tcPr>
            <w:tcW w:w="1276" w:type="dxa"/>
            <w:vAlign w:val="center"/>
          </w:tcPr>
          <w:p w:rsidR="00477250" w:rsidRPr="007D7AC7" w:rsidRDefault="00477250" w:rsidP="00477250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t-BR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R$ 1.045,58</w:t>
            </w:r>
          </w:p>
        </w:tc>
        <w:tc>
          <w:tcPr>
            <w:tcW w:w="1559" w:type="dxa"/>
            <w:vAlign w:val="center"/>
          </w:tcPr>
          <w:p w:rsidR="00477250" w:rsidRPr="007D7AC7" w:rsidRDefault="00477250" w:rsidP="00477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R$ 627.348,00</w:t>
            </w:r>
          </w:p>
        </w:tc>
      </w:tr>
      <w:tr w:rsidR="00477250" w:rsidRPr="00D5349B" w:rsidTr="00477250">
        <w:trPr>
          <w:tblCellSpacing w:w="0" w:type="dxa"/>
        </w:trPr>
        <w:tc>
          <w:tcPr>
            <w:tcW w:w="530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4</w:t>
            </w:r>
          </w:p>
        </w:tc>
        <w:tc>
          <w:tcPr>
            <w:tcW w:w="1025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450005</w:t>
            </w:r>
          </w:p>
        </w:tc>
        <w:tc>
          <w:tcPr>
            <w:tcW w:w="354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Ponteira Uso Oftalmológico Aplicação*: P/ Facoemulsificação , Material*: Titânio , Esterilidade*: Esterilizável , Tipo Ponta: Ponta Reta , Tamanho: 20 G</w:t>
            </w:r>
          </w:p>
        </w:tc>
        <w:tc>
          <w:tcPr>
            <w:tcW w:w="99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Unidade</w:t>
            </w:r>
          </w:p>
        </w:tc>
        <w:tc>
          <w:tcPr>
            <w:tcW w:w="708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30</w:t>
            </w:r>
          </w:p>
        </w:tc>
        <w:tc>
          <w:tcPr>
            <w:tcW w:w="1276" w:type="dxa"/>
            <w:vAlign w:val="center"/>
          </w:tcPr>
          <w:p w:rsidR="00477250" w:rsidRPr="007D7AC7" w:rsidRDefault="00477250" w:rsidP="00477250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t-BR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R$ 330,06</w:t>
            </w:r>
          </w:p>
        </w:tc>
        <w:tc>
          <w:tcPr>
            <w:tcW w:w="1559" w:type="dxa"/>
            <w:vAlign w:val="center"/>
          </w:tcPr>
          <w:p w:rsidR="00477250" w:rsidRPr="007D7AC7" w:rsidRDefault="00477250" w:rsidP="00477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R$ 9.901,80</w:t>
            </w:r>
          </w:p>
        </w:tc>
      </w:tr>
      <w:tr w:rsidR="00477250" w:rsidRPr="00D5349B" w:rsidTr="00477250">
        <w:trPr>
          <w:tblCellSpacing w:w="0" w:type="dxa"/>
        </w:trPr>
        <w:tc>
          <w:tcPr>
            <w:tcW w:w="530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5</w:t>
            </w:r>
          </w:p>
        </w:tc>
        <w:tc>
          <w:tcPr>
            <w:tcW w:w="1025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450007</w:t>
            </w:r>
          </w:p>
        </w:tc>
        <w:tc>
          <w:tcPr>
            <w:tcW w:w="354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Ponteira Uso Oftalmológico Componente Adicional: C/ Bainha De Silicone , Aplicação*: P/ Facoemulsificação , Material*: Titânio , Esterilidade*: Esterilizável , Tipo Ponta: Ponta Curva , Tamanho: 23 G</w:t>
            </w:r>
          </w:p>
        </w:tc>
        <w:tc>
          <w:tcPr>
            <w:tcW w:w="99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Unidade</w:t>
            </w:r>
          </w:p>
        </w:tc>
        <w:tc>
          <w:tcPr>
            <w:tcW w:w="708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280</w:t>
            </w:r>
          </w:p>
        </w:tc>
        <w:tc>
          <w:tcPr>
            <w:tcW w:w="1276" w:type="dxa"/>
            <w:vAlign w:val="center"/>
          </w:tcPr>
          <w:p w:rsidR="00477250" w:rsidRPr="007D7AC7" w:rsidRDefault="00477250" w:rsidP="00477250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t-BR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R$ 276,17</w:t>
            </w:r>
          </w:p>
        </w:tc>
        <w:tc>
          <w:tcPr>
            <w:tcW w:w="1559" w:type="dxa"/>
            <w:vAlign w:val="center"/>
          </w:tcPr>
          <w:p w:rsidR="00477250" w:rsidRPr="007D7AC7" w:rsidRDefault="00477250" w:rsidP="00477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R$ 77.327,60</w:t>
            </w:r>
          </w:p>
        </w:tc>
      </w:tr>
      <w:tr w:rsidR="00477250" w:rsidRPr="00D5349B" w:rsidTr="00477250">
        <w:trPr>
          <w:tblCellSpacing w:w="0" w:type="dxa"/>
        </w:trPr>
        <w:tc>
          <w:tcPr>
            <w:tcW w:w="530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6</w:t>
            </w:r>
          </w:p>
        </w:tc>
        <w:tc>
          <w:tcPr>
            <w:tcW w:w="1025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449789</w:t>
            </w:r>
          </w:p>
        </w:tc>
        <w:tc>
          <w:tcPr>
            <w:tcW w:w="354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Conjunto Oftalmológico Aplicação*: P/ Facoemulsificação , Componente 2: Luva De Silicone, Chave, Câmara Teste , Componente 4: C/ Sistema De Irrigação E Aspiração , Compatibilidade: Compatibilidade C/ Equipamento , Esterilidade: Estéril</w:t>
            </w:r>
          </w:p>
        </w:tc>
        <w:tc>
          <w:tcPr>
            <w:tcW w:w="99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Unidade</w:t>
            </w:r>
          </w:p>
        </w:tc>
        <w:tc>
          <w:tcPr>
            <w:tcW w:w="708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60</w:t>
            </w:r>
          </w:p>
        </w:tc>
        <w:tc>
          <w:tcPr>
            <w:tcW w:w="1276" w:type="dxa"/>
            <w:vAlign w:val="center"/>
          </w:tcPr>
          <w:p w:rsidR="00477250" w:rsidRPr="007D7AC7" w:rsidRDefault="00477250" w:rsidP="00477250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t-BR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R$ 458,00</w:t>
            </w:r>
          </w:p>
        </w:tc>
        <w:tc>
          <w:tcPr>
            <w:tcW w:w="1559" w:type="dxa"/>
            <w:vAlign w:val="center"/>
          </w:tcPr>
          <w:p w:rsidR="00477250" w:rsidRPr="007D7AC7" w:rsidRDefault="00477250" w:rsidP="00477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R$ 27.480,00</w:t>
            </w:r>
          </w:p>
        </w:tc>
      </w:tr>
      <w:tr w:rsidR="00477250" w:rsidRPr="00D5349B" w:rsidTr="00477250">
        <w:trPr>
          <w:tblCellSpacing w:w="0" w:type="dxa"/>
        </w:trPr>
        <w:tc>
          <w:tcPr>
            <w:tcW w:w="530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7</w:t>
            </w:r>
          </w:p>
        </w:tc>
        <w:tc>
          <w:tcPr>
            <w:tcW w:w="1025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394675</w:t>
            </w:r>
          </w:p>
        </w:tc>
        <w:tc>
          <w:tcPr>
            <w:tcW w:w="354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Solução Salina Balanceada Forma Farmacêutica: Solução Injetável Intra-Ocular , Características Adicionais: Em Sistema Fechado</w:t>
            </w:r>
          </w:p>
        </w:tc>
        <w:tc>
          <w:tcPr>
            <w:tcW w:w="99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Bolsa 500 ml</w:t>
            </w:r>
          </w:p>
        </w:tc>
        <w:tc>
          <w:tcPr>
            <w:tcW w:w="708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790</w:t>
            </w:r>
          </w:p>
        </w:tc>
        <w:tc>
          <w:tcPr>
            <w:tcW w:w="1276" w:type="dxa"/>
            <w:vAlign w:val="center"/>
          </w:tcPr>
          <w:p w:rsidR="00477250" w:rsidRPr="007D7AC7" w:rsidRDefault="00477250" w:rsidP="00477250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t-BR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R$ 111,22</w:t>
            </w:r>
          </w:p>
        </w:tc>
        <w:tc>
          <w:tcPr>
            <w:tcW w:w="1559" w:type="dxa"/>
            <w:vAlign w:val="center"/>
          </w:tcPr>
          <w:p w:rsidR="00477250" w:rsidRPr="007D7AC7" w:rsidRDefault="00477250" w:rsidP="00477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R$ 87.863,80</w:t>
            </w:r>
          </w:p>
        </w:tc>
      </w:tr>
      <w:tr w:rsidR="00477250" w:rsidRPr="00D5349B" w:rsidTr="00477250">
        <w:trPr>
          <w:tblCellSpacing w:w="0" w:type="dxa"/>
        </w:trPr>
        <w:tc>
          <w:tcPr>
            <w:tcW w:w="530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8</w:t>
            </w:r>
          </w:p>
        </w:tc>
        <w:tc>
          <w:tcPr>
            <w:tcW w:w="1025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435285</w:t>
            </w:r>
          </w:p>
        </w:tc>
        <w:tc>
          <w:tcPr>
            <w:tcW w:w="354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 xml:space="preserve">Hialuronato De Sódio Característica Adicional: Seringa Preenchida , </w:t>
            </w:r>
            <w:r w:rsidRPr="00D5349B">
              <w:rPr>
                <w:szCs w:val="20"/>
                <w:lang w:eastAsia="pt-BR"/>
              </w:rPr>
              <w:lastRenderedPageBreak/>
              <w:t>Quantidade Motores: 16 MG/ML, Forma Farmacêutica: Solução P/ Injeção Intra-Ocular</w:t>
            </w:r>
          </w:p>
        </w:tc>
        <w:tc>
          <w:tcPr>
            <w:tcW w:w="99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lastRenderedPageBreak/>
              <w:t>Seringa de 0,85 ml</w:t>
            </w:r>
          </w:p>
        </w:tc>
        <w:tc>
          <w:tcPr>
            <w:tcW w:w="708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670</w:t>
            </w:r>
          </w:p>
        </w:tc>
        <w:tc>
          <w:tcPr>
            <w:tcW w:w="1276" w:type="dxa"/>
            <w:vAlign w:val="center"/>
          </w:tcPr>
          <w:p w:rsidR="00477250" w:rsidRPr="007D7AC7" w:rsidRDefault="00477250" w:rsidP="00477250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t-BR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R$ 165,75</w:t>
            </w:r>
          </w:p>
        </w:tc>
        <w:tc>
          <w:tcPr>
            <w:tcW w:w="1559" w:type="dxa"/>
            <w:vAlign w:val="center"/>
          </w:tcPr>
          <w:p w:rsidR="00477250" w:rsidRPr="007D7AC7" w:rsidRDefault="00477250" w:rsidP="00477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R$ 111.052,50</w:t>
            </w:r>
          </w:p>
        </w:tc>
      </w:tr>
      <w:tr w:rsidR="00477250" w:rsidRPr="00D5349B" w:rsidTr="00477250">
        <w:trPr>
          <w:tblCellSpacing w:w="0" w:type="dxa"/>
        </w:trPr>
        <w:tc>
          <w:tcPr>
            <w:tcW w:w="530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bookmarkStart w:id="0" w:name="_GoBack" w:colFirst="5" w:colLast="6"/>
            <w:r w:rsidRPr="00D5349B">
              <w:rPr>
                <w:szCs w:val="20"/>
                <w:lang w:eastAsia="pt-BR"/>
              </w:rPr>
              <w:t>9</w:t>
            </w:r>
          </w:p>
        </w:tc>
        <w:tc>
          <w:tcPr>
            <w:tcW w:w="1025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436331</w:t>
            </w:r>
          </w:p>
        </w:tc>
        <w:tc>
          <w:tcPr>
            <w:tcW w:w="354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Hialuronato De Sódio Quantidade Motores: 3% + 4% , Adicional: Seringa Preenchida , Forma Farmacêutica: Solução P/ Injeção Intra-Ocular , Composição: Associado Ao Sulfato De Condroitina</w:t>
            </w:r>
          </w:p>
        </w:tc>
        <w:tc>
          <w:tcPr>
            <w:tcW w:w="993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Seringa de 0,75 ml</w:t>
            </w:r>
          </w:p>
        </w:tc>
        <w:tc>
          <w:tcPr>
            <w:tcW w:w="708" w:type="dxa"/>
            <w:vAlign w:val="center"/>
            <w:hideMark/>
          </w:tcPr>
          <w:p w:rsidR="00477250" w:rsidRPr="00D5349B" w:rsidRDefault="00477250" w:rsidP="00477250">
            <w:pPr>
              <w:widowControl/>
              <w:suppressAutoHyphens w:val="0"/>
              <w:autoSpaceDE/>
              <w:rPr>
                <w:szCs w:val="20"/>
                <w:lang w:eastAsia="pt-BR"/>
              </w:rPr>
            </w:pPr>
            <w:r w:rsidRPr="00D5349B">
              <w:rPr>
                <w:szCs w:val="20"/>
                <w:lang w:eastAsia="pt-BR"/>
              </w:rPr>
              <w:t>540</w:t>
            </w:r>
          </w:p>
        </w:tc>
        <w:tc>
          <w:tcPr>
            <w:tcW w:w="1276" w:type="dxa"/>
            <w:vAlign w:val="center"/>
          </w:tcPr>
          <w:p w:rsidR="00477250" w:rsidRPr="007D7AC7" w:rsidRDefault="00477250" w:rsidP="00477250">
            <w:pPr>
              <w:widowControl/>
              <w:suppressAutoHyphens w:val="0"/>
              <w:autoSpaceDE/>
              <w:jc w:val="center"/>
              <w:rPr>
                <w:rFonts w:ascii="Arial" w:hAnsi="Arial" w:cs="Arial"/>
                <w:sz w:val="16"/>
                <w:szCs w:val="16"/>
                <w:lang w:eastAsia="pt-BR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R$ 231,00</w:t>
            </w:r>
          </w:p>
        </w:tc>
        <w:tc>
          <w:tcPr>
            <w:tcW w:w="1559" w:type="dxa"/>
            <w:vAlign w:val="center"/>
          </w:tcPr>
          <w:p w:rsidR="00477250" w:rsidRPr="007D7AC7" w:rsidRDefault="00477250" w:rsidP="0047725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D7AC7">
              <w:rPr>
                <w:rFonts w:ascii="Arial" w:hAnsi="Arial" w:cs="Arial"/>
                <w:sz w:val="16"/>
                <w:szCs w:val="16"/>
              </w:rPr>
              <w:t>R$ 124.740,00</w:t>
            </w:r>
          </w:p>
        </w:tc>
      </w:tr>
      <w:bookmarkEnd w:id="0"/>
    </w:tbl>
    <w:p w:rsidR="000F3245" w:rsidRPr="00260481" w:rsidRDefault="000F3245" w:rsidP="0096783C">
      <w:pPr>
        <w:spacing w:line="360" w:lineRule="auto"/>
        <w:jc w:val="both"/>
        <w:rPr>
          <w:b/>
          <w:sz w:val="22"/>
          <w:szCs w:val="22"/>
        </w:rPr>
      </w:pPr>
    </w:p>
    <w:p w:rsidR="007C27E2" w:rsidRPr="00260481" w:rsidRDefault="00866256" w:rsidP="00260481">
      <w:pPr>
        <w:spacing w:line="480" w:lineRule="auto"/>
        <w:jc w:val="both"/>
        <w:rPr>
          <w:b/>
          <w:color w:val="000000" w:themeColor="text1"/>
          <w:sz w:val="22"/>
          <w:szCs w:val="22"/>
        </w:rPr>
      </w:pPr>
      <w:r w:rsidRPr="00260481">
        <w:rPr>
          <w:b/>
          <w:color w:val="000000" w:themeColor="text1"/>
          <w:sz w:val="22"/>
          <w:szCs w:val="22"/>
        </w:rPr>
        <w:t xml:space="preserve">4. </w:t>
      </w:r>
      <w:r w:rsidR="000452ED" w:rsidRPr="00260481">
        <w:rPr>
          <w:b/>
          <w:color w:val="000000" w:themeColor="text1"/>
          <w:sz w:val="22"/>
          <w:szCs w:val="22"/>
        </w:rPr>
        <w:t>DESENVOLVIMENTO</w:t>
      </w:r>
    </w:p>
    <w:p w:rsidR="000452ED" w:rsidRPr="00260481" w:rsidRDefault="000452ED" w:rsidP="000452ED">
      <w:pPr>
        <w:widowControl/>
        <w:suppressAutoHyphens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iCs/>
          <w:sz w:val="22"/>
          <w:szCs w:val="22"/>
          <w:lang w:eastAsia="en-US"/>
        </w:rPr>
      </w:pPr>
      <w:r w:rsidRPr="00260481">
        <w:rPr>
          <w:rFonts w:eastAsiaTheme="minorHAnsi"/>
          <w:sz w:val="22"/>
          <w:szCs w:val="22"/>
          <w:lang w:eastAsia="en-US"/>
        </w:rPr>
        <w:t>F</w:t>
      </w:r>
      <w:r w:rsidR="00E949B9" w:rsidRPr="00260481">
        <w:rPr>
          <w:rFonts w:eastAsiaTheme="minorHAnsi"/>
          <w:sz w:val="22"/>
          <w:szCs w:val="22"/>
          <w:lang w:eastAsia="en-US"/>
        </w:rPr>
        <w:t>oi</w:t>
      </w:r>
      <w:r w:rsidRPr="00260481">
        <w:rPr>
          <w:rFonts w:eastAsiaTheme="minorHAnsi"/>
          <w:sz w:val="22"/>
          <w:szCs w:val="22"/>
          <w:lang w:eastAsia="en-US"/>
        </w:rPr>
        <w:t xml:space="preserve"> utilizado para a obtenção dos valores de referência desta pes</w:t>
      </w:r>
      <w:r w:rsidR="00E949B9" w:rsidRPr="00260481">
        <w:rPr>
          <w:rFonts w:eastAsiaTheme="minorHAnsi"/>
          <w:sz w:val="22"/>
          <w:szCs w:val="22"/>
          <w:lang w:eastAsia="en-US"/>
        </w:rPr>
        <w:t>quisa o</w:t>
      </w:r>
      <w:r w:rsidR="003B3923" w:rsidRPr="00260481">
        <w:rPr>
          <w:rFonts w:eastAsiaTheme="minorHAnsi"/>
          <w:sz w:val="22"/>
          <w:szCs w:val="22"/>
          <w:lang w:eastAsia="en-US"/>
        </w:rPr>
        <w:t>s</w:t>
      </w:r>
      <w:r w:rsidR="00E949B9" w:rsidRPr="00260481">
        <w:rPr>
          <w:rFonts w:eastAsiaTheme="minorHAnsi"/>
          <w:sz w:val="22"/>
          <w:szCs w:val="22"/>
          <w:lang w:eastAsia="en-US"/>
        </w:rPr>
        <w:t xml:space="preserve"> parâmetro</w:t>
      </w:r>
      <w:r w:rsidR="003B3923" w:rsidRPr="00260481">
        <w:rPr>
          <w:rFonts w:eastAsiaTheme="minorHAnsi"/>
          <w:sz w:val="22"/>
          <w:szCs w:val="22"/>
          <w:lang w:eastAsia="en-US"/>
        </w:rPr>
        <w:t>s</w:t>
      </w:r>
      <w:r w:rsidR="00E949B9" w:rsidRPr="00260481">
        <w:rPr>
          <w:rFonts w:eastAsiaTheme="minorHAnsi"/>
          <w:sz w:val="22"/>
          <w:szCs w:val="22"/>
          <w:lang w:eastAsia="en-US"/>
        </w:rPr>
        <w:t xml:space="preserve"> contidos no</w:t>
      </w:r>
      <w:r w:rsidR="00D96A8F" w:rsidRPr="00260481">
        <w:rPr>
          <w:rFonts w:eastAsiaTheme="minorHAnsi"/>
          <w:sz w:val="22"/>
          <w:szCs w:val="22"/>
          <w:lang w:eastAsia="en-US"/>
        </w:rPr>
        <w:t xml:space="preserve"> inciso </w:t>
      </w:r>
      <w:r w:rsidR="003B3923" w:rsidRPr="00260481">
        <w:rPr>
          <w:rFonts w:eastAsiaTheme="minorHAnsi"/>
          <w:sz w:val="22"/>
          <w:szCs w:val="22"/>
          <w:lang w:eastAsia="en-US"/>
        </w:rPr>
        <w:t>II</w:t>
      </w:r>
      <w:r w:rsidR="00D96A8F" w:rsidRPr="00260481">
        <w:rPr>
          <w:rFonts w:eastAsiaTheme="minorHAnsi"/>
          <w:sz w:val="22"/>
          <w:szCs w:val="22"/>
          <w:lang w:eastAsia="en-US"/>
        </w:rPr>
        <w:t xml:space="preserve"> do artigo </w:t>
      </w:r>
      <w:r w:rsidR="006016F5" w:rsidRPr="006016F5">
        <w:rPr>
          <w:rFonts w:eastAsiaTheme="minorHAnsi"/>
          <w:sz w:val="22"/>
          <w:szCs w:val="22"/>
          <w:lang w:eastAsia="en-US"/>
        </w:rPr>
        <w:t>II do artigo 5º IN 73/2020 do MPOG.</w:t>
      </w:r>
      <w:r w:rsidR="00E949B9" w:rsidRPr="00260481">
        <w:rPr>
          <w:rFonts w:eastAsiaTheme="minorHAnsi"/>
          <w:sz w:val="22"/>
          <w:szCs w:val="22"/>
          <w:lang w:eastAsia="en-US"/>
        </w:rPr>
        <w:t>.</w:t>
      </w:r>
      <w:r w:rsidRPr="00260481">
        <w:rPr>
          <w:rFonts w:eastAsiaTheme="minorHAnsi"/>
          <w:sz w:val="22"/>
          <w:szCs w:val="22"/>
          <w:lang w:eastAsia="en-US"/>
        </w:rPr>
        <w:t xml:space="preserve"> </w:t>
      </w:r>
    </w:p>
    <w:p w:rsidR="00CF6A29" w:rsidRPr="008E24B6" w:rsidRDefault="00144329" w:rsidP="0055359C">
      <w:pPr>
        <w:spacing w:line="360" w:lineRule="auto"/>
        <w:ind w:firstLine="708"/>
        <w:jc w:val="both"/>
        <w:rPr>
          <w:sz w:val="22"/>
          <w:szCs w:val="22"/>
        </w:rPr>
      </w:pPr>
      <w:r w:rsidRPr="008E24B6">
        <w:rPr>
          <w:bCs/>
          <w:sz w:val="22"/>
          <w:szCs w:val="22"/>
        </w:rPr>
        <w:t>Parâmetro I</w:t>
      </w:r>
      <w:r w:rsidRPr="008E24B6">
        <w:rPr>
          <w:sz w:val="22"/>
          <w:szCs w:val="22"/>
        </w:rPr>
        <w:t xml:space="preserve"> – </w:t>
      </w:r>
      <w:r w:rsidR="00F35982" w:rsidRPr="008E24B6">
        <w:rPr>
          <w:sz w:val="22"/>
          <w:szCs w:val="22"/>
        </w:rPr>
        <w:t xml:space="preserve">Pesquisa de Preço no Compras.gov </w:t>
      </w:r>
      <w:r w:rsidRPr="008E24B6">
        <w:rPr>
          <w:sz w:val="22"/>
          <w:szCs w:val="22"/>
        </w:rPr>
        <w:t>disponível no endereço eletrônico</w:t>
      </w:r>
      <w:r w:rsidR="00CF6A29" w:rsidRPr="008E24B6">
        <w:rPr>
          <w:sz w:val="22"/>
          <w:szCs w:val="22"/>
        </w:rPr>
        <w:t xml:space="preserve">: </w:t>
      </w:r>
      <w:hyperlink r:id="rId8" w:history="1">
        <w:r w:rsidR="00CF6A29" w:rsidRPr="008E24B6">
          <w:rPr>
            <w:rStyle w:val="Hyperlink"/>
            <w:color w:val="auto"/>
            <w:sz w:val="22"/>
            <w:szCs w:val="22"/>
            <w:u w:val="none"/>
          </w:rPr>
          <w:t>https://pesqpreco.estaleiro.serpro.gov.br/pesquisa-precos-frontend/pesquisa</w:t>
        </w:r>
      </w:hyperlink>
    </w:p>
    <w:p w:rsidR="00CF6A29" w:rsidRDefault="00CF6A29" w:rsidP="001B6CC2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Parâmetro IV – Pesquisa com Fornecedor</w:t>
      </w:r>
    </w:p>
    <w:p w:rsidR="007E011A" w:rsidRPr="00260481" w:rsidRDefault="00144329" w:rsidP="001B6CC2">
      <w:pPr>
        <w:spacing w:line="360" w:lineRule="auto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260481">
        <w:rPr>
          <w:rFonts w:eastAsiaTheme="minorHAnsi"/>
          <w:sz w:val="22"/>
          <w:szCs w:val="22"/>
          <w:lang w:eastAsia="en-US"/>
        </w:rPr>
        <w:t xml:space="preserve">       </w:t>
      </w:r>
    </w:p>
    <w:p w:rsidR="00DC7277" w:rsidRPr="00260481" w:rsidRDefault="00DC7277" w:rsidP="00260481">
      <w:pPr>
        <w:spacing w:line="480" w:lineRule="auto"/>
        <w:jc w:val="both"/>
        <w:rPr>
          <w:b/>
          <w:color w:val="000000" w:themeColor="text1"/>
          <w:sz w:val="22"/>
          <w:szCs w:val="22"/>
        </w:rPr>
      </w:pPr>
      <w:r w:rsidRPr="00260481">
        <w:rPr>
          <w:b/>
          <w:color w:val="000000" w:themeColor="text1"/>
          <w:sz w:val="22"/>
          <w:szCs w:val="22"/>
        </w:rPr>
        <w:t>5. FORMAÇÃO DO PREÇO</w:t>
      </w:r>
    </w:p>
    <w:p w:rsidR="00786570" w:rsidRPr="00260481" w:rsidRDefault="00DC7277" w:rsidP="00DC7277">
      <w:pPr>
        <w:widowControl/>
        <w:suppressAutoHyphens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260481">
        <w:rPr>
          <w:rFonts w:eastAsiaTheme="minorHAnsi"/>
          <w:sz w:val="22"/>
          <w:szCs w:val="22"/>
          <w:lang w:eastAsia="en-US"/>
        </w:rPr>
        <w:t xml:space="preserve">A metodologia aplicada por esse precificador foi a utilização </w:t>
      </w:r>
      <w:r w:rsidR="00C65E03">
        <w:rPr>
          <w:rFonts w:eastAsiaTheme="minorHAnsi"/>
          <w:sz w:val="22"/>
          <w:szCs w:val="22"/>
          <w:lang w:eastAsia="en-US"/>
        </w:rPr>
        <w:t xml:space="preserve">da média, </w:t>
      </w:r>
      <w:r w:rsidRPr="00260481">
        <w:rPr>
          <w:rFonts w:eastAsiaTheme="minorHAnsi"/>
          <w:sz w:val="22"/>
          <w:szCs w:val="22"/>
          <w:lang w:eastAsia="en-US"/>
        </w:rPr>
        <w:t>considerando o</w:t>
      </w:r>
      <w:r w:rsidR="00C65E03">
        <w:rPr>
          <w:rFonts w:eastAsiaTheme="minorHAnsi"/>
          <w:sz w:val="22"/>
          <w:szCs w:val="22"/>
          <w:lang w:eastAsia="en-US"/>
        </w:rPr>
        <w:t xml:space="preserve">s </w:t>
      </w:r>
      <w:r w:rsidR="00845E32" w:rsidRPr="00260481">
        <w:rPr>
          <w:rFonts w:eastAsiaTheme="minorHAnsi"/>
          <w:sz w:val="22"/>
          <w:szCs w:val="22"/>
          <w:lang w:eastAsia="en-US"/>
        </w:rPr>
        <w:t>parâmetro</w:t>
      </w:r>
      <w:r w:rsidR="00C65E03">
        <w:rPr>
          <w:rFonts w:eastAsiaTheme="minorHAnsi"/>
          <w:sz w:val="22"/>
          <w:szCs w:val="22"/>
          <w:lang w:eastAsia="en-US"/>
        </w:rPr>
        <w:t>s</w:t>
      </w:r>
      <w:r w:rsidR="00845E32" w:rsidRPr="00260481">
        <w:rPr>
          <w:rFonts w:eastAsiaTheme="minorHAnsi"/>
          <w:sz w:val="22"/>
          <w:szCs w:val="22"/>
          <w:lang w:eastAsia="en-US"/>
        </w:rPr>
        <w:t xml:space="preserve"> I</w:t>
      </w:r>
      <w:r w:rsidR="00D5349B">
        <w:rPr>
          <w:rFonts w:eastAsiaTheme="minorHAnsi"/>
          <w:sz w:val="22"/>
          <w:szCs w:val="22"/>
          <w:lang w:eastAsia="en-US"/>
        </w:rPr>
        <w:t xml:space="preserve"> e</w:t>
      </w:r>
      <w:r w:rsidR="00C65E03">
        <w:rPr>
          <w:rFonts w:eastAsiaTheme="minorHAnsi"/>
          <w:sz w:val="22"/>
          <w:szCs w:val="22"/>
          <w:lang w:eastAsia="en-US"/>
        </w:rPr>
        <w:t xml:space="preserve"> IV.</w:t>
      </w:r>
      <w:r w:rsidR="000B70C9" w:rsidRPr="00260481">
        <w:rPr>
          <w:rFonts w:eastAsiaTheme="minorHAnsi"/>
          <w:sz w:val="22"/>
          <w:szCs w:val="22"/>
          <w:lang w:eastAsia="en-US"/>
        </w:rPr>
        <w:t xml:space="preserve"> </w:t>
      </w:r>
    </w:p>
    <w:p w:rsidR="00786570" w:rsidRPr="00260481" w:rsidRDefault="00786570" w:rsidP="00786570">
      <w:pPr>
        <w:widowControl/>
        <w:suppressAutoHyphens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FF0000"/>
          <w:sz w:val="22"/>
          <w:szCs w:val="22"/>
          <w:lang w:eastAsia="en-US"/>
        </w:rPr>
      </w:pPr>
      <w:r w:rsidRPr="00260481">
        <w:rPr>
          <w:rFonts w:eastAsiaTheme="minorHAnsi"/>
          <w:sz w:val="22"/>
          <w:szCs w:val="22"/>
          <w:lang w:eastAsia="en-US"/>
        </w:rPr>
        <w:t xml:space="preserve">A </w:t>
      </w:r>
      <w:r w:rsidR="00D96A8F" w:rsidRPr="00260481">
        <w:rPr>
          <w:rFonts w:eastAsiaTheme="minorHAnsi"/>
          <w:sz w:val="22"/>
          <w:szCs w:val="22"/>
          <w:lang w:eastAsia="en-US"/>
        </w:rPr>
        <w:t>ATA</w:t>
      </w:r>
      <w:r w:rsidRPr="00260481">
        <w:rPr>
          <w:rFonts w:eastAsiaTheme="minorHAnsi"/>
          <w:sz w:val="22"/>
          <w:szCs w:val="22"/>
          <w:lang w:eastAsia="en-US"/>
        </w:rPr>
        <w:t xml:space="preserve"> de cálculo da metodologia aplicada para a formação do preço de referência encontra-se em</w:t>
      </w:r>
      <w:r w:rsidR="00CF0AFF" w:rsidRPr="00260481">
        <w:rPr>
          <w:rFonts w:eastAsiaTheme="minorHAnsi"/>
          <w:sz w:val="22"/>
          <w:szCs w:val="22"/>
          <w:lang w:eastAsia="en-US"/>
        </w:rPr>
        <w:t xml:space="preserve"> planilha anexa a essa pesquisa.</w:t>
      </w:r>
    </w:p>
    <w:p w:rsidR="00260481" w:rsidRPr="00260481" w:rsidRDefault="00260481" w:rsidP="00260481">
      <w:pPr>
        <w:widowControl/>
        <w:suppressAutoHyphens w:val="0"/>
        <w:autoSpaceDN w:val="0"/>
        <w:adjustRightInd w:val="0"/>
        <w:spacing w:line="360" w:lineRule="auto"/>
        <w:ind w:firstLine="709"/>
        <w:jc w:val="both"/>
        <w:rPr>
          <w:b/>
          <w:sz w:val="22"/>
          <w:szCs w:val="22"/>
        </w:rPr>
      </w:pPr>
    </w:p>
    <w:p w:rsidR="00260481" w:rsidRPr="00260481" w:rsidRDefault="00260481" w:rsidP="00260481">
      <w:pPr>
        <w:jc w:val="center"/>
        <w:rPr>
          <w:sz w:val="22"/>
          <w:szCs w:val="22"/>
        </w:rPr>
      </w:pPr>
      <w:r w:rsidRPr="00260481">
        <w:rPr>
          <w:sz w:val="22"/>
          <w:szCs w:val="22"/>
        </w:rPr>
        <w:t>Brasília,</w:t>
      </w:r>
      <w:r w:rsidR="006975EC">
        <w:rPr>
          <w:sz w:val="22"/>
          <w:szCs w:val="22"/>
        </w:rPr>
        <w:t xml:space="preserve"> </w:t>
      </w:r>
      <w:r w:rsidR="00D5349B">
        <w:rPr>
          <w:sz w:val="22"/>
          <w:szCs w:val="22"/>
        </w:rPr>
        <w:t xml:space="preserve"> 07 </w:t>
      </w:r>
      <w:r w:rsidR="000F3245">
        <w:rPr>
          <w:sz w:val="22"/>
          <w:szCs w:val="22"/>
        </w:rPr>
        <w:t>d</w:t>
      </w:r>
      <w:r w:rsidRPr="00260481">
        <w:rPr>
          <w:sz w:val="22"/>
          <w:szCs w:val="22"/>
        </w:rPr>
        <w:t xml:space="preserve">e </w:t>
      </w:r>
      <w:r w:rsidR="00D5349B">
        <w:rPr>
          <w:sz w:val="22"/>
          <w:szCs w:val="22"/>
        </w:rPr>
        <w:t>março</w:t>
      </w:r>
      <w:r w:rsidRPr="00260481">
        <w:rPr>
          <w:sz w:val="22"/>
          <w:szCs w:val="22"/>
        </w:rPr>
        <w:t xml:space="preserve"> de 2025.</w:t>
      </w:r>
    </w:p>
    <w:p w:rsidR="00A9459A" w:rsidRPr="00260481" w:rsidRDefault="00A9459A" w:rsidP="00720CC0">
      <w:pPr>
        <w:jc w:val="center"/>
        <w:rPr>
          <w:b/>
          <w:sz w:val="22"/>
          <w:szCs w:val="22"/>
        </w:rPr>
      </w:pPr>
    </w:p>
    <w:p w:rsidR="00D603BB" w:rsidRDefault="00D603BB" w:rsidP="00720CC0">
      <w:pPr>
        <w:jc w:val="center"/>
        <w:rPr>
          <w:b/>
          <w:sz w:val="22"/>
          <w:szCs w:val="22"/>
        </w:rPr>
      </w:pPr>
    </w:p>
    <w:p w:rsidR="006975EC" w:rsidRDefault="006975EC" w:rsidP="00720CC0">
      <w:pPr>
        <w:jc w:val="center"/>
        <w:rPr>
          <w:b/>
          <w:sz w:val="22"/>
          <w:szCs w:val="22"/>
        </w:rPr>
      </w:pPr>
    </w:p>
    <w:p w:rsidR="004440A6" w:rsidRDefault="004440A6" w:rsidP="00D5349B">
      <w:pPr>
        <w:rPr>
          <w:b/>
          <w:sz w:val="22"/>
          <w:szCs w:val="22"/>
        </w:rPr>
      </w:pPr>
    </w:p>
    <w:p w:rsidR="00D603BB" w:rsidRPr="00260481" w:rsidRDefault="00D5349B" w:rsidP="00D603BB">
      <w:pPr>
        <w:jc w:val="center"/>
        <w:rPr>
          <w:sz w:val="22"/>
          <w:szCs w:val="22"/>
          <w:lang w:eastAsia="en-US"/>
        </w:rPr>
      </w:pPr>
      <w:r>
        <w:rPr>
          <w:b/>
          <w:sz w:val="22"/>
          <w:szCs w:val="22"/>
        </w:rPr>
        <w:t>DANIELLY CARDOSO SOARES- 3º SGT SAU</w:t>
      </w:r>
    </w:p>
    <w:p w:rsidR="00D603BB" w:rsidRPr="00260481" w:rsidRDefault="00D603BB" w:rsidP="00D603BB">
      <w:pPr>
        <w:jc w:val="center"/>
        <w:rPr>
          <w:sz w:val="22"/>
          <w:szCs w:val="22"/>
        </w:rPr>
      </w:pPr>
      <w:r w:rsidRPr="00260481">
        <w:rPr>
          <w:sz w:val="22"/>
          <w:szCs w:val="22"/>
        </w:rPr>
        <w:t>Adjunto da Farmácia Hospitalar</w:t>
      </w:r>
    </w:p>
    <w:p w:rsidR="00D603BB" w:rsidRPr="00260481" w:rsidRDefault="00D603BB" w:rsidP="00720CC0">
      <w:pPr>
        <w:jc w:val="center"/>
        <w:rPr>
          <w:b/>
          <w:sz w:val="22"/>
          <w:szCs w:val="22"/>
        </w:rPr>
      </w:pPr>
    </w:p>
    <w:p w:rsidR="00D603BB" w:rsidRDefault="00D603BB" w:rsidP="00720CC0">
      <w:pPr>
        <w:jc w:val="center"/>
        <w:rPr>
          <w:b/>
          <w:sz w:val="22"/>
          <w:szCs w:val="22"/>
        </w:rPr>
      </w:pPr>
    </w:p>
    <w:p w:rsidR="006975EC" w:rsidRPr="00260481" w:rsidRDefault="006975EC" w:rsidP="00720CC0">
      <w:pPr>
        <w:jc w:val="center"/>
        <w:rPr>
          <w:b/>
          <w:sz w:val="22"/>
          <w:szCs w:val="22"/>
        </w:rPr>
      </w:pPr>
    </w:p>
    <w:p w:rsidR="00D603BB" w:rsidRPr="00260481" w:rsidRDefault="00D603BB" w:rsidP="00B86728">
      <w:pPr>
        <w:pStyle w:val="Ttulodatabela"/>
        <w:suppressLineNumbers w:val="0"/>
        <w:rPr>
          <w:sz w:val="22"/>
          <w:szCs w:val="22"/>
        </w:rPr>
      </w:pPr>
    </w:p>
    <w:sectPr w:rsidR="00D603BB" w:rsidRPr="00260481" w:rsidSect="00527604">
      <w:footerReference w:type="default" r:id="rId9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4B8" w:rsidRDefault="001474B8" w:rsidP="00720CC0">
      <w:r>
        <w:separator/>
      </w:r>
    </w:p>
  </w:endnote>
  <w:endnote w:type="continuationSeparator" w:id="0">
    <w:p w:rsidR="001474B8" w:rsidRDefault="001474B8" w:rsidP="00720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CC0" w:rsidRDefault="00720CC0">
    <w:pPr>
      <w:pStyle w:val="Rodap"/>
      <w:rPr>
        <w:sz w:val="16"/>
        <w:szCs w:val="16"/>
      </w:rPr>
    </w:pPr>
  </w:p>
  <w:p w:rsidR="00DD43FA" w:rsidRDefault="00DD43F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4B8" w:rsidRDefault="001474B8" w:rsidP="00720CC0">
      <w:r>
        <w:separator/>
      </w:r>
    </w:p>
  </w:footnote>
  <w:footnote w:type="continuationSeparator" w:id="0">
    <w:p w:rsidR="001474B8" w:rsidRDefault="001474B8" w:rsidP="00720C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B8C5B82"/>
    <w:multiLevelType w:val="hybridMultilevel"/>
    <w:tmpl w:val="BB345158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796"/>
    <w:rsid w:val="00012FD3"/>
    <w:rsid w:val="00036C42"/>
    <w:rsid w:val="000452ED"/>
    <w:rsid w:val="00066BBB"/>
    <w:rsid w:val="00082EE1"/>
    <w:rsid w:val="00086F92"/>
    <w:rsid w:val="0009464F"/>
    <w:rsid w:val="000A3894"/>
    <w:rsid w:val="000A7593"/>
    <w:rsid w:val="000B70C9"/>
    <w:rsid w:val="000C7C9E"/>
    <w:rsid w:val="000F3245"/>
    <w:rsid w:val="001331DD"/>
    <w:rsid w:val="00136C6D"/>
    <w:rsid w:val="00144329"/>
    <w:rsid w:val="001474B8"/>
    <w:rsid w:val="001509E3"/>
    <w:rsid w:val="00153F9B"/>
    <w:rsid w:val="00173AAE"/>
    <w:rsid w:val="00180671"/>
    <w:rsid w:val="00182EE6"/>
    <w:rsid w:val="00194CD7"/>
    <w:rsid w:val="001A30F4"/>
    <w:rsid w:val="001B6CC2"/>
    <w:rsid w:val="001D023A"/>
    <w:rsid w:val="001D57F8"/>
    <w:rsid w:val="00217C11"/>
    <w:rsid w:val="00234BE4"/>
    <w:rsid w:val="00254BF8"/>
    <w:rsid w:val="00260481"/>
    <w:rsid w:val="002819F9"/>
    <w:rsid w:val="00283E6E"/>
    <w:rsid w:val="002C5A62"/>
    <w:rsid w:val="002D4229"/>
    <w:rsid w:val="003168F2"/>
    <w:rsid w:val="00345D09"/>
    <w:rsid w:val="00386068"/>
    <w:rsid w:val="003B3923"/>
    <w:rsid w:val="004063A8"/>
    <w:rsid w:val="00415511"/>
    <w:rsid w:val="00427E93"/>
    <w:rsid w:val="004440A6"/>
    <w:rsid w:val="004704D5"/>
    <w:rsid w:val="00477250"/>
    <w:rsid w:val="004C09AB"/>
    <w:rsid w:val="004F60FF"/>
    <w:rsid w:val="00503A9B"/>
    <w:rsid w:val="00524143"/>
    <w:rsid w:val="00527604"/>
    <w:rsid w:val="00541F43"/>
    <w:rsid w:val="00545796"/>
    <w:rsid w:val="0055359C"/>
    <w:rsid w:val="00553DA0"/>
    <w:rsid w:val="00567C65"/>
    <w:rsid w:val="0059058D"/>
    <w:rsid w:val="005B5ED9"/>
    <w:rsid w:val="005C0318"/>
    <w:rsid w:val="005D4DD4"/>
    <w:rsid w:val="005E231E"/>
    <w:rsid w:val="005F13F0"/>
    <w:rsid w:val="006016F5"/>
    <w:rsid w:val="00652DDD"/>
    <w:rsid w:val="00654D27"/>
    <w:rsid w:val="00655F54"/>
    <w:rsid w:val="00663FEB"/>
    <w:rsid w:val="00667971"/>
    <w:rsid w:val="00694AC3"/>
    <w:rsid w:val="00697410"/>
    <w:rsid w:val="006975EC"/>
    <w:rsid w:val="006A51F7"/>
    <w:rsid w:val="006C50D2"/>
    <w:rsid w:val="006F35B1"/>
    <w:rsid w:val="00720CC0"/>
    <w:rsid w:val="00772126"/>
    <w:rsid w:val="00786570"/>
    <w:rsid w:val="007C27E2"/>
    <w:rsid w:val="007D7AC7"/>
    <w:rsid w:val="007E011A"/>
    <w:rsid w:val="007F0519"/>
    <w:rsid w:val="00845E32"/>
    <w:rsid w:val="00846150"/>
    <w:rsid w:val="00866256"/>
    <w:rsid w:val="008A7E67"/>
    <w:rsid w:val="008C0A0B"/>
    <w:rsid w:val="008E24B6"/>
    <w:rsid w:val="008E275A"/>
    <w:rsid w:val="008E2DCE"/>
    <w:rsid w:val="0090381F"/>
    <w:rsid w:val="00904803"/>
    <w:rsid w:val="00910FCC"/>
    <w:rsid w:val="00911FCE"/>
    <w:rsid w:val="00940F68"/>
    <w:rsid w:val="009434C0"/>
    <w:rsid w:val="00943BB9"/>
    <w:rsid w:val="0096783C"/>
    <w:rsid w:val="00987BE7"/>
    <w:rsid w:val="009A12A4"/>
    <w:rsid w:val="009A1C14"/>
    <w:rsid w:val="009B0514"/>
    <w:rsid w:val="009B2444"/>
    <w:rsid w:val="009F0C75"/>
    <w:rsid w:val="00A610BC"/>
    <w:rsid w:val="00A81A64"/>
    <w:rsid w:val="00A9459A"/>
    <w:rsid w:val="00AC18C8"/>
    <w:rsid w:val="00AE1D94"/>
    <w:rsid w:val="00B11A45"/>
    <w:rsid w:val="00B572D2"/>
    <w:rsid w:val="00B64A2A"/>
    <w:rsid w:val="00B75419"/>
    <w:rsid w:val="00B86728"/>
    <w:rsid w:val="00BA450A"/>
    <w:rsid w:val="00BA6846"/>
    <w:rsid w:val="00BB33AF"/>
    <w:rsid w:val="00C1392C"/>
    <w:rsid w:val="00C33526"/>
    <w:rsid w:val="00C51D27"/>
    <w:rsid w:val="00C5287C"/>
    <w:rsid w:val="00C65E03"/>
    <w:rsid w:val="00C9581B"/>
    <w:rsid w:val="00CD0A73"/>
    <w:rsid w:val="00CD2E59"/>
    <w:rsid w:val="00CF0AFF"/>
    <w:rsid w:val="00CF2704"/>
    <w:rsid w:val="00CF6A29"/>
    <w:rsid w:val="00D167B8"/>
    <w:rsid w:val="00D478BF"/>
    <w:rsid w:val="00D5349B"/>
    <w:rsid w:val="00D603BB"/>
    <w:rsid w:val="00D96A8F"/>
    <w:rsid w:val="00DA268F"/>
    <w:rsid w:val="00DA442A"/>
    <w:rsid w:val="00DA6DAD"/>
    <w:rsid w:val="00DB4CCC"/>
    <w:rsid w:val="00DC7277"/>
    <w:rsid w:val="00DC75DD"/>
    <w:rsid w:val="00DD43FA"/>
    <w:rsid w:val="00DD46E2"/>
    <w:rsid w:val="00DD4FF1"/>
    <w:rsid w:val="00DD546C"/>
    <w:rsid w:val="00DE25D2"/>
    <w:rsid w:val="00DF5529"/>
    <w:rsid w:val="00E05B7D"/>
    <w:rsid w:val="00E54DA0"/>
    <w:rsid w:val="00E66F71"/>
    <w:rsid w:val="00E84EFC"/>
    <w:rsid w:val="00E949B9"/>
    <w:rsid w:val="00E97F66"/>
    <w:rsid w:val="00EC008F"/>
    <w:rsid w:val="00F00AD3"/>
    <w:rsid w:val="00F10A4B"/>
    <w:rsid w:val="00F35982"/>
    <w:rsid w:val="00F41281"/>
    <w:rsid w:val="00F61C59"/>
    <w:rsid w:val="00FB482B"/>
    <w:rsid w:val="00FB7BF9"/>
    <w:rsid w:val="00FD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00DF63D6-A6F7-490D-9C4A-67ABFC62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79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zh-CN"/>
    </w:rPr>
  </w:style>
  <w:style w:type="paragraph" w:styleId="Ttulo5">
    <w:name w:val="heading 5"/>
    <w:basedOn w:val="Normal"/>
    <w:next w:val="Normal"/>
    <w:link w:val="Ttulo5Char"/>
    <w:qFormat/>
    <w:rsid w:val="00545796"/>
    <w:pPr>
      <w:keepNext/>
      <w:numPr>
        <w:ilvl w:val="4"/>
        <w:numId w:val="1"/>
      </w:numPr>
      <w:jc w:val="center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545796"/>
    <w:rPr>
      <w:rFonts w:ascii="Times New Roman" w:eastAsia="Times New Roman" w:hAnsi="Times New Roman" w:cs="Times New Roman"/>
      <w:b/>
      <w:bCs/>
      <w:sz w:val="20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545796"/>
    <w:pPr>
      <w:ind w:left="720"/>
      <w:contextualSpacing/>
    </w:pPr>
  </w:style>
  <w:style w:type="paragraph" w:customStyle="1" w:styleId="Default">
    <w:name w:val="Default"/>
    <w:rsid w:val="009434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7C2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B392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E275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275A"/>
    <w:rPr>
      <w:rFonts w:ascii="Segoe UI" w:eastAsia="Times New Roma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20C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0CC0"/>
    <w:rPr>
      <w:rFonts w:ascii="Times New Roman" w:eastAsia="Times New Roman" w:hAnsi="Times New Roman" w:cs="Times New Roman"/>
      <w:sz w:val="20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20C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20CC0"/>
    <w:rPr>
      <w:rFonts w:ascii="Times New Roman" w:eastAsia="Times New Roman" w:hAnsi="Times New Roman" w:cs="Times New Roman"/>
      <w:sz w:val="20"/>
      <w:szCs w:val="24"/>
      <w:lang w:eastAsia="zh-CN"/>
    </w:rPr>
  </w:style>
  <w:style w:type="character" w:customStyle="1" w:styleId="tex5b">
    <w:name w:val="tex5b"/>
    <w:rsid w:val="00904803"/>
  </w:style>
  <w:style w:type="paragraph" w:styleId="SemEspaamento">
    <w:name w:val="No Spacing"/>
    <w:uiPriority w:val="1"/>
    <w:qFormat/>
    <w:rsid w:val="00082EE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zh-CN"/>
    </w:rPr>
  </w:style>
  <w:style w:type="paragraph" w:styleId="Corpodetexto">
    <w:name w:val="Body Text"/>
    <w:basedOn w:val="Normal"/>
    <w:link w:val="CorpodetextoChar"/>
    <w:uiPriority w:val="1"/>
    <w:qFormat/>
    <w:rsid w:val="00144329"/>
    <w:pPr>
      <w:suppressAutoHyphens w:val="0"/>
      <w:autoSpaceDN w:val="0"/>
    </w:pPr>
    <w:rPr>
      <w:rFonts w:ascii="Arial" w:eastAsia="Arial" w:hAnsi="Arial" w:cs="Arial"/>
      <w:sz w:val="17"/>
      <w:szCs w:val="17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44329"/>
    <w:rPr>
      <w:rFonts w:ascii="Arial" w:eastAsia="Arial" w:hAnsi="Arial" w:cs="Arial"/>
      <w:sz w:val="17"/>
      <w:szCs w:val="17"/>
      <w:lang w:val="en-US"/>
    </w:rPr>
  </w:style>
  <w:style w:type="paragraph" w:customStyle="1" w:styleId="Standard">
    <w:name w:val="Standard"/>
    <w:rsid w:val="0014432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customStyle="1" w:styleId="Ttulodatabela">
    <w:name w:val="Título da tabela"/>
    <w:basedOn w:val="Normal"/>
    <w:rsid w:val="00144329"/>
    <w:pPr>
      <w:widowControl/>
      <w:suppressLineNumbers/>
      <w:autoSpaceDE/>
      <w:autoSpaceDN w:val="0"/>
      <w:jc w:val="center"/>
    </w:pPr>
    <w:rPr>
      <w:b/>
      <w:bCs/>
      <w:szCs w:val="20"/>
      <w:lang w:eastAsia="ar-SA"/>
    </w:rPr>
  </w:style>
  <w:style w:type="paragraph" w:styleId="NormalWeb">
    <w:name w:val="Normal (Web)"/>
    <w:basedOn w:val="Normal"/>
    <w:uiPriority w:val="99"/>
    <w:unhideWhenUsed/>
    <w:rsid w:val="0055359C"/>
    <w:pPr>
      <w:widowControl/>
      <w:suppressAutoHyphens w:val="0"/>
      <w:autoSpaceDE/>
      <w:spacing w:before="100" w:beforeAutospacing="1" w:after="100" w:afterAutospacing="1"/>
    </w:pPr>
    <w:rPr>
      <w:sz w:val="24"/>
      <w:lang w:eastAsia="pt-BR"/>
    </w:rPr>
  </w:style>
  <w:style w:type="character" w:styleId="Forte">
    <w:name w:val="Strong"/>
    <w:basedOn w:val="Fontepargpadro"/>
    <w:uiPriority w:val="22"/>
    <w:qFormat/>
    <w:rsid w:val="00D534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sqpreco.estaleiro.serpro.gov.br/pesquisa-precos-frontend/pesquis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838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Ruy Antunes Nery dos Santos</dc:creator>
  <cp:lastModifiedBy>farmacia</cp:lastModifiedBy>
  <cp:revision>73</cp:revision>
  <cp:lastPrinted>2024-08-12T15:40:00Z</cp:lastPrinted>
  <dcterms:created xsi:type="dcterms:W3CDTF">2018-07-17T15:32:00Z</dcterms:created>
  <dcterms:modified xsi:type="dcterms:W3CDTF">2025-03-07T15:55:00Z</dcterms:modified>
</cp:coreProperties>
</file>