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7F2CB" w14:textId="77777777" w:rsidR="00377052" w:rsidRPr="004759E7" w:rsidRDefault="00377052" w:rsidP="00974D59">
      <w:pPr>
        <w:widowControl w:val="0"/>
        <w:tabs>
          <w:tab w:val="left" w:pos="3435"/>
        </w:tabs>
        <w:spacing w:before="120" w:after="120" w:line="276" w:lineRule="auto"/>
        <w:jc w:val="center"/>
        <w:rPr>
          <w:b/>
          <w:sz w:val="20"/>
          <w:szCs w:val="20"/>
          <w:u w:val="single"/>
        </w:rPr>
      </w:pPr>
      <w:r w:rsidRPr="004759E7">
        <w:rPr>
          <w:b/>
          <w:sz w:val="20"/>
          <w:szCs w:val="20"/>
          <w:u w:val="single"/>
        </w:rPr>
        <w:t xml:space="preserve">ANEXO </w:t>
      </w:r>
      <w:r w:rsidR="00A66A23" w:rsidRPr="004759E7">
        <w:rPr>
          <w:b/>
          <w:sz w:val="20"/>
          <w:szCs w:val="20"/>
          <w:u w:val="single"/>
        </w:rPr>
        <w:t>R</w:t>
      </w:r>
      <w:r w:rsidR="0040301D" w:rsidRPr="004759E7">
        <w:rPr>
          <w:b/>
          <w:sz w:val="20"/>
          <w:szCs w:val="20"/>
          <w:u w:val="single"/>
        </w:rPr>
        <w:t xml:space="preserve"> – Procedimentos sujeitos a parecer de Comissão de Ética Médica e de serviço de auditoria médica de OMS e Procedimentos médico-hospitalares e odontológicos não cobertos (ZM2) nem financiados (ZM1)</w:t>
      </w:r>
    </w:p>
    <w:p w14:paraId="50FA2817" w14:textId="77777777" w:rsidR="00C65C11" w:rsidRPr="004759E7" w:rsidRDefault="00A82884" w:rsidP="00C65C11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4759E7">
        <w:rPr>
          <w:b/>
          <w:smallCaps/>
          <w:noProof/>
          <w:sz w:val="80"/>
          <w:szCs w:val="80"/>
          <w:lang w:eastAsia="pt-BR"/>
        </w:rPr>
        <w:drawing>
          <wp:inline distT="0" distB="0" distL="0" distR="0" wp14:anchorId="174A5DDF" wp14:editId="1AFFEBE9">
            <wp:extent cx="1068070" cy="1183383"/>
            <wp:effectExtent l="0" t="0" r="0" b="0"/>
            <wp:docPr id="1" name="Image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18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48319578" w14:textId="77777777" w:rsidR="00CA1BCA" w:rsidRPr="00D80FBD" w:rsidRDefault="00CA1BCA" w:rsidP="00CA1BCA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D80FBD">
        <w:rPr>
          <w:sz w:val="20"/>
          <w:szCs w:val="20"/>
        </w:rPr>
        <w:t>MINISTÉRIO DA DEFESA</w:t>
      </w:r>
    </w:p>
    <w:p w14:paraId="313FF4DC" w14:textId="77777777" w:rsidR="00CA1BCA" w:rsidRPr="003A6AD0" w:rsidRDefault="00CA1BCA" w:rsidP="00CA1BCA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EXÉRCITO BRASILEIRO</w:t>
      </w:r>
    </w:p>
    <w:p w14:paraId="7DA174B5" w14:textId="77777777" w:rsidR="00CA1BCA" w:rsidRPr="003A6AD0" w:rsidRDefault="00CA1BCA" w:rsidP="00CA1BCA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COMANDO MILITAR DO NORTE</w:t>
      </w:r>
    </w:p>
    <w:p w14:paraId="36074D53" w14:textId="77777777" w:rsidR="00CA1BCA" w:rsidRPr="003A6AD0" w:rsidRDefault="00CA1BCA" w:rsidP="00CA1BCA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COMANDO DA 8ª REGIÃO MILITAR</w:t>
      </w:r>
    </w:p>
    <w:p w14:paraId="512E2F82" w14:textId="77777777" w:rsidR="00CA1BCA" w:rsidRPr="003A6AD0" w:rsidRDefault="00CA1BCA" w:rsidP="00CA1BCA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53º BATALHÃO DE INFANTARIA DE SELVA</w:t>
      </w:r>
    </w:p>
    <w:p w14:paraId="73E17D91" w14:textId="77777777" w:rsidR="00CA1BCA" w:rsidRPr="003A6AD0" w:rsidRDefault="00CA1BCA" w:rsidP="00CA1BCA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BATALHÂO TENENTE-CORONEL JOAQUIM CAETANO CORREA</w:t>
      </w:r>
    </w:p>
    <w:p w14:paraId="07BE7E74" w14:textId="77777777" w:rsidR="0040301D" w:rsidRPr="004759E7" w:rsidRDefault="0040301D" w:rsidP="00C65C11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</w:p>
    <w:p w14:paraId="3205D267" w14:textId="77777777" w:rsidR="0040301D" w:rsidRPr="004759E7" w:rsidRDefault="0040301D" w:rsidP="0040301D">
      <w:pPr>
        <w:widowControl w:val="0"/>
        <w:numPr>
          <w:ilvl w:val="1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Os procedimentos sujeitos a parecer de Comissão Ética Médica e de serviço de auditoria médica de OMS são os a seguir enumerados:</w:t>
      </w:r>
    </w:p>
    <w:p w14:paraId="24657DFB" w14:textId="77777777" w:rsidR="0040301D" w:rsidRPr="004759E7" w:rsidRDefault="0040301D" w:rsidP="0040301D">
      <w:pPr>
        <w:widowControl w:val="0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Por parte do SAMMED/FuSEx, nos termos da Portaria nº DGP-48/2008 (IR 30-38):</w:t>
      </w:r>
    </w:p>
    <w:p w14:paraId="649EC160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de lipoaspiração;</w:t>
      </w:r>
    </w:p>
    <w:p w14:paraId="396D6CBF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corretiva nasal;</w:t>
      </w:r>
    </w:p>
    <w:p w14:paraId="35F1B24E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corretiva de mama;</w:t>
      </w:r>
    </w:p>
    <w:p w14:paraId="145228CA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Cirurgias plásticas corretivas em geral;</w:t>
      </w:r>
    </w:p>
    <w:p w14:paraId="2EF387AE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eletiva para colocação de próteses corretivas não odontológicas;</w:t>
      </w:r>
    </w:p>
    <w:p w14:paraId="4FA8DDD3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corretiva de desvios da visão;</w:t>
      </w:r>
    </w:p>
    <w:p w14:paraId="1C52C9A9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de transplantes de órgãos;</w:t>
      </w:r>
    </w:p>
    <w:p w14:paraId="2F0F225A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Colocação eletiva de próteses não odontológicas;</w:t>
      </w:r>
    </w:p>
    <w:p w14:paraId="72A594E2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Gastroplastia;</w:t>
      </w:r>
    </w:p>
    <w:p w14:paraId="554D9929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de recanalização de laqueadura tubária;</w:t>
      </w:r>
    </w:p>
    <w:p w14:paraId="1CF9ABDD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Terapia fotodinâmica para pacientes com degeneração muscular (utilizando-se </w:t>
      </w:r>
      <w:r w:rsidRPr="004759E7">
        <w:rPr>
          <w:i/>
          <w:sz w:val="20"/>
          <w:szCs w:val="20"/>
        </w:rPr>
        <w:t>"</w:t>
      </w:r>
      <w:proofErr w:type="spellStart"/>
      <w:r w:rsidRPr="004759E7">
        <w:rPr>
          <w:i/>
          <w:sz w:val="20"/>
          <w:szCs w:val="20"/>
        </w:rPr>
        <w:t>Visudyne</w:t>
      </w:r>
      <w:proofErr w:type="spellEnd"/>
      <w:r w:rsidRPr="004759E7">
        <w:rPr>
          <w:i/>
          <w:sz w:val="20"/>
          <w:szCs w:val="20"/>
        </w:rPr>
        <w:t>"</w:t>
      </w:r>
      <w:r w:rsidRPr="004759E7">
        <w:rPr>
          <w:sz w:val="20"/>
          <w:szCs w:val="20"/>
        </w:rPr>
        <w:t>);</w:t>
      </w:r>
    </w:p>
    <w:p w14:paraId="3142FB54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lastRenderedPageBreak/>
        <w:t>Tratamento de apneia do sono com aparelho CPAP (</w:t>
      </w:r>
      <w:r w:rsidRPr="004759E7">
        <w:rPr>
          <w:i/>
          <w:sz w:val="20"/>
          <w:szCs w:val="20"/>
        </w:rPr>
        <w:t>"</w:t>
      </w:r>
      <w:proofErr w:type="spellStart"/>
      <w:r w:rsidRPr="004759E7">
        <w:rPr>
          <w:i/>
          <w:sz w:val="20"/>
          <w:szCs w:val="20"/>
        </w:rPr>
        <w:t>Continuous</w:t>
      </w:r>
      <w:proofErr w:type="spellEnd"/>
      <w:r w:rsidRPr="004759E7">
        <w:rPr>
          <w:i/>
          <w:sz w:val="20"/>
          <w:szCs w:val="20"/>
        </w:rPr>
        <w:t xml:space="preserve"> Positive </w:t>
      </w:r>
      <w:proofErr w:type="spellStart"/>
      <w:r w:rsidRPr="004759E7">
        <w:rPr>
          <w:i/>
          <w:sz w:val="20"/>
          <w:szCs w:val="20"/>
        </w:rPr>
        <w:t>Airway</w:t>
      </w:r>
      <w:proofErr w:type="spellEnd"/>
      <w:r w:rsidRPr="004759E7">
        <w:rPr>
          <w:i/>
          <w:sz w:val="20"/>
          <w:szCs w:val="20"/>
        </w:rPr>
        <w:t xml:space="preserve"> </w:t>
      </w:r>
      <w:proofErr w:type="spellStart"/>
      <w:r w:rsidRPr="004759E7">
        <w:rPr>
          <w:i/>
          <w:sz w:val="20"/>
          <w:szCs w:val="20"/>
        </w:rPr>
        <w:t>Pressure</w:t>
      </w:r>
      <w:proofErr w:type="spellEnd"/>
      <w:r w:rsidRPr="004759E7">
        <w:rPr>
          <w:i/>
          <w:sz w:val="20"/>
          <w:szCs w:val="20"/>
        </w:rPr>
        <w:t>"</w:t>
      </w:r>
      <w:r w:rsidRPr="004759E7">
        <w:rPr>
          <w:sz w:val="20"/>
          <w:szCs w:val="20"/>
        </w:rPr>
        <w:t>);</w:t>
      </w:r>
    </w:p>
    <w:p w14:paraId="71B08846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Outros procedimentos e tratamentos, a critério do Chefe DGP, ouvidas a DAP e a </w:t>
      </w:r>
      <w:proofErr w:type="spellStart"/>
      <w:r w:rsidRPr="004759E7">
        <w:rPr>
          <w:sz w:val="20"/>
          <w:szCs w:val="20"/>
        </w:rPr>
        <w:t>DSau</w:t>
      </w:r>
      <w:proofErr w:type="spellEnd"/>
      <w:r w:rsidRPr="004759E7">
        <w:rPr>
          <w:sz w:val="20"/>
          <w:szCs w:val="20"/>
        </w:rPr>
        <w:t>;</w:t>
      </w:r>
    </w:p>
    <w:p w14:paraId="1C68DF91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Tratamento e manutenção ortodônticos, acima de 16 (dezesseis) anos, nos casos de discrepância ósseo-dentária no arco inferior ou superior, igual ou superior a oito milímetros (falta do espaço ou </w:t>
      </w:r>
      <w:proofErr w:type="spellStart"/>
      <w:r w:rsidRPr="004759E7">
        <w:rPr>
          <w:sz w:val="20"/>
          <w:szCs w:val="20"/>
        </w:rPr>
        <w:t>apinhamento</w:t>
      </w:r>
      <w:proofErr w:type="spellEnd"/>
      <w:r w:rsidRPr="004759E7">
        <w:rPr>
          <w:sz w:val="20"/>
          <w:szCs w:val="20"/>
        </w:rPr>
        <w:t xml:space="preserve"> dental); sobre mordida (</w:t>
      </w:r>
      <w:r w:rsidRPr="004759E7">
        <w:rPr>
          <w:i/>
          <w:sz w:val="20"/>
          <w:szCs w:val="20"/>
        </w:rPr>
        <w:t>over-</w:t>
      </w:r>
      <w:proofErr w:type="spellStart"/>
      <w:r w:rsidRPr="004759E7">
        <w:rPr>
          <w:i/>
          <w:sz w:val="20"/>
          <w:szCs w:val="20"/>
        </w:rPr>
        <w:t>bite</w:t>
      </w:r>
      <w:proofErr w:type="spellEnd"/>
      <w:r w:rsidRPr="004759E7">
        <w:rPr>
          <w:sz w:val="20"/>
          <w:szCs w:val="20"/>
        </w:rPr>
        <w:t>) exagerada, nos casos em que houver interferência dos dentes anteriores na mucosa do maxilar superior; transpasse horizontal (</w:t>
      </w:r>
      <w:r w:rsidRPr="004759E7">
        <w:rPr>
          <w:i/>
          <w:sz w:val="20"/>
          <w:szCs w:val="20"/>
        </w:rPr>
        <w:t xml:space="preserve">over </w:t>
      </w:r>
      <w:proofErr w:type="spellStart"/>
      <w:r w:rsidRPr="004759E7">
        <w:rPr>
          <w:i/>
          <w:sz w:val="20"/>
          <w:szCs w:val="20"/>
        </w:rPr>
        <w:t>jet</w:t>
      </w:r>
      <w:proofErr w:type="spellEnd"/>
      <w:r w:rsidRPr="004759E7">
        <w:rPr>
          <w:sz w:val="20"/>
          <w:szCs w:val="20"/>
        </w:rPr>
        <w:t>) no arco superior em relação ao arco inferior, igual ou superior a dez milímetros; e mordida cruzada anterior; e,</w:t>
      </w:r>
    </w:p>
    <w:p w14:paraId="7E557425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Implantodontia.</w:t>
      </w:r>
    </w:p>
    <w:p w14:paraId="2F55B1AB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Quanto aos </w:t>
      </w:r>
      <w:r w:rsidRPr="00CA1BCA">
        <w:rPr>
          <w:sz w:val="20"/>
          <w:szCs w:val="20"/>
        </w:rPr>
        <w:t>subitens 1.7.1.14 e 1.7.1.15</w:t>
      </w:r>
      <w:r w:rsidRPr="004759E7">
        <w:rPr>
          <w:sz w:val="20"/>
          <w:szCs w:val="20"/>
        </w:rPr>
        <w:t xml:space="preserve"> o parecer será proferido por comissão nomeada pela OMS e formada por, no mínimo, três odontólogos, cuja manifestação dependerá de homologação do Dir OMS.</w:t>
      </w:r>
    </w:p>
    <w:p w14:paraId="058DBB46" w14:textId="77777777" w:rsidR="0040301D" w:rsidRPr="004759E7" w:rsidRDefault="0040301D" w:rsidP="0040301D">
      <w:pPr>
        <w:widowControl w:val="0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Por parte do PASS, conforme a Portaria nº DGP-117/2008 (IR 30-57):</w:t>
      </w:r>
    </w:p>
    <w:p w14:paraId="29563137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de lipoaspiração;</w:t>
      </w:r>
    </w:p>
    <w:p w14:paraId="6AAADB14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corretiva nasal;</w:t>
      </w:r>
    </w:p>
    <w:p w14:paraId="37A36EC6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corretiva de mama;</w:t>
      </w:r>
    </w:p>
    <w:p w14:paraId="13DD79F9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Cirurgias plásticas corretivas em geral;</w:t>
      </w:r>
    </w:p>
    <w:p w14:paraId="329D0958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eletiva para colocação de próteses corretivas não odontológicas;</w:t>
      </w:r>
    </w:p>
    <w:p w14:paraId="4D7C3E2C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corretiva de desvios da visão;</w:t>
      </w:r>
    </w:p>
    <w:p w14:paraId="326A0995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de transplante de córnea e rins (considerando o acompanhamento clínico ambulatorial no período de internação do receptor e do doador e o pós-transplante);</w:t>
      </w:r>
    </w:p>
    <w:p w14:paraId="28FE6CAD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Colocação eletiva de próteses não odontológicas;</w:t>
      </w:r>
    </w:p>
    <w:p w14:paraId="439BF0A1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Gastroplastia;</w:t>
      </w:r>
    </w:p>
    <w:p w14:paraId="506B2AC7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Cirurgia de recanalização de laqueadura tubária;</w:t>
      </w:r>
    </w:p>
    <w:p w14:paraId="3A54E96A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Terapia fotodinâmica para pacientes com degeneração muscular (utilizando-se "</w:t>
      </w:r>
      <w:proofErr w:type="spellStart"/>
      <w:r w:rsidRPr="004759E7">
        <w:rPr>
          <w:sz w:val="20"/>
          <w:szCs w:val="20"/>
        </w:rPr>
        <w:t>Visudyne</w:t>
      </w:r>
      <w:proofErr w:type="spellEnd"/>
      <w:r w:rsidRPr="004759E7">
        <w:rPr>
          <w:sz w:val="20"/>
          <w:szCs w:val="20"/>
        </w:rPr>
        <w:t>");</w:t>
      </w:r>
    </w:p>
    <w:p w14:paraId="668B482B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Procedimentos constantes na RN nº 167/2008, da ANS, e não constantes da Tabela da Associação Médica Brasileira/92 ou do Anexo “C” da Portaria nº DGP-117/2008 (IR 30-57); e,</w:t>
      </w:r>
    </w:p>
    <w:p w14:paraId="085C9076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Outros procedimentos e tratamentos, a critério do Chefe DGP, ouvidas a DAP e a </w:t>
      </w:r>
      <w:proofErr w:type="spellStart"/>
      <w:r w:rsidRPr="004759E7">
        <w:rPr>
          <w:sz w:val="20"/>
          <w:szCs w:val="20"/>
        </w:rPr>
        <w:t>DSau</w:t>
      </w:r>
      <w:proofErr w:type="spellEnd"/>
      <w:r w:rsidRPr="004759E7">
        <w:rPr>
          <w:sz w:val="20"/>
          <w:szCs w:val="20"/>
        </w:rPr>
        <w:t>.</w:t>
      </w:r>
    </w:p>
    <w:p w14:paraId="621EB57D" w14:textId="77777777" w:rsidR="0040301D" w:rsidRPr="004759E7" w:rsidRDefault="0040301D" w:rsidP="0040301D">
      <w:pPr>
        <w:widowControl w:val="0"/>
        <w:numPr>
          <w:ilvl w:val="1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Os procedimentos médico-hospitalares e odontológicos não cobertos (ZM2) nem financiados (ZM1), sendo vedada a implantação das despesas, são os a seguir enumerados:</w:t>
      </w:r>
    </w:p>
    <w:p w14:paraId="4F256635" w14:textId="77777777" w:rsidR="0040301D" w:rsidRPr="004759E7" w:rsidRDefault="0040301D" w:rsidP="0040301D">
      <w:pPr>
        <w:widowControl w:val="0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Por parte do SAMMED/FuSEx, nos termos da Portaria nº DGP-48/2008 (IR 30-38):</w:t>
      </w:r>
    </w:p>
    <w:p w14:paraId="68CEEB60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Procedimento de natureza estética, inclusive cirurgia plástica estética de embelezamento;</w:t>
      </w:r>
    </w:p>
    <w:p w14:paraId="65289FD5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lastRenderedPageBreak/>
        <w:t>Aquisição de artigos por importação, quando houver similares nacionais que atendam às especificações do tratamento;</w:t>
      </w:r>
    </w:p>
    <w:p w14:paraId="6288A60A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Aquisição de óculos e artigos correlatos;</w:t>
      </w:r>
    </w:p>
    <w:p w14:paraId="2F56AA8C" w14:textId="77777777" w:rsidR="0040301D" w:rsidRPr="00CA1BCA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Hospi</w:t>
      </w:r>
      <w:r w:rsidRPr="00CA1BCA">
        <w:rPr>
          <w:sz w:val="20"/>
          <w:szCs w:val="20"/>
        </w:rPr>
        <w:t>talização que objetive, especificamente, os seguintes tratamentos:</w:t>
      </w:r>
    </w:p>
    <w:p w14:paraId="2AD97954" w14:textId="77777777" w:rsidR="0040301D" w:rsidRPr="00CA1BCA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proofErr w:type="spellStart"/>
      <w:r w:rsidRPr="00CA1BCA">
        <w:rPr>
          <w:sz w:val="20"/>
          <w:szCs w:val="20"/>
        </w:rPr>
        <w:t>Gerontológico</w:t>
      </w:r>
      <w:proofErr w:type="spellEnd"/>
      <w:r w:rsidRPr="00CA1BCA">
        <w:rPr>
          <w:sz w:val="20"/>
          <w:szCs w:val="20"/>
        </w:rPr>
        <w:t xml:space="preserve">, enquanto o Exército não dispuser de um centro </w:t>
      </w:r>
      <w:proofErr w:type="spellStart"/>
      <w:r w:rsidRPr="00CA1BCA">
        <w:rPr>
          <w:sz w:val="20"/>
          <w:szCs w:val="20"/>
        </w:rPr>
        <w:t>gerontológico</w:t>
      </w:r>
      <w:proofErr w:type="spellEnd"/>
      <w:r w:rsidRPr="00CA1BCA">
        <w:rPr>
          <w:sz w:val="20"/>
          <w:szCs w:val="20"/>
        </w:rPr>
        <w:t xml:space="preserve"> em pleno funcionamento; e,</w:t>
      </w:r>
      <w:bookmarkStart w:id="0" w:name="_GoBack"/>
      <w:bookmarkEnd w:id="0"/>
    </w:p>
    <w:p w14:paraId="74105564" w14:textId="77777777" w:rsidR="0040301D" w:rsidRPr="004759E7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De portadores de necessidades educativas especiais, exceto quando acometidos por patologias comuns à população em geral.</w:t>
      </w:r>
    </w:p>
    <w:p w14:paraId="31A8E147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Tratamento médico ou odontológico cuja eficiência não seja reconhecida pelos conselhos federais de medicina e odontologia;</w:t>
      </w:r>
    </w:p>
    <w:p w14:paraId="36D735B0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Tratamento e manutenção ortodônticos, acima de 16 (dezesseis) anos, exceto nos casos com parecer favorável da comissão referida no subitem 7.7.1.16, nas hipóteses do subitem 7.7.1.14;</w:t>
      </w:r>
    </w:p>
    <w:p w14:paraId="7933730E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Implantodontia, exceto nos casos com parecer favorável da comissão referida no subitem 7.7.1.16;</w:t>
      </w:r>
    </w:p>
    <w:p w14:paraId="45D1E349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Elemento odontológico a ser implantado e material para enxertia;</w:t>
      </w:r>
    </w:p>
    <w:p w14:paraId="20094375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Procedimento e componente odontológico realizado em laboratórios ortodônticos ou de próteses odontológicas (exemplo: prótese e aparelho ortodôntico), exceto em OMS;</w:t>
      </w:r>
    </w:p>
    <w:p w14:paraId="1E6DB47A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Implante hormonal;</w:t>
      </w:r>
    </w:p>
    <w:p w14:paraId="71B15F0B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Teste de DNA;</w:t>
      </w:r>
    </w:p>
    <w:p w14:paraId="3C982813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Tratamentos de infertilidade, fecundação e fertilização;</w:t>
      </w:r>
    </w:p>
    <w:p w14:paraId="34463D24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No que diz respeito à assistência domiciliar:</w:t>
      </w:r>
    </w:p>
    <w:p w14:paraId="05A45890" w14:textId="77777777" w:rsidR="0040301D" w:rsidRPr="004759E7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Despesas decorrentes da utilização por parte do paciente de medicamentos de tratamento prolongado ou para doenças crônicas, nos termos da Portaria nº DGP-281/2007 (IR 30-56), cuja natureza não tenha relação específica com o atendimento de caráter médico-domiciliar;</w:t>
      </w:r>
    </w:p>
    <w:p w14:paraId="0CE62E8F" w14:textId="77777777" w:rsidR="0040301D" w:rsidRPr="004759E7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Tratamentos de natureza geriátrica ou </w:t>
      </w:r>
      <w:proofErr w:type="spellStart"/>
      <w:r w:rsidRPr="004759E7">
        <w:rPr>
          <w:sz w:val="20"/>
          <w:szCs w:val="20"/>
        </w:rPr>
        <w:t>gerontológica</w:t>
      </w:r>
      <w:proofErr w:type="spellEnd"/>
      <w:r w:rsidRPr="004759E7">
        <w:rPr>
          <w:sz w:val="20"/>
          <w:szCs w:val="20"/>
        </w:rPr>
        <w:t>; e,</w:t>
      </w:r>
    </w:p>
    <w:p w14:paraId="7594D7CC" w14:textId="77777777" w:rsidR="0040301D" w:rsidRPr="004759E7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Beneficiários que estejam recebendo auxílio-invalidez.</w:t>
      </w:r>
    </w:p>
    <w:p w14:paraId="6A27A19F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Outros, a critério do Chefe DGP, ouvidas a DAP e a </w:t>
      </w:r>
      <w:proofErr w:type="spellStart"/>
      <w:r w:rsidRPr="004759E7">
        <w:rPr>
          <w:sz w:val="20"/>
          <w:szCs w:val="20"/>
        </w:rPr>
        <w:t>DSau</w:t>
      </w:r>
      <w:proofErr w:type="spellEnd"/>
      <w:r w:rsidRPr="004759E7">
        <w:rPr>
          <w:sz w:val="20"/>
          <w:szCs w:val="20"/>
        </w:rPr>
        <w:t>.</w:t>
      </w:r>
    </w:p>
    <w:p w14:paraId="0D703BFD" w14:textId="77777777" w:rsidR="0040301D" w:rsidRPr="004759E7" w:rsidRDefault="0040301D" w:rsidP="0040301D">
      <w:pPr>
        <w:widowControl w:val="0"/>
        <w:numPr>
          <w:ilvl w:val="2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709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Por parte do PASS, conforme a Portaria nº DGP-117/2008 (IR 30-57):</w:t>
      </w:r>
    </w:p>
    <w:p w14:paraId="25BA099E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Atendimentos ambulatoriais, internações hospitalares e atendimentos obstétricos </w:t>
      </w:r>
      <w:r w:rsidRPr="004759E7">
        <w:rPr>
          <w:b/>
          <w:sz w:val="20"/>
          <w:szCs w:val="20"/>
        </w:rPr>
        <w:t>não</w:t>
      </w:r>
      <w:r w:rsidRPr="004759E7">
        <w:rPr>
          <w:sz w:val="20"/>
          <w:szCs w:val="20"/>
        </w:rPr>
        <w:t xml:space="preserve"> previstos no rol de Procedimentos Básicos da Resolução CONSU n° 12, da Agência Nacional de Saúde Suplementar (ANS), de 4 de novembro de 1998, e na Resolução Normativa n° 167, da ANS, de 9 de janeiro de 2008;</w:t>
      </w:r>
    </w:p>
    <w:p w14:paraId="6D0FA86B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Atendimentos básicos fisioterápicos e farmacêuticos, bem como psicológicos, </w:t>
      </w:r>
      <w:r w:rsidRPr="004759E7">
        <w:rPr>
          <w:b/>
          <w:sz w:val="20"/>
          <w:szCs w:val="20"/>
        </w:rPr>
        <w:t>não</w:t>
      </w:r>
      <w:r w:rsidRPr="004759E7">
        <w:rPr>
          <w:sz w:val="20"/>
          <w:szCs w:val="20"/>
        </w:rPr>
        <w:t xml:space="preserve"> previstos na </w:t>
      </w:r>
      <w:r w:rsidRPr="004759E7">
        <w:rPr>
          <w:sz w:val="20"/>
          <w:szCs w:val="20"/>
        </w:rPr>
        <w:lastRenderedPageBreak/>
        <w:t>Resolução CONSU n° 11, da Agência Nacional de Saúde Suplementar (ANS), de 4 de novembro de 1998;</w:t>
      </w:r>
    </w:p>
    <w:p w14:paraId="0CBD0FA7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Atendimentos odontológicos </w:t>
      </w:r>
      <w:r w:rsidRPr="004759E7">
        <w:rPr>
          <w:b/>
          <w:sz w:val="20"/>
          <w:szCs w:val="20"/>
        </w:rPr>
        <w:t>não</w:t>
      </w:r>
      <w:r w:rsidRPr="004759E7">
        <w:rPr>
          <w:sz w:val="20"/>
          <w:szCs w:val="20"/>
        </w:rPr>
        <w:t xml:space="preserve"> constantes da Resolução Normativa n° 154, da Agência Nacional de Saúde Suplementar, de 5 de junho de 2007 - Atualiza o Rol de Procedimentos Odontológicos e dá outras providências;</w:t>
      </w:r>
    </w:p>
    <w:p w14:paraId="4C0E3A08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Tratamento médico ou odontológico cuja eficiência </w:t>
      </w:r>
      <w:r w:rsidRPr="004759E7">
        <w:rPr>
          <w:b/>
          <w:sz w:val="20"/>
          <w:szCs w:val="20"/>
        </w:rPr>
        <w:t>não</w:t>
      </w:r>
      <w:r w:rsidRPr="004759E7">
        <w:rPr>
          <w:sz w:val="20"/>
          <w:szCs w:val="20"/>
        </w:rPr>
        <w:t xml:space="preserve"> seja reconhecida pelos conselhos federais de medicina e odontologia ou tratamento clínico ou cirúrgico experimental;</w:t>
      </w:r>
    </w:p>
    <w:p w14:paraId="58D51FDE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Especialidades médicas não reconhecidas pelo Conselho Federal de Medicina;</w:t>
      </w:r>
    </w:p>
    <w:p w14:paraId="0334751F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Atendimentos prestados antes do início do período de vigência ou do cumprimento de carências;</w:t>
      </w:r>
    </w:p>
    <w:p w14:paraId="0E7DE834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Procedimentos clínicos ou cirúrgicos para fins estéticos, inclusive cirurgia plástica estética, órteses e próteses para o mesmo fim;</w:t>
      </w:r>
    </w:p>
    <w:p w14:paraId="0F41C061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Inseminação artificial;</w:t>
      </w:r>
    </w:p>
    <w:p w14:paraId="687DF72B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Tratamento de rejuvenescimento ou de emagrecimento com finalidade estética;</w:t>
      </w:r>
    </w:p>
    <w:p w14:paraId="438013B9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Tratamentos em centros de saúde pela água (SPA), clínicas de repouso, estâncias hidrominerais, casas sociais e clínicas de idosos;</w:t>
      </w:r>
    </w:p>
    <w:p w14:paraId="238177A7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Fornecimento de medicamentos nacionais ou nacionalizados, exceto durante a internação hospitalar do beneficiário;</w:t>
      </w:r>
    </w:p>
    <w:p w14:paraId="38D7F42C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Aquisição de artigos por importação;</w:t>
      </w:r>
    </w:p>
    <w:p w14:paraId="4FBEFFCB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Fornecimento de medicamentos importados não nacionalizados;</w:t>
      </w:r>
    </w:p>
    <w:p w14:paraId="6D67F758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Fornecimento de órteses, próteses e seus acessórios não ligados ao ato e técnica cirúrgica indicados;</w:t>
      </w:r>
    </w:p>
    <w:p w14:paraId="4888DAB0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Órtese ou prótese não odontológica acima do valor máximo estabelecido por parte do DGP;</w:t>
      </w:r>
    </w:p>
    <w:p w14:paraId="453A652F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Tratamentos ilícitos ou antiéticos, assim definidos sob o aspecto médico, ou não reconhecidos pelas autoridades competentes;</w:t>
      </w:r>
    </w:p>
    <w:p w14:paraId="6C488E58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Em caso de cataclismos, guerras e comoções internas, quando declarados pela autoridade competente;</w:t>
      </w:r>
    </w:p>
    <w:p w14:paraId="3689B0BE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Aplicação de vacinas preventivas;</w:t>
      </w:r>
    </w:p>
    <w:p w14:paraId="5B4E3CB8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Necropsias, medicina </w:t>
      </w:r>
      <w:proofErr w:type="spellStart"/>
      <w:r w:rsidRPr="004759E7">
        <w:rPr>
          <w:sz w:val="20"/>
          <w:szCs w:val="20"/>
        </w:rPr>
        <w:t>ortomolecular</w:t>
      </w:r>
      <w:proofErr w:type="spellEnd"/>
      <w:r w:rsidRPr="004759E7">
        <w:rPr>
          <w:sz w:val="20"/>
          <w:szCs w:val="20"/>
        </w:rPr>
        <w:t xml:space="preserve"> e </w:t>
      </w:r>
      <w:proofErr w:type="spellStart"/>
      <w:r w:rsidRPr="004759E7">
        <w:rPr>
          <w:sz w:val="20"/>
          <w:szCs w:val="20"/>
        </w:rPr>
        <w:t>mineralograma</w:t>
      </w:r>
      <w:proofErr w:type="spellEnd"/>
      <w:r w:rsidRPr="004759E7">
        <w:rPr>
          <w:sz w:val="20"/>
          <w:szCs w:val="20"/>
        </w:rPr>
        <w:t xml:space="preserve"> do cabelo;</w:t>
      </w:r>
    </w:p>
    <w:p w14:paraId="637C348F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Aquisição de óculos e artigos correlatos;</w:t>
      </w:r>
    </w:p>
    <w:p w14:paraId="2EF94A5C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Aparelhos ortopédicos;</w:t>
      </w:r>
    </w:p>
    <w:p w14:paraId="2CA6814B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Aluguel de equipamentos hospitalares e similares;</w:t>
      </w:r>
    </w:p>
    <w:p w14:paraId="0ABAD3DF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Procedimentos, exames ou tratamentos realizados no exterior;</w:t>
      </w:r>
    </w:p>
    <w:p w14:paraId="3C5EB946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Despesas hospitalares extraordinárias tais como telefonemas, uso de televisão, alimentação não </w:t>
      </w:r>
      <w:r w:rsidRPr="004759E7">
        <w:rPr>
          <w:sz w:val="20"/>
          <w:szCs w:val="20"/>
        </w:rPr>
        <w:lastRenderedPageBreak/>
        <w:t>prevista no tratamento, lavagem de roupas e indenização de danos;</w:t>
      </w:r>
    </w:p>
    <w:p w14:paraId="18F6932A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Enfermagem em caráter particular;</w:t>
      </w:r>
    </w:p>
    <w:p w14:paraId="467878D7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Estadia de paciente ou acompanhante em hotel, pensão ou similares;</w:t>
      </w:r>
    </w:p>
    <w:p w14:paraId="16C0ADFE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Avaliações pedagógicas;</w:t>
      </w:r>
    </w:p>
    <w:p w14:paraId="78DFB399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Orientações vocacionais;</w:t>
      </w:r>
    </w:p>
    <w:p w14:paraId="38F9FBFA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Psicoterapia com objetivos profissionais;</w:t>
      </w:r>
    </w:p>
    <w:p w14:paraId="69448859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Diárias hospitalares com a parturiente em condições de alta quando da manutenção da internação do </w:t>
      </w:r>
      <w:proofErr w:type="spellStart"/>
      <w:proofErr w:type="gramStart"/>
      <w:r w:rsidRPr="004759E7">
        <w:rPr>
          <w:sz w:val="20"/>
          <w:szCs w:val="20"/>
        </w:rPr>
        <w:t>recém nascido</w:t>
      </w:r>
      <w:proofErr w:type="spellEnd"/>
      <w:proofErr w:type="gramEnd"/>
      <w:r w:rsidRPr="004759E7">
        <w:rPr>
          <w:sz w:val="20"/>
          <w:szCs w:val="20"/>
        </w:rPr>
        <w:t xml:space="preserve"> patológico;</w:t>
      </w:r>
    </w:p>
    <w:p w14:paraId="052FB912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Colocação de idosos em asilos;</w:t>
      </w:r>
    </w:p>
    <w:p w14:paraId="12DB88E3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Tratamento e manutenção ortodônticos;</w:t>
      </w:r>
    </w:p>
    <w:p w14:paraId="0B1F196D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Tratamentos de implantodontia;</w:t>
      </w:r>
    </w:p>
    <w:p w14:paraId="431F1D79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Elemento odontológico a ser implantado e material para enxertia;</w:t>
      </w:r>
    </w:p>
    <w:p w14:paraId="1BBA919D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Próteses odontológicas de qualquer tipo;</w:t>
      </w:r>
    </w:p>
    <w:p w14:paraId="5F70E1AA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Procedimento e componente odontológico realizado em laboratórios ortodônticos ou de próteses odontológicas (exemplo: prótese e aparelho ortodôntico);</w:t>
      </w:r>
    </w:p>
    <w:p w14:paraId="088E285A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Transplantes ósseos e implantes odontológicos;</w:t>
      </w:r>
    </w:p>
    <w:p w14:paraId="50AEC642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Restaurações utilizando porcelana;</w:t>
      </w:r>
    </w:p>
    <w:p w14:paraId="5BF8A957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Restaurações utilizando resina </w:t>
      </w:r>
      <w:proofErr w:type="spellStart"/>
      <w:r w:rsidRPr="004759E7">
        <w:rPr>
          <w:sz w:val="20"/>
          <w:szCs w:val="20"/>
        </w:rPr>
        <w:t>fotopolimerizável</w:t>
      </w:r>
      <w:proofErr w:type="spellEnd"/>
      <w:r w:rsidRPr="004759E7">
        <w:rPr>
          <w:sz w:val="20"/>
          <w:szCs w:val="20"/>
        </w:rPr>
        <w:t xml:space="preserve"> em dentes posteriores somente para fins estéticos;</w:t>
      </w:r>
    </w:p>
    <w:p w14:paraId="6D8566DD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Hospitalização que objetive, especificamente, os seguintes tratamentos:</w:t>
      </w:r>
    </w:p>
    <w:p w14:paraId="31C81A95" w14:textId="77777777" w:rsidR="0040301D" w:rsidRPr="004759E7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proofErr w:type="spellStart"/>
      <w:r w:rsidRPr="004759E7">
        <w:rPr>
          <w:sz w:val="20"/>
          <w:szCs w:val="20"/>
        </w:rPr>
        <w:t>Gerontológico</w:t>
      </w:r>
      <w:proofErr w:type="spellEnd"/>
      <w:r w:rsidRPr="004759E7">
        <w:rPr>
          <w:sz w:val="20"/>
          <w:szCs w:val="20"/>
        </w:rPr>
        <w:t xml:space="preserve">, enquanto o Exército não dispuser de um centro </w:t>
      </w:r>
      <w:proofErr w:type="spellStart"/>
      <w:r w:rsidRPr="004759E7">
        <w:rPr>
          <w:sz w:val="20"/>
          <w:szCs w:val="20"/>
        </w:rPr>
        <w:t>gerontológico</w:t>
      </w:r>
      <w:proofErr w:type="spellEnd"/>
      <w:r w:rsidRPr="004759E7">
        <w:rPr>
          <w:sz w:val="20"/>
          <w:szCs w:val="20"/>
        </w:rPr>
        <w:t xml:space="preserve"> em pleno funcionamento;</w:t>
      </w:r>
    </w:p>
    <w:p w14:paraId="64B087FD" w14:textId="77777777" w:rsidR="0040301D" w:rsidRPr="004759E7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De portadores de necessidades educativas especiais, exceto quando acometidos por patologias comuns à população em geral;</w:t>
      </w:r>
    </w:p>
    <w:p w14:paraId="635DE826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Implante hormonal;</w:t>
      </w:r>
    </w:p>
    <w:p w14:paraId="249FE195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Teste de DNA;</w:t>
      </w:r>
    </w:p>
    <w:p w14:paraId="249DDA90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Tratamentos de infertilidade, fecundação e fertilização;</w:t>
      </w:r>
    </w:p>
    <w:p w14:paraId="56D67A16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Transplantes de órgãos, exceto o constante no inciso XIV, do § 2º, do art. 15 da Portaria nº DGP-117/2008 (IR 30-57);</w:t>
      </w:r>
    </w:p>
    <w:p w14:paraId="7D168B89" w14:textId="77777777" w:rsidR="0040301D" w:rsidRPr="004759E7" w:rsidRDefault="0040301D" w:rsidP="0040301D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No que diz respeito à assistência domiciliar:</w:t>
      </w:r>
    </w:p>
    <w:p w14:paraId="64F3F609" w14:textId="77777777" w:rsidR="0040301D" w:rsidRPr="004759E7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lastRenderedPageBreak/>
        <w:t>Despesas decorrentes da utilização por parte do paciente de medicamentos de tratamento prolongado ou para doenças crônicas, nos termos da Portaria nº DGP-281/2007 (IR 30-56), cuja natureza não tenha relação específica com o atendimento de caráter médico-domiciliar;</w:t>
      </w:r>
    </w:p>
    <w:p w14:paraId="7E32AD6E" w14:textId="77777777" w:rsidR="0040301D" w:rsidRPr="004759E7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Tratamentos de natureza geriátrica ou </w:t>
      </w:r>
      <w:proofErr w:type="spellStart"/>
      <w:r w:rsidRPr="004759E7">
        <w:rPr>
          <w:sz w:val="20"/>
          <w:szCs w:val="20"/>
        </w:rPr>
        <w:t>gerontológica</w:t>
      </w:r>
      <w:proofErr w:type="spellEnd"/>
      <w:r w:rsidRPr="004759E7">
        <w:rPr>
          <w:sz w:val="20"/>
          <w:szCs w:val="20"/>
        </w:rPr>
        <w:t>; e,</w:t>
      </w:r>
    </w:p>
    <w:p w14:paraId="79343FF5" w14:textId="77777777" w:rsidR="0040301D" w:rsidRPr="004759E7" w:rsidRDefault="0040301D" w:rsidP="0040301D">
      <w:pPr>
        <w:widowControl w:val="0"/>
        <w:numPr>
          <w:ilvl w:val="4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2835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>Beneficiários que estejam recebendo Auxílio-Invalidez.</w:t>
      </w:r>
    </w:p>
    <w:p w14:paraId="64868287" w14:textId="77777777" w:rsidR="0040301D" w:rsidRPr="004759E7" w:rsidRDefault="0040301D" w:rsidP="000136A7">
      <w:pPr>
        <w:widowControl w:val="0"/>
        <w:numPr>
          <w:ilvl w:val="3"/>
          <w:numId w:val="19"/>
        </w:numPr>
        <w:suppressAutoHyphens w:val="0"/>
        <w:autoSpaceDE w:val="0"/>
        <w:autoSpaceDN w:val="0"/>
        <w:adjustRightInd w:val="0"/>
        <w:spacing w:before="120" w:after="120" w:line="276" w:lineRule="auto"/>
        <w:ind w:left="1418" w:firstLine="0"/>
        <w:jc w:val="both"/>
        <w:rPr>
          <w:sz w:val="20"/>
          <w:szCs w:val="20"/>
        </w:rPr>
      </w:pPr>
      <w:r w:rsidRPr="004759E7">
        <w:rPr>
          <w:sz w:val="20"/>
          <w:szCs w:val="20"/>
        </w:rPr>
        <w:t xml:space="preserve">Outros, a critério do Chefe DGP, ouvidas a DAP e a </w:t>
      </w:r>
      <w:proofErr w:type="spellStart"/>
      <w:r w:rsidRPr="004759E7">
        <w:rPr>
          <w:sz w:val="20"/>
          <w:szCs w:val="20"/>
        </w:rPr>
        <w:t>DSau</w:t>
      </w:r>
      <w:proofErr w:type="spellEnd"/>
      <w:r w:rsidRPr="004759E7">
        <w:rPr>
          <w:sz w:val="20"/>
          <w:szCs w:val="20"/>
        </w:rPr>
        <w:t>.</w:t>
      </w:r>
    </w:p>
    <w:sectPr w:rsidR="0040301D" w:rsidRPr="004759E7" w:rsidSect="00946E1D">
      <w:footerReference w:type="even" r:id="rId11"/>
      <w:footerReference w:type="default" r:id="rId12"/>
      <w:footnotePr>
        <w:pos w:val="beneathText"/>
      </w:footnotePr>
      <w:pgSz w:w="12240" w:h="15840"/>
      <w:pgMar w:top="1134" w:right="851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9E053" w14:textId="77777777" w:rsidR="00B570C5" w:rsidRDefault="00B570C5">
      <w:r>
        <w:separator/>
      </w:r>
    </w:p>
  </w:endnote>
  <w:endnote w:type="continuationSeparator" w:id="0">
    <w:p w14:paraId="34CC358C" w14:textId="77777777" w:rsidR="00B570C5" w:rsidRDefault="00B5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8D15D" w14:textId="77777777" w:rsidR="002F6360" w:rsidRDefault="002F636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3748D6B" w14:textId="77777777" w:rsidR="002F6360" w:rsidRDefault="002F636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490A2" w14:textId="7F4C17F7" w:rsidR="002F6360" w:rsidRPr="00633521" w:rsidRDefault="002F6360">
    <w:pPr>
      <w:pStyle w:val="Rodap"/>
      <w:framePr w:wrap="around" w:vAnchor="text" w:hAnchor="margin" w:xAlign="right" w:y="1"/>
      <w:rPr>
        <w:rStyle w:val="Nmerodepgina"/>
        <w:rFonts w:ascii="Ecofont_Spranq_eco_Sans" w:hAnsi="Ecofont_Spranq_eco_Sans"/>
        <w:sz w:val="20"/>
        <w:szCs w:val="20"/>
      </w:rPr>
    </w:pPr>
    <w:r w:rsidRPr="00633521">
      <w:rPr>
        <w:rStyle w:val="Nmerodepgina"/>
        <w:rFonts w:ascii="Ecofont_Spranq_eco_Sans" w:hAnsi="Ecofont_Spranq_eco_Sans"/>
        <w:sz w:val="20"/>
        <w:szCs w:val="20"/>
      </w:rPr>
      <w:fldChar w:fldCharType="begin"/>
    </w:r>
    <w:r w:rsidRPr="00633521">
      <w:rPr>
        <w:rStyle w:val="Nmerodepgina"/>
        <w:rFonts w:ascii="Ecofont_Spranq_eco_Sans" w:hAnsi="Ecofont_Spranq_eco_Sans"/>
        <w:sz w:val="20"/>
        <w:szCs w:val="20"/>
      </w:rPr>
      <w:instrText xml:space="preserve">PAGE  </w:instrText>
    </w:r>
    <w:r w:rsidRPr="00633521">
      <w:rPr>
        <w:rStyle w:val="Nmerodepgina"/>
        <w:rFonts w:ascii="Ecofont_Spranq_eco_Sans" w:hAnsi="Ecofont_Spranq_eco_Sans"/>
        <w:sz w:val="20"/>
        <w:szCs w:val="20"/>
      </w:rPr>
      <w:fldChar w:fldCharType="separate"/>
    </w:r>
    <w:r w:rsidR="00CA1BCA">
      <w:rPr>
        <w:rStyle w:val="Nmerodepgina"/>
        <w:rFonts w:ascii="Ecofont_Spranq_eco_Sans" w:hAnsi="Ecofont_Spranq_eco_Sans"/>
        <w:noProof/>
        <w:sz w:val="20"/>
        <w:szCs w:val="20"/>
      </w:rPr>
      <w:t>6</w:t>
    </w:r>
    <w:r w:rsidRPr="00633521">
      <w:rPr>
        <w:rStyle w:val="Nmerodepgina"/>
        <w:rFonts w:ascii="Ecofont_Spranq_eco_Sans" w:hAnsi="Ecofont_Spranq_eco_Sans"/>
        <w:sz w:val="20"/>
        <w:szCs w:val="20"/>
      </w:rPr>
      <w:fldChar w:fldCharType="end"/>
    </w:r>
  </w:p>
  <w:p w14:paraId="560D7D47" w14:textId="77777777" w:rsidR="00A82884" w:rsidRPr="0021698A" w:rsidRDefault="00A82884" w:rsidP="00A82884">
    <w:pPr>
      <w:pStyle w:val="Rodap"/>
    </w:pPr>
    <w:r w:rsidRPr="0021698A">
      <w:t>____________________________________________________________________</w:t>
    </w:r>
  </w:p>
  <w:p w14:paraId="5E8BF23F" w14:textId="61FA3313" w:rsidR="00A82884" w:rsidRPr="00CA1BCA" w:rsidRDefault="004759E7" w:rsidP="00A82884">
    <w:pPr>
      <w:pStyle w:val="Rodap"/>
      <w:rPr>
        <w:rFonts w:cs="Arial"/>
        <w:sz w:val="12"/>
        <w:szCs w:val="12"/>
      </w:rPr>
    </w:pPr>
    <w:r w:rsidRPr="00CA1BCA">
      <w:rPr>
        <w:rFonts w:cs="Arial"/>
        <w:sz w:val="12"/>
        <w:szCs w:val="12"/>
      </w:rPr>
      <w:t>Consultoria Jurídica da União Especializada Virtual de Serviços Sem Dedicação Exclusiva de Mão de Obra</w:t>
    </w:r>
    <w:r w:rsidR="00A82884" w:rsidRPr="00CA1BCA">
      <w:rPr>
        <w:rFonts w:cs="Arial"/>
        <w:sz w:val="12"/>
        <w:szCs w:val="12"/>
      </w:rPr>
      <w:t xml:space="preserve"> </w:t>
    </w:r>
  </w:p>
  <w:p w14:paraId="39D9327B" w14:textId="77777777" w:rsidR="00A82884" w:rsidRPr="00CA1BCA" w:rsidRDefault="00A82884" w:rsidP="00A82884">
    <w:pPr>
      <w:pStyle w:val="Rodap"/>
      <w:rPr>
        <w:rFonts w:cs="Arial"/>
        <w:sz w:val="12"/>
        <w:szCs w:val="12"/>
      </w:rPr>
    </w:pPr>
    <w:r w:rsidRPr="00CA1BCA">
      <w:rPr>
        <w:rFonts w:cs="Arial"/>
        <w:sz w:val="12"/>
        <w:szCs w:val="12"/>
      </w:rPr>
      <w:t>Anexo R do edital modelo para credenciamento de pessoas físicas e jurídicas para a prestação de serviços médico-hospitalares e odontológicos</w:t>
    </w:r>
  </w:p>
  <w:p w14:paraId="5C72591F" w14:textId="30C74887" w:rsidR="002F6360" w:rsidRPr="00CA1BCA" w:rsidRDefault="00A82884" w:rsidP="00A82884">
    <w:pPr>
      <w:pStyle w:val="Rodap"/>
      <w:ind w:right="360"/>
      <w:jc w:val="both"/>
      <w:rPr>
        <w:rFonts w:ascii="Arial Narrow" w:hAnsi="Arial Narrow"/>
        <w:b/>
        <w:sz w:val="16"/>
        <w:szCs w:val="16"/>
      </w:rPr>
    </w:pPr>
    <w:r w:rsidRPr="00CA1BCA">
      <w:rPr>
        <w:rFonts w:cs="Arial"/>
        <w:sz w:val="12"/>
        <w:szCs w:val="12"/>
      </w:rPr>
      <w:t xml:space="preserve">Atualização: </w:t>
    </w:r>
    <w:r w:rsidR="004759E7" w:rsidRPr="00CA1BCA">
      <w:rPr>
        <w:rFonts w:cs="Arial"/>
        <w:sz w:val="12"/>
        <w:szCs w:val="12"/>
      </w:rPr>
      <w:t>FEVEREIRO/2024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A2C72" w14:textId="77777777" w:rsidR="00B570C5" w:rsidRDefault="00B570C5">
      <w:r>
        <w:separator/>
      </w:r>
    </w:p>
  </w:footnote>
  <w:footnote w:type="continuationSeparator" w:id="0">
    <w:p w14:paraId="0D753CEB" w14:textId="77777777" w:rsidR="00B570C5" w:rsidRDefault="00B57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4" w15:restartNumberingAfterBreak="0">
    <w:nsid w:val="00000005"/>
    <w:multiLevelType w:val="singleLevel"/>
    <w:tmpl w:val="00000005"/>
    <w:name w:val="WW8Num2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3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7" w15:restartNumberingAfterBreak="0">
    <w:nsid w:val="00000008"/>
    <w:multiLevelType w:val="singleLevel"/>
    <w:tmpl w:val="00000008"/>
    <w:name w:val="WW8Num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29"/>
    <w:lvl w:ilvl="0">
      <w:start w:val="1"/>
      <w:numFmt w:val="lowerLetter"/>
      <w:lvlText w:val="%1)"/>
      <w:lvlJc w:val="left"/>
      <w:pPr>
        <w:tabs>
          <w:tab w:val="num" w:pos="1068"/>
        </w:tabs>
      </w:pPr>
    </w:lvl>
  </w:abstractNum>
  <w:abstractNum w:abstractNumId="9" w15:restartNumberingAfterBreak="0">
    <w:nsid w:val="0000000A"/>
    <w:multiLevelType w:val="singleLevel"/>
    <w:tmpl w:val="0000000A"/>
    <w:name w:val="WW8Num30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0" w15:restartNumberingAfterBreak="0">
    <w:nsid w:val="0000000B"/>
    <w:multiLevelType w:val="singleLevel"/>
    <w:tmpl w:val="0000000B"/>
    <w:name w:val="WW8Num32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1" w15:restartNumberingAfterBreak="0">
    <w:nsid w:val="0000000C"/>
    <w:multiLevelType w:val="singleLevel"/>
    <w:tmpl w:val="0000000C"/>
    <w:name w:val="WW8Num33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2" w15:restartNumberingAfterBreak="0">
    <w:nsid w:val="0000000D"/>
    <w:multiLevelType w:val="singleLevel"/>
    <w:tmpl w:val="0000000D"/>
    <w:name w:val="WW8Num36"/>
    <w:lvl w:ilvl="0">
      <w:start w:val="1"/>
      <w:numFmt w:val="lowerLetter"/>
      <w:lvlText w:val="%1)"/>
      <w:lvlJc w:val="left"/>
      <w:pPr>
        <w:tabs>
          <w:tab w:val="num" w:pos="1095"/>
        </w:tabs>
      </w:pPr>
      <w:rPr>
        <w:rFonts w:eastAsia="Times New Roman"/>
      </w:rPr>
    </w:lvl>
  </w:abstractNum>
  <w:abstractNum w:abstractNumId="13" w15:restartNumberingAfterBreak="0">
    <w:nsid w:val="0000000E"/>
    <w:multiLevelType w:val="multilevel"/>
    <w:tmpl w:val="4524D870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4" w15:restartNumberingAfterBreak="0">
    <w:nsid w:val="0000000F"/>
    <w:multiLevelType w:val="singleLevel"/>
    <w:tmpl w:val="0000000F"/>
    <w:name w:val="WW8Num41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5" w15:restartNumberingAfterBreak="0">
    <w:nsid w:val="00000010"/>
    <w:multiLevelType w:val="multilevel"/>
    <w:tmpl w:val="00000010"/>
    <w:name w:val="Outline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7" w15:restartNumberingAfterBreak="0">
    <w:nsid w:val="1ED342D6"/>
    <w:multiLevelType w:val="multilevel"/>
    <w:tmpl w:val="D476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3466AC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284"/>
    <w:rsid w:val="000136A7"/>
    <w:rsid w:val="00034FE7"/>
    <w:rsid w:val="0005409C"/>
    <w:rsid w:val="000B0B2F"/>
    <w:rsid w:val="000C3211"/>
    <w:rsid w:val="001357D0"/>
    <w:rsid w:val="001A196D"/>
    <w:rsid w:val="001E6FC0"/>
    <w:rsid w:val="00205404"/>
    <w:rsid w:val="00222E90"/>
    <w:rsid w:val="00283A1B"/>
    <w:rsid w:val="002C7C56"/>
    <w:rsid w:val="002F6360"/>
    <w:rsid w:val="00372538"/>
    <w:rsid w:val="00372762"/>
    <w:rsid w:val="00377052"/>
    <w:rsid w:val="00382594"/>
    <w:rsid w:val="003947AB"/>
    <w:rsid w:val="003C19B4"/>
    <w:rsid w:val="0040301D"/>
    <w:rsid w:val="004360E6"/>
    <w:rsid w:val="004759E7"/>
    <w:rsid w:val="00483907"/>
    <w:rsid w:val="004A5FC9"/>
    <w:rsid w:val="004E116C"/>
    <w:rsid w:val="004F49CC"/>
    <w:rsid w:val="00546B12"/>
    <w:rsid w:val="00587F1C"/>
    <w:rsid w:val="00595126"/>
    <w:rsid w:val="005A3823"/>
    <w:rsid w:val="005B5CF6"/>
    <w:rsid w:val="005D0D47"/>
    <w:rsid w:val="005F1CC8"/>
    <w:rsid w:val="005F5576"/>
    <w:rsid w:val="00633521"/>
    <w:rsid w:val="00637D1A"/>
    <w:rsid w:val="00680509"/>
    <w:rsid w:val="00685B64"/>
    <w:rsid w:val="006D77E2"/>
    <w:rsid w:val="006F5766"/>
    <w:rsid w:val="007719E7"/>
    <w:rsid w:val="00791379"/>
    <w:rsid w:val="007D0175"/>
    <w:rsid w:val="007F360C"/>
    <w:rsid w:val="008029EC"/>
    <w:rsid w:val="00810E78"/>
    <w:rsid w:val="008544F0"/>
    <w:rsid w:val="00870441"/>
    <w:rsid w:val="008B7173"/>
    <w:rsid w:val="008C4ABE"/>
    <w:rsid w:val="00903E7F"/>
    <w:rsid w:val="00924AA7"/>
    <w:rsid w:val="00946E1D"/>
    <w:rsid w:val="00967AF2"/>
    <w:rsid w:val="00974D59"/>
    <w:rsid w:val="00993264"/>
    <w:rsid w:val="009C2F05"/>
    <w:rsid w:val="009E30EE"/>
    <w:rsid w:val="00A03AA5"/>
    <w:rsid w:val="00A27F49"/>
    <w:rsid w:val="00A37016"/>
    <w:rsid w:val="00A616C2"/>
    <w:rsid w:val="00A66A23"/>
    <w:rsid w:val="00A82884"/>
    <w:rsid w:val="00A86EAA"/>
    <w:rsid w:val="00AC7B5B"/>
    <w:rsid w:val="00AD2644"/>
    <w:rsid w:val="00B47A11"/>
    <w:rsid w:val="00B570C5"/>
    <w:rsid w:val="00BB107F"/>
    <w:rsid w:val="00BD5649"/>
    <w:rsid w:val="00C53932"/>
    <w:rsid w:val="00C65C11"/>
    <w:rsid w:val="00CA1BCA"/>
    <w:rsid w:val="00D36378"/>
    <w:rsid w:val="00D53DC3"/>
    <w:rsid w:val="00D60666"/>
    <w:rsid w:val="00DA4901"/>
    <w:rsid w:val="00DC61DA"/>
    <w:rsid w:val="00DF6EE8"/>
    <w:rsid w:val="00E03551"/>
    <w:rsid w:val="00E36B93"/>
    <w:rsid w:val="00E875EC"/>
    <w:rsid w:val="00E87E68"/>
    <w:rsid w:val="00EC3B61"/>
    <w:rsid w:val="00EC52E1"/>
    <w:rsid w:val="00EE7E9B"/>
    <w:rsid w:val="00F00195"/>
    <w:rsid w:val="00F04059"/>
    <w:rsid w:val="00F07DD3"/>
    <w:rsid w:val="00F31284"/>
    <w:rsid w:val="00F3582F"/>
    <w:rsid w:val="00F63482"/>
    <w:rsid w:val="00F7047B"/>
    <w:rsid w:val="00F803E7"/>
    <w:rsid w:val="00FD13DA"/>
    <w:rsid w:val="00FD4A9C"/>
    <w:rsid w:val="00FD5D64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A8616"/>
  <w15:chartTrackingRefBased/>
  <w15:docId w15:val="{7216E708-E3A9-4E7D-AC80-42936DCFF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0"/>
      <w:u w:val="single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bCs/>
      <w:u w:val="singl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6"/>
      </w:numPr>
      <w:ind w:left="2880" w:hanging="360"/>
      <w:jc w:val="center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pacing w:val="-26"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color w:val="800000"/>
    </w:rPr>
  </w:style>
  <w:style w:type="paragraph" w:styleId="Ttulo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20"/>
      <w:szCs w:val="20"/>
    </w:rPr>
  </w:style>
  <w:style w:type="paragraph" w:styleId="Ttulo8">
    <w:name w:val="heading 8"/>
    <w:basedOn w:val="Normal"/>
    <w:next w:val="Normal"/>
    <w:qFormat/>
    <w:pPr>
      <w:keepNext/>
      <w:snapToGrid w:val="0"/>
      <w:jc w:val="center"/>
      <w:outlineLvl w:val="7"/>
    </w:pPr>
    <w:rPr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rFonts w:ascii="StarSymbol" w:hAnsi="StarSymbol"/>
    </w:rPr>
  </w:style>
  <w:style w:type="character" w:customStyle="1" w:styleId="WW8Num3z0">
    <w:name w:val="WW8Num3z0"/>
    <w:rPr>
      <w:rFonts w:ascii="StarSymbol" w:hAnsi="StarSymbol" w:cs="Arial Narrow"/>
      <w:sz w:val="18"/>
      <w:szCs w:val="18"/>
    </w:rPr>
  </w:style>
  <w:style w:type="character" w:customStyle="1" w:styleId="WW8Num6z0">
    <w:name w:val="WW8Num6z0"/>
    <w:rPr>
      <w:rFonts w:eastAsia="Times New Roman"/>
    </w:rPr>
  </w:style>
  <w:style w:type="character" w:customStyle="1" w:styleId="WW8Num12z0">
    <w:name w:val="WW8Num12z0"/>
    <w:rPr>
      <w:rFonts w:eastAsia="Times New Roman"/>
    </w:rPr>
  </w:style>
  <w:style w:type="character" w:customStyle="1" w:styleId="WW8Num14z0">
    <w:name w:val="WW8Num14z0"/>
    <w:rPr>
      <w:rFonts w:eastAsia="Times New Roman"/>
    </w:rPr>
  </w:style>
  <w:style w:type="character" w:customStyle="1" w:styleId="WW8Num17z0">
    <w:name w:val="WW8Num17z0"/>
    <w:rPr>
      <w:rFonts w:eastAsia="Times New Roman"/>
    </w:rPr>
  </w:style>
  <w:style w:type="character" w:customStyle="1" w:styleId="WW8Num18z0">
    <w:name w:val="WW8Num18z0"/>
    <w:rPr>
      <w:rFonts w:eastAsia="Times New Roman"/>
    </w:rPr>
  </w:style>
  <w:style w:type="character" w:customStyle="1" w:styleId="WW8Num20z0">
    <w:name w:val="WW8Num20z0"/>
    <w:rPr>
      <w:rFonts w:eastAsia="Times New Roman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3z1">
    <w:name w:val="WW8Num23z1"/>
    <w:rPr>
      <w:rFonts w:ascii="Times New Roman" w:eastAsia="Times New Roman" w:hAnsi="Times New Roman" w:cs="Times New Roman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4z0">
    <w:name w:val="WW8Num34z0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eastAsia="Times New Roman"/>
    </w:rPr>
  </w:style>
  <w:style w:type="character" w:customStyle="1" w:styleId="WW8Num38z0">
    <w:name w:val="WW8Num38z0"/>
    <w:rPr>
      <w:rFonts w:eastAsia="Times New Roman"/>
    </w:rPr>
  </w:style>
  <w:style w:type="character" w:customStyle="1" w:styleId="WW8Num42z0">
    <w:name w:val="WW8Num42z0"/>
    <w:rPr>
      <w:rFonts w:eastAsia="Times New Roman"/>
    </w:rPr>
  </w:style>
  <w:style w:type="character" w:customStyle="1" w:styleId="WW8Num43z0">
    <w:name w:val="WW8Num43z0"/>
    <w:rPr>
      <w:rFonts w:eastAsia="Times New Roman"/>
    </w:rPr>
  </w:style>
  <w:style w:type="character" w:styleId="Nmerodepgina">
    <w:name w:val="page number"/>
    <w:basedOn w:val="Fontepargpadro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Tahoma" w:hAnsi="Arial" w:cs="Wingdings"/>
      <w:sz w:val="28"/>
      <w:szCs w:val="28"/>
    </w:rPr>
  </w:style>
  <w:style w:type="paragraph" w:styleId="Corpodetexto">
    <w:name w:val="Body Text"/>
    <w:basedOn w:val="Normal"/>
    <w:pPr>
      <w:jc w:val="both"/>
    </w:pPr>
  </w:style>
  <w:style w:type="paragraph" w:styleId="Lista">
    <w:name w:val="List"/>
    <w:basedOn w:val="Corpodetexto"/>
    <w:pPr>
      <w:spacing w:after="120"/>
      <w:jc w:val="left"/>
    </w:pPr>
    <w:rPr>
      <w:sz w:val="20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Wingdings"/>
      <w:i/>
      <w:iCs/>
    </w:rPr>
  </w:style>
  <w:style w:type="paragraph" w:customStyle="1" w:styleId="ndice">
    <w:name w:val="Índice"/>
    <w:basedOn w:val="Normal"/>
    <w:pPr>
      <w:suppressLineNumbers/>
    </w:pPr>
    <w:rPr>
      <w:rFonts w:cs="Wingdings"/>
    </w:rPr>
  </w:style>
  <w:style w:type="paragraph" w:customStyle="1" w:styleId="font5">
    <w:name w:val="font5"/>
    <w:basedOn w:val="Normal"/>
    <w:pPr>
      <w:spacing w:before="280" w:after="280"/>
    </w:pPr>
    <w:rPr>
      <w:rFonts w:ascii="Tahoma" w:eastAsia="Arial Unicode MS" w:hAnsi="Tahoma" w:cs="Wingdings"/>
      <w:b/>
      <w:bCs/>
      <w:color w:val="000000"/>
      <w:sz w:val="16"/>
      <w:szCs w:val="16"/>
    </w:rPr>
  </w:style>
  <w:style w:type="paragraph" w:customStyle="1" w:styleId="xl24">
    <w:name w:val="xl24"/>
    <w:basedOn w:val="Normal"/>
    <w:pPr>
      <w:spacing w:before="280" w:after="280"/>
      <w:textAlignment w:val="top"/>
    </w:pPr>
    <w:rPr>
      <w:rFonts w:eastAsia="Arial Unicode MS"/>
      <w:b/>
      <w:bCs/>
    </w:rPr>
  </w:style>
  <w:style w:type="paragraph" w:customStyle="1" w:styleId="xl25">
    <w:name w:val="xl25"/>
    <w:basedOn w:val="Normal"/>
    <w:pPr>
      <w:spacing w:before="280" w:after="280"/>
      <w:textAlignment w:val="top"/>
    </w:pPr>
    <w:rPr>
      <w:rFonts w:eastAsia="Arial Unicode MS"/>
    </w:rPr>
  </w:style>
  <w:style w:type="paragraph" w:customStyle="1" w:styleId="xl26">
    <w:name w:val="xl26"/>
    <w:basedOn w:val="Normal"/>
    <w:pPr>
      <w:spacing w:before="280" w:after="280"/>
      <w:textAlignment w:val="top"/>
    </w:pPr>
    <w:rPr>
      <w:rFonts w:eastAsia="Arial Unicode MS"/>
      <w:color w:val="FF0000"/>
    </w:rPr>
  </w:style>
  <w:style w:type="paragraph" w:styleId="Corpodetexto2">
    <w:name w:val="Body Text 2"/>
    <w:basedOn w:val="Normal"/>
    <w:pPr>
      <w:jc w:val="center"/>
    </w:pPr>
    <w:rPr>
      <w:b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pPr>
      <w:ind w:firstLine="708"/>
      <w:jc w:val="both"/>
    </w:pPr>
  </w:style>
  <w:style w:type="paragraph" w:customStyle="1" w:styleId="Contedodatabela">
    <w:name w:val="Conteúdo da tabela"/>
    <w:basedOn w:val="Normal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Recuodecorpodetexto2">
    <w:name w:val="Body Text Indent 2"/>
    <w:basedOn w:val="Normal"/>
    <w:pPr>
      <w:ind w:firstLine="360"/>
      <w:jc w:val="both"/>
    </w:p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1A196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t-BR"/>
    </w:rPr>
  </w:style>
  <w:style w:type="character" w:customStyle="1" w:styleId="RodapChar">
    <w:name w:val="Rodapé Char"/>
    <w:link w:val="Rodap"/>
    <w:uiPriority w:val="99"/>
    <w:rsid w:val="00A8288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4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A08D7DBFEB39F4993BAF4471592047B" ma:contentTypeVersion="0" ma:contentTypeDescription="Crie um novo documento." ma:contentTypeScope="" ma:versionID="98f0eba75b33292d8b823422c62102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4c6ccb71ee63fbc30cff3237551e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FAA30C-4EA3-41AD-BE42-65EBAF27A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8FE8CA-81EC-485D-8C97-E412A9207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960F9-0E6D-4D92-9E07-E988BF2588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1439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INSTRUÇÕES GERAIS</vt:lpstr>
    </vt:vector>
  </TitlesOfParts>
  <Company>29BIB</Company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INSTRUÇÕES GERAIS</dc:title>
  <dc:subject/>
  <dc:creator>AGU</dc:creator>
  <cp:keywords/>
  <cp:lastModifiedBy>Giesly Carlos</cp:lastModifiedBy>
  <cp:revision>6</cp:revision>
  <cp:lastPrinted>2019-06-12T19:29:00Z</cp:lastPrinted>
  <dcterms:created xsi:type="dcterms:W3CDTF">2019-06-06T13:31:00Z</dcterms:created>
  <dcterms:modified xsi:type="dcterms:W3CDTF">2025-01-07T18:11:00Z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0x0101005A08D7DBFEB39F4993BAF4471592047B</vt:lpwstr>
  </property>
  <property fmtid="{D5CDD505-2E9C-101B-9397-08002B2CF9AE}" pid="3" name="Order">
    <vt:r8>34293500</vt:r8>
  </property>
</Properties>
</file>