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TERMO DE REFERÊNCIA (TR)</w:t>
      </w:r>
    </w:p>
    <w:p>
      <w:r>
        <w:t>MINISTÉRIO DA DEFESA</w:t>
        <w:br/>
        <w:t>EXÉRCITO BRASILEIRO</w:t>
        <w:br/>
        <w:t>COLÉGIO MILITAR DE PORTO ALEGRE – CMPA</w:t>
        <w:br/>
        <w:t>---------------------------------------------</w:t>
        <w:br/>
      </w:r>
    </w:p>
    <w:p>
      <w:r>
        <w:t>PROCESSO Nº 64256.006930/2025-14</w:t>
        <w:br/>
        <w:t>ASSUNTO: Contratação direta com disputa – Serviço continuado de manutenção preventiva e corretiva de elevadores e plataformas.</w:t>
        <w:br/>
      </w:r>
    </w:p>
    <w:p>
      <w:pPr>
        <w:pStyle w:val="Heading2"/>
      </w:pPr>
      <w:r>
        <w:t>1. OBJETO</w:t>
      </w:r>
    </w:p>
    <w:p>
      <w:r>
        <w:t>Contratação de empresa especializada para prestação de serviços continuados de manutenção preventiva e corretiva de 02 (dois) elevadores de passageiros e 03 (três) plataformas elevatórias instalados no prédio sede do Colégio Militar de Porto Alegre (CMPA), com fornecimento de peças originais, mão de obra qualificada, emissão de relatórios técnicos e atendimento emergencial, em conformidade com as normas da ABNT, CREA e legislação vigente.</w:t>
      </w:r>
    </w:p>
    <w:p>
      <w:pPr>
        <w:pStyle w:val="Heading2"/>
      </w:pPr>
      <w:r>
        <w:t>2. JUSTIFICATIVA</w:t>
      </w:r>
    </w:p>
    <w:p>
      <w:r>
        <w:t>A manutenção dos equipamentos é essencial para garantir a segurança, acessibilidade e continuidade das atividades acadêmicas e administrativas do CMPA. A ausência de manutenção adequada compromete a integridade física de alunos e servidores, especialmente aqueles com mobilidade reduzida, além de poder gerar responsabilidade civil e administrativa para a Instituição. A contratação atende ao interesse público e encontra amparo no art. 75, II, da Lei nº 14.133/2021.</w:t>
      </w:r>
    </w:p>
    <w:p>
      <w:pPr>
        <w:pStyle w:val="Heading2"/>
      </w:pPr>
      <w:r>
        <w:t>3. FUNDAMENTAÇÃO LEGAL</w:t>
      </w:r>
    </w:p>
    <w:p>
      <w:r>
        <w:t>- Lei nº 14.133/2021, especialmente art. 40 (Termo de Referência) e art. 75, II (dispensa eletrônica com disputa até o limite legal atualizado).</w:t>
        <w:br/>
        <w:t>- Instrução Normativa SEGES/ME nº 65/2021 – pesquisa de preços.</w:t>
        <w:br/>
        <w:t>- Instrução Normativa SEGES/ME nº 67/2021 – dispensa eletrônica.</w:t>
        <w:br/>
        <w:t>- Decreto nº 10.818/2021 – classificação de bens de consumo comum e de luxo.</w:t>
        <w:br/>
        <w:t>- Parecer Referencial nº 00001/2024/CGSEM-EST/SCGP/CGU/AGU – dispensa de envio à CJU.</w:t>
        <w:br/>
      </w:r>
    </w:p>
    <w:p>
      <w:pPr>
        <w:pStyle w:val="Heading2"/>
      </w:pPr>
      <w:r>
        <w:t>4. ESPECIFICAÇÕES DO SERVIÇO</w:t>
      </w:r>
    </w:p>
    <w:p>
      <w:r>
        <w:t>A empresa contratada deverá:</w:t>
        <w:br/>
        <w:t>- Realizar manutenção preventiva mensal em todos os equipamentos;</w:t>
        <w:br/>
        <w:t>- Executar serviços corretivos sempre que identificadas falhas ou defeitos;</w:t>
        <w:br/>
        <w:t>- Fornecer e substituir peças originais e compatíveis;</w:t>
        <w:br/>
        <w:t>- Atender chamados emergenciais em até 04 (quatro) horas úteis;</w:t>
        <w:br/>
        <w:t>- Apresentar relatórios técnicos mensais, assinados por engenheiro responsável com ART;</w:t>
        <w:br/>
        <w:t>- Cumprir integralmente as normas de segurança do trabalho, normas técnicas da ABNT e exigências do CREA.</w:t>
      </w:r>
    </w:p>
    <w:p>
      <w:pPr>
        <w:pStyle w:val="Heading2"/>
      </w:pPr>
      <w:r>
        <w:t>5. VIGÊNCIA</w:t>
      </w:r>
    </w:p>
    <w:p>
      <w:r>
        <w:t>O contrato terá vigência inicial de 12 (doze) meses, prorrogável por iguais e sucessivos períodos, até o limite máximo de 60 (sessenta) meses, nos termos dos arts. 106 e 107 da Lei nº 14.133/2021.</w:t>
      </w:r>
    </w:p>
    <w:p>
      <w:pPr>
        <w:pStyle w:val="Heading2"/>
      </w:pPr>
      <w:r>
        <w:t>6. CRITÉRIO DE JULGAMENTO</w:t>
      </w:r>
    </w:p>
    <w:p>
      <w:r>
        <w:t>O critério de julgamento será o menor preço global, observada a vantajosidade para a Administração, em conformidade com o art. 33 da Lei nº 14.133/2021.</w:t>
      </w:r>
    </w:p>
    <w:p>
      <w:pPr>
        <w:pStyle w:val="Heading2"/>
      </w:pPr>
      <w:r>
        <w:t>7. CRITÉRIOS DE SUSTENTABILIDADE</w:t>
      </w:r>
    </w:p>
    <w:p>
      <w:r>
        <w:t>Deverão ser observados critérios de sustentabilidade, em conformidade com o Guia Nacional de Contratações Sustentáveis, tais como:</w:t>
        <w:br/>
        <w:t>- Uso de peças recicláveis quando tecnicamente viável;</w:t>
        <w:br/>
        <w:t>- Descarte ambientalmente adequado de peças substituídas;</w:t>
        <w:br/>
        <w:t>- Redução de consumo de energia dos equipamentos, sempre que possível.</w:t>
      </w:r>
    </w:p>
    <w:p>
      <w:pPr>
        <w:pStyle w:val="Heading2"/>
      </w:pPr>
      <w:r>
        <w:t>8. OBRIGAÇÕES DA CONTRATADA</w:t>
      </w:r>
    </w:p>
    <w:p>
      <w:r>
        <w:t>Cumprir rigorosamente o contrato, fornecendo mão de obra qualificada, peças originais, equipamentos e ferramentas necessárias, observando as normas de segurança, saúde e meio ambiente, respondendo integralmente por eventuais danos causados.</w:t>
      </w:r>
    </w:p>
    <w:p>
      <w:pPr>
        <w:pStyle w:val="Heading2"/>
      </w:pPr>
      <w:r>
        <w:t>9. OBRIGAÇÕES DA CONTRATANTE</w:t>
      </w:r>
    </w:p>
    <w:p>
      <w:r>
        <w:t>Acompanhar e fiscalizar a execução contratual por meio de fiscais designados, efetuar os pagamentos de acordo com o previsto, fornecer acesso aos equipamentos e zelar pela boa execução do contrato.</w:t>
      </w:r>
    </w:p>
    <w:p>
      <w:pPr>
        <w:pStyle w:val="Heading2"/>
      </w:pPr>
      <w:r>
        <w:t>10. SANÇÕES</w:t>
      </w:r>
    </w:p>
    <w:p>
      <w:r>
        <w:t>Em caso de inexecução total ou parcial, a contratada estará sujeita às sanções previstas nos arts. 156 a 162 da Lei nº 14.133/2021, inclusive advertência, multa, impedimento de licitar e contratar e declaração de inidoneidade.</w:t>
      </w:r>
    </w:p>
    <w:p>
      <w:pPr>
        <w:pStyle w:val="Heading2"/>
      </w:pPr>
      <w:r>
        <w:t>11. CONCLUSÃO</w:t>
      </w:r>
    </w:p>
    <w:p>
      <w:r>
        <w:t>O presente Termo de Referência foi elaborado em conformidade com os instrumentos padronizados da AGU/MGI, integrando o processo de contratação direta com disputa, para assegurar a seleção da proposta mais vantajosa e garantir a continuidade de serviços essenciais à segurança e acessibilidade dos alunos do CMPA.</w:t>
      </w:r>
    </w:p>
    <w:p>
      <w:r>
        <w:br/>
        <w:t>Porto Alegre/RS, ____ de __________ de 2025.</w:t>
        <w:br/>
      </w:r>
    </w:p>
    <w:p>
      <w:r>
        <w:t>________________________________________</w:t>
        <w:br/>
        <w:t>Equipe de Planejamento da Contratação – CMPA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