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cs="Arial"/>
          <w:b/>
          <w:b/>
          <w:bCs/>
          <w:i/>
          <w:i/>
          <w:iCs/>
          <w:color w:val="000000"/>
          <w:szCs w:val="20"/>
        </w:rPr>
      </w:pPr>
      <w:r>
        <w:rPr>
          <w:rFonts w:cs="Arial"/>
          <w:b/>
          <w:bCs/>
          <w:i/>
          <w:iCs/>
          <w:color w:val="000000"/>
          <w:szCs w:val="20"/>
        </w:rPr>
        <w:drawing>
          <wp:anchor behindDoc="0" distT="0" distB="0" distL="0" distR="0" simplePos="0" locked="0" layoutInCell="1" allowOverlap="1" relativeHeight="2">
            <wp:simplePos x="0" y="0"/>
            <wp:positionH relativeFrom="margin">
              <wp:align>center</wp:align>
            </wp:positionH>
            <wp:positionV relativeFrom="paragraph">
              <wp:posOffset>635</wp:posOffset>
            </wp:positionV>
            <wp:extent cx="900430" cy="889000"/>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80" t="-81" r="-80" b="-81"/>
                    <a:stretch>
                      <a:fillRect/>
                    </a:stretch>
                  </pic:blipFill>
                  <pic:spPr bwMode="auto">
                    <a:xfrm>
                      <a:off x="0" y="0"/>
                      <a:ext cx="900430" cy="889000"/>
                    </a:xfrm>
                    <a:prstGeom prst="rect">
                      <a:avLst/>
                    </a:prstGeom>
                  </pic:spPr>
                </pic:pic>
              </a:graphicData>
            </a:graphic>
          </wp:anchor>
        </w:drawing>
      </w:r>
    </w:p>
    <w:p>
      <w:pPr>
        <w:pStyle w:val="Normal"/>
        <w:spacing w:lineRule="auto" w:line="276"/>
        <w:jc w:val="center"/>
        <w:rPr>
          <w:rFonts w:cs="Arial"/>
          <w:b/>
          <w:b/>
          <w:bCs/>
          <w:i/>
          <w:i/>
          <w:iCs/>
          <w:color w:val="000000"/>
          <w:szCs w:val="20"/>
        </w:rPr>
      </w:pPr>
      <w:r>
        <w:rPr>
          <w:rFonts w:cs="Arial"/>
          <w:b/>
          <w:bCs/>
          <w:i/>
          <w:iCs/>
          <w:color w:val="000000"/>
          <w:szCs w:val="20"/>
        </w:rPr>
      </w:r>
    </w:p>
    <w:p>
      <w:pPr>
        <w:pStyle w:val="Normal"/>
        <w:spacing w:lineRule="auto" w:line="276"/>
        <w:jc w:val="center"/>
        <w:rPr>
          <w:rFonts w:cs="Arial"/>
          <w:b/>
          <w:b/>
          <w:bCs/>
          <w:i/>
          <w:i/>
          <w:iCs/>
          <w:color w:val="000000"/>
          <w:szCs w:val="20"/>
        </w:rPr>
      </w:pPr>
      <w:r>
        <w:rPr>
          <w:rFonts w:cs="Arial"/>
          <w:b/>
          <w:bCs/>
          <w:i/>
          <w:iCs/>
          <w:color w:val="000000"/>
          <w:szCs w:val="20"/>
        </w:rPr>
      </w:r>
    </w:p>
    <w:p>
      <w:pPr>
        <w:pStyle w:val="Normal"/>
        <w:spacing w:lineRule="auto" w:line="276"/>
        <w:jc w:val="center"/>
        <w:rPr>
          <w:rFonts w:cs="Arial"/>
          <w:b/>
          <w:b/>
          <w:bCs/>
          <w:i/>
          <w:i/>
          <w:iCs/>
          <w:color w:val="000000"/>
          <w:szCs w:val="20"/>
        </w:rPr>
      </w:pPr>
      <w:r>
        <w:rPr>
          <w:rFonts w:cs="Arial"/>
          <w:b/>
          <w:bCs/>
          <w:i/>
          <w:iCs/>
          <w:color w:val="000000"/>
          <w:szCs w:val="20"/>
        </w:rPr>
      </w:r>
    </w:p>
    <w:p>
      <w:pPr>
        <w:pStyle w:val="Normal"/>
        <w:spacing w:lineRule="auto" w:line="276"/>
        <w:jc w:val="center"/>
        <w:rPr>
          <w:rFonts w:cs="Arial"/>
          <w:b/>
          <w:b/>
          <w:bCs/>
          <w:i/>
          <w:i/>
          <w:iCs/>
          <w:color w:val="000000"/>
          <w:szCs w:val="20"/>
        </w:rPr>
      </w:pPr>
      <w:r>
        <w:rPr>
          <w:rFonts w:cs="Arial"/>
          <w:b/>
          <w:bCs/>
          <w:i/>
          <w:iCs/>
          <w:color w:val="000000"/>
          <w:szCs w:val="20"/>
        </w:rPr>
      </w:r>
    </w:p>
    <w:p>
      <w:pPr>
        <w:pStyle w:val="Normal"/>
        <w:spacing w:lineRule="auto" w:line="276"/>
        <w:jc w:val="center"/>
        <w:rPr>
          <w:rFonts w:cs="Arial"/>
          <w:b/>
          <w:b/>
          <w:bCs/>
          <w:i/>
          <w:i/>
          <w:iCs/>
          <w:color w:val="000000"/>
          <w:szCs w:val="20"/>
        </w:rPr>
      </w:pPr>
      <w:r>
        <w:rPr>
          <w:rFonts w:cs="Arial"/>
          <w:b/>
          <w:bCs/>
          <w:i/>
          <w:iCs/>
          <w:color w:val="000000"/>
          <w:szCs w:val="20"/>
        </w:rPr>
      </w:r>
    </w:p>
    <w:p>
      <w:pPr>
        <w:pStyle w:val="Normal"/>
        <w:ind w:right="-30" w:hanging="0"/>
        <w:jc w:val="center"/>
        <w:rPr>
          <w:rFonts w:ascii="Times New Roman" w:hAnsi="Times New Roman" w:cs="Times New Roman"/>
          <w:b/>
          <w:b/>
          <w:sz w:val="22"/>
          <w:szCs w:val="22"/>
          <w:lang w:eastAsia="en-US"/>
        </w:rPr>
      </w:pPr>
      <w:r>
        <w:rPr>
          <w:rFonts w:cs="Times New Roman" w:ascii="Times New Roman" w:hAnsi="Times New Roman"/>
          <w:b/>
          <w:color w:val="000000"/>
          <w:sz w:val="22"/>
          <w:szCs w:val="22"/>
          <w:lang w:eastAsia="en-US"/>
        </w:rPr>
        <w:t>MINISTÉRIO DA DEFESA</w:t>
      </w:r>
    </w:p>
    <w:p>
      <w:pPr>
        <w:pStyle w:val="Normal"/>
        <w:ind w:right="-30" w:hanging="0"/>
        <w:jc w:val="center"/>
        <w:rPr>
          <w:rFonts w:ascii="Times New Roman" w:hAnsi="Times New Roman" w:cs="Times New Roman"/>
          <w:b/>
          <w:b/>
          <w:sz w:val="22"/>
          <w:szCs w:val="22"/>
          <w:lang w:eastAsia="en-US"/>
        </w:rPr>
      </w:pPr>
      <w:r>
        <w:rPr>
          <w:rFonts w:cs="Times New Roman" w:ascii="Times New Roman" w:hAnsi="Times New Roman"/>
          <w:b/>
          <w:color w:val="000000"/>
          <w:sz w:val="22"/>
          <w:szCs w:val="22"/>
          <w:lang w:eastAsia="en-US"/>
        </w:rPr>
        <w:t>EXÉRCITO BRASILEIRO</w:t>
      </w:r>
    </w:p>
    <w:p>
      <w:pPr>
        <w:pStyle w:val="Normal"/>
        <w:ind w:right="-30" w:hanging="0"/>
        <w:jc w:val="center"/>
        <w:rPr>
          <w:rFonts w:ascii="Times New Roman" w:hAnsi="Times New Roman" w:cs="Times New Roman"/>
          <w:b/>
          <w:b/>
          <w:sz w:val="22"/>
          <w:szCs w:val="22"/>
          <w:lang w:eastAsia="en-US"/>
        </w:rPr>
      </w:pPr>
      <w:r>
        <w:rPr>
          <w:rFonts w:cs="Times New Roman" w:ascii="Times New Roman" w:hAnsi="Times New Roman"/>
          <w:b/>
          <w:color w:val="000000"/>
          <w:sz w:val="22"/>
          <w:szCs w:val="22"/>
          <w:lang w:eastAsia="en-US"/>
        </w:rPr>
        <w:t>4º BATALHÃO DE AVIAÇÃO DO EXÉRCITO</w:t>
      </w:r>
    </w:p>
    <w:p>
      <w:pPr>
        <w:pStyle w:val="Normal"/>
        <w:ind w:right="-30" w:hanging="0"/>
        <w:jc w:val="center"/>
        <w:rPr>
          <w:color w:val="000000"/>
        </w:rPr>
      </w:pPr>
      <w:r>
        <w:rPr>
          <w:rFonts w:cs="Times New Roman" w:ascii="Times New Roman" w:hAnsi="Times New Roman"/>
          <w:b/>
          <w:color w:val="000000"/>
          <w:sz w:val="22"/>
          <w:szCs w:val="22"/>
          <w:lang w:eastAsia="en-US"/>
        </w:rPr>
        <w:t>(</w:t>
      </w:r>
      <w:r>
        <w:rPr>
          <w:rFonts w:cs="Times New Roman" w:ascii="Times New Roman" w:hAnsi="Times New Roman"/>
          <w:b/>
          <w:i/>
          <w:iCs/>
          <w:color w:val="000000"/>
          <w:sz w:val="22"/>
          <w:szCs w:val="22"/>
          <w:lang w:eastAsia="en-US"/>
        </w:rPr>
        <w:t>ESQUADRÃO CORONEL RICARDO PAVANELLO</w:t>
      </w:r>
      <w:r>
        <w:rPr>
          <w:rFonts w:cs="Times New Roman" w:ascii="Times New Roman" w:hAnsi="Times New Roman"/>
          <w:b/>
          <w:color w:val="000000"/>
          <w:sz w:val="22"/>
          <w:szCs w:val="22"/>
          <w:lang w:eastAsia="en-US"/>
        </w:rPr>
        <w:t>)</w:t>
      </w:r>
    </w:p>
    <w:p>
      <w:pPr>
        <w:pStyle w:val="Normal"/>
        <w:spacing w:lineRule="auto" w:line="276"/>
        <w:jc w:val="center"/>
        <w:rPr>
          <w:color w:val="000000"/>
        </w:rPr>
      </w:pPr>
      <w:r>
        <w:rPr>
          <w:rFonts w:cs="Arial"/>
          <w:b/>
          <w:bCs/>
          <w:color w:val="000000"/>
          <w:szCs w:val="20"/>
        </w:rPr>
        <w:t>AVISO DE DISPENSA ELETRÔNICA Nº 900</w:t>
      </w:r>
      <w:r>
        <w:rPr>
          <w:rFonts w:eastAsia="Times New Roman" w:cs="Arial"/>
          <w:b/>
          <w:bCs/>
          <w:color w:val="000000"/>
          <w:kern w:val="0"/>
          <w:sz w:val="20"/>
          <w:szCs w:val="20"/>
          <w:lang w:val="pt-BR" w:eastAsia="pt-BR" w:bidi="ar-SA"/>
        </w:rPr>
        <w:t>44</w:t>
      </w:r>
      <w:r>
        <w:rPr>
          <w:rFonts w:cs="Arial"/>
          <w:b/>
          <w:bCs/>
          <w:color w:val="000000"/>
          <w:szCs w:val="20"/>
        </w:rPr>
        <w:t>/2025</w:t>
      </w:r>
    </w:p>
    <w:p>
      <w:pPr>
        <w:pStyle w:val="Normal"/>
        <w:spacing w:lineRule="auto" w:line="276" w:before="0" w:after="120"/>
        <w:ind w:right="-15" w:hanging="0"/>
        <w:jc w:val="center"/>
        <w:rPr>
          <w:rFonts w:ascii="Times New Roman" w:hAnsi="Times New Roman" w:cs="Times New Roman"/>
        </w:rPr>
      </w:pPr>
      <w:r>
        <w:rPr>
          <w:rFonts w:cs="Times New Roman" w:ascii="Times New Roman" w:hAnsi="Times New Roman"/>
          <w:b/>
          <w:bCs/>
          <w:color w:val="000000" w:themeColor="text1"/>
          <w:szCs w:val="20"/>
        </w:rPr>
        <w:t xml:space="preserve">Processo Administrativo n° </w:t>
      </w:r>
      <w:r>
        <w:rPr>
          <w:rFonts w:cs="Times New Roman" w:ascii="Times New Roman" w:hAnsi="Times New Roman"/>
          <w:b/>
          <w:bCs/>
          <w:color w:val="auto"/>
          <w:szCs w:val="20"/>
        </w:rPr>
        <w:t>64020.003905/2025-42</w:t>
      </w:r>
    </w:p>
    <w:p>
      <w:pPr>
        <w:pStyle w:val="Normal"/>
        <w:spacing w:lineRule="auto" w:line="276" w:before="0" w:after="120"/>
        <w:ind w:right="-15" w:hanging="0"/>
        <w:jc w:val="center"/>
        <w:rPr>
          <w:color w:val="000000"/>
        </w:rPr>
      </w:pPr>
      <w:r>
        <w:rPr>
          <w:color w:val="000000"/>
        </w:rPr>
      </w:r>
    </w:p>
    <w:p>
      <w:pPr>
        <w:pStyle w:val="Normal"/>
        <w:snapToGrid w:val="false"/>
        <w:spacing w:lineRule="auto" w:line="276" w:before="0" w:after="120"/>
        <w:ind w:right="-30" w:firstLine="540"/>
        <w:jc w:val="both"/>
        <w:rPr>
          <w:sz w:val="20"/>
          <w:szCs w:val="20"/>
        </w:rPr>
      </w:pPr>
      <w:r>
        <w:rPr>
          <w:rFonts w:cs="Arial"/>
          <w:color w:val="000000"/>
          <w:sz w:val="20"/>
          <w:szCs w:val="20"/>
        </w:rPr>
        <w:t xml:space="preserve">Torna-se público que o (a) </w:t>
      </w:r>
      <w:r>
        <w:rPr>
          <w:rFonts w:eastAsia="Arial" w:cs="Arial"/>
          <w:color w:val="000000"/>
          <w:sz w:val="20"/>
          <w:szCs w:val="20"/>
        </w:rPr>
        <w:t>4° BATALHÃO DE AVIAÇÃO DO EXÉRCITO - 4° BAvEx</w:t>
      </w:r>
      <w:r>
        <w:rPr>
          <w:rFonts w:cs="Arial"/>
          <w:color w:val="000000"/>
          <w:sz w:val="20"/>
          <w:szCs w:val="20"/>
        </w:rPr>
        <w:t xml:space="preserve">, por meio do(a) </w:t>
      </w:r>
      <w:r>
        <w:rPr>
          <w:rFonts w:eastAsia="Arial" w:cs="Arial"/>
          <w:color w:val="000000"/>
          <w:sz w:val="20"/>
          <w:szCs w:val="20"/>
        </w:rPr>
        <w:t>Seção de Aquisições, Licitações e Contratos</w:t>
      </w:r>
      <w:r>
        <w:rPr>
          <w:rFonts w:cs="Arial"/>
          <w:color w:val="000000"/>
          <w:sz w:val="20"/>
          <w:szCs w:val="20"/>
        </w:rPr>
        <w:t xml:space="preserve">, realizará Dispensa Eletrônica, </w:t>
      </w:r>
      <w:r>
        <w:rPr>
          <w:rFonts w:cs="Arial"/>
          <w:bCs/>
          <w:color w:val="000000"/>
          <w:sz w:val="20"/>
          <w:szCs w:val="20"/>
        </w:rPr>
        <w:t xml:space="preserve">com critério de julgamento </w:t>
      </w:r>
      <w:r>
        <w:rPr>
          <w:rFonts w:cs="Arial"/>
          <w:b/>
          <w:color w:val="000000"/>
          <w:sz w:val="20"/>
          <w:szCs w:val="20"/>
        </w:rPr>
        <w:t>menor preço</w:t>
      </w:r>
      <w:r>
        <w:rPr>
          <w:rFonts w:cs="Arial"/>
          <w:b/>
          <w:bCs/>
          <w:color w:val="000000"/>
          <w:sz w:val="20"/>
          <w:szCs w:val="20"/>
        </w:rPr>
        <w:t xml:space="preserve">, </w:t>
      </w:r>
      <w:r>
        <w:rPr>
          <w:rFonts w:cs="Arial"/>
          <w:color w:val="000000"/>
          <w:sz w:val="20"/>
          <w:szCs w:val="20"/>
        </w:rPr>
        <w:t>na hipótese do art. 75</w:t>
      </w:r>
      <w:r>
        <w:rPr>
          <w:rFonts w:cs="Arial"/>
          <w:i/>
          <w:iCs/>
          <w:color w:val="000000"/>
          <w:sz w:val="20"/>
          <w:szCs w:val="20"/>
        </w:rPr>
        <w:t xml:space="preserve">, </w:t>
      </w:r>
      <w:r>
        <w:rPr>
          <w:rFonts w:cs="Arial"/>
          <w:b/>
          <w:iCs/>
          <w:color w:val="000000"/>
          <w:sz w:val="20"/>
          <w:szCs w:val="20"/>
        </w:rPr>
        <w:t>inciso  II</w:t>
      </w:r>
      <w:r>
        <w:rPr>
          <w:rFonts w:cs="Arial"/>
          <w:i/>
          <w:iCs/>
          <w:color w:val="000000"/>
          <w:sz w:val="20"/>
          <w:szCs w:val="20"/>
        </w:rPr>
        <w:t xml:space="preserve">, </w:t>
      </w:r>
      <w:r>
        <w:rPr>
          <w:rFonts w:cs="Arial"/>
          <w:bCs/>
          <w:color w:val="000000"/>
          <w:sz w:val="20"/>
          <w:szCs w:val="20"/>
        </w:rPr>
        <w:t>nos termos da Lei nº 14.133, de 1º de abril de 2021, da Instrução Normativa SEGES/ME nº 67/2021 e demais legislação aplicável</w:t>
      </w:r>
      <w:r>
        <w:rPr>
          <w:rFonts w:cs="Arial"/>
          <w:color w:val="000000"/>
          <w:sz w:val="20"/>
          <w:szCs w:val="20"/>
        </w:rPr>
        <w:t>.</w:t>
      </w:r>
    </w:p>
    <w:p>
      <w:pPr>
        <w:pStyle w:val="Normal"/>
        <w:spacing w:lineRule="auto" w:line="276"/>
        <w:jc w:val="both"/>
        <w:rPr>
          <w:sz w:val="20"/>
          <w:szCs w:val="20"/>
        </w:rPr>
      </w:pPr>
      <w:r>
        <w:rPr>
          <w:rFonts w:cs="Arial"/>
          <w:color w:val="000000"/>
          <w:sz w:val="20"/>
          <w:szCs w:val="20"/>
        </w:rPr>
        <w:t>Data da sessão: 09</w:t>
      </w:r>
      <w:r>
        <w:rPr>
          <w:rFonts w:cs="Arial"/>
          <w:color w:val="auto"/>
          <w:sz w:val="20"/>
          <w:szCs w:val="20"/>
        </w:rPr>
        <w:t>/10/2025</w:t>
      </w:r>
    </w:p>
    <w:p>
      <w:pPr>
        <w:pStyle w:val="Normal"/>
        <w:rPr>
          <w:sz w:val="20"/>
          <w:szCs w:val="20"/>
        </w:rPr>
      </w:pPr>
      <w:r>
        <w:rPr>
          <w:rFonts w:cs="Arial"/>
          <w:color w:val="000000"/>
          <w:sz w:val="20"/>
          <w:szCs w:val="20"/>
        </w:rPr>
        <w:t>Link: www.comprasgovernamentais.gov.br</w:t>
      </w:r>
    </w:p>
    <w:p>
      <w:pPr>
        <w:pStyle w:val="Normal"/>
        <w:rPr>
          <w:sz w:val="20"/>
          <w:szCs w:val="20"/>
        </w:rPr>
      </w:pPr>
      <w:r>
        <w:rPr>
          <w:rFonts w:cs="Arial"/>
          <w:color w:val="000000"/>
          <w:sz w:val="20"/>
          <w:szCs w:val="20"/>
        </w:rPr>
        <w:t>Horário da Fase de Lances: 8:00 (horário de Brasília)</w:t>
      </w:r>
    </w:p>
    <w:p>
      <w:pPr>
        <w:pStyle w:val="PADRO"/>
        <w:widowControl/>
        <w:numPr>
          <w:ilvl w:val="0"/>
          <w:numId w:val="1"/>
        </w:numPr>
        <w:shd w:val="clear" w:fill="FFFFFF"/>
        <w:spacing w:before="120" w:after="120"/>
        <w:rPr>
          <w:sz w:val="20"/>
          <w:szCs w:val="20"/>
        </w:rPr>
      </w:pPr>
      <w:r>
        <w:rPr>
          <w:rFonts w:cs="Arial" w:ascii="Arial" w:hAnsi="Arial"/>
          <w:b/>
          <w:color w:val="000000"/>
          <w:sz w:val="20"/>
          <w:szCs w:val="20"/>
        </w:rPr>
        <w:t>OBJETO DA CONTRATAÇÃO DIRETA</w:t>
      </w:r>
    </w:p>
    <w:p>
      <w:pPr>
        <w:pStyle w:val="PADRO"/>
        <w:widowControl/>
        <w:numPr>
          <w:ilvl w:val="1"/>
          <w:numId w:val="1"/>
        </w:numPr>
        <w:shd w:val="clear" w:fill="FFFFFF"/>
        <w:spacing w:before="120" w:after="120"/>
        <w:rPr>
          <w:sz w:val="20"/>
          <w:szCs w:val="20"/>
        </w:rPr>
      </w:pPr>
      <w:r>
        <w:rPr>
          <w:rFonts w:cs="Arial" w:ascii="Arial" w:hAnsi="Arial"/>
          <w:iCs/>
          <w:color w:val="000000"/>
          <w:sz w:val="20"/>
          <w:szCs w:val="20"/>
        </w:rPr>
        <w:t xml:space="preserve">A contratação ocorrerá em </w:t>
      </w:r>
      <w:r>
        <w:rPr>
          <w:rFonts w:cs="Arial" w:ascii="Arial" w:hAnsi="Arial"/>
          <w:b/>
          <w:bCs/>
          <w:iCs/>
          <w:color w:val="000000"/>
          <w:sz w:val="20"/>
          <w:szCs w:val="20"/>
        </w:rPr>
        <w:t>itens distintos,</w:t>
      </w:r>
      <w:r>
        <w:rPr>
          <w:rFonts w:cs="Arial" w:ascii="Arial" w:hAnsi="Arial"/>
          <w:iCs/>
          <w:color w:val="000000"/>
          <w:sz w:val="20"/>
          <w:szCs w:val="20"/>
        </w:rPr>
        <w:t xml:space="preserve"> conforme tabela constante abaixo</w:t>
      </w:r>
      <w:r>
        <w:rPr>
          <w:rFonts w:cs="Arial" w:ascii="Arial" w:hAnsi="Arial"/>
          <w:i/>
          <w:iCs/>
          <w:color w:val="000000"/>
          <w:sz w:val="20"/>
          <w:szCs w:val="20"/>
        </w:rPr>
        <w:t>.</w:t>
      </w:r>
    </w:p>
    <w:tbl>
      <w:tblPr>
        <w:tblW w:w="10146" w:type="dxa"/>
        <w:jc w:val="center"/>
        <w:tblInd w:w="0" w:type="dxa"/>
        <w:tblCellMar>
          <w:top w:w="0" w:type="dxa"/>
          <w:left w:w="98" w:type="dxa"/>
          <w:bottom w:w="0" w:type="dxa"/>
          <w:right w:w="108" w:type="dxa"/>
        </w:tblCellMar>
        <w:tblLook w:val="04a0" w:noHBand="0" w:noVBand="1" w:firstColumn="1" w:lastRow="0" w:lastColumn="0" w:firstRow="1"/>
      </w:tblPr>
      <w:tblGrid>
        <w:gridCol w:w="667"/>
        <w:gridCol w:w="4941"/>
        <w:gridCol w:w="964"/>
        <w:gridCol w:w="695"/>
        <w:gridCol w:w="1531"/>
        <w:gridCol w:w="1347"/>
      </w:tblGrid>
      <w:tr>
        <w:trPr>
          <w:trHeight w:val="1064" w:hRule="atLeast"/>
        </w:trPr>
        <w:tc>
          <w:tcPr>
            <w:tcW w:w="667"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sz w:val="20"/>
                <w:szCs w:val="20"/>
              </w:rPr>
            </w:pPr>
            <w:r>
              <w:rPr>
                <w:rFonts w:cs="Times New Roman" w:ascii="Times New Roman" w:hAnsi="Times New Roman"/>
                <w:b/>
                <w:color w:val="000000"/>
                <w:sz w:val="20"/>
                <w:szCs w:val="20"/>
              </w:rPr>
              <w:t>Item</w:t>
            </w:r>
          </w:p>
        </w:tc>
        <w:tc>
          <w:tcPr>
            <w:tcW w:w="4941"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sz w:val="20"/>
                <w:szCs w:val="20"/>
              </w:rPr>
            </w:pPr>
            <w:r>
              <w:rPr>
                <w:rFonts w:cs="Times New Roman" w:ascii="Times New Roman" w:hAnsi="Times New Roman"/>
                <w:b/>
                <w:color w:val="000000"/>
                <w:sz w:val="20"/>
                <w:szCs w:val="20"/>
              </w:rPr>
              <w:t>Descrição detalhada</w:t>
            </w:r>
          </w:p>
        </w:tc>
        <w:tc>
          <w:tcPr>
            <w:tcW w:w="964"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sz w:val="20"/>
                <w:szCs w:val="20"/>
              </w:rPr>
            </w:pPr>
            <w:r>
              <w:rPr>
                <w:rFonts w:cs="Times New Roman" w:ascii="Times New Roman" w:hAnsi="Times New Roman"/>
                <w:b/>
                <w:color w:val="000000"/>
                <w:sz w:val="20"/>
                <w:szCs w:val="20"/>
              </w:rPr>
              <w:t>Unidade</w:t>
            </w:r>
          </w:p>
        </w:tc>
        <w:tc>
          <w:tcPr>
            <w:tcW w:w="695"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sz w:val="20"/>
                <w:szCs w:val="20"/>
              </w:rPr>
            </w:pPr>
            <w:r>
              <w:rPr>
                <w:rFonts w:cs="Times New Roman" w:ascii="Times New Roman" w:hAnsi="Times New Roman"/>
                <w:b/>
                <w:color w:val="000000"/>
                <w:sz w:val="20"/>
                <w:szCs w:val="20"/>
              </w:rPr>
              <w:t>Qtd</w:t>
            </w:r>
          </w:p>
        </w:tc>
        <w:tc>
          <w:tcPr>
            <w:tcW w:w="1531"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sz w:val="20"/>
                <w:szCs w:val="20"/>
              </w:rPr>
            </w:pPr>
            <w:r>
              <w:rPr>
                <w:rFonts w:cs="Times New Roman" w:ascii="Times New Roman" w:hAnsi="Times New Roman"/>
                <w:b/>
                <w:color w:val="000000"/>
                <w:sz w:val="20"/>
                <w:szCs w:val="20"/>
              </w:rPr>
              <w:t>Preço unitário de referência</w:t>
            </w:r>
          </w:p>
        </w:tc>
        <w:tc>
          <w:tcPr>
            <w:tcW w:w="1347" w:type="dxa"/>
            <w:tcBorders>
              <w:top w:val="single" w:sz="4" w:space="0" w:color="000001"/>
              <w:left w:val="single" w:sz="4" w:space="0" w:color="000001"/>
              <w:bottom w:val="single" w:sz="4" w:space="0" w:color="000001"/>
              <w:right w:val="single" w:sz="4" w:space="0" w:color="000001"/>
            </w:tcBorders>
            <w:shd w:color="auto" w:fill="F2F2F2" w:val="clear"/>
            <w:tcMar>
              <w:left w:w="0" w:type="dxa"/>
              <w:right w:w="10" w:type="dxa"/>
            </w:tcMar>
            <w:vAlign w:val="center"/>
          </w:tcPr>
          <w:p>
            <w:pPr>
              <w:pStyle w:val="Standard"/>
              <w:widowControl w:val="false"/>
              <w:jc w:val="center"/>
              <w:rPr>
                <w:sz w:val="20"/>
                <w:szCs w:val="20"/>
              </w:rPr>
            </w:pPr>
            <w:r>
              <w:rPr>
                <w:rFonts w:cs="Times New Roman" w:ascii="Times New Roman" w:hAnsi="Times New Roman"/>
                <w:b/>
                <w:color w:val="000000"/>
                <w:sz w:val="20"/>
                <w:szCs w:val="20"/>
              </w:rPr>
              <w:t>Preço total</w:t>
            </w:r>
          </w:p>
          <w:p>
            <w:pPr>
              <w:pStyle w:val="Standard"/>
              <w:widowControl w:val="false"/>
              <w:jc w:val="center"/>
              <w:rPr>
                <w:sz w:val="20"/>
                <w:szCs w:val="20"/>
              </w:rPr>
            </w:pPr>
            <w:r>
              <w:rPr>
                <w:rFonts w:cs="Times New Roman" w:ascii="Times New Roman" w:hAnsi="Times New Roman"/>
                <w:b/>
                <w:color w:val="000000"/>
                <w:sz w:val="20"/>
                <w:szCs w:val="20"/>
              </w:rPr>
              <w:t>de referência</w:t>
            </w:r>
          </w:p>
        </w:tc>
      </w:tr>
      <w:tr>
        <w:trPr/>
        <w:tc>
          <w:tcPr>
            <w:tcW w:w="667"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Standard"/>
              <w:widowControl w:val="false"/>
              <w:jc w:val="center"/>
              <w:rPr/>
            </w:pPr>
            <w:r>
              <w:rPr>
                <w:rStyle w:val="Strong"/>
                <w:rFonts w:cs="Times New Roman" w:ascii="Times New Roman" w:hAnsi="Times New Roman"/>
                <w:b w:val="false"/>
                <w:bCs w:val="false"/>
                <w:sz w:val="20"/>
                <w:szCs w:val="20"/>
              </w:rPr>
              <w:t>01</w:t>
            </w:r>
          </w:p>
        </w:tc>
        <w:tc>
          <w:tcPr>
            <w:tcW w:w="4941"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Normal"/>
              <w:widowControl w:val="false"/>
              <w:jc w:val="both"/>
              <w:rPr/>
            </w:pPr>
            <w:r>
              <w:rPr>
                <w:rStyle w:val="Strong"/>
                <w:rFonts w:eastAsia="Calibri" w:cs="Times New Roman" w:ascii="Times New Roman" w:hAnsi="Times New Roman"/>
                <w:b w:val="false"/>
                <w:bCs w:val="false"/>
                <w:color w:val="00000A"/>
                <w:kern w:val="0"/>
                <w:sz w:val="20"/>
                <w:szCs w:val="20"/>
                <w:lang w:val="pt-BR" w:eastAsia="pt-BR" w:bidi="ar-SA"/>
              </w:rPr>
              <w:t>Aparelho Ar Condicionado Tipo: Split, Modelo: Inverter, Capacidade Refrigeração: 30.000 BTU, Tensão: 220 V, Características Adicionais: 1 Controle Remoto/Display Digital/Timer/Selo Procel</w:t>
            </w:r>
          </w:p>
        </w:tc>
        <w:tc>
          <w:tcPr>
            <w:tcW w:w="964"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Normal"/>
              <w:widowControl w:val="false"/>
              <w:spacing w:lineRule="auto" w:line="276"/>
              <w:jc w:val="center"/>
              <w:rPr/>
            </w:pPr>
            <w:r>
              <w:rPr>
                <w:rStyle w:val="Strong"/>
                <w:rFonts w:eastAsia="Calibri" w:cs="Times New Roman" w:ascii="Times New Roman" w:hAnsi="Times New Roman"/>
                <w:b w:val="false"/>
                <w:bCs w:val="false"/>
                <w:sz w:val="20"/>
                <w:szCs w:val="20"/>
              </w:rPr>
              <w:t>und</w:t>
            </w:r>
          </w:p>
        </w:tc>
        <w:tc>
          <w:tcPr>
            <w:tcW w:w="695"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Normal"/>
              <w:widowControl w:val="false"/>
              <w:suppressAutoHyphens w:val="true"/>
              <w:bidi w:val="0"/>
              <w:spacing w:lineRule="auto" w:line="276" w:before="0" w:after="0"/>
              <w:ind w:left="0" w:right="0" w:hanging="0"/>
              <w:jc w:val="center"/>
              <w:rPr/>
            </w:pPr>
            <w:r>
              <w:rPr>
                <w:rStyle w:val="Strong"/>
                <w:rFonts w:eastAsia="Calibri" w:cs="Times New Roman" w:ascii="Times New Roman" w:hAnsi="Times New Roman"/>
                <w:b w:val="false"/>
                <w:bCs w:val="false"/>
                <w:color w:val="00000A"/>
                <w:kern w:val="0"/>
                <w:sz w:val="20"/>
                <w:szCs w:val="20"/>
                <w:lang w:val="pt-BR" w:eastAsia="pt-BR" w:bidi="ar-SA"/>
              </w:rPr>
              <w:t>01</w:t>
            </w:r>
          </w:p>
        </w:tc>
        <w:tc>
          <w:tcPr>
            <w:tcW w:w="1531"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Standard"/>
              <w:widowControl w:val="false"/>
              <w:jc w:val="center"/>
              <w:rPr/>
            </w:pPr>
            <w:r>
              <w:rPr>
                <w:rStyle w:val="Strong"/>
                <w:rFonts w:cs="Times New Roman" w:ascii="Times New Roman" w:hAnsi="Times New Roman"/>
                <w:b w:val="false"/>
                <w:bCs w:val="false"/>
                <w:sz w:val="20"/>
                <w:szCs w:val="20"/>
              </w:rPr>
              <w:t>R$  5.594,69</w:t>
            </w:r>
          </w:p>
        </w:tc>
        <w:tc>
          <w:tcPr>
            <w:tcW w:w="1347"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Standard"/>
              <w:widowControl w:val="false"/>
              <w:jc w:val="center"/>
              <w:rPr/>
            </w:pPr>
            <w:r>
              <w:rPr>
                <w:rStyle w:val="Strong"/>
                <w:rFonts w:cs="Times New Roman" w:ascii="Times New Roman" w:hAnsi="Times New Roman"/>
                <w:b w:val="false"/>
                <w:bCs w:val="false"/>
                <w:sz w:val="20"/>
                <w:szCs w:val="20"/>
              </w:rPr>
              <w:t>R$  5.594,69</w:t>
            </w:r>
          </w:p>
        </w:tc>
      </w:tr>
    </w:tbl>
    <w:p>
      <w:pPr>
        <w:pStyle w:val="PADRO"/>
        <w:widowControl/>
        <w:numPr>
          <w:ilvl w:val="1"/>
          <w:numId w:val="1"/>
        </w:numPr>
        <w:shd w:val="clear" w:fill="FFFFFF"/>
        <w:spacing w:before="120" w:after="120"/>
        <w:rPr>
          <w:sz w:val="20"/>
          <w:szCs w:val="20"/>
        </w:rPr>
      </w:pPr>
      <w:r>
        <w:rPr>
          <w:rFonts w:cs="Arial" w:ascii="Arial" w:hAnsi="Arial"/>
          <w:color w:val="000000"/>
          <w:sz w:val="20"/>
          <w:szCs w:val="20"/>
        </w:rPr>
        <w:t xml:space="preserve">O critério de julgamento adotado será o </w:t>
      </w:r>
      <w:r>
        <w:rPr>
          <w:rFonts w:cs="Arial" w:ascii="Arial" w:hAnsi="Arial"/>
          <w:iCs/>
          <w:color w:val="000000"/>
          <w:sz w:val="20"/>
          <w:szCs w:val="20"/>
        </w:rPr>
        <w:t xml:space="preserve">menor preço, </w:t>
      </w:r>
      <w:r>
        <w:rPr>
          <w:rFonts w:cs="Arial" w:ascii="Arial" w:hAnsi="Arial"/>
          <w:color w:val="000000"/>
          <w:sz w:val="20"/>
          <w:szCs w:val="20"/>
        </w:rPr>
        <w:t>observadas as exigências contidas neste Aviso de Contratação Direta e seus Anexos quanto às especificações do objeto.</w:t>
      </w:r>
    </w:p>
    <w:p>
      <w:pPr>
        <w:pStyle w:val="PADRO"/>
        <w:widowControl/>
        <w:numPr>
          <w:ilvl w:val="0"/>
          <w:numId w:val="1"/>
        </w:numPr>
        <w:shd w:val="clear" w:fill="FFFFFF"/>
        <w:spacing w:before="120" w:after="120"/>
        <w:rPr>
          <w:sz w:val="20"/>
          <w:szCs w:val="20"/>
        </w:rPr>
      </w:pPr>
      <w:r>
        <w:rPr>
          <w:rFonts w:cs="Arial" w:ascii="Arial" w:hAnsi="Arial"/>
          <w:b/>
          <w:color w:val="000000"/>
          <w:sz w:val="20"/>
          <w:szCs w:val="20"/>
        </w:rPr>
        <w:t>PARTICIPAÇÃO NA DISPENSA ELETRÔNICA.</w:t>
      </w:r>
    </w:p>
    <w:p>
      <w:pPr>
        <w:pStyle w:val="Normal"/>
        <w:snapToGrid w:val="false"/>
        <w:spacing w:lineRule="auto" w:line="276" w:before="120" w:after="120"/>
        <w:ind w:left="425" w:hanging="0"/>
        <w:jc w:val="both"/>
        <w:rPr>
          <w:sz w:val="20"/>
          <w:szCs w:val="20"/>
        </w:rPr>
      </w:pPr>
      <w:r>
        <w:rPr>
          <w:rFonts w:cs="Arial"/>
          <w:color w:val="000000"/>
          <w:sz w:val="20"/>
          <w:szCs w:val="20"/>
        </w:rPr>
        <w:t xml:space="preserve">2.1. A participação na presente dispensa eletrônica se dará mediante </w:t>
      </w:r>
      <w:r>
        <w:rPr>
          <w:rFonts w:cs="Arial"/>
          <w:bCs/>
          <w:color w:val="000000"/>
          <w:sz w:val="20"/>
          <w:szCs w:val="20"/>
        </w:rPr>
        <w:t xml:space="preserve">Sistema de Dispensa Eletrônica </w:t>
      </w:r>
      <w:r>
        <w:rPr>
          <w:rFonts w:cs="Arial"/>
          <w:color w:val="000000"/>
          <w:sz w:val="20"/>
          <w:szCs w:val="20"/>
        </w:rPr>
        <w:t xml:space="preserve">integrante do Sistema de Compras do Governo Federal – Comprasnet 4.0, disponível no </w:t>
      </w:r>
      <w:r>
        <w:rPr>
          <w:rFonts w:cs="Arial"/>
          <w:bCs/>
          <w:color w:val="000000"/>
          <w:sz w:val="20"/>
          <w:szCs w:val="20"/>
        </w:rPr>
        <w:t xml:space="preserve">endereço eletrônico do </w:t>
      </w:r>
      <w:r>
        <w:rPr>
          <w:color w:val="000000"/>
          <w:sz w:val="20"/>
          <w:szCs w:val="20"/>
        </w:rPr>
        <w:t>Portal Nacional de Contratações Públicas – PNCP.</w:t>
      </w:r>
    </w:p>
    <w:p>
      <w:pPr>
        <w:pStyle w:val="Normal"/>
        <w:numPr>
          <w:ilvl w:val="2"/>
          <w:numId w:val="1"/>
        </w:numPr>
        <w:snapToGrid w:val="false"/>
        <w:spacing w:lineRule="auto" w:line="276" w:before="120" w:after="120"/>
        <w:jc w:val="both"/>
        <w:rPr>
          <w:sz w:val="20"/>
          <w:szCs w:val="20"/>
        </w:rPr>
      </w:pPr>
      <w:r>
        <w:rPr>
          <w:rFonts w:cs="Arial"/>
          <w:color w:val="000000"/>
          <w:sz w:val="20"/>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sz w:val="20"/>
          <w:szCs w:val="20"/>
        </w:rPr>
      </w:pPr>
      <w:r>
        <w:rPr>
          <w:rFonts w:cs="Arial"/>
          <w:color w:val="000000"/>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sz w:val="20"/>
          <w:szCs w:val="20"/>
        </w:rPr>
      </w:pPr>
      <w:r>
        <w:rPr>
          <w:rFonts w:cs="Arial"/>
          <w:color w:val="000000"/>
          <w:sz w:val="20"/>
          <w:szCs w:val="20"/>
        </w:rPr>
        <w:t>Não poderão participar desta dispensa os fornecedores:</w:t>
      </w:r>
    </w:p>
    <w:p>
      <w:pPr>
        <w:pStyle w:val="Normal"/>
        <w:numPr>
          <w:ilvl w:val="2"/>
          <w:numId w:val="1"/>
        </w:numPr>
        <w:spacing w:lineRule="auto" w:line="276" w:before="120" w:after="120"/>
        <w:jc w:val="both"/>
        <w:rPr>
          <w:sz w:val="20"/>
          <w:szCs w:val="20"/>
        </w:rPr>
      </w:pPr>
      <w:r>
        <w:rPr>
          <w:rFonts w:cs="Arial"/>
          <w:color w:val="000000"/>
          <w:sz w:val="20"/>
          <w:szCs w:val="20"/>
        </w:rPr>
        <w:t xml:space="preserve"> </w:t>
      </w:r>
      <w:r>
        <w:rPr>
          <w:rFonts w:cs="Arial"/>
          <w:color w:val="000000"/>
          <w:sz w:val="20"/>
          <w:szCs w:val="20"/>
        </w:rPr>
        <w:t>que não atendam às condições deste Aviso de Contratação Direta e seu(s) anexo(s);</w:t>
      </w:r>
    </w:p>
    <w:p>
      <w:pPr>
        <w:pStyle w:val="Normal"/>
        <w:numPr>
          <w:ilvl w:val="2"/>
          <w:numId w:val="1"/>
        </w:numPr>
        <w:spacing w:lineRule="auto" w:line="276" w:before="120" w:after="120"/>
        <w:jc w:val="both"/>
        <w:rPr>
          <w:sz w:val="20"/>
          <w:szCs w:val="20"/>
        </w:rPr>
      </w:pPr>
      <w:r>
        <w:rPr>
          <w:rFonts w:cs="Arial"/>
          <w:color w:val="000000"/>
          <w:sz w:val="20"/>
          <w:szCs w:val="20"/>
        </w:rPr>
        <w:t xml:space="preserve"> </w:t>
      </w:r>
      <w:r>
        <w:rPr>
          <w:rFonts w:cs="Arial"/>
          <w:color w:val="000000"/>
          <w:sz w:val="20"/>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sz w:val="20"/>
          <w:szCs w:val="20"/>
        </w:rPr>
      </w:pPr>
      <w:r>
        <w:rPr>
          <w:rFonts w:cs="Arial"/>
          <w:color w:val="000000"/>
          <w:sz w:val="20"/>
          <w:szCs w:val="20"/>
        </w:rPr>
        <w:t xml:space="preserve"> </w:t>
      </w:r>
      <w:r>
        <w:rPr>
          <w:rFonts w:cs="Arial"/>
          <w:color w:val="000000"/>
          <w:sz w:val="20"/>
          <w:szCs w:val="20"/>
        </w:rPr>
        <w:t>que se enquadrem nas seguintes vedações:</w:t>
      </w:r>
    </w:p>
    <w:p>
      <w:pPr>
        <w:pStyle w:val="Normal"/>
        <w:numPr>
          <w:ilvl w:val="3"/>
          <w:numId w:val="2"/>
        </w:numPr>
        <w:spacing w:lineRule="auto" w:line="276" w:before="120" w:after="120"/>
        <w:jc w:val="both"/>
        <w:rPr>
          <w:sz w:val="20"/>
          <w:szCs w:val="20"/>
        </w:rPr>
      </w:pPr>
      <w:r>
        <w:rPr>
          <w:rFonts w:cs="Arial"/>
          <w:color w:val="000000"/>
          <w:sz w:val="20"/>
          <w:szCs w:val="20"/>
        </w:rPr>
        <w:t>autor do anteprojeto, do projeto básico ou do projeto executivo, pessoa física ou jurídica, quando a contratação versar sobre obra, serviços ou fornecimento de bens a ele relacionados;</w:t>
      </w:r>
    </w:p>
    <w:p>
      <w:pPr>
        <w:pStyle w:val="Normal"/>
        <w:numPr>
          <w:ilvl w:val="3"/>
          <w:numId w:val="2"/>
        </w:numPr>
        <w:spacing w:lineRule="auto" w:line="276" w:before="120" w:after="120"/>
        <w:jc w:val="both"/>
        <w:rPr>
          <w:sz w:val="20"/>
          <w:szCs w:val="20"/>
        </w:rPr>
      </w:pPr>
      <w:r>
        <w:rPr>
          <w:rFonts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2"/>
        </w:numPr>
        <w:spacing w:lineRule="auto" w:line="276" w:before="120" w:after="120"/>
        <w:jc w:val="both"/>
        <w:rPr>
          <w:sz w:val="20"/>
          <w:szCs w:val="20"/>
        </w:rPr>
      </w:pPr>
      <w:r>
        <w:rPr>
          <w:rFonts w:cs="Arial"/>
          <w:color w:val="000000"/>
          <w:sz w:val="20"/>
          <w:szCs w:val="20"/>
        </w:rPr>
        <w:t>pessoa física ou jurídica que se encontre, ao tempo da contratação, impossibilitada de contratar em decorrência de sanção que lhe foi imposta;</w:t>
      </w:r>
    </w:p>
    <w:p>
      <w:pPr>
        <w:pStyle w:val="Normal"/>
        <w:numPr>
          <w:ilvl w:val="3"/>
          <w:numId w:val="2"/>
        </w:numPr>
        <w:spacing w:lineRule="auto" w:line="276" w:before="120" w:after="120"/>
        <w:jc w:val="both"/>
        <w:rPr>
          <w:sz w:val="20"/>
          <w:szCs w:val="20"/>
        </w:rPr>
      </w:pPr>
      <w:r>
        <w:rPr>
          <w:rFonts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2"/>
        </w:numPr>
        <w:spacing w:lineRule="auto" w:line="276" w:before="120" w:after="120"/>
        <w:jc w:val="both"/>
        <w:rPr/>
      </w:pPr>
      <w:r>
        <w:rPr>
          <w:rFonts w:cs="Arial"/>
          <w:color w:val="000000"/>
          <w:sz w:val="20"/>
          <w:szCs w:val="20"/>
        </w:rPr>
        <w:t>empresas controladoras, controladas ou coligadas, nos termos da </w:t>
      </w:r>
      <w:hyperlink r:id="rId3">
        <w:r>
          <w:rPr>
            <w:rStyle w:val="LinkdaInternet"/>
            <w:rFonts w:eastAsia="Calibri" w:cs="Arial"/>
            <w:color w:val="000000"/>
            <w:sz w:val="20"/>
            <w:szCs w:val="20"/>
          </w:rPr>
          <w:t>Lei nº 6.404, de 15 de dezembro de 1976</w:t>
        </w:r>
      </w:hyperlink>
      <w:r>
        <w:rPr>
          <w:rFonts w:cs="Arial"/>
          <w:color w:val="000000"/>
          <w:sz w:val="20"/>
          <w:szCs w:val="20"/>
        </w:rPr>
        <w:t>, concorrendo entre si;</w:t>
      </w:r>
    </w:p>
    <w:p>
      <w:pPr>
        <w:pStyle w:val="Normal"/>
        <w:numPr>
          <w:ilvl w:val="3"/>
          <w:numId w:val="2"/>
        </w:numPr>
        <w:spacing w:lineRule="auto" w:line="276" w:before="120" w:after="120"/>
        <w:jc w:val="both"/>
        <w:rPr>
          <w:sz w:val="20"/>
          <w:szCs w:val="20"/>
        </w:rPr>
      </w:pPr>
      <w:r>
        <w:rPr>
          <w:rFonts w:cs="Arial"/>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sz w:val="20"/>
          <w:szCs w:val="20"/>
        </w:rPr>
      </w:pPr>
      <w:r>
        <w:rPr>
          <w:rFonts w:cs="Arial"/>
          <w:color w:val="000000"/>
          <w:sz w:val="20"/>
          <w:szCs w:val="20"/>
        </w:rPr>
        <w:t>Equiparam-se aos autores do projeto as empresas integrantes do mesmo grupo econômico;</w:t>
      </w:r>
    </w:p>
    <w:p>
      <w:pPr>
        <w:pStyle w:val="Normal"/>
        <w:numPr>
          <w:ilvl w:val="3"/>
          <w:numId w:val="1"/>
        </w:numPr>
        <w:spacing w:lineRule="auto" w:line="276" w:before="120" w:after="120"/>
        <w:jc w:val="both"/>
        <w:rPr>
          <w:sz w:val="20"/>
          <w:szCs w:val="20"/>
        </w:rPr>
      </w:pPr>
      <w:r>
        <w:rPr>
          <w:rFonts w:cs="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sz w:val="20"/>
          <w:szCs w:val="20"/>
        </w:rPr>
      </w:pPr>
      <w:r>
        <w:rPr>
          <w:rFonts w:cs="Arial"/>
          <w:color w:val="000000"/>
          <w:sz w:val="20"/>
          <w:szCs w:val="20"/>
        </w:rPr>
        <w:t xml:space="preserve"> </w:t>
      </w:r>
      <w:r>
        <w:rPr>
          <w:rFonts w:cs="Arial"/>
          <w:color w:val="000000"/>
          <w:sz w:val="20"/>
          <w:szCs w:val="20"/>
        </w:rPr>
        <w:t>organizações da Sociedade Civil de Interesse Público - OSCIP, atuando nessa condição (Acórdão nº 746/2014-TCU - Plenário); e</w:t>
      </w:r>
    </w:p>
    <w:p>
      <w:pPr>
        <w:pStyle w:val="Normal"/>
        <w:numPr>
          <w:ilvl w:val="2"/>
          <w:numId w:val="1"/>
        </w:numPr>
        <w:spacing w:lineRule="auto" w:line="276" w:before="120" w:after="120"/>
        <w:jc w:val="both"/>
        <w:rPr>
          <w:sz w:val="20"/>
          <w:szCs w:val="20"/>
        </w:rPr>
      </w:pPr>
      <w:r>
        <w:rPr>
          <w:rFonts w:cs="Arial"/>
          <w:color w:val="000000"/>
          <w:sz w:val="20"/>
          <w:szCs w:val="20"/>
        </w:rPr>
        <w:t xml:space="preserve"> </w:t>
      </w:r>
      <w:r>
        <w:rPr>
          <w:rFonts w:cs="Arial"/>
          <w:color w:val="000000"/>
          <w:sz w:val="20"/>
          <w:szCs w:val="20"/>
        </w:rPr>
        <w:t>sociedades cooperativas</w:t>
      </w:r>
      <w:bookmarkStart w:id="0" w:name="_Hlk519667815"/>
      <w:bookmarkEnd w:id="0"/>
      <w:r>
        <w:rPr>
          <w:rFonts w:cs="Arial"/>
          <w:i/>
          <w:color w:val="000000"/>
          <w:sz w:val="20"/>
          <w:szCs w:val="20"/>
        </w:rPr>
        <w:t>.</w:t>
      </w:r>
    </w:p>
    <w:p>
      <w:pPr>
        <w:pStyle w:val="PADRO"/>
        <w:widowControl/>
        <w:numPr>
          <w:ilvl w:val="0"/>
          <w:numId w:val="1"/>
        </w:numPr>
        <w:shd w:val="clear" w:fill="FFFFFF"/>
        <w:spacing w:before="120" w:after="120"/>
        <w:rPr>
          <w:sz w:val="20"/>
          <w:szCs w:val="20"/>
        </w:rPr>
      </w:pPr>
      <w:r>
        <w:rPr>
          <w:rFonts w:cs="Arial" w:ascii="Arial" w:hAnsi="Arial"/>
          <w:b/>
          <w:color w:val="000000"/>
          <w:sz w:val="20"/>
          <w:szCs w:val="20"/>
        </w:rPr>
        <w:t>INGRESSO NA DISPENSA ELETRÔNICA E CADASTRAMENTO DA PROPOSTA INICIAL</w:t>
      </w:r>
    </w:p>
    <w:p>
      <w:pPr>
        <w:pStyle w:val="Normal"/>
        <w:numPr>
          <w:ilvl w:val="1"/>
          <w:numId w:val="1"/>
        </w:numPr>
        <w:snapToGrid w:val="false"/>
        <w:spacing w:lineRule="auto" w:line="276" w:before="120" w:after="120"/>
        <w:ind w:left="425" w:hanging="0"/>
        <w:jc w:val="both"/>
        <w:rPr>
          <w:sz w:val="20"/>
          <w:szCs w:val="20"/>
        </w:rPr>
      </w:pPr>
      <w:r>
        <w:rPr>
          <w:rFonts w:cs="Arial"/>
          <w:color w:val="000000"/>
          <w:sz w:val="20"/>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sz w:val="20"/>
          <w:szCs w:val="20"/>
        </w:rPr>
      </w:pPr>
      <w:r>
        <w:rPr>
          <w:rFonts w:cs="Arial"/>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sz w:val="20"/>
          <w:szCs w:val="20"/>
        </w:rPr>
      </w:pPr>
      <w:r>
        <w:rPr>
          <w:rFonts w:cs="Arial"/>
          <w:color w:val="000000"/>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sz w:val="20"/>
          <w:szCs w:val="20"/>
        </w:rPr>
      </w:pPr>
      <w:r>
        <w:rPr>
          <w:rFonts w:cs="Arial"/>
          <w:color w:val="000000"/>
          <w:sz w:val="20"/>
          <w:szCs w:val="20"/>
        </w:rPr>
        <w:t>Todas as especificações do objeto contidas na proposta, em especial o preço, vinculam a Contratada.</w:t>
      </w:r>
    </w:p>
    <w:p>
      <w:pPr>
        <w:pStyle w:val="Normal"/>
        <w:numPr>
          <w:ilvl w:val="1"/>
          <w:numId w:val="1"/>
        </w:numPr>
        <w:spacing w:lineRule="auto" w:line="276" w:before="120" w:after="120"/>
        <w:ind w:left="425" w:hanging="0"/>
        <w:jc w:val="both"/>
        <w:rPr>
          <w:sz w:val="20"/>
          <w:szCs w:val="20"/>
        </w:rPr>
      </w:pPr>
      <w:r>
        <w:rPr>
          <w:rFonts w:cs="Arial"/>
          <w:color w:val="000000"/>
          <w:sz w:val="20"/>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sz w:val="20"/>
          <w:szCs w:val="20"/>
        </w:rPr>
      </w:pPr>
      <w:r>
        <w:rPr>
          <w:rFonts w:cs="Arial"/>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sz w:val="20"/>
          <w:szCs w:val="20"/>
        </w:rPr>
      </w:pPr>
      <w:r>
        <w:rPr>
          <w:rFonts w:cs="Arial"/>
          <w:color w:val="000000"/>
          <w:sz w:val="20"/>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sz w:val="20"/>
          <w:szCs w:val="20"/>
        </w:rPr>
      </w:pPr>
      <w:r>
        <w:rPr>
          <w:rFonts w:cs="Arial"/>
          <w:color w:val="000000"/>
          <w:sz w:val="20"/>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sz w:val="20"/>
          <w:szCs w:val="20"/>
        </w:rPr>
      </w:pPr>
      <w:r>
        <w:rPr>
          <w:rFonts w:cs="Arial"/>
          <w:color w:val="000000"/>
          <w:sz w:val="20"/>
          <w:szCs w:val="20"/>
        </w:rPr>
        <w:t xml:space="preserve">A apresentação das propostas implica obrigatoriedade do cumprimento das disposições nelas contidas, em conformidade com o que dispõe o </w:t>
      </w:r>
      <w:r>
        <w:rPr>
          <w:rFonts w:cs="Arial"/>
          <w:b/>
          <w:color w:val="000000"/>
          <w:sz w:val="20"/>
          <w:szCs w:val="20"/>
        </w:rPr>
        <w:t>Termo de Referência</w:t>
      </w:r>
      <w:r>
        <w:rPr>
          <w:rFonts w:cs="Arial"/>
          <w:i/>
          <w:color w:val="000000"/>
          <w:sz w:val="20"/>
          <w:szCs w:val="20"/>
        </w:rPr>
        <w:t xml:space="preserve">, </w:t>
      </w:r>
      <w:r>
        <w:rPr>
          <w:rFonts w:cs="Arial"/>
          <w:color w:val="000000"/>
          <w:sz w:val="20"/>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sz w:val="20"/>
          <w:szCs w:val="20"/>
        </w:rPr>
      </w:pPr>
      <w:r>
        <w:rPr>
          <w:rFonts w:cs="Arial"/>
          <w:color w:val="000000"/>
          <w:sz w:val="20"/>
          <w:szCs w:val="20"/>
        </w:rPr>
        <w:t xml:space="preserve">Uma vez enviada a proposta no sistema, os fornecedores </w:t>
      </w:r>
      <w:r>
        <w:rPr>
          <w:rFonts w:cs="Arial"/>
          <w:b/>
          <w:bCs/>
          <w:color w:val="000000"/>
          <w:sz w:val="20"/>
          <w:szCs w:val="20"/>
        </w:rPr>
        <w:t xml:space="preserve">NÃO </w:t>
      </w:r>
      <w:r>
        <w:rPr>
          <w:rFonts w:cs="Arial"/>
          <w:color w:val="000000"/>
          <w:sz w:val="20"/>
          <w:szCs w:val="20"/>
        </w:rPr>
        <w:t>poderão retirá-la, substituí-la ou modificá-la;</w:t>
      </w:r>
    </w:p>
    <w:p>
      <w:pPr>
        <w:pStyle w:val="Normal"/>
        <w:numPr>
          <w:ilvl w:val="1"/>
          <w:numId w:val="1"/>
        </w:numPr>
        <w:spacing w:lineRule="auto" w:line="276" w:before="120" w:after="120"/>
        <w:ind w:left="425" w:hanging="0"/>
        <w:jc w:val="both"/>
        <w:rPr>
          <w:sz w:val="20"/>
          <w:szCs w:val="20"/>
        </w:rPr>
      </w:pPr>
      <w:r>
        <w:rPr>
          <w:rFonts w:cs="Arial"/>
          <w:color w:val="000000"/>
          <w:sz w:val="20"/>
          <w:szCs w:val="20"/>
        </w:rPr>
        <w:t>No cadastramento da proposta inicial, o fornecedor deverá, também,assinalar “sim” ou “não” em campo próprio do sistema eletrônico, às seguintes declarações:</w:t>
      </w:r>
    </w:p>
    <w:p>
      <w:pPr>
        <w:pStyle w:val="Normal"/>
        <w:numPr>
          <w:ilvl w:val="2"/>
          <w:numId w:val="1"/>
        </w:numPr>
        <w:spacing w:lineRule="auto" w:line="276" w:before="120" w:after="120"/>
        <w:jc w:val="both"/>
        <w:rPr>
          <w:sz w:val="20"/>
          <w:szCs w:val="20"/>
        </w:rPr>
      </w:pPr>
      <w:r>
        <w:rPr>
          <w:rFonts w:cs="Arial"/>
          <w:color w:val="000000"/>
          <w:sz w:val="20"/>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sz w:val="20"/>
          <w:szCs w:val="20"/>
        </w:rPr>
      </w:pPr>
      <w:r>
        <w:rPr>
          <w:rFonts w:cs="Arial"/>
          <w:color w:val="000000"/>
          <w:sz w:val="20"/>
          <w:szCs w:val="20"/>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sz w:val="20"/>
          <w:szCs w:val="20"/>
        </w:rPr>
      </w:pPr>
      <w:r>
        <w:rPr>
          <w:rFonts w:cs="Arial"/>
          <w:color w:val="000000"/>
          <w:sz w:val="20"/>
          <w:szCs w:val="20"/>
        </w:rPr>
        <w:t>que está ciente e concorda com as condições contidas no Aviso de Contratação Direta e seus anexos;</w:t>
      </w:r>
    </w:p>
    <w:p>
      <w:pPr>
        <w:pStyle w:val="Normal"/>
        <w:numPr>
          <w:ilvl w:val="2"/>
          <w:numId w:val="1"/>
        </w:numPr>
        <w:spacing w:lineRule="auto" w:line="276" w:before="120" w:after="120"/>
        <w:jc w:val="both"/>
        <w:rPr>
          <w:sz w:val="20"/>
          <w:szCs w:val="20"/>
        </w:rPr>
      </w:pPr>
      <w:r>
        <w:rPr>
          <w:rFonts w:cs="Arial"/>
          <w:color w:val="000000"/>
          <w:sz w:val="20"/>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sz w:val="20"/>
          <w:szCs w:val="20"/>
        </w:rPr>
      </w:pPr>
      <w:r>
        <w:rPr>
          <w:rFonts w:cs="Arial"/>
          <w:color w:val="000000"/>
          <w:sz w:val="20"/>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sz w:val="20"/>
          <w:szCs w:val="20"/>
        </w:rPr>
      </w:pPr>
      <w:r>
        <w:rPr>
          <w:rFonts w:cs="Arial"/>
          <w:color w:val="000000"/>
          <w:sz w:val="20"/>
          <w:szCs w:val="20"/>
        </w:rPr>
        <w:t>que não emprega menor de 18 anos em trabalho noturno, perigoso ou insalubre e não emprega menor de 16 anos, salvo menor, a partir de 14 anos, na condição de aprendiz, nos termos do artigo 7°, XXXIII, da Constituição;</w:t>
      </w:r>
    </w:p>
    <w:p>
      <w:pPr>
        <w:pStyle w:val="PADRO"/>
        <w:widowControl/>
        <w:numPr>
          <w:ilvl w:val="0"/>
          <w:numId w:val="1"/>
        </w:numPr>
        <w:shd w:val="clear" w:fill="FFFFFF"/>
        <w:spacing w:before="120" w:after="120"/>
        <w:rPr>
          <w:sz w:val="20"/>
          <w:szCs w:val="20"/>
        </w:rPr>
      </w:pPr>
      <w:r>
        <w:rPr>
          <w:rFonts w:cs="Arial" w:ascii="Arial" w:hAnsi="Arial"/>
          <w:b/>
          <w:color w:val="000000"/>
          <w:sz w:val="20"/>
          <w:szCs w:val="20"/>
        </w:rPr>
        <w:t>FASE DE LANCES</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 xml:space="preserve">A partir das 8:00h da data estabelecida neste Aviso de Contratação Direta, a sessão pública será automaticamente aberta pelo sistema para o envio de lances públicos e sucessivos, </w:t>
      </w:r>
      <w:r>
        <w:rPr>
          <w:rFonts w:cs="Arial"/>
          <w:bCs/>
          <w:color w:val="000000"/>
          <w:sz w:val="20"/>
          <w:szCs w:val="20"/>
          <w:lang w:eastAsia="en-US"/>
        </w:rPr>
        <w:t>exclusivamente por meio do sistema eletrônico</w:t>
      </w:r>
      <w:r>
        <w:rPr>
          <w:rFonts w:cs="Arial"/>
          <w:color w:val="000000"/>
          <w:sz w:val="20"/>
          <w:szCs w:val="20"/>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sz w:val="20"/>
          <w:szCs w:val="20"/>
        </w:rPr>
      </w:pPr>
      <w:r>
        <w:rPr>
          <w:rFonts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sz w:val="20"/>
          <w:szCs w:val="20"/>
        </w:rPr>
      </w:pPr>
      <w:r>
        <w:rPr>
          <w:rFonts w:cs="Arial"/>
          <w:iCs/>
          <w:color w:val="000000"/>
          <w:sz w:val="20"/>
          <w:szCs w:val="20"/>
        </w:rPr>
        <w:t>O lance deverá ser ofertado pelo valor total do item.</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sz w:val="20"/>
          <w:szCs w:val="20"/>
        </w:rPr>
      </w:pPr>
      <w:r>
        <w:rPr>
          <w:rFonts w:cs="Arial"/>
          <w:color w:val="000000"/>
          <w:sz w:val="20"/>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O intervalo mínimo de diferença de valores ou percentuais entre os lances, que incidirá tanto em relação aos lances intermediários quanto em relação ao que cobrir a melhor oferta é de</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sz w:val="20"/>
          <w:szCs w:val="20"/>
        </w:rPr>
      </w:pPr>
      <w:r>
        <w:rPr>
          <w:rFonts w:cs="Arial"/>
          <w:color w:val="000000"/>
          <w:sz w:val="20"/>
          <w:szCs w:val="20"/>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hd w:val="clear" w:fill="FFFFFF"/>
        <w:spacing w:before="120" w:after="120"/>
        <w:rPr>
          <w:sz w:val="20"/>
          <w:szCs w:val="20"/>
        </w:rPr>
      </w:pPr>
      <w:r>
        <w:rPr>
          <w:rFonts w:cs="Arial" w:ascii="Arial" w:hAnsi="Arial"/>
          <w:b/>
          <w:color w:val="000000"/>
          <w:sz w:val="20"/>
          <w:szCs w:val="20"/>
        </w:rPr>
        <w:t>JULGAMENTO DAS PROPOSTAS DE PREÇO</w:t>
      </w:r>
    </w:p>
    <w:p>
      <w:pPr>
        <w:pStyle w:val="ListParagraph"/>
        <w:numPr>
          <w:ilvl w:val="1"/>
          <w:numId w:val="1"/>
        </w:numPr>
        <w:spacing w:lineRule="auto" w:line="276" w:before="120" w:after="120"/>
        <w:contextualSpacing/>
        <w:jc w:val="both"/>
        <w:rPr>
          <w:sz w:val="20"/>
          <w:szCs w:val="20"/>
        </w:rPr>
      </w:pPr>
      <w:r>
        <w:rPr>
          <w:rFonts w:cs="Arial"/>
          <w:color w:val="000000"/>
          <w:sz w:val="20"/>
          <w:szCs w:val="2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sz w:val="20"/>
          <w:szCs w:val="20"/>
        </w:rPr>
      </w:pPr>
      <w:r>
        <w:rPr>
          <w:rFonts w:cs="Arial"/>
          <w:color w:val="000000"/>
          <w:sz w:val="20"/>
          <w:szCs w:val="20"/>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sz w:val="20"/>
          <w:szCs w:val="20"/>
        </w:rPr>
      </w:pPr>
      <w:r>
        <w:rPr>
          <w:rFonts w:cs="Arial"/>
          <w:color w:val="000000"/>
          <w:sz w:val="20"/>
          <w:szCs w:val="20"/>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sz w:val="20"/>
          <w:szCs w:val="20"/>
        </w:rPr>
      </w:pPr>
      <w:r>
        <w:rPr>
          <w:rFonts w:cs="Arial"/>
          <w:color w:val="000000"/>
          <w:sz w:val="20"/>
          <w:szCs w:val="20"/>
        </w:rPr>
        <w:t>O prazo de validade da proposta não será inferior a 60 (sessenta) dias</w:t>
      </w:r>
      <w:r>
        <w:rPr>
          <w:rFonts w:cs="Arial"/>
          <w:b/>
          <w:bCs/>
          <w:color w:val="000000"/>
          <w:sz w:val="20"/>
          <w:szCs w:val="20"/>
        </w:rPr>
        <w:t>,</w:t>
      </w:r>
      <w:r>
        <w:rPr>
          <w:rFonts w:cs="Arial"/>
          <w:color w:val="000000"/>
          <w:sz w:val="20"/>
          <w:szCs w:val="20"/>
        </w:rPr>
        <w:t xml:space="preserve"> a contar da data de sua apresentação.</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 xml:space="preserve">Será desclassificada a proposta vencedora que: </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contiver vícios insanáveis</w:t>
      </w:r>
      <w:r>
        <w:rPr>
          <w:rFonts w:cs="Arial"/>
          <w:iCs/>
          <w:color w:val="000000"/>
          <w:sz w:val="20"/>
          <w:szCs w:val="20"/>
        </w:rPr>
        <w:t>;</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não obedecer às especificações técnicas pormenorizadas neste aviso ou em seus anexos</w:t>
      </w:r>
      <w:r>
        <w:rPr>
          <w:rFonts w:cs="Arial"/>
          <w:iCs/>
          <w:color w:val="000000"/>
          <w:sz w:val="20"/>
          <w:szCs w:val="20"/>
        </w:rPr>
        <w:t>;</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não tiverem sua exequibilidade demonstrada, quando exigido pela Administração</w:t>
      </w:r>
      <w:r>
        <w:rPr>
          <w:rFonts w:cs="Arial"/>
          <w:iCs/>
          <w:color w:val="000000"/>
          <w:sz w:val="20"/>
          <w:szCs w:val="20"/>
        </w:rPr>
        <w:t>;</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Quando</w:t>
      </w:r>
      <w:r>
        <w:rPr>
          <w:rFonts w:cs="Arial"/>
          <w:color w:val="000000"/>
          <w:sz w:val="20"/>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sz w:val="20"/>
          <w:szCs w:val="20"/>
        </w:rPr>
      </w:pPr>
      <w:r>
        <w:rPr>
          <w:rFonts w:cs="Arial"/>
          <w:color w:val="000000"/>
          <w:sz w:val="20"/>
          <w:szCs w:val="20"/>
          <w:lang w:eastAsia="en-US"/>
        </w:rPr>
        <w:t xml:space="preserve">Se houver indícios de inexequibilidade da proposta de preço, ou em caso da necessidade de esclarecimentos </w:t>
      </w:r>
      <w:r>
        <w:rPr>
          <w:rFonts w:cs="Arial"/>
          <w:color w:val="000000"/>
          <w:sz w:val="20"/>
          <w:szCs w:val="20"/>
        </w:rPr>
        <w:t>complementares</w:t>
      </w:r>
      <w:r>
        <w:rPr>
          <w:rFonts w:cs="Arial"/>
          <w:color w:val="000000"/>
          <w:sz w:val="20"/>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 xml:space="preserve">Erros no preenchimento da planilha não constituem motivo para a desclassificação da proposta. A planilha </w:t>
      </w:r>
      <w:r>
        <w:rPr>
          <w:rFonts w:cs="Arial"/>
          <w:color w:val="000000"/>
          <w:sz w:val="20"/>
          <w:szCs w:val="20"/>
        </w:rPr>
        <w:t>poderá</w:t>
      </w:r>
      <w:r>
        <w:rPr>
          <w:rFonts w:cs="Arial"/>
          <w:color w:val="000000"/>
          <w:sz w:val="20"/>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sz w:val="20"/>
          <w:szCs w:val="20"/>
        </w:rPr>
      </w:pPr>
      <w:r>
        <w:rPr>
          <w:rFonts w:cs="Arial"/>
          <w:color w:val="000000"/>
          <w:sz w:val="20"/>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sz w:val="20"/>
          <w:szCs w:val="20"/>
        </w:rPr>
      </w:pPr>
      <w:r>
        <w:rPr>
          <w:rFonts w:cs="Arial"/>
          <w:color w:val="000000"/>
          <w:sz w:val="20"/>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sz w:val="20"/>
          <w:szCs w:val="20"/>
        </w:rPr>
      </w:pPr>
      <w:r>
        <w:rPr>
          <w:rFonts w:cs="Arial"/>
          <w:color w:val="000000"/>
          <w:sz w:val="20"/>
          <w:szCs w:val="20"/>
          <w:lang w:eastAsia="en-US"/>
        </w:rPr>
        <w:t>Encerrada a análise quanto à aceitação da proposta, se iniciará a fase de habilitação, observado o disposto neste Aviso de Contratação Direta.</w:t>
      </w:r>
    </w:p>
    <w:p>
      <w:pPr>
        <w:pStyle w:val="PADRO"/>
        <w:widowControl/>
        <w:numPr>
          <w:ilvl w:val="0"/>
          <w:numId w:val="1"/>
        </w:numPr>
        <w:shd w:val="clear" w:fill="FFFFFF"/>
        <w:spacing w:before="120" w:after="120"/>
        <w:rPr>
          <w:sz w:val="20"/>
          <w:szCs w:val="20"/>
        </w:rPr>
      </w:pPr>
      <w:r>
        <w:rPr>
          <w:rFonts w:cs="Arial" w:ascii="Arial" w:hAnsi="Arial"/>
          <w:b/>
          <w:color w:val="000000"/>
          <w:sz w:val="20"/>
          <w:szCs w:val="20"/>
        </w:rPr>
        <w:t>HABILITAÇÃO</w:t>
      </w:r>
    </w:p>
    <w:p>
      <w:pPr>
        <w:pStyle w:val="ListParagraph"/>
        <w:numPr>
          <w:ilvl w:val="1"/>
          <w:numId w:val="1"/>
        </w:numPr>
        <w:spacing w:lineRule="auto" w:line="276" w:before="120" w:after="120"/>
        <w:ind w:left="792" w:hanging="574"/>
        <w:contextualSpacing/>
        <w:jc w:val="both"/>
        <w:rPr>
          <w:sz w:val="20"/>
          <w:szCs w:val="20"/>
        </w:rPr>
      </w:pPr>
      <w:r>
        <w:rPr>
          <w:rFonts w:cs="Arial"/>
          <w:color w:val="000000"/>
          <w:sz w:val="20"/>
          <w:szCs w:val="20"/>
          <w:lang w:eastAsia="ar-SA"/>
        </w:rPr>
        <w:t xml:space="preserve">Os </w:t>
      </w:r>
      <w:r>
        <w:rPr>
          <w:rFonts w:cs="Arial"/>
          <w:color w:val="000000"/>
          <w:sz w:val="20"/>
          <w:szCs w:val="20"/>
        </w:rPr>
        <w:t>documentos</w:t>
      </w:r>
      <w:r>
        <w:rPr>
          <w:rFonts w:cs="Arial"/>
          <w:color w:val="000000"/>
          <w:sz w:val="20"/>
          <w:szCs w:val="20"/>
          <w:lang w:eastAsia="ar-SA"/>
        </w:rPr>
        <w:t xml:space="preserve"> a serem exigidos para fins de habilitação constam do </w:t>
      </w:r>
      <w:r>
        <w:rPr>
          <w:rFonts w:cs="Arial"/>
          <w:b/>
          <w:color w:val="000000"/>
          <w:sz w:val="20"/>
          <w:szCs w:val="20"/>
          <w:lang w:eastAsia="ar-SA"/>
        </w:rPr>
        <w:t xml:space="preserve">ANEXO I – DOCUMENTAÇÃO EXIGIDA PARA HABILITAÇÃO </w:t>
      </w:r>
      <w:r>
        <w:rPr>
          <w:rFonts w:cs="Arial"/>
          <w:color w:val="000000"/>
          <w:sz w:val="20"/>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sz w:val="20"/>
          <w:szCs w:val="20"/>
        </w:rPr>
      </w:pPr>
      <w:r>
        <w:rPr>
          <w:rFonts w:cs="Arial"/>
          <w:color w:val="000000"/>
          <w:sz w:val="20"/>
          <w:szCs w:val="20"/>
          <w:lang w:eastAsia="ar-SA"/>
        </w:rPr>
        <w:t xml:space="preserve">Como </w:t>
      </w:r>
      <w:r>
        <w:rPr>
          <w:rFonts w:cs="Arial"/>
          <w:color w:val="000000"/>
          <w:sz w:val="20"/>
          <w:szCs w:val="20"/>
        </w:rPr>
        <w:t>condição</w:t>
      </w:r>
      <w:r>
        <w:rPr>
          <w:rFonts w:cs="Arial"/>
          <w:color w:val="000000"/>
          <w:sz w:val="20"/>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sz w:val="20"/>
          <w:szCs w:val="20"/>
        </w:rPr>
      </w:pPr>
      <w:r>
        <w:rPr>
          <w:rFonts w:cs="Arial"/>
          <w:color w:val="000000"/>
          <w:sz w:val="20"/>
          <w:szCs w:val="20"/>
          <w:lang w:eastAsia="ar-SA"/>
        </w:rPr>
        <w:t xml:space="preserve">a) SICAF;  </w:t>
      </w:r>
    </w:p>
    <w:p>
      <w:pPr>
        <w:pStyle w:val="ListParagraph"/>
        <w:spacing w:lineRule="auto" w:line="276" w:before="120" w:after="120"/>
        <w:ind w:left="1134" w:hanging="0"/>
        <w:contextualSpacing/>
        <w:jc w:val="both"/>
        <w:rPr/>
      </w:pPr>
      <w:r>
        <w:rPr>
          <w:rFonts w:cs="Arial"/>
          <w:color w:val="000000"/>
          <w:sz w:val="20"/>
          <w:szCs w:val="20"/>
          <w:lang w:eastAsia="ar-SA"/>
        </w:rPr>
        <w:t>b) Cadastro Nacional de Empresas Inidôneas e Suspensas - CEIS, mantido pela Controladoria-Geral da União (</w:t>
      </w:r>
      <w:hyperlink r:id="rId4">
        <w:r>
          <w:rPr>
            <w:rStyle w:val="LinkdaInternet"/>
            <w:rFonts w:eastAsia="Calibri" w:cs="Arial"/>
            <w:color w:val="000000"/>
            <w:sz w:val="20"/>
            <w:szCs w:val="20"/>
            <w:lang w:eastAsia="ar-SA"/>
          </w:rPr>
          <w:t>www.portaldatransparencia.gov.br/ceis</w:t>
        </w:r>
      </w:hyperlink>
      <w:r>
        <w:rPr>
          <w:rFonts w:cs="Arial"/>
          <w:color w:val="000000"/>
          <w:sz w:val="20"/>
          <w:szCs w:val="20"/>
          <w:lang w:eastAsia="ar-SA"/>
        </w:rPr>
        <w:t xml:space="preserve">);  </w:t>
      </w:r>
    </w:p>
    <w:p>
      <w:pPr>
        <w:pStyle w:val="ListParagraph"/>
        <w:spacing w:lineRule="auto" w:line="276" w:before="120" w:after="120"/>
        <w:ind w:left="1134" w:hanging="0"/>
        <w:contextualSpacing/>
        <w:jc w:val="both"/>
        <w:rPr/>
      </w:pPr>
      <w:r>
        <w:rPr>
          <w:rFonts w:cs="Arial"/>
          <w:color w:val="000000"/>
          <w:sz w:val="20"/>
          <w:szCs w:val="20"/>
          <w:lang w:eastAsia="ar-SA"/>
        </w:rPr>
        <w:t>c) Cadastro Nacional de Condenações Cíveis por Atos de Improbidade Administrativa, mantido pelo Conselho Nacional de Justiça (</w:t>
      </w:r>
      <w:hyperlink r:id="rId5">
        <w:r>
          <w:rPr>
            <w:rStyle w:val="LinkdaInternet"/>
            <w:rFonts w:eastAsia="Calibri" w:cs="Arial"/>
            <w:color w:val="000000"/>
            <w:sz w:val="20"/>
            <w:szCs w:val="20"/>
            <w:lang w:eastAsia="ar-SA"/>
          </w:rPr>
          <w:t>www.cnj.jus.br/improbidade_adm/consultar_requerido.php</w:t>
        </w:r>
      </w:hyperlink>
      <w:r>
        <w:rPr>
          <w:rFonts w:cs="Arial"/>
          <w:color w:val="000000"/>
          <w:sz w:val="20"/>
          <w:szCs w:val="20"/>
          <w:lang w:eastAsia="ar-SA"/>
        </w:rPr>
        <w:t xml:space="preserve">).  </w:t>
      </w:r>
    </w:p>
    <w:p>
      <w:pPr>
        <w:pStyle w:val="ListParagraph"/>
        <w:spacing w:lineRule="auto" w:line="276" w:before="120" w:after="120"/>
        <w:ind w:left="1134" w:hanging="0"/>
        <w:contextualSpacing/>
        <w:jc w:val="both"/>
        <w:rPr>
          <w:sz w:val="20"/>
          <w:szCs w:val="20"/>
        </w:rPr>
      </w:pPr>
      <w:r>
        <w:rPr>
          <w:rFonts w:cs="Arial"/>
          <w:color w:val="000000"/>
          <w:sz w:val="20"/>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sz w:val="20"/>
          <w:szCs w:val="20"/>
        </w:rPr>
      </w:pPr>
      <w:r>
        <w:rPr>
          <w:rFonts w:cs="Arial"/>
          <w:color w:val="000000"/>
          <w:sz w:val="20"/>
          <w:szCs w:val="20"/>
          <w:lang w:eastAsia="ar-SA"/>
        </w:rPr>
        <w:t xml:space="preserve">Para a consulta de </w:t>
      </w:r>
      <w:r>
        <w:rPr>
          <w:rFonts w:cs="Arial"/>
          <w:color w:val="000000"/>
          <w:sz w:val="20"/>
          <w:szCs w:val="20"/>
        </w:rPr>
        <w:t>fornecedores</w:t>
      </w:r>
      <w:r>
        <w:rPr>
          <w:rFonts w:cs="Arial"/>
          <w:color w:val="000000"/>
          <w:sz w:val="20"/>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 xml:space="preserve">A consulta aos </w:t>
      </w:r>
      <w:r>
        <w:rPr>
          <w:rFonts w:cs="Arial"/>
          <w:color w:val="000000"/>
          <w:sz w:val="20"/>
          <w:szCs w:val="20"/>
          <w:lang w:eastAsia="ar-SA"/>
        </w:rPr>
        <w:t>cadastros</w:t>
      </w:r>
      <w:r>
        <w:rPr>
          <w:rFonts w:cs="Arial"/>
          <w:color w:val="000000"/>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sz w:val="20"/>
          <w:szCs w:val="20"/>
        </w:rPr>
      </w:pPr>
      <w:r>
        <w:rPr>
          <w:rFonts w:cs="Arial"/>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sz w:val="20"/>
          <w:szCs w:val="20"/>
        </w:rPr>
      </w:pPr>
      <w:r>
        <w:rPr>
          <w:rFonts w:cs="Arial"/>
          <w:color w:val="000000"/>
          <w:sz w:val="20"/>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sz w:val="20"/>
          <w:szCs w:val="20"/>
        </w:rPr>
      </w:pPr>
      <w:r>
        <w:rPr>
          <w:rFonts w:cs="Arial"/>
          <w:color w:val="000000"/>
          <w:sz w:val="20"/>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sz w:val="20"/>
          <w:szCs w:val="20"/>
        </w:rPr>
      </w:pPr>
      <w:r>
        <w:rPr>
          <w:rFonts w:cs="Arial"/>
          <w:color w:val="000000"/>
          <w:sz w:val="20"/>
          <w:szCs w:val="20"/>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sz w:val="20"/>
          <w:szCs w:val="20"/>
        </w:rPr>
      </w:pPr>
      <w:r>
        <w:rPr>
          <w:rFonts w:cs="Arial"/>
          <w:color w:val="000000"/>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sz w:val="20"/>
          <w:szCs w:val="20"/>
        </w:rPr>
      </w:pPr>
      <w:r>
        <w:rPr>
          <w:rFonts w:cs="Arial"/>
          <w:color w:val="000000"/>
          <w:sz w:val="20"/>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sz w:val="20"/>
          <w:szCs w:val="20"/>
        </w:rPr>
      </w:pPr>
      <w:r>
        <w:rPr>
          <w:rFonts w:cs="Arial"/>
          <w:bCs/>
          <w:color w:val="000000"/>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sz w:val="20"/>
          <w:szCs w:val="20"/>
        </w:rPr>
      </w:pPr>
      <w:r>
        <w:rPr>
          <w:rFonts w:cs="Arial"/>
          <w:bCs/>
          <w:color w:val="000000"/>
          <w:sz w:val="20"/>
          <w:szCs w:val="20"/>
        </w:rPr>
        <w:t xml:space="preserve">Havendo </w:t>
      </w:r>
      <w:r>
        <w:rPr>
          <w:rFonts w:cs="Arial"/>
          <w:iCs/>
          <w:color w:val="000000"/>
          <w:sz w:val="20"/>
          <w:szCs w:val="20"/>
          <w:lang w:eastAsia="en-US"/>
        </w:rPr>
        <w:t>necessidade</w:t>
      </w:r>
      <w:r>
        <w:rPr>
          <w:rFonts w:cs="Arial"/>
          <w:bCs/>
          <w:color w:val="000000"/>
          <w:sz w:val="20"/>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sz w:val="20"/>
          <w:szCs w:val="20"/>
        </w:rPr>
      </w:pPr>
      <w:r>
        <w:rPr>
          <w:rFonts w:cs="Arial"/>
          <w:color w:val="000000"/>
          <w:sz w:val="20"/>
          <w:szCs w:val="20"/>
        </w:rPr>
        <w:t xml:space="preserve">Será inabilitado o fornecedor que não comprovar sua habilitação, seja por não apresentar </w:t>
      </w:r>
      <w:r>
        <w:rPr>
          <w:rFonts w:cs="Arial"/>
          <w:iCs/>
          <w:color w:val="000000"/>
          <w:sz w:val="20"/>
          <w:szCs w:val="20"/>
          <w:lang w:eastAsia="en-US"/>
        </w:rPr>
        <w:t>quaisquer</w:t>
      </w:r>
      <w:r>
        <w:rPr>
          <w:rFonts w:cs="Arial"/>
          <w:color w:val="000000"/>
          <w:sz w:val="20"/>
          <w:szCs w:val="20"/>
        </w:rPr>
        <w:t xml:space="preserve"> dos </w:t>
      </w:r>
      <w:r>
        <w:rPr>
          <w:rFonts w:cs="Arial"/>
          <w:bCs/>
          <w:color w:val="000000"/>
          <w:sz w:val="20"/>
          <w:szCs w:val="20"/>
        </w:rPr>
        <w:t>documentos</w:t>
      </w:r>
      <w:r>
        <w:rPr>
          <w:rFonts w:cs="Arial"/>
          <w:color w:val="000000"/>
          <w:sz w:val="2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sz w:val="20"/>
          <w:szCs w:val="20"/>
        </w:rPr>
      </w:pPr>
      <w:r>
        <w:rPr>
          <w:rFonts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sz w:val="20"/>
          <w:szCs w:val="20"/>
        </w:rPr>
      </w:pPr>
      <w:r>
        <w:rPr>
          <w:rFonts w:cs="Arial"/>
          <w:iCs/>
          <w:color w:val="000000"/>
          <w:sz w:val="20"/>
          <w:szCs w:val="20"/>
          <w:lang w:eastAsia="en-US"/>
        </w:rPr>
        <w:t>Constatado o atendimento às exigências de habilitação, o fornecedor será habilitado</w:t>
      </w:r>
    </w:p>
    <w:p>
      <w:pPr>
        <w:pStyle w:val="PADRO"/>
        <w:widowControl/>
        <w:numPr>
          <w:ilvl w:val="0"/>
          <w:numId w:val="1"/>
        </w:numPr>
        <w:shd w:val="clear" w:fill="FFFFFF"/>
        <w:spacing w:before="120" w:after="120"/>
        <w:rPr>
          <w:sz w:val="20"/>
          <w:szCs w:val="20"/>
        </w:rPr>
      </w:pPr>
      <w:r>
        <w:rPr>
          <w:rFonts w:cs="Arial" w:ascii="Arial" w:hAnsi="Arial"/>
          <w:b/>
          <w:color w:val="000000"/>
          <w:sz w:val="20"/>
          <w:szCs w:val="20"/>
        </w:rPr>
        <w:t>CONTRATAÇÃO</w:t>
      </w:r>
    </w:p>
    <w:p>
      <w:pPr>
        <w:pStyle w:val="Normal"/>
        <w:numPr>
          <w:ilvl w:val="1"/>
          <w:numId w:val="1"/>
        </w:numPr>
        <w:spacing w:lineRule="auto" w:line="276" w:before="120" w:after="120"/>
        <w:ind w:left="425" w:hanging="0"/>
        <w:jc w:val="both"/>
        <w:rPr>
          <w:sz w:val="20"/>
          <w:szCs w:val="20"/>
        </w:rPr>
      </w:pPr>
      <w:r>
        <w:rPr>
          <w:rFonts w:eastAsia="Arial" w:cs="Arial"/>
          <w:color w:val="000000"/>
          <w:sz w:val="2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sz w:val="20"/>
          <w:szCs w:val="20"/>
        </w:rPr>
      </w:pPr>
      <w:r>
        <w:rPr>
          <w:rFonts w:eastAsia="Arial" w:cs="Arial"/>
          <w:color w:val="000000"/>
          <w:sz w:val="20"/>
          <w:szCs w:val="20"/>
        </w:rPr>
        <w:t xml:space="preserve">O adjudicatário terá o prazo de 30 (trinta)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sz w:val="20"/>
          <w:szCs w:val="20"/>
        </w:rPr>
      </w:pPr>
      <w:r>
        <w:rPr>
          <w:rFonts w:eastAsia="Arial" w:cs="Arial"/>
          <w:color w:val="000000"/>
          <w:sz w:val="2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05(cinco) dias úteis, a contar da data de seu recebimento. </w:t>
      </w:r>
    </w:p>
    <w:p>
      <w:pPr>
        <w:pStyle w:val="Normal"/>
        <w:numPr>
          <w:ilvl w:val="2"/>
          <w:numId w:val="1"/>
        </w:numPr>
        <w:spacing w:lineRule="auto" w:line="276" w:before="120" w:after="120"/>
        <w:jc w:val="both"/>
        <w:rPr>
          <w:sz w:val="20"/>
          <w:szCs w:val="20"/>
        </w:rPr>
      </w:pPr>
      <w:r>
        <w:rPr>
          <w:rFonts w:eastAsia="Arial" w:cs="Arial"/>
          <w:color w:val="000000"/>
          <w:sz w:val="20"/>
          <w:szCs w:val="20"/>
        </w:rPr>
        <w:t xml:space="preserve">O prazo previsto para assinatura do contrato ou aceitação da nota de empenho ou instrumento equivalente poderá ser prorrogado </w:t>
      </w:r>
      <w:r>
        <w:rPr>
          <w:rFonts w:cs="Times New Roman"/>
          <w:bCs/>
          <w:color w:val="000000"/>
          <w:sz w:val="20"/>
          <w:szCs w:val="20"/>
        </w:rPr>
        <w:t>1 (uma) vez</w:t>
      </w:r>
      <w:r>
        <w:rPr>
          <w:rFonts w:eastAsia="Arial" w:cs="Arial"/>
          <w:color w:val="000000"/>
          <w:sz w:val="20"/>
          <w:szCs w:val="20"/>
        </w:rPr>
        <w:t>, por igual período, por solicitação justificada do adjudicatário e aceita pela Administração.</w:t>
      </w:r>
    </w:p>
    <w:p>
      <w:pPr>
        <w:pStyle w:val="Normal"/>
        <w:numPr>
          <w:ilvl w:val="1"/>
          <w:numId w:val="1"/>
        </w:numPr>
        <w:spacing w:lineRule="auto" w:line="276" w:before="120" w:after="120"/>
        <w:ind w:left="425" w:hanging="0"/>
        <w:jc w:val="both"/>
        <w:rPr>
          <w:sz w:val="20"/>
          <w:szCs w:val="20"/>
        </w:rPr>
      </w:pPr>
      <w:r>
        <w:rPr>
          <w:rFonts w:eastAsia="Arial" w:cs="Arial"/>
          <w:color w:val="000000"/>
          <w:sz w:val="20"/>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sz w:val="20"/>
          <w:szCs w:val="20"/>
        </w:rPr>
      </w:pPr>
      <w:r>
        <w:rPr>
          <w:rFonts w:eastAsia="Arial" w:cs="Arial"/>
          <w:color w:val="000000"/>
          <w:sz w:val="20"/>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sz w:val="20"/>
          <w:szCs w:val="20"/>
        </w:rPr>
      </w:pPr>
      <w:r>
        <w:rPr>
          <w:rFonts w:eastAsia="Arial" w:cs="Arial"/>
          <w:color w:val="000000"/>
          <w:sz w:val="20"/>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sz w:val="20"/>
          <w:szCs w:val="20"/>
        </w:rPr>
      </w:pPr>
      <w:r>
        <w:rPr>
          <w:rFonts w:eastAsia="Arial" w:cs="Arial"/>
          <w:color w:val="000000"/>
          <w:sz w:val="2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sz w:val="20"/>
          <w:szCs w:val="20"/>
        </w:rPr>
      </w:pPr>
      <w:r>
        <w:rPr>
          <w:rFonts w:eastAsia="Arial" w:cs="Arial"/>
          <w:color w:val="000000"/>
          <w:sz w:val="20"/>
          <w:szCs w:val="20"/>
        </w:rPr>
        <w:t>O prazo de vigência da contratação é até 31 de dezembro de 2023, prorrogável conforme previsão nos anexos a este Aviso de Contratação Direta.</w:t>
      </w:r>
    </w:p>
    <w:p>
      <w:pPr>
        <w:pStyle w:val="Normal"/>
        <w:numPr>
          <w:ilvl w:val="1"/>
          <w:numId w:val="1"/>
        </w:numPr>
        <w:spacing w:lineRule="auto" w:line="276" w:before="120" w:after="120"/>
        <w:ind w:left="425" w:hanging="0"/>
        <w:jc w:val="both"/>
        <w:rPr>
          <w:sz w:val="20"/>
          <w:szCs w:val="20"/>
        </w:rPr>
      </w:pPr>
      <w:r>
        <w:rPr>
          <w:rFonts w:cs="Arial"/>
          <w:color w:val="000000"/>
          <w:sz w:val="2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hd w:val="clear" w:fill="FFFFFF"/>
        <w:spacing w:before="120" w:after="120"/>
        <w:rPr>
          <w:sz w:val="20"/>
          <w:szCs w:val="20"/>
        </w:rPr>
      </w:pPr>
      <w:r>
        <w:rPr>
          <w:rFonts w:cs="Arial" w:ascii="Arial" w:hAnsi="Arial"/>
          <w:b/>
          <w:color w:val="000000"/>
          <w:sz w:val="20"/>
          <w:szCs w:val="20"/>
        </w:rPr>
        <w:t>SANÇÕES</w:t>
      </w:r>
    </w:p>
    <w:p>
      <w:pPr>
        <w:pStyle w:val="Normal"/>
        <w:numPr>
          <w:ilvl w:val="1"/>
          <w:numId w:val="1"/>
        </w:numPr>
        <w:spacing w:lineRule="auto" w:line="276" w:before="120" w:after="120"/>
        <w:ind w:left="425" w:hanging="0"/>
        <w:jc w:val="both"/>
        <w:rPr>
          <w:sz w:val="20"/>
          <w:szCs w:val="20"/>
        </w:rPr>
      </w:pPr>
      <w:r>
        <w:rPr>
          <w:rFonts w:cs="Arial"/>
          <w:color w:val="000000"/>
          <w:sz w:val="20"/>
          <w:szCs w:val="20"/>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sz w:val="20"/>
          <w:szCs w:val="20"/>
        </w:rPr>
      </w:pPr>
      <w:r>
        <w:rPr>
          <w:rFonts w:cs="Arial"/>
          <w:color w:val="000000"/>
          <w:sz w:val="20"/>
          <w:szCs w:val="20"/>
        </w:rPr>
        <w:t>dar causa à inexecução parcial do contrato;</w:t>
      </w:r>
    </w:p>
    <w:p>
      <w:pPr>
        <w:pStyle w:val="Normal"/>
        <w:numPr>
          <w:ilvl w:val="2"/>
          <w:numId w:val="1"/>
        </w:numPr>
        <w:spacing w:lineRule="auto" w:line="276" w:before="120" w:after="120"/>
        <w:jc w:val="both"/>
        <w:rPr>
          <w:sz w:val="20"/>
          <w:szCs w:val="20"/>
        </w:rPr>
      </w:pPr>
      <w:r>
        <w:rPr>
          <w:rFonts w:cs="Arial"/>
          <w:color w:val="000000"/>
          <w:sz w:val="2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sz w:val="20"/>
          <w:szCs w:val="20"/>
        </w:rPr>
      </w:pPr>
      <w:r>
        <w:rPr>
          <w:rFonts w:cs="Arial"/>
          <w:color w:val="000000"/>
          <w:sz w:val="20"/>
          <w:szCs w:val="20"/>
        </w:rPr>
        <w:t>dar causa à inexecução total do contrato;</w:t>
      </w:r>
    </w:p>
    <w:p>
      <w:pPr>
        <w:pStyle w:val="Normal"/>
        <w:numPr>
          <w:ilvl w:val="2"/>
          <w:numId w:val="1"/>
        </w:numPr>
        <w:spacing w:lineRule="auto" w:line="276" w:before="120" w:after="120"/>
        <w:jc w:val="both"/>
        <w:rPr>
          <w:sz w:val="20"/>
          <w:szCs w:val="20"/>
        </w:rPr>
      </w:pPr>
      <w:r>
        <w:rPr>
          <w:rFonts w:cs="Arial"/>
          <w:color w:val="000000"/>
          <w:sz w:val="20"/>
          <w:szCs w:val="20"/>
        </w:rPr>
        <w:t>deixar de entregar a documentação exigida para o certame;</w:t>
      </w:r>
    </w:p>
    <w:p>
      <w:pPr>
        <w:pStyle w:val="Normal"/>
        <w:numPr>
          <w:ilvl w:val="2"/>
          <w:numId w:val="1"/>
        </w:numPr>
        <w:spacing w:lineRule="auto" w:line="276" w:before="120" w:after="120"/>
        <w:jc w:val="both"/>
        <w:rPr>
          <w:sz w:val="20"/>
          <w:szCs w:val="20"/>
        </w:rPr>
      </w:pPr>
      <w:r>
        <w:rPr>
          <w:rFonts w:cs="Arial"/>
          <w:color w:val="000000"/>
          <w:sz w:val="20"/>
          <w:szCs w:val="20"/>
        </w:rPr>
        <w:t>não manter a proposta, salvo em decorrência de fato superveniente devidamente justificado;</w:t>
      </w:r>
    </w:p>
    <w:p>
      <w:pPr>
        <w:pStyle w:val="Normal"/>
        <w:numPr>
          <w:ilvl w:val="2"/>
          <w:numId w:val="1"/>
        </w:numPr>
        <w:spacing w:lineRule="auto" w:line="276" w:before="120" w:after="120"/>
        <w:jc w:val="both"/>
        <w:rPr>
          <w:sz w:val="20"/>
          <w:szCs w:val="20"/>
        </w:rPr>
      </w:pPr>
      <w:r>
        <w:rPr>
          <w:rFonts w:cs="Arial"/>
          <w:color w:val="000000"/>
          <w:sz w:val="2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sz w:val="20"/>
          <w:szCs w:val="20"/>
        </w:rPr>
      </w:pPr>
      <w:r>
        <w:rPr>
          <w:rFonts w:cs="Arial"/>
          <w:color w:val="000000"/>
          <w:sz w:val="20"/>
          <w:szCs w:val="20"/>
        </w:rPr>
        <w:t>ensejar o retardamento da execução ou da entrega do objeto da licitação sem motivo justificado;</w:t>
      </w:r>
    </w:p>
    <w:p>
      <w:pPr>
        <w:pStyle w:val="Normal"/>
        <w:numPr>
          <w:ilvl w:val="2"/>
          <w:numId w:val="1"/>
        </w:numPr>
        <w:spacing w:lineRule="auto" w:line="276" w:before="120" w:after="120"/>
        <w:jc w:val="both"/>
        <w:rPr>
          <w:sz w:val="20"/>
          <w:szCs w:val="20"/>
        </w:rPr>
      </w:pPr>
      <w:r>
        <w:rPr>
          <w:rFonts w:cs="Arial"/>
          <w:color w:val="000000"/>
          <w:sz w:val="2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sz w:val="20"/>
          <w:szCs w:val="20"/>
        </w:rPr>
      </w:pPr>
      <w:r>
        <w:rPr>
          <w:rFonts w:cs="Arial"/>
          <w:color w:val="000000"/>
          <w:sz w:val="20"/>
          <w:szCs w:val="20"/>
        </w:rPr>
        <w:t>fraudar a dispensa eletrônica ou praticar ato fraudulento na execução do contrato;</w:t>
      </w:r>
    </w:p>
    <w:p>
      <w:pPr>
        <w:pStyle w:val="Normal"/>
        <w:numPr>
          <w:ilvl w:val="2"/>
          <w:numId w:val="1"/>
        </w:numPr>
        <w:spacing w:lineRule="auto" w:line="276" w:before="120" w:after="120"/>
        <w:jc w:val="both"/>
        <w:rPr>
          <w:sz w:val="20"/>
          <w:szCs w:val="20"/>
        </w:rPr>
      </w:pPr>
      <w:r>
        <w:rPr>
          <w:rFonts w:cs="Arial"/>
          <w:color w:val="000000"/>
          <w:sz w:val="20"/>
          <w:szCs w:val="20"/>
        </w:rPr>
        <w:t>comportar-se de modo inidôneo ou cometer fraude de qualquer natureza;</w:t>
      </w:r>
    </w:p>
    <w:p>
      <w:pPr>
        <w:pStyle w:val="ListParagraph"/>
        <w:numPr>
          <w:ilvl w:val="3"/>
          <w:numId w:val="1"/>
        </w:numPr>
        <w:spacing w:lineRule="auto" w:line="276" w:before="120" w:after="120"/>
        <w:contextualSpacing/>
        <w:jc w:val="both"/>
        <w:rPr>
          <w:sz w:val="20"/>
          <w:szCs w:val="20"/>
        </w:rPr>
      </w:pPr>
      <w:r>
        <w:rPr>
          <w:rFonts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sz w:val="20"/>
          <w:szCs w:val="20"/>
        </w:rPr>
      </w:pPr>
      <w:r>
        <w:rPr>
          <w:rFonts w:cs="Arial"/>
          <w:color w:val="000000"/>
          <w:sz w:val="20"/>
          <w:szCs w:val="20"/>
        </w:rPr>
        <w:t>praticar atos ilícitos com vistas a frustrar os objetivos deste certame.</w:t>
      </w:r>
    </w:p>
    <w:p>
      <w:pPr>
        <w:pStyle w:val="Normal"/>
        <w:numPr>
          <w:ilvl w:val="2"/>
          <w:numId w:val="1"/>
        </w:numPr>
        <w:spacing w:lineRule="auto" w:line="276" w:before="120" w:after="120"/>
        <w:jc w:val="both"/>
        <w:rPr/>
      </w:pPr>
      <w:r>
        <w:rPr>
          <w:rFonts w:cs="Arial"/>
          <w:color w:val="000000"/>
          <w:sz w:val="20"/>
          <w:szCs w:val="20"/>
        </w:rPr>
        <w:t xml:space="preserve">praticar ato lesivo previsto no </w:t>
      </w:r>
      <w:r>
        <w:fldChar w:fldCharType="begin"/>
      </w:r>
      <w:r>
        <w:rPr>
          <w:rStyle w:val="LinkdaInternet"/>
          <w:sz w:val="20"/>
          <w:szCs w:val="20"/>
          <w:color w:val="000000"/>
        </w:rPr>
        <w:instrText> HYPERLINK "http://www.planalto.gov.br/ccivil_03/_Ato2011-2014/2013/Lei/L12846.htm" \l "art5"</w:instrText>
      </w:r>
      <w:r>
        <w:rPr>
          <w:rStyle w:val="LinkdaInternet"/>
          <w:sz w:val="20"/>
          <w:szCs w:val="20"/>
          <w:color w:val="000000"/>
        </w:rPr>
        <w:fldChar w:fldCharType="separate"/>
      </w:r>
      <w:r>
        <w:rPr>
          <w:rStyle w:val="LinkdaInternet"/>
          <w:color w:val="000000"/>
          <w:sz w:val="20"/>
          <w:szCs w:val="20"/>
        </w:rPr>
        <w:t>art. 5º da Lei nº 12.846, de 1º de agosto de 2013.</w:t>
      </w:r>
      <w:r>
        <w:rPr>
          <w:rStyle w:val="LinkdaInternet"/>
          <w:sz w:val="20"/>
          <w:szCs w:val="20"/>
          <w:color w:val="000000"/>
        </w:rPr>
        <w:fldChar w:fldCharType="end"/>
      </w:r>
    </w:p>
    <w:p>
      <w:pPr>
        <w:pStyle w:val="Normal"/>
        <w:numPr>
          <w:ilvl w:val="1"/>
          <w:numId w:val="1"/>
        </w:numPr>
        <w:spacing w:lineRule="auto" w:line="276" w:before="120" w:after="120"/>
        <w:ind w:left="425" w:hanging="0"/>
        <w:jc w:val="both"/>
        <w:rPr>
          <w:sz w:val="20"/>
          <w:szCs w:val="20"/>
        </w:rPr>
      </w:pPr>
      <w:r>
        <w:rPr>
          <w:rFonts w:cs="Arial"/>
          <w:color w:val="000000"/>
          <w:sz w:val="20"/>
          <w:szCs w:val="20"/>
        </w:rPr>
        <w:t>O fornecedor que cometer qualquer das infrações discriminadas nos subitens anteriores ficará sujeito, sem prejuízo da responsabilidade civil e criminal, às seguintes sanções:</w:t>
      </w:r>
    </w:p>
    <w:p>
      <w:pPr>
        <w:pStyle w:val="Normal"/>
        <w:numPr>
          <w:ilvl w:val="2"/>
          <w:numId w:val="3"/>
        </w:numPr>
        <w:spacing w:lineRule="auto" w:line="276" w:before="120" w:after="120"/>
        <w:jc w:val="both"/>
        <w:rPr>
          <w:sz w:val="20"/>
          <w:szCs w:val="20"/>
        </w:rPr>
      </w:pPr>
      <w:r>
        <w:rPr>
          <w:rFonts w:cs="Arial"/>
          <w:color w:val="000000"/>
          <w:sz w:val="20"/>
          <w:szCs w:val="20"/>
        </w:rPr>
        <w:t>Advertência pela falta do subitem 8.1.1 deste Aviso de Contratação Direta,quando não se justificar a imposição de penalidade mais grave;</w:t>
      </w:r>
    </w:p>
    <w:p>
      <w:pPr>
        <w:pStyle w:val="Normal"/>
        <w:numPr>
          <w:ilvl w:val="2"/>
          <w:numId w:val="3"/>
        </w:numPr>
        <w:spacing w:lineRule="auto" w:line="276" w:before="120" w:after="120"/>
        <w:jc w:val="both"/>
        <w:rPr>
          <w:sz w:val="20"/>
          <w:szCs w:val="20"/>
        </w:rPr>
      </w:pPr>
      <w:r>
        <w:rPr>
          <w:rFonts w:cs="Arial"/>
          <w:color w:val="000000"/>
          <w:sz w:val="20"/>
          <w:szCs w:val="20"/>
        </w:rPr>
        <w:t>Multa de 20% (vinte por cento) sobre o valor estimado do(s) item(s) prejudicado(s) pela conduta do fornecedor, por qualquer das infrações dos subitens 8.1.1 a 8.1.12;</w:t>
      </w:r>
    </w:p>
    <w:p>
      <w:pPr>
        <w:pStyle w:val="Normal"/>
        <w:numPr>
          <w:ilvl w:val="2"/>
          <w:numId w:val="3"/>
        </w:numPr>
        <w:spacing w:lineRule="auto" w:line="276" w:before="120" w:after="120"/>
        <w:jc w:val="both"/>
        <w:rPr>
          <w:sz w:val="20"/>
          <w:szCs w:val="20"/>
        </w:rPr>
      </w:pPr>
      <w:r>
        <w:rPr>
          <w:rFonts w:cs="Arial"/>
          <w:color w:val="000000"/>
          <w:sz w:val="20"/>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Normal"/>
        <w:numPr>
          <w:ilvl w:val="2"/>
          <w:numId w:val="3"/>
        </w:numPr>
        <w:spacing w:lineRule="auto" w:line="276" w:before="120" w:after="120"/>
        <w:jc w:val="both"/>
        <w:rPr>
          <w:sz w:val="20"/>
          <w:szCs w:val="20"/>
        </w:rPr>
      </w:pPr>
      <w:r>
        <w:rPr>
          <w:rFonts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numPr>
          <w:ilvl w:val="1"/>
          <w:numId w:val="1"/>
        </w:numPr>
        <w:spacing w:lineRule="auto" w:line="276" w:before="120" w:after="120"/>
        <w:jc w:val="both"/>
        <w:rPr>
          <w:sz w:val="20"/>
          <w:szCs w:val="20"/>
        </w:rPr>
      </w:pPr>
      <w:r>
        <w:rPr>
          <w:rFonts w:cs="Arial"/>
          <w:bCs/>
          <w:color w:val="000000"/>
          <w:sz w:val="20"/>
          <w:szCs w:val="20"/>
        </w:rPr>
        <w:t>Na aplicação das sanções serão considerados:</w:t>
      </w:r>
    </w:p>
    <w:p>
      <w:pPr>
        <w:pStyle w:val="Normal"/>
        <w:numPr>
          <w:ilvl w:val="2"/>
          <w:numId w:val="1"/>
        </w:numPr>
        <w:spacing w:lineRule="auto" w:line="276" w:before="120" w:after="120"/>
        <w:jc w:val="both"/>
        <w:rPr>
          <w:sz w:val="20"/>
          <w:szCs w:val="20"/>
        </w:rPr>
      </w:pPr>
      <w:r>
        <w:rPr>
          <w:rFonts w:cs="Arial"/>
          <w:bCs/>
          <w:color w:val="000000"/>
          <w:sz w:val="20"/>
          <w:szCs w:val="20"/>
        </w:rPr>
        <w:t>a natureza e a gravidade da infração cometida;</w:t>
      </w:r>
    </w:p>
    <w:p>
      <w:pPr>
        <w:pStyle w:val="Normal"/>
        <w:numPr>
          <w:ilvl w:val="2"/>
          <w:numId w:val="1"/>
        </w:numPr>
        <w:spacing w:lineRule="auto" w:line="276" w:before="120" w:after="120"/>
        <w:jc w:val="both"/>
        <w:rPr>
          <w:sz w:val="20"/>
          <w:szCs w:val="20"/>
        </w:rPr>
      </w:pPr>
      <w:r>
        <w:rPr>
          <w:rFonts w:cs="Arial"/>
          <w:bCs/>
          <w:color w:val="000000"/>
          <w:sz w:val="20"/>
          <w:szCs w:val="20"/>
        </w:rPr>
        <w:t>as peculiaridades do caso concreto;</w:t>
      </w:r>
    </w:p>
    <w:p>
      <w:pPr>
        <w:pStyle w:val="Normal"/>
        <w:numPr>
          <w:ilvl w:val="2"/>
          <w:numId w:val="1"/>
        </w:numPr>
        <w:spacing w:lineRule="auto" w:line="276" w:before="120" w:after="120"/>
        <w:jc w:val="both"/>
        <w:rPr>
          <w:sz w:val="20"/>
          <w:szCs w:val="20"/>
        </w:rPr>
      </w:pPr>
      <w:r>
        <w:rPr>
          <w:rFonts w:cs="Arial"/>
          <w:bCs/>
          <w:color w:val="000000"/>
          <w:sz w:val="20"/>
          <w:szCs w:val="20"/>
        </w:rPr>
        <w:t>as circunstâncias agravantes ou atenuantes;</w:t>
      </w:r>
    </w:p>
    <w:p>
      <w:pPr>
        <w:pStyle w:val="Normal"/>
        <w:numPr>
          <w:ilvl w:val="2"/>
          <w:numId w:val="1"/>
        </w:numPr>
        <w:spacing w:lineRule="auto" w:line="276" w:before="120" w:after="120"/>
        <w:jc w:val="both"/>
        <w:rPr>
          <w:sz w:val="20"/>
          <w:szCs w:val="20"/>
        </w:rPr>
      </w:pPr>
      <w:r>
        <w:rPr>
          <w:rFonts w:cs="Arial"/>
          <w:bCs/>
          <w:color w:val="000000"/>
          <w:sz w:val="20"/>
          <w:szCs w:val="20"/>
        </w:rPr>
        <w:t>os danos que dela provierem para a Administração Pública;</w:t>
      </w:r>
    </w:p>
    <w:p>
      <w:pPr>
        <w:pStyle w:val="Normal"/>
        <w:numPr>
          <w:ilvl w:val="2"/>
          <w:numId w:val="1"/>
        </w:numPr>
        <w:spacing w:lineRule="auto" w:line="276" w:before="120" w:after="120"/>
        <w:jc w:val="both"/>
        <w:rPr>
          <w:sz w:val="20"/>
          <w:szCs w:val="20"/>
        </w:rPr>
      </w:pPr>
      <w:r>
        <w:rPr>
          <w:rFonts w:cs="Arial"/>
          <w:bCs/>
          <w:color w:val="000000"/>
          <w:sz w:val="20"/>
          <w:szCs w:val="20"/>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sz w:val="20"/>
          <w:szCs w:val="20"/>
        </w:rPr>
      </w:pPr>
      <w:r>
        <w:rPr>
          <w:rFonts w:cs="Arial"/>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sz w:val="20"/>
          <w:szCs w:val="20"/>
        </w:rPr>
      </w:pPr>
      <w:r>
        <w:rPr>
          <w:rFonts w:cs="Arial"/>
          <w:color w:val="000000"/>
          <w:sz w:val="20"/>
          <w:szCs w:val="20"/>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sz w:val="20"/>
          <w:szCs w:val="20"/>
        </w:rPr>
      </w:pPr>
      <w:r>
        <w:rPr>
          <w:rFonts w:cs="Arial"/>
          <w:color w:val="000000"/>
          <w:sz w:val="20"/>
          <w:szCs w:val="20"/>
        </w:rPr>
        <w:t>A penalidade de multa pode ser aplicada cumulativamente com as demais sanções.</w:t>
      </w:r>
    </w:p>
    <w:p>
      <w:pPr>
        <w:pStyle w:val="Normal"/>
        <w:numPr>
          <w:ilvl w:val="1"/>
          <w:numId w:val="1"/>
        </w:numPr>
        <w:spacing w:lineRule="auto" w:line="276" w:before="120" w:after="120"/>
        <w:ind w:left="425" w:hanging="0"/>
        <w:jc w:val="both"/>
        <w:rPr>
          <w:sz w:val="20"/>
          <w:szCs w:val="20"/>
        </w:rPr>
      </w:pPr>
      <w:r>
        <w:rPr>
          <w:rFonts w:cs="Arial"/>
          <w:color w:val="000000"/>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sz w:val="20"/>
          <w:szCs w:val="20"/>
        </w:rPr>
      </w:pPr>
      <w:r>
        <w:rPr>
          <w:rFonts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sz w:val="20"/>
          <w:szCs w:val="20"/>
        </w:rPr>
      </w:pPr>
      <w:r>
        <w:rPr>
          <w:rFonts w:cs="Arial"/>
          <w:color w:val="000000"/>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sz w:val="20"/>
          <w:szCs w:val="20"/>
        </w:rPr>
      </w:pPr>
      <w:r>
        <w:rPr>
          <w:rFonts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sz w:val="20"/>
          <w:szCs w:val="20"/>
        </w:rPr>
      </w:pPr>
      <w:r>
        <w:rPr>
          <w:rFonts w:cs="Arial"/>
          <w:color w:val="000000"/>
          <w:sz w:val="20"/>
          <w:szCs w:val="20"/>
        </w:rPr>
        <w:t>As sanções por atos praticados no decorrer da contratação estão previstas nos anexos a este Aviso.</w:t>
      </w:r>
    </w:p>
    <w:p>
      <w:pPr>
        <w:pStyle w:val="Normal"/>
        <w:numPr>
          <w:ilvl w:val="0"/>
          <w:numId w:val="0"/>
        </w:numPr>
        <w:spacing w:lineRule="auto" w:line="276" w:before="120" w:after="120"/>
        <w:ind w:left="425" w:hanging="0"/>
        <w:jc w:val="both"/>
        <w:rPr>
          <w:rFonts w:cs="Arial"/>
          <w:color w:val="000000"/>
          <w:sz w:val="20"/>
          <w:szCs w:val="20"/>
        </w:rPr>
      </w:pPr>
      <w:r>
        <w:rPr>
          <w:rFonts w:cs="Arial"/>
          <w:color w:val="000000"/>
          <w:sz w:val="20"/>
          <w:szCs w:val="20"/>
        </w:rPr>
      </w:r>
    </w:p>
    <w:p>
      <w:pPr>
        <w:pStyle w:val="PADRO"/>
        <w:widowControl/>
        <w:numPr>
          <w:ilvl w:val="0"/>
          <w:numId w:val="1"/>
        </w:numPr>
        <w:shd w:val="clear" w:fill="FFFFFF"/>
        <w:spacing w:before="120" w:after="120"/>
        <w:rPr>
          <w:sz w:val="20"/>
          <w:szCs w:val="20"/>
        </w:rPr>
      </w:pPr>
      <w:r>
        <w:rPr>
          <w:rFonts w:cs="Arial" w:ascii="Arial" w:hAnsi="Arial"/>
          <w:b/>
          <w:color w:val="000000"/>
          <w:sz w:val="20"/>
          <w:szCs w:val="20"/>
        </w:rPr>
        <w:t>DAS DISPOSIÇÕES GERAIS</w:t>
      </w:r>
    </w:p>
    <w:p>
      <w:pPr>
        <w:pStyle w:val="Normal"/>
        <w:numPr>
          <w:ilvl w:val="1"/>
          <w:numId w:val="1"/>
        </w:numPr>
        <w:snapToGrid w:val="false"/>
        <w:spacing w:lineRule="auto" w:line="276" w:before="120" w:after="120"/>
        <w:ind w:left="425" w:hanging="0"/>
        <w:jc w:val="both"/>
        <w:rPr>
          <w:sz w:val="20"/>
          <w:szCs w:val="20"/>
        </w:rPr>
      </w:pPr>
      <w:r>
        <w:rPr>
          <w:color w:val="000000"/>
          <w:sz w:val="20"/>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sz w:val="20"/>
          <w:szCs w:val="20"/>
        </w:rPr>
      </w:pPr>
      <w:r>
        <w:rPr>
          <w:rFonts w:cs="Arial"/>
          <w:color w:val="000000"/>
          <w:sz w:val="2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sz w:val="20"/>
          <w:szCs w:val="20"/>
        </w:rPr>
      </w:pPr>
      <w:r>
        <w:rPr>
          <w:rFonts w:cs="Arial"/>
          <w:color w:val="000000"/>
          <w:sz w:val="20"/>
          <w:szCs w:val="20"/>
        </w:rPr>
        <w:t xml:space="preserve"> </w:t>
      </w:r>
      <w:r>
        <w:rPr>
          <w:rFonts w:cs="Arial"/>
          <w:color w:val="000000"/>
          <w:sz w:val="20"/>
          <w:szCs w:val="20"/>
        </w:rPr>
        <w:t>Republicar o presente aviso com uma nova data;</w:t>
      </w:r>
    </w:p>
    <w:p>
      <w:pPr>
        <w:pStyle w:val="Normal"/>
        <w:numPr>
          <w:ilvl w:val="2"/>
          <w:numId w:val="1"/>
        </w:numPr>
        <w:spacing w:lineRule="auto" w:line="276" w:before="120" w:after="120"/>
        <w:jc w:val="both"/>
        <w:rPr>
          <w:sz w:val="20"/>
          <w:szCs w:val="20"/>
        </w:rPr>
      </w:pPr>
      <w:r>
        <w:rPr>
          <w:rFonts w:cs="Arial"/>
          <w:color w:val="000000"/>
          <w:sz w:val="20"/>
          <w:szCs w:val="20"/>
        </w:rPr>
        <w:t xml:space="preserve"> </w:t>
      </w:r>
      <w:r>
        <w:rPr>
          <w:rFonts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sz w:val="20"/>
          <w:szCs w:val="20"/>
        </w:rPr>
      </w:pPr>
      <w:r>
        <w:rPr>
          <w:rFonts w:cs="Arial"/>
          <w:color w:val="000000"/>
          <w:sz w:val="20"/>
          <w:szCs w:val="20"/>
        </w:rPr>
        <w:t>No caso do subitem anterior, a contratação será operacionalizada fora deste procedimento.</w:t>
      </w:r>
    </w:p>
    <w:p>
      <w:pPr>
        <w:pStyle w:val="Normal"/>
        <w:numPr>
          <w:ilvl w:val="2"/>
          <w:numId w:val="1"/>
        </w:numPr>
        <w:spacing w:lineRule="auto" w:line="276" w:before="120" w:after="120"/>
        <w:jc w:val="both"/>
        <w:rPr>
          <w:sz w:val="20"/>
          <w:szCs w:val="20"/>
        </w:rPr>
      </w:pPr>
      <w:r>
        <w:rPr>
          <w:rFonts w:cs="Arial"/>
          <w:color w:val="000000"/>
          <w:sz w:val="2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sz w:val="20"/>
          <w:szCs w:val="20"/>
        </w:rPr>
      </w:pPr>
      <w:r>
        <w:rPr>
          <w:rFonts w:cs="Arial"/>
          <w:color w:val="000000"/>
          <w:sz w:val="2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sz w:val="20"/>
          <w:szCs w:val="20"/>
        </w:rPr>
      </w:pPr>
      <w:r>
        <w:rPr>
          <w:rFonts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sz w:val="20"/>
          <w:szCs w:val="20"/>
        </w:rPr>
      </w:pPr>
      <w:r>
        <w:rPr>
          <w:rFonts w:cs="Arial"/>
          <w:color w:val="000000"/>
          <w:sz w:val="2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sz w:val="20"/>
          <w:szCs w:val="20"/>
        </w:rPr>
      </w:pPr>
      <w:r>
        <w:rPr>
          <w:rFonts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sz w:val="20"/>
          <w:szCs w:val="20"/>
        </w:rPr>
      </w:pPr>
      <w:r>
        <w:rPr>
          <w:rFonts w:cs="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sz w:val="20"/>
          <w:szCs w:val="20"/>
        </w:rPr>
      </w:pPr>
      <w:r>
        <w:rPr>
          <w:rFonts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sz w:val="20"/>
          <w:szCs w:val="20"/>
        </w:rPr>
      </w:pPr>
      <w:r>
        <w:rPr>
          <w:rFonts w:cs="Arial"/>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sz w:val="20"/>
          <w:szCs w:val="20"/>
        </w:rPr>
      </w:pPr>
      <w:r>
        <w:rPr>
          <w:rFonts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sz w:val="20"/>
          <w:szCs w:val="20"/>
        </w:rPr>
      </w:pPr>
      <w:r>
        <w:rPr>
          <w:rFonts w:cs="Arial"/>
          <w:color w:val="000000"/>
          <w:sz w:val="2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sz w:val="20"/>
          <w:szCs w:val="20"/>
        </w:rPr>
      </w:pPr>
      <w:r>
        <w:rPr>
          <w:rFonts w:cs="Arial"/>
          <w:color w:val="000000"/>
          <w:sz w:val="20"/>
          <w:szCs w:val="20"/>
        </w:rPr>
        <w:t>Da sessão pública será divulgada Ata no sistema eletrônico.</w:t>
      </w:r>
    </w:p>
    <w:p>
      <w:pPr>
        <w:pStyle w:val="Normal"/>
        <w:numPr>
          <w:ilvl w:val="1"/>
          <w:numId w:val="1"/>
        </w:numPr>
        <w:spacing w:lineRule="auto" w:line="276" w:before="120" w:after="120"/>
        <w:ind w:left="425" w:hanging="0"/>
        <w:jc w:val="both"/>
        <w:rPr>
          <w:sz w:val="20"/>
          <w:szCs w:val="20"/>
        </w:rPr>
      </w:pPr>
      <w:r>
        <w:rPr>
          <w:rFonts w:cs="Arial"/>
          <w:color w:val="000000"/>
          <w:sz w:val="20"/>
          <w:szCs w:val="20"/>
        </w:rPr>
        <w:t>Integram este Aviso de Contratação Direta, para todos os fins e efeitos, os seguintes anexos:</w:t>
      </w:r>
    </w:p>
    <w:p>
      <w:pPr>
        <w:pStyle w:val="Normal"/>
        <w:numPr>
          <w:ilvl w:val="2"/>
          <w:numId w:val="1"/>
        </w:numPr>
        <w:spacing w:lineRule="auto" w:line="276" w:before="120" w:after="120"/>
        <w:jc w:val="both"/>
        <w:rPr>
          <w:sz w:val="20"/>
          <w:szCs w:val="20"/>
        </w:rPr>
      </w:pPr>
      <w:r>
        <w:rPr>
          <w:rFonts w:cs="Arial"/>
          <w:color w:val="000000"/>
          <w:sz w:val="20"/>
          <w:szCs w:val="20"/>
        </w:rPr>
        <w:t>ANEXO I – Documentação exigida para Habilitação; e</w:t>
      </w:r>
    </w:p>
    <w:p>
      <w:pPr>
        <w:pStyle w:val="Normal"/>
        <w:numPr>
          <w:ilvl w:val="2"/>
          <w:numId w:val="1"/>
        </w:numPr>
        <w:spacing w:lineRule="auto" w:line="276" w:before="120" w:after="120"/>
        <w:jc w:val="both"/>
        <w:rPr>
          <w:sz w:val="20"/>
          <w:szCs w:val="20"/>
        </w:rPr>
      </w:pPr>
      <w:r>
        <w:rPr>
          <w:rFonts w:cs="Arial"/>
          <w:color w:val="000000"/>
          <w:sz w:val="20"/>
          <w:szCs w:val="20"/>
        </w:rPr>
        <w:t>ANEXO II –  Termo de Referência.</w:t>
      </w:r>
    </w:p>
    <w:p>
      <w:pPr>
        <w:pStyle w:val="Normal"/>
        <w:spacing w:lineRule="auto" w:line="276" w:before="120" w:after="120"/>
        <w:ind w:left="1440" w:hanging="0"/>
        <w:jc w:val="both"/>
        <w:rPr>
          <w:rFonts w:cs="Arial"/>
          <w:sz w:val="20"/>
          <w:szCs w:val="20"/>
        </w:rPr>
      </w:pPr>
      <w:r>
        <w:rPr>
          <w:rFonts w:cs="Arial"/>
          <w:sz w:val="20"/>
          <w:szCs w:val="20"/>
        </w:rPr>
      </w:r>
    </w:p>
    <w:p>
      <w:pPr>
        <w:pStyle w:val="Normal"/>
        <w:spacing w:lineRule="auto" w:line="276" w:before="120" w:after="120"/>
        <w:ind w:left="1224" w:hanging="0"/>
        <w:jc w:val="both"/>
        <w:rPr>
          <w:rFonts w:cs="Arial"/>
          <w:color w:val="000000"/>
          <w:sz w:val="20"/>
          <w:szCs w:val="20"/>
        </w:rPr>
      </w:pPr>
      <w:r>
        <w:rPr>
          <w:rFonts w:cs="Arial"/>
          <w:color w:val="000000"/>
          <w:sz w:val="20"/>
          <w:szCs w:val="20"/>
        </w:rPr>
      </w:r>
    </w:p>
    <w:p>
      <w:pPr>
        <w:pStyle w:val="Normal"/>
        <w:spacing w:lineRule="auto" w:line="276" w:before="0" w:after="120"/>
        <w:ind w:left="360" w:right="-15" w:hanging="0"/>
        <w:jc w:val="center"/>
        <w:rPr>
          <w:sz w:val="20"/>
          <w:szCs w:val="20"/>
        </w:rPr>
      </w:pPr>
      <w:r>
        <w:rPr>
          <w:rFonts w:cs="Arial"/>
          <w:color w:val="000000"/>
          <w:sz w:val="20"/>
          <w:szCs w:val="20"/>
        </w:rPr>
        <w:t xml:space="preserve">Manaus - AM, </w:t>
      </w:r>
      <w:r>
        <w:rPr>
          <w:rFonts w:eastAsia="Times New Roman" w:cs="Arial"/>
          <w:color w:val="000000"/>
          <w:kern w:val="0"/>
          <w:sz w:val="20"/>
          <w:szCs w:val="20"/>
          <w:lang w:val="pt-BR" w:eastAsia="pt-BR" w:bidi="ar-SA"/>
        </w:rPr>
        <w:t>6</w:t>
      </w:r>
      <w:r>
        <w:rPr>
          <w:rFonts w:cs="Arial"/>
          <w:color w:val="000000"/>
          <w:sz w:val="20"/>
          <w:szCs w:val="20"/>
        </w:rPr>
        <w:t xml:space="preserve"> de </w:t>
      </w:r>
      <w:r>
        <w:rPr>
          <w:rFonts w:eastAsia="Times New Roman" w:cs="Arial"/>
          <w:color w:val="000000"/>
          <w:kern w:val="0"/>
          <w:sz w:val="20"/>
          <w:szCs w:val="20"/>
          <w:lang w:val="pt-BR" w:eastAsia="pt-BR" w:bidi="ar-SA"/>
        </w:rPr>
        <w:t>outubro</w:t>
      </w:r>
      <w:r>
        <w:rPr>
          <w:rFonts w:cs="Arial"/>
          <w:color w:val="000000"/>
          <w:sz w:val="20"/>
          <w:szCs w:val="20"/>
        </w:rPr>
        <w:t xml:space="preserve"> de 2025.</w:t>
      </w:r>
    </w:p>
    <w:p>
      <w:pPr>
        <w:pStyle w:val="Normal"/>
        <w:spacing w:lineRule="auto" w:line="276" w:before="0" w:after="120"/>
        <w:ind w:left="360" w:right="-15" w:hanging="0"/>
        <w:jc w:val="both"/>
        <w:rPr>
          <w:rFonts w:cs="Arial"/>
          <w:color w:val="000000"/>
          <w:sz w:val="20"/>
          <w:szCs w:val="20"/>
        </w:rPr>
      </w:pPr>
      <w:r>
        <w:rPr>
          <w:rFonts w:cs="Arial"/>
          <w:color w:val="000000"/>
          <w:sz w:val="20"/>
          <w:szCs w:val="20"/>
        </w:rPr>
      </w:r>
    </w:p>
    <w:p>
      <w:pPr>
        <w:pStyle w:val="Normal"/>
        <w:spacing w:lineRule="auto" w:line="276" w:before="0" w:after="120"/>
        <w:ind w:left="360" w:right="-15" w:hanging="0"/>
        <w:jc w:val="both"/>
        <w:rPr>
          <w:rFonts w:cs="Arial"/>
          <w:color w:val="000000"/>
          <w:sz w:val="20"/>
          <w:szCs w:val="20"/>
        </w:rPr>
      </w:pPr>
      <w:r>
        <w:rPr>
          <w:rFonts w:cs="Arial"/>
          <w:color w:val="000000"/>
          <w:sz w:val="20"/>
          <w:szCs w:val="20"/>
        </w:rPr>
      </w:r>
    </w:p>
    <w:p>
      <w:pPr>
        <w:pStyle w:val="Normal"/>
        <w:spacing w:lineRule="auto" w:line="276" w:before="0" w:after="120"/>
        <w:ind w:left="360" w:right="-15" w:hanging="0"/>
        <w:jc w:val="both"/>
        <w:rPr>
          <w:rFonts w:cs="Arial"/>
          <w:color w:val="000000"/>
          <w:sz w:val="20"/>
          <w:szCs w:val="20"/>
        </w:rPr>
      </w:pPr>
      <w:r>
        <w:rPr>
          <w:rFonts w:cs="Arial"/>
          <w:color w:val="000000"/>
          <w:sz w:val="20"/>
          <w:szCs w:val="20"/>
        </w:rPr>
      </w:r>
    </w:p>
    <w:p>
      <w:pPr>
        <w:pStyle w:val="Normal"/>
        <w:spacing w:lineRule="auto" w:line="276"/>
        <w:jc w:val="both"/>
        <w:rPr>
          <w:sz w:val="20"/>
          <w:szCs w:val="20"/>
        </w:rPr>
      </w:pPr>
      <w:r>
        <w:rPr>
          <w:rFonts w:cs="Arial"/>
          <w:b/>
          <w:bCs/>
          <w:iCs/>
          <w:color w:val="000000"/>
          <w:sz w:val="20"/>
          <w:szCs w:val="20"/>
        </w:rPr>
        <w:tab/>
        <w:tab/>
      </w:r>
    </w:p>
    <w:p>
      <w:pPr>
        <w:pStyle w:val="Normal"/>
        <w:ind w:left="357" w:right="-7" w:firstLine="567"/>
        <w:jc w:val="center"/>
        <w:rPr>
          <w:sz w:val="20"/>
          <w:szCs w:val="20"/>
        </w:rPr>
      </w:pPr>
      <w:r>
        <w:rPr>
          <w:rFonts w:eastAsia="Times New Roman" w:cs="Times New Roman" w:ascii="Times New Roman" w:hAnsi="Times New Roman"/>
          <w:b/>
          <w:color w:val="000000"/>
          <w:kern w:val="0"/>
          <w:sz w:val="20"/>
          <w:szCs w:val="20"/>
          <w:lang w:val="pt-BR" w:eastAsia="en-US" w:bidi="ar-SA"/>
        </w:rPr>
        <w:t>ODUVALDO VIANNA DE FREITAS JUNIOR</w:t>
      </w:r>
      <w:r>
        <w:rPr>
          <w:rFonts w:cs="Times New Roman" w:ascii="Times New Roman" w:hAnsi="Times New Roman"/>
          <w:b/>
          <w:color w:val="000000"/>
          <w:sz w:val="20"/>
          <w:szCs w:val="20"/>
          <w:lang w:eastAsia="en-US"/>
        </w:rPr>
        <w:t xml:space="preserve"> – Ten Cel</w:t>
      </w:r>
    </w:p>
    <w:p>
      <w:pPr>
        <w:pStyle w:val="Normal"/>
        <w:spacing w:before="43" w:after="0"/>
        <w:ind w:left="357" w:right="-7" w:firstLine="567"/>
        <w:jc w:val="center"/>
        <w:rPr>
          <w:sz w:val="20"/>
          <w:szCs w:val="20"/>
        </w:rPr>
      </w:pPr>
      <w:r>
        <w:rPr>
          <w:rFonts w:cs="Times New Roman" w:ascii="Times New Roman" w:hAnsi="Times New Roman"/>
          <w:color w:val="000000"/>
          <w:sz w:val="20"/>
          <w:szCs w:val="20"/>
          <w:lang w:eastAsia="en-US"/>
        </w:rPr>
        <w:t>Ordenador de Despes</w:t>
      </w:r>
      <w:r>
        <w:rPr>
          <w:rFonts w:eastAsia="Times New Roman" w:cs="Times New Roman" w:ascii="Times New Roman" w:hAnsi="Times New Roman"/>
          <w:color w:val="000000"/>
          <w:kern w:val="0"/>
          <w:sz w:val="20"/>
          <w:szCs w:val="20"/>
          <w:lang w:val="pt-BR" w:eastAsia="en-US" w:bidi="ar-SA"/>
        </w:rPr>
        <w:t xml:space="preserve">as  </w:t>
      </w:r>
      <w:r>
        <w:rPr>
          <w:rFonts w:eastAsia="Times New Roman" w:cs="Times New Roman" w:ascii="Times New Roman" w:hAnsi="Times New Roman"/>
          <w:color w:val="000000"/>
          <w:kern w:val="0"/>
          <w:sz w:val="20"/>
          <w:szCs w:val="20"/>
          <w:lang w:val="pt-BR" w:eastAsia="en-US" w:bidi="ar-SA"/>
        </w:rPr>
        <w:t xml:space="preserve">substituto </w:t>
      </w:r>
      <w:r>
        <w:rPr>
          <w:rFonts w:eastAsia="Times New Roman" w:cs="Times New Roman" w:ascii="Times New Roman" w:hAnsi="Times New Roman"/>
          <w:color w:val="000000"/>
          <w:kern w:val="0"/>
          <w:sz w:val="20"/>
          <w:szCs w:val="20"/>
          <w:lang w:val="pt-BR" w:eastAsia="en-US" w:bidi="ar-SA"/>
        </w:rPr>
        <w:t>do 4° BAvEx</w:t>
      </w:r>
    </w:p>
    <w:sectPr>
      <w:footerReference w:type="default" r:id="rId6"/>
      <w:type w:val="nextPage"/>
      <w:pgSz w:w="11906" w:h="16838"/>
      <w:pgMar w:left="720" w:right="720" w:header="0" w:top="720" w:footer="777" w:bottom="1577" w:gutter="0"/>
      <w:pgNumType w:fmt="decimal"/>
      <w:formProt w:val="false"/>
      <w:textDirection w:val="lrTb"/>
      <w:docGrid w:type="default" w:linePitch="240" w:charSpace="983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Mono">
    <w:altName w:val="Courier New"/>
    <w:charset w:val="01"/>
    <w:family w:val="roman"/>
    <w:pitch w:val="variable"/>
  </w:font>
  <w:font w:name="Liberation Sans">
    <w:altName w:val="Arial"/>
    <w:charset w:val="01"/>
    <w:family w:val="roman"/>
    <w:pitch w:val="variable"/>
  </w:font>
  <w:font w:name="Times New Roman">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rFonts w:ascii="Times new roman" w:hAnsi="Times new roman"/>
      </w:rPr>
    </w:pPr>
    <w:r>
      <w:rPr>
        <w:rFonts w:ascii="Times new roman" w:hAnsi="Times new roman"/>
      </w:rPr>
      <w:t>Dispensa de Licitação – Dispensa Eletrônica nº 900</w:t>
    </w:r>
    <w:r>
      <w:rPr>
        <w:rFonts w:eastAsia="Times New Roman" w:cs="Tahoma" w:ascii="Times new roman" w:hAnsi="Times new roman"/>
        <w:color w:val="00000A"/>
        <w:kern w:val="0"/>
        <w:sz w:val="20"/>
        <w:szCs w:val="24"/>
        <w:lang w:val="pt-BR" w:eastAsia="pt-BR" w:bidi="ar-SA"/>
      </w:rPr>
      <w:t>44</w:t>
    </w:r>
    <w:r>
      <w:rPr>
        <w:rFonts w:ascii="Times new roman" w:hAnsi="Times new roman"/>
      </w:rPr>
      <w:t>/2025 – 4° BAvEx</w:t>
    </w:r>
  </w:p>
  <w:p>
    <w:pPr>
      <w:pStyle w:val="Rodap"/>
      <w:jc w:val="right"/>
      <w:rPr>
        <w:rFonts w:ascii="Times new roman" w:hAnsi="Times new roman"/>
      </w:rPr>
    </w:pPr>
    <w:r>
      <w:rPr>
        <w:rFonts w:ascii="Times new roman" w:hAnsi="Times new roman"/>
      </w:rPr>
      <w:t xml:space="preserve">Página </w:t>
    </w:r>
    <w:r>
      <w:rPr>
        <w:rFonts w:ascii="Times new roman" w:hAnsi="Times new roman"/>
      </w:rPr>
      <w:fldChar w:fldCharType="begin"/>
    </w:r>
    <w:r>
      <w:rPr>
        <w:rFonts w:ascii="Times new roman" w:hAnsi="Times new roman"/>
      </w:rPr>
      <w:instrText> PAGE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r>
      <w:rPr>
        <w:rFonts w:ascii="Times new roman" w:hAnsi="Times new roman"/>
      </w:rPr>
      <w:t xml:space="preserve"> de </w:t>
    </w:r>
    <w:r>
      <w:rPr>
        <w:rFonts w:ascii="Times new roman" w:hAnsi="Times new roman"/>
      </w:rPr>
      <w:fldChar w:fldCharType="begin"/>
    </w:r>
    <w:r>
      <w:rPr>
        <w:rFonts w:ascii="Times new roman" w:hAnsi="Times new roman"/>
      </w:rPr>
      <w:instrText> NUMPAGES </w:instrText>
    </w:r>
    <w:r>
      <w:rPr>
        <w:rFonts w:ascii="Times new roman" w:hAnsi="Times new roman"/>
      </w:rPr>
      <w:fldChar w:fldCharType="separate"/>
    </w:r>
    <w:r>
      <w:rPr>
        <w:rFonts w:ascii="Times new roman" w:hAnsi="Times new roman"/>
      </w:rPr>
      <w:t>9</w:t>
    </w:r>
    <w:r>
      <w:rPr>
        <w:rFonts w:ascii="Times new roman" w:hAnsi="Times new roman"/>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qFormat/>
    <w:pPr>
      <w:keepNext w:val="true"/>
      <w:keepLines/>
      <w:spacing w:before="240" w:after="0"/>
      <w:outlineLvl w:val="0"/>
    </w:pPr>
    <w:rPr>
      <w:rFonts w:ascii="Calibri Light" w:hAnsi="Calibri Light" w:eastAsia="Calibri" w:cs="DejaVu Sans"/>
      <w:color w:val="2F5496"/>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qFormat/>
    <w:rPr>
      <w:rFonts w:ascii="Arial" w:hAnsi="Arial" w:eastAsia="Calibri" w:cs="Tahoma"/>
      <w:i/>
      <w:iCs/>
      <w:color w:val="000000"/>
      <w:sz w:val="20"/>
      <w:szCs w:val="24"/>
    </w:rPr>
  </w:style>
  <w:style w:type="character" w:styleId="Nivel01Char" w:customStyle="1">
    <w:name w:val="Nivel 01 Char"/>
    <w:basedOn w:val="Ttulo1Char"/>
    <w:qFormat/>
    <w:rPr>
      <w:rFonts w:ascii="Arial" w:hAnsi="Arial" w:eastAsia="Calibri" w:cs="Times New Roman"/>
      <w:b/>
      <w:bCs/>
      <w:color w:val="000000"/>
      <w:sz w:val="20"/>
      <w:szCs w:val="20"/>
      <w:lang w:eastAsia="pt-BR"/>
    </w:rPr>
  </w:style>
  <w:style w:type="character" w:styleId="Ttulo1Char" w:customStyle="1">
    <w:name w:val="Título 1 Char"/>
    <w:basedOn w:val="DefaultParagraphFont"/>
    <w:qFormat/>
    <w:rPr>
      <w:rFonts w:ascii="Calibri Light" w:hAnsi="Calibri Light" w:eastAsia="Calibri" w:cs="DejaVu Sans"/>
      <w:color w:val="2F5496"/>
      <w:sz w:val="32"/>
      <w:szCs w:val="32"/>
      <w:lang w:eastAsia="pt-BR"/>
    </w:rPr>
  </w:style>
  <w:style w:type="character" w:styleId="Citao2Char" w:customStyle="1">
    <w:name w:val="citação 2 Char"/>
    <w:basedOn w:val="CitaoChar"/>
    <w:qFormat/>
    <w:rPr>
      <w:rFonts w:ascii="Arial" w:hAnsi="Arial" w:eastAsia="Calibri" w:cs="Tahoma"/>
      <w:i/>
      <w:iCs/>
      <w:color w:val="000000"/>
      <w:sz w:val="20"/>
      <w:szCs w:val="20"/>
    </w:rPr>
  </w:style>
  <w:style w:type="character" w:styleId="QuoteChar" w:customStyle="1">
    <w:name w:val="Quote Char"/>
    <w:basedOn w:val="DefaultParagraphFont"/>
    <w:qFormat/>
    <w:rPr>
      <w:rFonts w:ascii="Ecofont_Spranq_eco_Sans" w:hAnsi="Ecofont_Spranq_eco_Sans" w:eastAsia="Calibri" w:cs="Tahoma"/>
      <w:i/>
      <w:iCs/>
      <w:color w:val="000000"/>
    </w:rPr>
  </w:style>
  <w:style w:type="character" w:styleId="Annotationreference">
    <w:name w:val="annotation reference"/>
    <w:basedOn w:val="DefaultParagraphFont"/>
    <w:qFormat/>
    <w:rPr>
      <w:sz w:val="16"/>
      <w:szCs w:val="16"/>
    </w:rPr>
  </w:style>
  <w:style w:type="character" w:styleId="TextodecomentrioChar" w:customStyle="1">
    <w:name w:val="Texto de comentário Char"/>
    <w:basedOn w:val="DefaultParagraphFont"/>
    <w:qFormat/>
    <w:rPr>
      <w:rFonts w:ascii="Arial" w:hAnsi="Arial" w:eastAsia="Times New Roman" w:cs="Tahoma"/>
      <w:sz w:val="20"/>
      <w:szCs w:val="20"/>
      <w:lang w:eastAsia="pt-BR"/>
    </w:rPr>
  </w:style>
  <w:style w:type="character" w:styleId="AssuntodocomentrioChar" w:customStyle="1">
    <w:name w:val="Assunto do comentário Char"/>
    <w:basedOn w:val="TextodecomentrioChar"/>
    <w:qFormat/>
    <w:rPr>
      <w:rFonts w:ascii="Arial" w:hAnsi="Arial" w:eastAsia="Times New Roman" w:cs="Tahoma"/>
      <w:b/>
      <w:bCs/>
      <w:sz w:val="20"/>
      <w:szCs w:val="20"/>
      <w:lang w:eastAsia="pt-BR"/>
    </w:rPr>
  </w:style>
  <w:style w:type="character" w:styleId="LinkdaInternet" w:customStyle="1">
    <w:name w:val="Link da Internet"/>
    <w:rPr>
      <w:color w:val="000080"/>
      <w:u w:val="single"/>
    </w:rPr>
  </w:style>
  <w:style w:type="character" w:styleId="Nivel4Char" w:customStyle="1">
    <w:name w:val="Nivel 4 Char"/>
    <w:basedOn w:val="DefaultParagraphFont"/>
    <w:qFormat/>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qFormat/>
    <w:rPr>
      <w:rFonts w:ascii="Segoe UI" w:hAnsi="Segoe UI" w:eastAsia="Times New Roman" w:cs="Segoe UI"/>
      <w:sz w:val="18"/>
      <w:szCs w:val="18"/>
      <w:lang w:eastAsia="pt-BR"/>
    </w:rPr>
  </w:style>
  <w:style w:type="character" w:styleId="CabealhoChar" w:customStyle="1">
    <w:name w:val="Cabeçalho Char"/>
    <w:basedOn w:val="DefaultParagraphFont"/>
    <w:qFormat/>
    <w:rPr>
      <w:rFonts w:ascii="Arial" w:hAnsi="Arial" w:eastAsia="Times New Roman" w:cs="Tahoma"/>
      <w:sz w:val="20"/>
      <w:szCs w:val="24"/>
      <w:lang w:eastAsia="pt-BR"/>
    </w:rPr>
  </w:style>
  <w:style w:type="character" w:styleId="RodapChar" w:customStyle="1">
    <w:name w:val="Rodapé Char"/>
    <w:basedOn w:val="DefaultParagraphFont"/>
    <w:qFormat/>
    <w:rPr>
      <w:rFonts w:ascii="Arial" w:hAnsi="Arial" w:eastAsia="Times New Roman" w:cs="Tahoma"/>
      <w:sz w:val="20"/>
      <w:szCs w:val="24"/>
      <w:lang w:eastAsia="pt-BR"/>
    </w:rPr>
  </w:style>
  <w:style w:type="character" w:styleId="Smbolosdenumerao" w:customStyle="1">
    <w:name w:val="Símbolos de numeração"/>
    <w:qFormat/>
    <w:rPr/>
  </w:style>
  <w:style w:type="character" w:styleId="Textooriginal" w:customStyle="1">
    <w:name w:val="Texto original"/>
    <w:qFormat/>
    <w:rPr>
      <w:rFonts w:ascii="Liberation Mono" w:hAnsi="Liberation Mono" w:eastAsia="Liberation Mono" w:cs="Liberation Mono"/>
    </w:rPr>
  </w:style>
  <w:style w:type="character" w:styleId="Strong" w:customStyle="1">
    <w:name w:val="Strong"/>
    <w:qFormat/>
    <w:rPr>
      <w:b/>
      <w:bCs/>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Marathi"/>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ohit Marathi"/>
    </w:rPr>
  </w:style>
  <w:style w:type="paragraph" w:styleId="Ttulododocumento">
    <w:name w:val="Title"/>
    <w:basedOn w:val="Normal"/>
    <w:next w:val="Corpodotexto"/>
    <w:qFormat/>
    <w:pPr>
      <w:keepNext w:val="true"/>
      <w:spacing w:before="240" w:after="120"/>
    </w:pPr>
    <w:rPr>
      <w:rFonts w:ascii="Liberation Sans" w:hAnsi="Liberation Sans" w:eastAsia="Noto Sans CJK SC" w:cs="Lohit Marathi"/>
      <w:sz w:val="28"/>
      <w:szCs w:val="28"/>
    </w:rPr>
  </w:style>
  <w:style w:type="paragraph" w:styleId="Caption1">
    <w:name w:val="caption1"/>
    <w:basedOn w:val="Normal"/>
    <w:qFormat/>
    <w:pPr>
      <w:suppressLineNumbers/>
      <w:spacing w:before="120" w:after="120"/>
    </w:pPr>
    <w:rPr>
      <w:rFonts w:cs="Lohit Marath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qFormat/>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qFormat/>
    <w:pPr>
      <w:spacing w:before="0" w:after="0"/>
      <w:ind w:left="720" w:hanging="0"/>
      <w:contextualSpacing/>
    </w:pPr>
    <w:rPr/>
  </w:style>
  <w:style w:type="paragraph" w:styleId="Citao2" w:customStyle="1">
    <w:name w:val="citação 2"/>
    <w:basedOn w:val="Quote"/>
    <w:qFormat/>
    <w:pPr>
      <w:shd w:val="clear" w:fill="FFFFCC"/>
    </w:pPr>
    <w:rPr>
      <w:szCs w:val="20"/>
    </w:rPr>
  </w:style>
  <w:style w:type="paragraph" w:styleId="Citao1" w:customStyle="1">
    <w:name w:val="Citação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customStyle="1">
    <w:name w:val="Nivel1"/>
    <w:basedOn w:val="Ttulo1"/>
    <w:qFormat/>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pPr/>
    <w:rPr>
      <w:rFonts w:cs="Arial"/>
      <w:b/>
    </w:rPr>
  </w:style>
  <w:style w:type="paragraph" w:styleId="Nivel3" w:customStyle="1">
    <w:name w:val="Nivel 3"/>
    <w:basedOn w:val="Nivel2"/>
    <w:qFormat/>
    <w:pPr/>
    <w:rPr>
      <w:rFonts w:cs="Arial"/>
      <w:color w:val="000000"/>
    </w:rPr>
  </w:style>
  <w:style w:type="paragraph" w:styleId="Nivel4" w:customStyle="1">
    <w:name w:val="Nivel 4"/>
    <w:basedOn w:val="Nivel3"/>
    <w:qFormat/>
    <w:pPr/>
    <w:rPr>
      <w:color w:val="00000A"/>
    </w:rPr>
  </w:style>
  <w:style w:type="paragraph" w:styleId="Nivel5" w:customStyle="1">
    <w:name w:val="Nivel 5"/>
    <w:basedOn w:val="Nivel4"/>
    <w:qFormat/>
    <w:pPr>
      <w:tabs>
        <w:tab w:val="clear" w:pos="708"/>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customStyle="1">
    <w:name w:val="Cabeçalho e Rodapé"/>
    <w:basedOn w:val="Normal"/>
    <w:qFormat/>
    <w:pPr/>
    <w:rPr/>
  </w:style>
  <w:style w:type="paragraph" w:styleId="Cabealho">
    <w:name w:val="Header"/>
    <w:basedOn w:val="Normal"/>
    <w:pPr>
      <w:tabs>
        <w:tab w:val="clear" w:pos="708"/>
        <w:tab w:val="center" w:pos="4252" w:leader="none"/>
        <w:tab w:val="right" w:pos="8504" w:leader="none"/>
      </w:tabs>
    </w:pPr>
    <w:rPr/>
  </w:style>
  <w:style w:type="paragraph" w:styleId="Rodap">
    <w:name w:val="Footer"/>
    <w:basedOn w:val="Normal"/>
    <w:pPr>
      <w:tabs>
        <w:tab w:val="clear" w:pos="708"/>
        <w:tab w:val="center" w:pos="4252" w:leader="none"/>
        <w:tab w:val="right" w:pos="8504" w:leader="none"/>
      </w:tabs>
    </w:pPr>
    <w:rPr/>
  </w:style>
  <w:style w:type="paragraph" w:styleId="Standard" w:customStyle="1">
    <w:name w:val="Standard"/>
    <w:qFormat/>
    <w:pPr>
      <w:widowControl/>
      <w:suppressAutoHyphens w:val="true"/>
      <w:bidi w:val="0"/>
      <w:spacing w:before="0" w:after="0"/>
      <w:jc w:val="left"/>
      <w:textAlignment w:val="baseline"/>
    </w:pPr>
    <w:rPr>
      <w:rFonts w:ascii="Calibri" w:hAnsi="Calibri" w:eastAsia="Calibri" w:cs="DejaVu Sans"/>
      <w:color w:val="00000A"/>
      <w:kern w:val="0"/>
      <w:sz w:val="20"/>
      <w:szCs w:val="22"/>
      <w:lang w:val="pt-BR" w:eastAsia="en-US" w:bidi="ar-SA"/>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1739</TotalTime>
  <Application>LibreOffice/6.4.7.2$Linux_X86_64 LibreOffice_project/40$Build-2</Application>
  <Pages>9</Pages>
  <Words>4336</Words>
  <Characters>24993</Characters>
  <CharactersWithSpaces>29021</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dcterms:modified xsi:type="dcterms:W3CDTF">2025-10-06T07:13:33Z</dcterms:modified>
  <cp:revision>232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