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wmf" ContentType="image/x-wmf"/>
  <Override PartName="/word/styles.xml" ContentType="application/vnd.openxmlformats-officedocument.wordprocessingml.styles+xml"/>
  <Override PartName="/word/header1.xml" ContentType="application/vnd.openxmlformats-officedocument.wordprocessingml.header+xml"/>
  <Override PartName="/word/comments.xml" ContentType="application/vnd.openxmlformats-officedocument.wordprocessingml.comment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comments.xml.rels" ContentType="application/vnd.openxmlformats-package.relationships+xml"/>
  <Override PartName="/customXml/item1.xml" ContentType="application/xml"/>
  <Override PartName="/customXml/itemProps3.xml" ContentType="application/vnd.openxmlformats-officedocument.customXmlProperties+xml"/>
  <Override PartName="/customXml/itemProps1.xml" ContentType="application/vnd.openxmlformats-officedocument.customXmlProperties+xml"/>
  <Override PartName="/customXml/item2.xml" ContentType="application/xml"/>
  <Override PartName="/customXml/itemProps4.xml" ContentType="application/vnd.openxmlformats-officedocument.customXmlProperties+xml"/>
  <Override PartName="/customXml/itemProps2.xml" ContentType="application/vnd.openxmlformats-officedocument.customXmlProperties+xml"/>
  <Override PartName="/customXml/item3.xml" ContentType="application/xml"/>
  <Override PartName="/customXml/item4.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288"/>
        <w:jc w:val="center"/>
        <w:rPr>
          <w:rFonts w:ascii="Arial" w:hAnsi="Arial" w:cs="Arial"/>
          <w:b/>
          <w:bCs/>
          <w:color w:themeColor="text1" w:val="000000"/>
          <w:sz w:val="20"/>
          <w:szCs w:val="20"/>
        </w:rPr>
      </w:pPr>
      <w:r>
        <w:rPr>
          <w:rFonts w:cs="Arial" w:ascii="Arial" w:hAnsi="Arial"/>
          <w:b/>
          <w:i/>
          <w:color w:val="FF0000"/>
          <w:sz w:val="20"/>
          <w:szCs w:val="20"/>
        </w:rPr>
        <w:drawing>
          <wp:anchor behindDoc="0" distT="0" distB="0" distL="114300" distR="114300" simplePos="0" locked="0" layoutInCell="0" allowOverlap="1" relativeHeight="2">
            <wp:simplePos x="0" y="0"/>
            <wp:positionH relativeFrom="column">
              <wp:posOffset>2697480</wp:posOffset>
            </wp:positionH>
            <wp:positionV relativeFrom="paragraph">
              <wp:posOffset>-187325</wp:posOffset>
            </wp:positionV>
            <wp:extent cx="737870" cy="806450"/>
            <wp:effectExtent l="0" t="0" r="0" b="0"/>
            <wp:wrapSquare wrapText="bothSides"/>
            <wp:docPr id="1"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
                    <pic:cNvPicPr>
                      <a:picLocks noChangeAspect="1" noChangeArrowheads="1"/>
                    </pic:cNvPicPr>
                  </pic:nvPicPr>
                  <pic:blipFill>
                    <a:blip r:embed="rId2"/>
                    <a:stretch>
                      <a:fillRect/>
                    </a:stretch>
                  </pic:blipFill>
                  <pic:spPr bwMode="auto">
                    <a:xfrm>
                      <a:off x="0" y="0"/>
                      <a:ext cx="737870" cy="806450"/>
                    </a:xfrm>
                    <a:prstGeom prst="rect">
                      <a:avLst/>
                    </a:prstGeom>
                  </pic:spPr>
                </pic:pic>
              </a:graphicData>
            </a:graphic>
          </wp:anchor>
        </w:drawing>
      </w:r>
    </w:p>
    <w:p>
      <w:pPr>
        <w:pStyle w:val="Normal"/>
        <w:spacing w:lineRule="auto" w:line="276" w:before="120" w:after="288"/>
        <w:ind w:firstLine="709"/>
        <w:jc w:val="center"/>
        <w:rPr>
          <w:rFonts w:ascii="Arial" w:hAnsi="Arial" w:cs="Arial"/>
          <w:b/>
          <w:i/>
          <w:i/>
          <w:color w:val="FF0000"/>
          <w:sz w:val="20"/>
          <w:szCs w:val="20"/>
        </w:rPr>
      </w:pPr>
      <w:r>
        <w:rPr>
          <w:rFonts w:cs="Arial" w:ascii="Arial" w:hAnsi="Arial"/>
          <w:b/>
          <w:i/>
          <w:color w:val="FF0000"/>
          <w:sz w:val="20"/>
          <w:szCs w:val="20"/>
        </w:rPr>
      </w:r>
    </w:p>
    <w:p>
      <w:pPr>
        <w:pStyle w:val="Ttulo1"/>
        <w:rPr>
          <w:rFonts w:ascii="Calibri" w:hAnsi="Calibri" w:cs="Calibri"/>
          <w:color w:val="000000"/>
          <w:sz w:val="20"/>
        </w:rPr>
      </w:pPr>
      <w:r>
        <w:rPr>
          <w:rFonts w:cs="Calibri" w:ascii="Calibri" w:hAnsi="Calibri"/>
          <w:color w:val="000000"/>
          <w:sz w:val="20"/>
        </w:rPr>
        <w:t>MINISTÉRIO DA DEFESA</w:t>
      </w:r>
    </w:p>
    <w:p>
      <w:pPr>
        <w:pStyle w:val="Ttulo1"/>
        <w:rPr>
          <w:rFonts w:ascii="Calibri" w:hAnsi="Calibri" w:cs="Calibri"/>
          <w:color w:val="000000"/>
          <w:sz w:val="20"/>
        </w:rPr>
      </w:pPr>
      <w:r>
        <w:rPr>
          <w:rFonts w:cs="Calibri" w:ascii="Calibri" w:hAnsi="Calibri"/>
          <w:color w:val="000000"/>
          <w:sz w:val="20"/>
        </w:rPr>
        <w:t>EXÉRCITO BRASILEIRO</w:t>
      </w:r>
    </w:p>
    <w:p>
      <w:pPr>
        <w:pStyle w:val="Normal"/>
        <w:spacing w:lineRule="auto" w:line="240"/>
        <w:jc w:val="center"/>
        <w:rPr>
          <w:rFonts w:ascii="Calibri" w:hAnsi="Calibri" w:eastAsia="" w:cs="Calibri" w:eastAsiaTheme="minorEastAsia"/>
          <w:b/>
          <w:color w:val="000000"/>
          <w:kern w:val="0"/>
          <w:sz w:val="20"/>
          <w:szCs w:val="20"/>
          <w:lang w:val="pt-BR" w:eastAsia="pt-BR" w:bidi="ar-SA"/>
        </w:rPr>
      </w:pPr>
      <w:r>
        <w:rPr>
          <w:rFonts w:eastAsia="" w:cs="Calibri" w:ascii="Calibri" w:hAnsi="Calibri" w:eastAsiaTheme="minorEastAsia"/>
          <w:b/>
          <w:color w:val="000000"/>
          <w:kern w:val="0"/>
          <w:sz w:val="20"/>
          <w:szCs w:val="20"/>
          <w:lang w:val="pt-BR" w:eastAsia="pt-BR" w:bidi="ar-SA"/>
        </w:rPr>
        <w:t>CENTRO DE PREPARAÇÃO DE OFICIAIS DA RESERVA DE SÃO PAULO</w:t>
        <w:br/>
        <w:t>(CPOR/2ª RM/1930)</w:t>
        <w:br/>
        <w:t>CENTRO SOLAR DOS ANDRADAS</w:t>
      </w:r>
    </w:p>
    <w:p>
      <w:pPr>
        <w:pStyle w:val="Normal"/>
        <w:spacing w:lineRule="auto" w:line="360"/>
        <w:jc w:val="center"/>
        <w:rPr>
          <w:rFonts w:ascii="Arial" w:hAnsi="Arial" w:cs="Arial"/>
          <w:sz w:val="20"/>
          <w:szCs w:val="20"/>
        </w:rPr>
      </w:pPr>
      <w:r>
        <w:rPr>
          <w:rFonts w:cs="Arial" w:ascii="Arial" w:hAnsi="Arial"/>
          <w:sz w:val="20"/>
          <w:szCs w:val="20"/>
        </w:rPr>
      </w:r>
    </w:p>
    <w:p>
      <w:pPr>
        <w:pStyle w:val="LO-normal"/>
        <w:jc w:val="center"/>
        <w:rPr>
          <w:highlight w:val="none"/>
          <w:shd w:fill="auto" w:val="clear"/>
        </w:rPr>
      </w:pPr>
      <w:r>
        <w:rPr>
          <w:b/>
          <w:color w:val="000000"/>
          <w:shd w:fill="auto" w:val="clear"/>
        </w:rPr>
        <w:t xml:space="preserve">DISPENSA ELETRÔNICA Nº </w:t>
      </w:r>
      <w:r>
        <w:rPr>
          <w:b/>
          <w:color w:val="000000"/>
          <w:shd w:fill="auto" w:val="clear"/>
        </w:rPr>
        <w:t>35</w:t>
      </w:r>
      <w:r>
        <w:rPr>
          <w:b/>
          <w:color w:val="000000"/>
          <w:shd w:fill="auto" w:val="clear"/>
        </w:rPr>
        <w:t>/2025</w:t>
      </w:r>
    </w:p>
    <w:p>
      <w:pPr>
        <w:pStyle w:val="LO-normal"/>
        <w:widowControl w:val="false"/>
        <w:spacing w:lineRule="auto" w:line="360"/>
        <w:ind w:hanging="0" w:right="-15"/>
        <w:jc w:val="center"/>
        <w:rPr>
          <w:b/>
          <w:color w:val="000000"/>
          <w:highlight w:val="white"/>
        </w:rPr>
      </w:pPr>
      <w:r>
        <w:rPr>
          <w:rFonts w:cs="Arial"/>
          <w:b/>
          <w:bCs/>
          <w:i/>
          <w:color w:val="000000"/>
          <w:sz w:val="20"/>
          <w:szCs w:val="20"/>
          <w:highlight w:val="white"/>
        </w:rPr>
        <w:t>(Processo Administrat</w:t>
      </w:r>
      <w:r>
        <w:rPr>
          <w:rFonts w:cs="Arial"/>
          <w:b/>
          <w:bCs/>
          <w:i/>
          <w:color w:val="111111"/>
          <w:sz w:val="20"/>
          <w:szCs w:val="20"/>
          <w:highlight w:val="white"/>
        </w:rPr>
        <w:t xml:space="preserve">ivo n.° </w:t>
      </w:r>
      <w:r>
        <w:rPr>
          <w:rFonts w:eastAsia="Arial" w:cs="Arial"/>
          <w:b/>
          <w:bCs/>
          <w:i/>
          <w:color w:val="000000"/>
          <w:kern w:val="0"/>
          <w:sz w:val="20"/>
          <w:szCs w:val="20"/>
          <w:highlight w:val="white"/>
          <w:lang w:val="pt-BR" w:eastAsia="zh-CN" w:bidi="hi-IN"/>
        </w:rPr>
        <w:t xml:space="preserve"> </w:t>
      </w:r>
      <w:r>
        <w:rPr>
          <w:rFonts w:eastAsia="Arial" w:cs="Arial"/>
          <w:b/>
          <w:bCs/>
          <w:i/>
          <w:color w:val="212121"/>
          <w:kern w:val="0"/>
          <w:sz w:val="20"/>
          <w:szCs w:val="20"/>
          <w:highlight w:val="white"/>
          <w:shd w:fill="FFFFFF" w:val="clear"/>
          <w:lang w:val="pt-BR" w:eastAsia="zh-CN" w:bidi="hi-IN"/>
        </w:rPr>
        <w:t>6</w:t>
      </w:r>
      <w:r>
        <w:rPr>
          <w:rFonts w:eastAsia="Arial" w:cs="Arial"/>
          <w:b/>
          <w:bCs/>
          <w:i/>
          <w:color w:val="212121"/>
          <w:kern w:val="0"/>
          <w:sz w:val="20"/>
          <w:szCs w:val="20"/>
          <w:highlight w:val="white"/>
          <w:shd w:fill="FFFFFF" w:val="clear"/>
          <w:lang w:val="pt-BR" w:eastAsia="zh-CN" w:bidi="hi-IN"/>
        </w:rPr>
        <w:t>5469</w:t>
      </w:r>
      <w:r>
        <w:rPr>
          <w:rFonts w:eastAsia="Arial" w:cs="Arial"/>
          <w:b/>
          <w:bCs/>
          <w:i/>
          <w:color w:val="212121"/>
          <w:kern w:val="0"/>
          <w:sz w:val="20"/>
          <w:szCs w:val="20"/>
          <w:highlight w:val="white"/>
          <w:shd w:fill="FFFFFF" w:val="clear"/>
          <w:lang w:val="pt-BR" w:eastAsia="zh-CN" w:bidi="hi-IN"/>
        </w:rPr>
        <w:t>.00</w:t>
      </w:r>
      <w:r>
        <w:rPr>
          <w:rFonts w:eastAsia="Arial" w:cs="Arial"/>
          <w:b/>
          <w:bCs/>
          <w:i/>
          <w:color w:val="212121"/>
          <w:kern w:val="0"/>
          <w:sz w:val="20"/>
          <w:szCs w:val="20"/>
          <w:highlight w:val="white"/>
          <w:shd w:fill="FFFFFF" w:val="clear"/>
          <w:lang w:val="pt-BR" w:eastAsia="zh-CN" w:bidi="hi-IN"/>
        </w:rPr>
        <w:t>1686</w:t>
      </w:r>
      <w:r>
        <w:rPr>
          <w:rFonts w:eastAsia="Arial" w:cs="Arial"/>
          <w:b/>
          <w:bCs/>
          <w:i/>
          <w:color w:val="212121"/>
          <w:kern w:val="0"/>
          <w:sz w:val="20"/>
          <w:szCs w:val="20"/>
          <w:highlight w:val="white"/>
          <w:shd w:fill="FFFFFF" w:val="clear"/>
          <w:lang w:val="pt-BR" w:eastAsia="zh-CN" w:bidi="hi-IN"/>
        </w:rPr>
        <w:t>/202</w:t>
      </w:r>
      <w:r>
        <w:rPr>
          <w:rFonts w:eastAsia="Arial" w:cs="Arial"/>
          <w:b/>
          <w:bCs/>
          <w:i/>
          <w:color w:val="212121"/>
          <w:kern w:val="0"/>
          <w:sz w:val="20"/>
          <w:szCs w:val="20"/>
          <w:highlight w:val="white"/>
          <w:shd w:fill="FFFFFF" w:val="clear"/>
          <w:lang w:val="pt-BR" w:eastAsia="zh-CN" w:bidi="hi-IN"/>
        </w:rPr>
        <w:t>5</w:t>
      </w:r>
      <w:r>
        <w:rPr>
          <w:rFonts w:eastAsia="Arial" w:cs="Arial"/>
          <w:b/>
          <w:bCs/>
          <w:i/>
          <w:color w:val="212121"/>
          <w:kern w:val="0"/>
          <w:sz w:val="20"/>
          <w:szCs w:val="20"/>
          <w:highlight w:val="white"/>
          <w:shd w:fill="FFFFFF" w:val="clear"/>
          <w:lang w:val="pt-BR" w:eastAsia="zh-CN" w:bidi="hi-IN"/>
        </w:rPr>
        <w:t>-</w:t>
      </w:r>
      <w:r>
        <w:rPr>
          <w:rFonts w:eastAsia="Arial" w:cs="Arial"/>
          <w:b/>
          <w:bCs/>
          <w:i/>
          <w:color w:val="212121"/>
          <w:kern w:val="0"/>
          <w:sz w:val="20"/>
          <w:szCs w:val="20"/>
          <w:highlight w:val="white"/>
          <w:shd w:fill="FFFFFF" w:val="clear"/>
          <w:lang w:val="pt-BR" w:eastAsia="zh-CN" w:bidi="hi-IN"/>
        </w:rPr>
        <w:t>61</w:t>
      </w:r>
      <w:r>
        <w:rPr>
          <w:rFonts w:eastAsia="Arial" w:cs="Arial"/>
          <w:b/>
          <w:bCs/>
          <w:i/>
          <w:color w:val="000000"/>
          <w:kern w:val="0"/>
          <w:sz w:val="20"/>
          <w:szCs w:val="20"/>
          <w:highlight w:val="white"/>
          <w:lang w:val="pt-BR" w:eastAsia="zh-CN" w:bidi="hi-IN"/>
        </w:rPr>
        <w:t>)</w:t>
      </w:r>
    </w:p>
    <w:p>
      <w:pPr>
        <w:pStyle w:val="Prembulo"/>
        <w:spacing w:lineRule="auto" w:line="312" w:before="480" w:after="288"/>
        <w:ind w:hanging="0" w:left="4253" w:right="-170"/>
        <w:rPr>
          <w:bCs w:val="false"/>
        </w:rPr>
      </w:pPr>
      <w:r>
        <w:rPr>
          <w:rFonts w:eastAsia="Arial" w:cs="Arial"/>
          <w:b w:val="false"/>
          <w:bCs w:val="false"/>
          <w:i/>
          <w:color w:val="000000"/>
          <w:kern w:val="0"/>
          <w:sz w:val="20"/>
          <w:szCs w:val="20"/>
          <w:highlight w:val="white"/>
          <w:lang w:val="pt-BR" w:eastAsia="zh-CN" w:bidi="hi-IN"/>
        </w:rPr>
        <w:t>CONTRATO ADMINISTRATIVO N</w:t>
      </w:r>
      <w:r>
        <w:rPr>
          <w:b w:val="false"/>
          <w:bCs w:val="false"/>
        </w:rPr>
        <w:t>º</w:t>
      </w:r>
      <w:r>
        <w:rPr>
          <w:bCs w:val="false"/>
        </w:rPr>
        <w:t xml:space="preserve"> ___/2025, QUE FAZEM ENTRE SI A UNIÃO, POR INTERMÉDIO DO </w:t>
      </w:r>
      <w:r>
        <w:rPr>
          <w:rFonts w:eastAsia="Arial" w:cs="Arial"/>
          <w:bCs w:val="false"/>
          <w:i/>
          <w:iCs/>
          <w:color w:val="111111"/>
          <w:sz w:val="20"/>
          <w:szCs w:val="20"/>
        </w:rPr>
        <w:t>CENTRO DE PREPARAÇÃO DE OFICIAIS DA RESERVA DE SÃO PAULO -CPOR/SP</w:t>
      </w:r>
      <w:r>
        <w:rPr>
          <w:bCs w:val="false"/>
        </w:rPr>
        <w:t xml:space="preserve"> E A(O) EMPRESA/PRESTADOR DE SERVIÇO </w:t>
      </w:r>
      <w:r>
        <w:rPr>
          <w:rFonts w:eastAsia="Arial" w:cs="Arial"/>
          <w:bCs w:val="false"/>
          <w:color w:val="FF0000"/>
          <w:kern w:val="0"/>
          <w:sz w:val="20"/>
          <w:szCs w:val="20"/>
          <w:lang w:val="pt-BR" w:eastAsia="pt-BR" w:bidi="ar-SA"/>
        </w:rPr>
        <w:t>xxxxxxxxxxxxxxxxxxxxxx</w:t>
      </w:r>
    </w:p>
    <w:p>
      <w:pPr>
        <w:pStyle w:val="Normal"/>
        <w:spacing w:lineRule="auto" w:line="276" w:before="120" w:after="120"/>
        <w:ind w:firstLine="1418"/>
        <w:jc w:val="both"/>
        <w:rPr>
          <w:rFonts w:ascii="Arial" w:hAnsi="Arial" w:eastAsia="Arial" w:cs="Arial"/>
          <w:sz w:val="20"/>
          <w:szCs w:val="20"/>
        </w:rPr>
      </w:pPr>
      <w:r>
        <w:rPr>
          <w:rFonts w:eastAsia="Arial" w:cs="Arial" w:ascii="Arial" w:hAnsi="Arial"/>
          <w:i/>
          <w:iCs/>
          <w:color w:val="111111"/>
          <w:sz w:val="20"/>
          <w:szCs w:val="20"/>
        </w:rPr>
        <w:t xml:space="preserve">A UNIÃO, por intermédio do CENTRO DE PREPARAÇÃO DE OFICIAIS DA RESERVA DE SÃO PAULO - CPOR/SP, com sede na Rua Alfredo Pujol, 681, bairro Santana, São Paulo, SP, CEP 02017-011, inscrito no CNPJ/MF sob o nº </w:t>
      </w:r>
      <w:r>
        <w:rPr>
          <w:rFonts w:eastAsia="Calibri" w:cs="Arial" w:ascii="Arial" w:hAnsi="Arial"/>
          <w:i/>
          <w:iCs/>
          <w:color w:val="111111"/>
          <w:sz w:val="20"/>
          <w:szCs w:val="20"/>
        </w:rPr>
        <w:t>10.437.535/0001-88</w:t>
      </w:r>
      <w:r>
        <w:rPr>
          <w:rFonts w:eastAsia="Arial" w:cs="Arial" w:ascii="Arial" w:hAnsi="Arial"/>
          <w:i/>
          <w:iCs/>
          <w:color w:val="111111"/>
          <w:sz w:val="20"/>
          <w:szCs w:val="20"/>
        </w:rPr>
        <w:t xml:space="preserve">, neste ato representado pelo Coronel </w:t>
      </w:r>
      <w:r>
        <w:rPr>
          <w:rFonts w:eastAsia="Arial" w:cs="Arial" w:ascii="Arial" w:hAnsi="Arial"/>
          <w:b/>
          <w:i/>
          <w:iCs/>
          <w:color w:val="111111"/>
          <w:kern w:val="0"/>
          <w:sz w:val="20"/>
          <w:szCs w:val="20"/>
          <w:lang w:val="pt-BR" w:eastAsia="pt-BR" w:bidi="ar-SA"/>
        </w:rPr>
        <w:t>FREDERICO VIEIRA CABRAL MENDES</w:t>
      </w:r>
      <w:r>
        <w:rPr>
          <w:rFonts w:eastAsia="Arial" w:cs="Arial" w:ascii="Arial" w:hAnsi="Arial"/>
          <w:i/>
          <w:iCs/>
          <w:color w:val="111111"/>
          <w:sz w:val="20"/>
          <w:szCs w:val="20"/>
        </w:rPr>
        <w:t xml:space="preserve"> – Comandante do CPOR, nomeado pela </w:t>
      </w:r>
      <w:r>
        <w:rPr>
          <w:rFonts w:eastAsia="Arial" w:cs="Arial" w:ascii="Arial" w:hAnsi="Arial"/>
          <w:i/>
          <w:iCs/>
          <w:color w:val="111111"/>
          <w:sz w:val="20"/>
          <w:szCs w:val="20"/>
          <w:shd w:fill="auto" w:val="clear"/>
        </w:rPr>
        <w:t>Portaria nº 1.445, de 3 de outubro de 2024, publicada no DOU nº 193, de 4 de outubro de 2024</w:t>
      </w:r>
      <w:r>
        <w:rPr>
          <w:rFonts w:eastAsia="Arial" w:cs="Arial" w:ascii="Arial" w:hAnsi="Arial"/>
          <w:i/>
          <w:iCs/>
          <w:color w:val="111111"/>
          <w:sz w:val="20"/>
          <w:szCs w:val="20"/>
        </w:rPr>
        <w:t xml:space="preserve">, portador da matrícula funcional nº </w:t>
      </w:r>
      <w:r>
        <w:rPr>
          <w:rFonts w:eastAsia="Arial" w:cs="Arial" w:ascii="Arial" w:hAnsi="Arial"/>
          <w:i/>
          <w:iCs/>
          <w:color w:val="111111"/>
          <w:sz w:val="20"/>
          <w:szCs w:val="20"/>
          <w:shd w:fill="auto" w:val="clear"/>
        </w:rPr>
        <w:t>0130297849</w:t>
      </w:r>
      <w:commentRangeStart w:id="0"/>
      <w:r>
        <w:rPr>
          <w:rFonts w:eastAsia="Arial" w:cs="Arial" w:ascii="Arial" w:hAnsi="Arial"/>
          <w:sz w:val="20"/>
          <w:szCs w:val="20"/>
        </w:rPr>
        <w:t xml:space="preserve">, doravante denominado CONTRATANTE, e a </w:t>
      </w:r>
      <w:r>
        <w:rPr>
          <w:rFonts w:eastAsia="Arial" w:cs="Arial" w:ascii="Arial" w:hAnsi="Arial"/>
          <w:color w:val="FF0000"/>
          <w:sz w:val="20"/>
          <w:szCs w:val="20"/>
        </w:rPr>
        <w:t>empresa/fornecedor</w:t>
      </w:r>
      <w:r>
        <w:rPr>
          <w:rFonts w:eastAsia="Arial" w:cs="Arial" w:ascii="Arial" w:hAnsi="Arial"/>
          <w:sz w:val="20"/>
          <w:szCs w:val="20"/>
        </w:rPr>
        <w:t xml:space="preserve"> </w:t>
      </w:r>
      <w:r>
        <w:rPr>
          <w:rFonts w:eastAsia="Arial" w:cs="Arial" w:ascii="Calibri" w:hAnsi="Calibri"/>
          <w:b/>
          <w:bCs/>
          <w:color w:val="auto"/>
          <w:sz w:val="20"/>
          <w:szCs w:val="20"/>
        </w:rPr>
        <w:t xml:space="preserve"> </w:t>
      </w:r>
      <w:r>
        <w:rPr>
          <w:rFonts w:eastAsia="Arial" w:cs="Arial" w:ascii="Calibri" w:hAnsi="Calibri"/>
          <w:b w:val="false"/>
          <w:bCs w:val="false"/>
          <w:i/>
          <w:iCs/>
          <w:color w:val="FF0000"/>
          <w:sz w:val="24"/>
          <w:szCs w:val="20"/>
        </w:rPr>
        <w:t>xxxxxxxxxxxxxxx</w:t>
      </w:r>
      <w:r>
        <w:rPr>
          <w:rFonts w:eastAsia="Arial" w:cs="Arial" w:ascii="Arial" w:hAnsi="Arial"/>
          <w:b/>
          <w:bCs/>
          <w:color w:val="auto"/>
          <w:sz w:val="20"/>
          <w:szCs w:val="20"/>
        </w:rPr>
        <w:t xml:space="preserve"> </w:t>
      </w:r>
      <w:r>
        <w:rPr>
          <w:rFonts w:eastAsia="Arial" w:cs="Arial" w:ascii="Arial" w:hAnsi="Arial"/>
          <w:i/>
          <w:iCs/>
          <w:color w:val="auto"/>
          <w:sz w:val="20"/>
          <w:szCs w:val="20"/>
        </w:rPr>
        <w:t xml:space="preserve">inscrita no CNPJ/MF/CPF sob o nº </w:t>
      </w:r>
      <w:r>
        <w:rPr>
          <w:rFonts w:eastAsia="Arial" w:cs="Arial" w:ascii="Arial" w:hAnsi="Arial"/>
          <w:b w:val="false"/>
          <w:bCs w:val="false"/>
          <w:i/>
          <w:iCs/>
          <w:color w:val="FF0000"/>
          <w:sz w:val="20"/>
          <w:szCs w:val="20"/>
        </w:rPr>
        <w:t>xxxxxxxxxxxxxx</w:t>
      </w:r>
      <w:r>
        <w:rPr>
          <w:rFonts w:eastAsia="Arial" w:cs="Arial" w:ascii="Arial" w:hAnsi="Arial"/>
          <w:i/>
          <w:iCs/>
          <w:color w:val="auto"/>
          <w:sz w:val="20"/>
          <w:szCs w:val="20"/>
        </w:rPr>
        <w:t>, sediada na</w:t>
      </w:r>
      <w:r>
        <w:rPr>
          <w:rFonts w:eastAsia="Arial" w:cs="Arial" w:ascii="Arial" w:hAnsi="Arial"/>
          <w:color w:val="auto"/>
          <w:sz w:val="20"/>
          <w:szCs w:val="20"/>
        </w:rPr>
        <w:t xml:space="preserve"> Rua: </w:t>
      </w:r>
      <w:r>
        <w:rPr>
          <w:rFonts w:eastAsia="Arial" w:cs="Arial" w:ascii="Arial" w:hAnsi="Arial"/>
          <w:color w:val="FF0000"/>
          <w:sz w:val="20"/>
          <w:szCs w:val="20"/>
        </w:rPr>
        <w:t xml:space="preserve">xxxxxxxxxxxxxxxxxxxxxxxxxxxxxxxxxxxxxxxx </w:t>
      </w:r>
      <w:r>
        <w:rPr>
          <w:rFonts w:eastAsia="Arial" w:cs="Arial" w:ascii="Arial" w:hAnsi="Arial"/>
          <w:color w:val="auto"/>
          <w:sz w:val="20"/>
          <w:szCs w:val="20"/>
        </w:rPr>
        <w:t xml:space="preserve">- CEP: </w:t>
      </w:r>
      <w:r>
        <w:rPr>
          <w:rFonts w:eastAsia="Arial" w:cs="Arial" w:ascii="Arial" w:hAnsi="Arial"/>
          <w:color w:val="FF0000"/>
          <w:sz w:val="20"/>
          <w:szCs w:val="20"/>
        </w:rPr>
        <w:t>xxxxxxxx</w:t>
      </w:r>
      <w:r>
        <w:rPr>
          <w:rFonts w:eastAsia="Arial" w:cs="Arial" w:ascii="Arial" w:hAnsi="Arial"/>
          <w:color w:val="auto"/>
          <w:sz w:val="20"/>
          <w:szCs w:val="20"/>
        </w:rPr>
        <w:t xml:space="preserve">, doravante designada CONTRATADA, </w:t>
      </w:r>
      <w:r>
        <w:rPr>
          <w:rFonts w:eastAsia="Arial" w:cs="Arial" w:ascii="Arial" w:hAnsi="Arial"/>
          <w:i/>
          <w:iCs/>
          <w:color w:val="auto"/>
          <w:sz w:val="20"/>
          <w:szCs w:val="20"/>
        </w:rPr>
        <w:t>neste ato representada por</w:t>
      </w:r>
      <w:r>
        <w:rPr>
          <w:rFonts w:eastAsia="Arial" w:cs="Arial" w:ascii="Arial" w:hAnsi="Arial"/>
          <w:color w:val="auto"/>
          <w:sz w:val="20"/>
          <w:szCs w:val="20"/>
        </w:rPr>
        <w:t xml:space="preserve"> </w:t>
      </w:r>
      <w:r>
        <w:rPr>
          <w:rFonts w:eastAsia="Arial" w:cs="Arial" w:ascii="Arial" w:hAnsi="Arial"/>
          <w:color w:val="FF0000"/>
          <w:sz w:val="20"/>
          <w:szCs w:val="20"/>
        </w:rPr>
        <w:t>xxxxxxxxxxxxxxxxxxxxxxx</w:t>
      </w:r>
      <w:r>
        <w:rPr>
          <w:rFonts w:eastAsia="Arial" w:cs="Arial" w:ascii="Arial" w:hAnsi="Arial"/>
          <w:b/>
          <w:bCs/>
          <w:color w:val="auto"/>
          <w:sz w:val="20"/>
          <w:szCs w:val="20"/>
        </w:rPr>
        <w:t>,</w:t>
      </w:r>
      <w:r>
        <w:rPr>
          <w:rFonts w:eastAsia="Arial" w:cs="Arial" w:ascii="Arial" w:hAnsi="Arial"/>
          <w:b w:val="false"/>
          <w:bCs w:val="false"/>
          <w:color w:val="auto"/>
          <w:sz w:val="20"/>
          <w:szCs w:val="20"/>
        </w:rPr>
        <w:t xml:space="preserve"> representante da </w:t>
      </w:r>
      <w:r>
        <w:rPr>
          <w:rFonts w:eastAsia="Arial" w:cs="Arial" w:ascii="Arial" w:hAnsi="Arial"/>
          <w:b w:val="false"/>
          <w:bCs w:val="false"/>
          <w:color w:val="FF0000"/>
          <w:sz w:val="20"/>
          <w:szCs w:val="20"/>
        </w:rPr>
        <w:t>empresa/prestador de serviço</w:t>
      </w:r>
      <w:r>
        <w:rPr>
          <w:rFonts w:eastAsia="Arial" w:cs="Arial" w:ascii="Arial" w:hAnsi="Arial"/>
          <w:b w:val="false"/>
          <w:bCs w:val="false"/>
          <w:color w:val="auto"/>
          <w:sz w:val="20"/>
          <w:szCs w:val="20"/>
        </w:rPr>
        <w:t xml:space="preserve"> para assinatura do Contrato</w:t>
      </w:r>
      <w:r>
        <w:rPr>
          <w:rFonts w:eastAsia="Arial" w:cs="Arial" w:ascii="Arial" w:hAnsi="Arial"/>
          <w:b/>
          <w:bCs/>
          <w:color w:val="auto"/>
          <w:sz w:val="20"/>
          <w:szCs w:val="20"/>
        </w:rPr>
        <w:t>,</w:t>
      </w:r>
      <w:r>
        <w:rPr>
          <w:rFonts w:eastAsia="Arial" w:cs="Arial" w:ascii="Arial" w:hAnsi="Arial"/>
          <w:b w:val="false"/>
          <w:bCs w:val="false"/>
          <w:color w:val="auto"/>
          <w:sz w:val="20"/>
          <w:szCs w:val="20"/>
        </w:rPr>
        <w:t xml:space="preserve"> </w:t>
      </w:r>
      <w:r>
        <w:rPr>
          <w:rFonts w:eastAsia="Arial" w:cs="Arial" w:ascii="Arial" w:hAnsi="Arial"/>
          <w:i/>
          <w:iCs/>
          <w:color w:val="auto"/>
          <w:sz w:val="20"/>
          <w:szCs w:val="20"/>
        </w:rPr>
        <w:t xml:space="preserve">conforme </w:t>
      </w:r>
      <w:r>
        <w:rPr>
          <w:rFonts w:eastAsia="Arial" w:cs="Arial" w:ascii="Arial" w:hAnsi="Arial"/>
          <w:i/>
          <w:iCs/>
          <w:color w:val="FF0000"/>
          <w:sz w:val="20"/>
          <w:szCs w:val="20"/>
        </w:rPr>
        <w:t>atos constitutivos da empresa/proposta do fornecedor</w:t>
      </w:r>
      <w:r>
        <w:rPr>
          <w:rFonts w:eastAsia="Arial" w:cs="Arial" w:ascii="Arial" w:hAnsi="Arial"/>
          <w:i/>
          <w:iCs/>
          <w:color w:val="auto"/>
          <w:sz w:val="20"/>
          <w:szCs w:val="20"/>
        </w:rPr>
        <w:t xml:space="preserve">, </w:t>
      </w:r>
      <w:r>
        <w:rPr>
          <w:rFonts w:eastAsia="Arial" w:cs="Arial" w:ascii="Arial" w:hAnsi="Arial"/>
          <w:color w:val="auto"/>
          <w:sz w:val="20"/>
          <w:szCs w:val="20"/>
        </w:rPr>
        <w:t xml:space="preserve">tendo em vista o que consta no Processo nº </w:t>
      </w:r>
      <w:r>
        <w:rPr>
          <w:rFonts w:eastAsia="Arial" w:cs="Arial" w:ascii="Arial" w:hAnsi="Arial"/>
          <w:b/>
          <w:bCs/>
          <w:i/>
          <w:color w:val="212121"/>
          <w:kern w:val="0"/>
          <w:sz w:val="20"/>
          <w:szCs w:val="20"/>
          <w:highlight w:val="white"/>
          <w:shd w:fill="FFFFFF" w:val="clear"/>
          <w:lang w:val="pt-BR" w:eastAsia="zh-CN" w:bidi="hi-IN"/>
        </w:rPr>
        <w:t>6</w:t>
      </w:r>
      <w:r>
        <w:rPr>
          <w:rFonts w:eastAsia="Arial" w:cs="Arial" w:ascii="Arial" w:hAnsi="Arial"/>
          <w:b/>
          <w:bCs/>
          <w:i/>
          <w:color w:val="212121"/>
          <w:kern w:val="0"/>
          <w:sz w:val="20"/>
          <w:szCs w:val="20"/>
          <w:highlight w:val="white"/>
          <w:shd w:fill="FFFFFF" w:val="clear"/>
          <w:lang w:val="pt-BR" w:eastAsia="zh-CN" w:bidi="hi-IN"/>
        </w:rPr>
        <w:t>5469</w:t>
      </w:r>
      <w:r>
        <w:rPr>
          <w:rFonts w:eastAsia="Arial" w:cs="Arial" w:ascii="Arial" w:hAnsi="Arial"/>
          <w:b/>
          <w:bCs/>
          <w:i/>
          <w:color w:val="212121"/>
          <w:kern w:val="0"/>
          <w:sz w:val="20"/>
          <w:szCs w:val="20"/>
          <w:highlight w:val="white"/>
          <w:shd w:fill="FFFFFF" w:val="clear"/>
          <w:lang w:val="pt-BR" w:eastAsia="zh-CN" w:bidi="hi-IN"/>
        </w:rPr>
        <w:t>.00</w:t>
      </w:r>
      <w:r>
        <w:rPr>
          <w:rFonts w:eastAsia="Arial" w:cs="Arial" w:ascii="Arial" w:hAnsi="Arial"/>
          <w:b/>
          <w:bCs/>
          <w:i/>
          <w:color w:val="212121"/>
          <w:kern w:val="0"/>
          <w:sz w:val="20"/>
          <w:szCs w:val="20"/>
          <w:highlight w:val="white"/>
          <w:shd w:fill="FFFFFF" w:val="clear"/>
          <w:lang w:val="pt-BR" w:eastAsia="zh-CN" w:bidi="hi-IN"/>
        </w:rPr>
        <w:t>1686</w:t>
      </w:r>
      <w:r>
        <w:rPr>
          <w:rFonts w:eastAsia="Arial" w:cs="Arial" w:ascii="Arial" w:hAnsi="Arial"/>
          <w:b/>
          <w:bCs/>
          <w:i/>
          <w:color w:val="212121"/>
          <w:kern w:val="0"/>
          <w:sz w:val="20"/>
          <w:szCs w:val="20"/>
          <w:highlight w:val="white"/>
          <w:shd w:fill="FFFFFF" w:val="clear"/>
          <w:lang w:val="pt-BR" w:eastAsia="zh-CN" w:bidi="hi-IN"/>
        </w:rPr>
        <w:t>/202</w:t>
      </w:r>
      <w:r>
        <w:rPr>
          <w:rFonts w:eastAsia="Arial" w:cs="Arial" w:ascii="Arial" w:hAnsi="Arial"/>
          <w:b/>
          <w:bCs/>
          <w:i/>
          <w:color w:val="212121"/>
          <w:kern w:val="0"/>
          <w:sz w:val="20"/>
          <w:szCs w:val="20"/>
          <w:highlight w:val="white"/>
          <w:shd w:fill="FFFFFF" w:val="clear"/>
          <w:lang w:val="pt-BR" w:eastAsia="zh-CN" w:bidi="hi-IN"/>
        </w:rPr>
        <w:t>5</w:t>
      </w:r>
      <w:r>
        <w:rPr>
          <w:rFonts w:eastAsia="Arial" w:cs="Arial" w:ascii="Arial" w:hAnsi="Arial"/>
          <w:b/>
          <w:bCs/>
          <w:i/>
          <w:color w:val="212121"/>
          <w:kern w:val="0"/>
          <w:sz w:val="20"/>
          <w:szCs w:val="20"/>
          <w:highlight w:val="white"/>
          <w:shd w:fill="FFFFFF" w:val="clear"/>
          <w:lang w:val="pt-BR" w:eastAsia="zh-CN" w:bidi="hi-IN"/>
        </w:rPr>
        <w:t>-</w:t>
      </w:r>
      <w:r>
        <w:rPr>
          <w:rFonts w:eastAsia="Arial" w:cs="Arial" w:ascii="Arial" w:hAnsi="Arial"/>
          <w:b/>
          <w:bCs/>
          <w:i/>
          <w:color w:val="212121"/>
          <w:kern w:val="0"/>
          <w:sz w:val="20"/>
          <w:szCs w:val="20"/>
          <w:highlight w:val="white"/>
          <w:shd w:fill="FFFFFF" w:val="clear"/>
          <w:lang w:val="pt-BR" w:eastAsia="zh-CN" w:bidi="hi-IN"/>
        </w:rPr>
        <w:t>61</w:t>
      </w:r>
      <w:r>
        <w:rPr>
          <w:rFonts w:eastAsia="Arial" w:cs="Arial" w:ascii="Arial" w:hAnsi="Arial"/>
          <w:color w:val="auto"/>
          <w:sz w:val="20"/>
          <w:szCs w:val="20"/>
        </w:rPr>
        <w:t xml:space="preserve"> e em observância às disposições da Lei nº 14.133, de 1º de abril de 2021, e demais legislação aplicável, resolvem celebrar o presente Termo de Contrato, decorrente </w:t>
      </w:r>
      <w:r>
        <w:rPr>
          <w:rFonts w:eastAsia="Arial" w:cs="Arial" w:ascii="Arial" w:hAnsi="Arial"/>
          <w:i/>
          <w:iCs/>
          <w:color w:val="auto"/>
          <w:sz w:val="20"/>
          <w:szCs w:val="20"/>
        </w:rPr>
        <w:t xml:space="preserve">da Dispensa Eletrônica </w:t>
      </w:r>
      <w:r>
        <w:rPr>
          <w:rFonts w:eastAsia="Arial" w:cs="Arial" w:ascii="Arial" w:hAnsi="Arial"/>
          <w:b/>
          <w:bCs/>
          <w:i/>
          <w:iCs/>
          <w:color w:val="auto"/>
          <w:sz w:val="20"/>
          <w:szCs w:val="20"/>
        </w:rPr>
        <w:t xml:space="preserve">nº </w:t>
      </w:r>
      <w:r>
        <w:rPr>
          <w:rFonts w:eastAsia="Arial" w:cs="Arial" w:ascii="Arial" w:hAnsi="Arial"/>
          <w:b/>
          <w:bCs/>
          <w:i/>
          <w:iCs/>
          <w:color w:val="auto"/>
          <w:sz w:val="20"/>
          <w:szCs w:val="20"/>
        </w:rPr>
        <w:t>35</w:t>
      </w:r>
      <w:r>
        <w:rPr>
          <w:rFonts w:eastAsia="Arial" w:cs="Arial" w:ascii="Arial" w:hAnsi="Arial"/>
          <w:b/>
          <w:bCs/>
          <w:i/>
          <w:iCs/>
          <w:color w:val="auto"/>
          <w:sz w:val="20"/>
          <w:szCs w:val="20"/>
        </w:rPr>
        <w:t>/2025</w:t>
      </w:r>
      <w:r>
        <w:rPr>
          <w:rFonts w:eastAsia="Arial" w:cs="Arial" w:ascii="Arial" w:hAnsi="Arial"/>
          <w:color w:val="auto"/>
          <w:sz w:val="20"/>
          <w:szCs w:val="20"/>
        </w:rPr>
        <w:t>, mediante as cláusulas e condições a seguir enunciadas.</w:t>
      </w:r>
      <w:commentRangeEnd w:id="0"/>
      <w:r>
        <w:commentReference w:id="0"/>
      </w:r>
      <w:r>
        <w:rPr>
          <w:rFonts w:eastAsia="Arial" w:cs="Arial" w:ascii="Arial" w:hAnsi="Arial"/>
          <w:color w:val="auto"/>
          <w:sz w:val="20"/>
          <w:szCs w:val="20"/>
        </w:rPr>
      </w:r>
    </w:p>
    <w:p>
      <w:pPr>
        <w:pStyle w:val="Nivel01"/>
        <w:numPr>
          <w:ilvl w:val="0"/>
          <w:numId w:val="130"/>
        </w:numPr>
        <w:rPr>
          <w:color w:themeColor="background1" w:val="FFFFFF"/>
        </w:rPr>
      </w:pPr>
      <w:r>
        <w:rPr/>
        <w:t>CLÁUSULA PRIMEIRA – OBJETO (</w:t>
      </w:r>
      <w:r>
        <w:fldChar w:fldCharType="begin"/>
      </w:r>
      <w:r>
        <w:rPr>
          <w:rStyle w:val="Hyperlink"/>
        </w:rPr>
        <w:instrText xml:space="preserve"> HYPERLINK "http://www.planalto.gov.br/ccivil_03/_ato2019-2022/2021/lei/L14133.htm" \l "art92"</w:instrText>
      </w:r>
      <w:r>
        <w:rPr>
          <w:rStyle w:val="Hyperlink"/>
        </w:rPr>
        <w:fldChar w:fldCharType="separate"/>
      </w:r>
      <w:r>
        <w:rPr>
          <w:rStyle w:val="Hyperlink"/>
        </w:rPr>
        <w:t>art. 92, I e II</w:t>
      </w:r>
      <w:r>
        <w:rPr>
          <w:rStyle w:val="Hyperlink"/>
        </w:rPr>
        <w:fldChar w:fldCharType="end"/>
      </w:r>
      <w:r>
        <w:rPr/>
        <w:t>)</w:t>
      </w:r>
    </w:p>
    <w:p>
      <w:pPr>
        <w:pStyle w:val="Nivel2"/>
        <w:numPr>
          <w:ilvl w:val="1"/>
          <w:numId w:val="131"/>
        </w:numPr>
        <w:ind w:hanging="0" w:left="0"/>
        <w:rPr/>
      </w:pPr>
      <w:r>
        <w:rPr/>
        <w:t xml:space="preserve">O objeto do presente instrumento é a contratação </w:t>
      </w:r>
      <w:r>
        <w:rPr>
          <w:rFonts w:eastAsia="" w:cs="Arial"/>
          <w:color w:val="auto"/>
          <w:kern w:val="0"/>
          <w:sz w:val="20"/>
          <w:szCs w:val="20"/>
          <w:lang w:val="pt-BR" w:eastAsia="pt-BR" w:bidi="ar-SA"/>
        </w:rPr>
        <w:t>de plataforma on-line que possibilite edição e exportação, se for o caso, e realize a diagramação automática (formatação) das provas no padrão estabelecido pelo Colégio Militar de São Paulo (CMSP)</w:t>
      </w:r>
      <w:r>
        <w:rPr>
          <w:color w:val="auto"/>
        </w:rPr>
        <w:t>, nas condições estabelecidas no Termo de Referência.</w:t>
      </w:r>
    </w:p>
    <w:p>
      <w:pPr>
        <w:pStyle w:val="Nivel2"/>
        <w:numPr>
          <w:ilvl w:val="1"/>
          <w:numId w:val="132"/>
        </w:numPr>
        <w:ind w:hanging="0" w:left="0"/>
        <w:rPr/>
      </w:pPr>
      <w:r>
        <w:rPr/>
        <w:t>Objeto da contratação:</w:t>
      </w:r>
    </w:p>
    <w:tbl>
      <w:tblPr>
        <w:tblW w:w="9784" w:type="dxa"/>
        <w:jc w:val="left"/>
        <w:tblInd w:w="-147" w:type="dxa"/>
        <w:tblLayout w:type="fixed"/>
        <w:tblCellMar>
          <w:top w:w="0" w:type="dxa"/>
          <w:left w:w="108" w:type="dxa"/>
          <w:bottom w:w="0" w:type="dxa"/>
          <w:right w:w="108" w:type="dxa"/>
        </w:tblCellMar>
        <w:tblLook w:firstRow="1" w:noVBand="1" w:lastRow="0" w:firstColumn="1" w:lastColumn="0" w:noHBand="0" w:val="04a0"/>
      </w:tblPr>
      <w:tblGrid>
        <w:gridCol w:w="780"/>
        <w:gridCol w:w="2958"/>
        <w:gridCol w:w="1085"/>
        <w:gridCol w:w="1135"/>
        <w:gridCol w:w="1067"/>
        <w:gridCol w:w="1363"/>
        <w:gridCol w:w="1395"/>
      </w:tblGrid>
      <w:tr>
        <w:trPr>
          <w:trHeight w:val="900" w:hRule="atLeast"/>
        </w:trPr>
        <w:tc>
          <w:tcPr>
            <w:tcW w:w="7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120" w:after="288"/>
              <w:jc w:val="center"/>
              <w:rPr>
                <w:rFonts w:ascii="Arial" w:hAnsi="Arial" w:eastAsia="Arial" w:cs="Arial"/>
                <w:b/>
                <w:bCs/>
                <w:color w:val="000000"/>
                <w:sz w:val="20"/>
                <w:szCs w:val="20"/>
              </w:rPr>
            </w:pPr>
            <w:commentRangeStart w:id="1"/>
            <w:r>
              <w:rPr>
                <w:rFonts w:eastAsia="Arial" w:cs="Arial" w:ascii="Arial" w:hAnsi="Arial"/>
                <w:b/>
                <w:bCs/>
                <w:color w:themeColor="text1" w:val="000000"/>
                <w:sz w:val="20"/>
                <w:szCs w:val="20"/>
              </w:rPr>
              <w:t>ITEM</w:t>
            </w:r>
          </w:p>
        </w:tc>
        <w:tc>
          <w:tcPr>
            <w:tcW w:w="29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120" w:after="288"/>
              <w:jc w:val="center"/>
              <w:rPr>
                <w:rFonts w:ascii="Arial" w:hAnsi="Arial" w:eastAsia="Arial" w:cs="Arial"/>
                <w:color w:val="000000"/>
                <w:sz w:val="20"/>
                <w:szCs w:val="20"/>
              </w:rPr>
            </w:pPr>
            <w:r>
              <w:rPr>
                <w:rFonts w:eastAsia="Arial" w:cs="Arial" w:ascii="Arial" w:hAnsi="Arial"/>
                <w:b/>
                <w:bCs/>
                <w:color w:themeColor="text1" w:val="000000"/>
                <w:sz w:val="20"/>
                <w:szCs w:val="20"/>
              </w:rPr>
              <w:t>ESPECIFICAÇÃO</w:t>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120" w:after="288"/>
              <w:jc w:val="center"/>
              <w:rPr>
                <w:rFonts w:ascii="Arial" w:hAnsi="Arial" w:eastAsia="Arial" w:cs="Arial"/>
                <w:color w:val="000000"/>
                <w:sz w:val="20"/>
                <w:szCs w:val="20"/>
              </w:rPr>
            </w:pPr>
            <w:r>
              <w:rPr>
                <w:rFonts w:eastAsia="Arial" w:cs="Arial" w:ascii="Arial" w:hAnsi="Arial"/>
                <w:b/>
                <w:bCs/>
                <w:color w:themeColor="text1" w:val="000000"/>
                <w:sz w:val="20"/>
                <w:szCs w:val="20"/>
              </w:rPr>
              <w:t>CAT/SER</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120" w:after="288"/>
              <w:jc w:val="center"/>
              <w:rPr>
                <w:rFonts w:ascii="Arial" w:hAnsi="Arial" w:eastAsia="Arial" w:cs="Arial"/>
                <w:color w:val="000000"/>
                <w:sz w:val="20"/>
                <w:szCs w:val="20"/>
              </w:rPr>
            </w:pPr>
            <w:r>
              <w:rPr>
                <w:rFonts w:eastAsia="Arial" w:cs="Arial" w:ascii="Arial" w:hAnsi="Arial"/>
                <w:b/>
                <w:bCs/>
                <w:color w:themeColor="text1" w:val="000000"/>
                <w:sz w:val="20"/>
                <w:szCs w:val="20"/>
              </w:rPr>
              <w:t>UNIDADE DE MEDIDA</w:t>
            </w:r>
          </w:p>
        </w:tc>
        <w:tc>
          <w:tcPr>
            <w:tcW w:w="10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120" w:after="288"/>
              <w:jc w:val="center"/>
              <w:rPr>
                <w:rFonts w:ascii="Arial" w:hAnsi="Arial" w:eastAsia="Arial" w:cs="Arial"/>
                <w:b/>
                <w:bCs/>
                <w:sz w:val="20"/>
                <w:szCs w:val="20"/>
              </w:rPr>
            </w:pPr>
            <w:r>
              <w:rPr>
                <w:rFonts w:eastAsia="Arial" w:cs="Arial" w:ascii="Arial" w:hAnsi="Arial"/>
                <w:b/>
                <w:bCs/>
                <w:sz w:val="20"/>
                <w:szCs w:val="20"/>
              </w:rPr>
              <w:t>QTD</w:t>
            </w:r>
          </w:p>
        </w:tc>
        <w:tc>
          <w:tcPr>
            <w:tcW w:w="13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120" w:after="288"/>
              <w:jc w:val="center"/>
              <w:rPr>
                <w:rFonts w:ascii="Arial" w:hAnsi="Arial" w:eastAsia="Arial" w:cs="Arial"/>
                <w:b/>
                <w:bCs/>
                <w:sz w:val="20"/>
                <w:szCs w:val="20"/>
              </w:rPr>
            </w:pPr>
            <w:r>
              <w:rPr>
                <w:rFonts w:eastAsia="Arial" w:cs="Arial" w:ascii="Arial" w:hAnsi="Arial"/>
                <w:b/>
                <w:bCs/>
                <w:sz w:val="20"/>
                <w:szCs w:val="20"/>
              </w:rPr>
              <w:t>VALOR UNITÁRIO</w:t>
            </w:r>
          </w:p>
        </w:tc>
        <w:tc>
          <w:tcPr>
            <w:tcW w:w="13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120" w:after="288"/>
              <w:jc w:val="center"/>
              <w:rPr>
                <w:rFonts w:ascii="Arial" w:hAnsi="Arial" w:eastAsia="Arial" w:cs="Arial"/>
                <w:b/>
                <w:bCs/>
                <w:sz w:val="20"/>
                <w:szCs w:val="20"/>
              </w:rPr>
            </w:pPr>
            <w:r>
              <w:rPr>
                <w:rFonts w:eastAsia="Arial" w:cs="Arial" w:ascii="Arial" w:hAnsi="Arial"/>
                <w:b/>
                <w:bCs/>
                <w:sz w:val="20"/>
                <w:szCs w:val="20"/>
              </w:rPr>
              <w:t>VALOR TOTAL</w:t>
            </w:r>
          </w:p>
        </w:tc>
      </w:tr>
      <w:tr>
        <w:trPr/>
        <w:tc>
          <w:tcPr>
            <w:tcW w:w="780" w:type="dxa"/>
            <w:tcBorders>
              <w:left w:val="single" w:sz="4" w:space="0" w:color="000000"/>
              <w:bottom w:val="single" w:sz="4" w:space="0" w:color="000000"/>
              <w:right w:val="single" w:sz="4" w:space="0" w:color="000000"/>
            </w:tcBorders>
            <w:vAlign w:val="center"/>
          </w:tcPr>
          <w:p>
            <w:pPr>
              <w:pStyle w:val="Normal"/>
              <w:widowControl w:val="false"/>
              <w:spacing w:lineRule="auto" w:line="276" w:before="120" w:after="288"/>
              <w:jc w:val="center"/>
              <w:rPr>
                <w:rFonts w:ascii="Arial" w:hAnsi="Arial" w:eastAsia="Arial" w:cs="Arial"/>
                <w:b/>
                <w:bCs/>
                <w:color w:val="000000"/>
                <w:sz w:val="20"/>
                <w:szCs w:val="20"/>
              </w:rPr>
            </w:pPr>
            <w:r>
              <w:rPr>
                <w:rFonts w:eastAsia="Arial" w:cs="Arial" w:ascii="Arial" w:hAnsi="Arial"/>
                <w:b/>
                <w:bCs/>
                <w:color w:val="000000"/>
                <w:sz w:val="20"/>
                <w:szCs w:val="20"/>
              </w:rPr>
              <w:t>1</w:t>
            </w:r>
          </w:p>
        </w:tc>
        <w:tc>
          <w:tcPr>
            <w:tcW w:w="2958" w:type="dxa"/>
            <w:tcBorders>
              <w:left w:val="single" w:sz="4" w:space="0" w:color="000000"/>
              <w:bottom w:val="single" w:sz="4" w:space="0" w:color="000000"/>
              <w:right w:val="single" w:sz="4" w:space="0" w:color="000000"/>
            </w:tcBorders>
            <w:vAlign w:val="center"/>
          </w:tcPr>
          <w:p>
            <w:pPr>
              <w:pStyle w:val="Normal"/>
              <w:widowControl/>
              <w:suppressAutoHyphens w:val="true"/>
              <w:bidi w:val="0"/>
              <w:spacing w:before="0" w:after="0"/>
              <w:ind w:hanging="0" w:left="113" w:right="57"/>
              <w:jc w:val="both"/>
              <w:rPr/>
            </w:pPr>
            <w:r>
              <w:rPr>
                <w:rStyle w:val="Fontepargpadro"/>
                <w:rFonts w:eastAsia="Calibri" w:cs="Calibri Light" w:ascii="Times New Roman" w:hAnsi="Times New Roman"/>
                <w:b/>
                <w:bCs w:val="false"/>
                <w:color w:val="111111"/>
                <w:spacing w:val="1"/>
                <w:w w:val="95"/>
                <w:kern w:val="0"/>
                <w:sz w:val="22"/>
                <w:szCs w:val="22"/>
                <w:shd w:fill="auto" w:val="clear"/>
                <w:lang w:val="pt-PT" w:eastAsia="en-US" w:bidi="ar-SA"/>
              </w:rPr>
              <w:t xml:space="preserve">Plataforma on-line para confecção de provas do ensino fundamental e ensino médio com a disponibilidade de um banco de questões (créditos) constando no mínimo </w:t>
            </w:r>
            <w:r>
              <w:rPr>
                <w:rStyle w:val="Fontepargpadro"/>
                <w:rFonts w:eastAsia="Calibri" w:cs="Calibri Light" w:ascii="Times New Roman" w:hAnsi="Times New Roman"/>
                <w:b/>
                <w:bCs/>
                <w:color w:val="111111"/>
                <w:spacing w:val="1"/>
                <w:w w:val="95"/>
                <w:kern w:val="0"/>
                <w:sz w:val="22"/>
                <w:szCs w:val="22"/>
                <w:shd w:fill="auto" w:val="clear"/>
                <w:lang w:val="pt-PT" w:eastAsia="en-US" w:bidi="ar-SA"/>
              </w:rPr>
              <w:t>10.500 (dez mil e quinhentas)</w:t>
            </w:r>
            <w:r>
              <w:rPr>
                <w:rStyle w:val="Fontepargpadro"/>
                <w:rFonts w:eastAsia="Calibri" w:cs="Calibri Light" w:ascii="Times New Roman" w:hAnsi="Times New Roman"/>
                <w:b/>
                <w:bCs w:val="false"/>
                <w:color w:val="111111"/>
                <w:spacing w:val="1"/>
                <w:w w:val="95"/>
                <w:kern w:val="0"/>
                <w:sz w:val="22"/>
                <w:szCs w:val="22"/>
                <w:shd w:fill="auto" w:val="clear"/>
                <w:lang w:val="pt-PT" w:eastAsia="en-US" w:bidi="ar-SA"/>
              </w:rPr>
              <w:t>, anuais, que possibilite sua edição e exportação se for o caso e realize a diagramação automática (formatação) das provas no padrão estabelecido pelo Colégio Militar de São Paulo (CMSP). Deve possibilitar acessos simultâneos de professores do CMSP e possuir módulo gerenciamento de usuários e emissão de relatórios gerenciais.</w:t>
            </w:r>
          </w:p>
        </w:tc>
        <w:tc>
          <w:tcPr>
            <w:tcW w:w="1085" w:type="dxa"/>
            <w:tcBorders>
              <w:left w:val="single" w:sz="4" w:space="0" w:color="000000"/>
              <w:bottom w:val="single" w:sz="4" w:space="0" w:color="000000"/>
              <w:right w:val="single" w:sz="4" w:space="0" w:color="000000"/>
            </w:tcBorders>
            <w:vAlign w:val="center"/>
          </w:tcPr>
          <w:p>
            <w:pPr>
              <w:pStyle w:val="Normal"/>
              <w:widowControl w:val="false"/>
              <w:spacing w:lineRule="auto" w:line="276" w:before="0" w:after="0"/>
              <w:jc w:val="center"/>
              <w:rPr>
                <w:rFonts w:ascii="Times New Roman" w:hAnsi="Times New Roman" w:cs="Calibri Light"/>
                <w:color w:val="000000"/>
                <w:sz w:val="22"/>
                <w:szCs w:val="22"/>
              </w:rPr>
            </w:pPr>
            <w:r>
              <w:rPr>
                <w:rFonts w:cs="Calibri" w:ascii="Calibri" w:hAnsi="Calibri"/>
                <w:b/>
                <w:color w:val="111111"/>
                <w:sz w:val="16"/>
                <w:szCs w:val="16"/>
                <w:lang w:eastAsia="pt-BR"/>
              </w:rPr>
              <w:t>25917</w:t>
            </w:r>
          </w:p>
        </w:tc>
        <w:tc>
          <w:tcPr>
            <w:tcW w:w="1135" w:type="dxa"/>
            <w:tcBorders>
              <w:left w:val="single" w:sz="4" w:space="0" w:color="000000"/>
              <w:bottom w:val="single" w:sz="4" w:space="0" w:color="000000"/>
              <w:right w:val="single" w:sz="4" w:space="0" w:color="000000"/>
            </w:tcBorders>
            <w:vAlign w:val="center"/>
          </w:tcPr>
          <w:p>
            <w:pPr>
              <w:pStyle w:val="Normal"/>
              <w:widowControl w:val="false"/>
              <w:snapToGrid w:val="false"/>
              <w:jc w:val="center"/>
              <w:rPr>
                <w:rFonts w:ascii="Calibri" w:hAnsi="Calibri" w:cs="Calibri"/>
                <w:b/>
                <w:color w:val="111111"/>
                <w:sz w:val="16"/>
                <w:szCs w:val="16"/>
                <w:lang w:eastAsia="pt-BR"/>
              </w:rPr>
            </w:pPr>
            <w:r>
              <w:rPr>
                <w:rFonts w:cs="Calibri" w:ascii="Calibri" w:hAnsi="Calibri"/>
                <w:b/>
                <w:color w:val="111111"/>
                <w:sz w:val="16"/>
                <w:szCs w:val="16"/>
                <w:lang w:eastAsia="pt-BR"/>
              </w:rPr>
              <w:t>Un</w:t>
            </w:r>
          </w:p>
        </w:tc>
        <w:tc>
          <w:tcPr>
            <w:tcW w:w="1067" w:type="dxa"/>
            <w:tcBorders>
              <w:left w:val="single" w:sz="4" w:space="0" w:color="000000"/>
              <w:bottom w:val="single" w:sz="4" w:space="0" w:color="000000"/>
              <w:right w:val="single" w:sz="4" w:space="0" w:color="000000"/>
            </w:tcBorders>
            <w:vAlign w:val="center"/>
          </w:tcPr>
          <w:p>
            <w:pPr>
              <w:pStyle w:val="Normal"/>
              <w:snapToGrid w:val="false"/>
              <w:jc w:val="center"/>
              <w:rPr>
                <w:rFonts w:ascii="Calibri" w:hAnsi="Calibri" w:cs="Calibri"/>
                <w:b/>
                <w:color w:val="111111"/>
                <w:sz w:val="16"/>
                <w:szCs w:val="16"/>
                <w:lang w:eastAsia="pt-BR"/>
              </w:rPr>
            </w:pPr>
            <w:r>
              <w:rPr>
                <w:rFonts w:cs="Calibri" w:ascii="Calibri" w:hAnsi="Calibri"/>
                <w:b/>
                <w:color w:val="111111"/>
                <w:sz w:val="16"/>
                <w:szCs w:val="16"/>
                <w:lang w:eastAsia="pt-BR"/>
              </w:rPr>
              <w:t>12 meses</w:t>
            </w:r>
          </w:p>
        </w:tc>
        <w:tc>
          <w:tcPr>
            <w:tcW w:w="1363" w:type="dxa"/>
            <w:tcBorders>
              <w:left w:val="single" w:sz="4" w:space="0" w:color="000000"/>
              <w:bottom w:val="single" w:sz="4" w:space="0" w:color="000000"/>
              <w:right w:val="single" w:sz="4" w:space="0" w:color="000000"/>
            </w:tcBorders>
            <w:vAlign w:val="center"/>
          </w:tcPr>
          <w:p>
            <w:pPr>
              <w:pStyle w:val="Normal"/>
              <w:snapToGrid w:val="false"/>
              <w:jc w:val="center"/>
              <w:rPr>
                <w:color w:val="FF0000"/>
              </w:rPr>
            </w:pPr>
            <w:r>
              <w:rPr>
                <w:rFonts w:cs="Calibri" w:ascii="Calibri" w:hAnsi="Calibri"/>
                <w:b/>
                <w:color w:val="FF0000"/>
                <w:sz w:val="16"/>
                <w:szCs w:val="16"/>
                <w:lang w:eastAsia="pt-BR"/>
              </w:rPr>
              <w:t>R$ XXX</w:t>
            </w:r>
          </w:p>
        </w:tc>
        <w:tc>
          <w:tcPr>
            <w:tcW w:w="1395" w:type="dxa"/>
            <w:tcBorders>
              <w:left w:val="single" w:sz="4" w:space="0" w:color="000000"/>
              <w:bottom w:val="single" w:sz="4" w:space="0" w:color="000000"/>
              <w:right w:val="single" w:sz="4" w:space="0" w:color="000000"/>
            </w:tcBorders>
            <w:vAlign w:val="center"/>
          </w:tcPr>
          <w:p>
            <w:pPr>
              <w:pStyle w:val="Normal"/>
              <w:snapToGrid w:val="false"/>
              <w:jc w:val="center"/>
              <w:rPr>
                <w:color w:val="FF0000"/>
              </w:rPr>
            </w:pPr>
            <w:r>
              <w:rPr>
                <w:rFonts w:cs="Calibri" w:ascii="Calibri" w:hAnsi="Calibri"/>
                <w:b/>
                <w:color w:val="FF0000"/>
                <w:sz w:val="16"/>
                <w:szCs w:val="16"/>
                <w:lang w:eastAsia="pt-BR"/>
              </w:rPr>
              <w:t>R$ XXXXX</w:t>
            </w:r>
          </w:p>
        </w:tc>
      </w:tr>
      <w:tr>
        <w:trPr/>
        <w:tc>
          <w:tcPr>
            <w:tcW w:w="8388" w:type="dxa"/>
            <w:gridSpan w:val="6"/>
            <w:tcBorders>
              <w:left w:val="single" w:sz="4" w:space="0" w:color="000000"/>
              <w:bottom w:val="single" w:sz="4" w:space="0" w:color="000000"/>
            </w:tcBorders>
            <w:vAlign w:val="center"/>
          </w:tcPr>
          <w:p>
            <w:pPr>
              <w:pStyle w:val="Normal"/>
              <w:widowControl w:val="false"/>
              <w:spacing w:lineRule="auto" w:line="276" w:before="120" w:after="288"/>
              <w:ind w:hanging="0"/>
              <w:jc w:val="left"/>
              <w:rPr>
                <w:rFonts w:ascii="Calibri" w:hAnsi="Calibri" w:eastAsia="" w:cs="Calibri" w:eastAsiaTheme="minorEastAsia"/>
                <w:b/>
                <w:color w:val="111111"/>
                <w:kern w:val="0"/>
                <w:sz w:val="16"/>
                <w:szCs w:val="16"/>
                <w:lang w:val="pt-BR" w:eastAsia="pt-BR" w:bidi="ar-SA"/>
              </w:rPr>
            </w:pPr>
            <w:r>
              <w:rPr>
                <w:rFonts w:eastAsia="" w:cs="Calibri" w:ascii="Calibri" w:hAnsi="Calibri" w:eastAsiaTheme="minorEastAsia"/>
                <w:b/>
                <w:color w:val="111111"/>
                <w:kern w:val="0"/>
                <w:sz w:val="16"/>
                <w:szCs w:val="16"/>
                <w:lang w:val="pt-BR" w:eastAsia="pt-BR" w:bidi="ar-SA"/>
              </w:rPr>
              <w:t>TOTAL</w:t>
            </w:r>
            <w:commentRangeEnd w:id="1"/>
            <w:r>
              <w:commentReference w:id="1"/>
            </w:r>
            <w:r>
              <w:rPr>
                <w:rFonts w:eastAsia="" w:cs="Calibri" w:ascii="Calibri" w:hAnsi="Calibri" w:eastAsiaTheme="minorEastAsia"/>
                <w:b/>
                <w:color w:val="111111"/>
                <w:kern w:val="0"/>
                <w:sz w:val="16"/>
                <w:szCs w:val="16"/>
                <w:lang w:val="pt-BR" w:eastAsia="pt-BR" w:bidi="ar-SA"/>
              </w:rPr>
            </w:r>
          </w:p>
        </w:tc>
        <w:tc>
          <w:tcPr>
            <w:tcW w:w="1395" w:type="dxa"/>
            <w:tcBorders>
              <w:left w:val="single" w:sz="4" w:space="0" w:color="000000"/>
              <w:bottom w:val="single" w:sz="4" w:space="0" w:color="000000"/>
              <w:right w:val="single" w:sz="4" w:space="0" w:color="000000"/>
            </w:tcBorders>
            <w:vAlign w:val="center"/>
          </w:tcPr>
          <w:p>
            <w:pPr>
              <w:pStyle w:val="Normal"/>
              <w:snapToGrid w:val="false"/>
              <w:jc w:val="center"/>
              <w:rPr>
                <w:color w:val="FF0000"/>
              </w:rPr>
            </w:pPr>
            <w:r>
              <w:rPr>
                <w:rFonts w:eastAsia="" w:cs="Calibri" w:ascii="Calibri" w:hAnsi="Calibri"/>
                <w:b/>
                <w:color w:val="FF0000"/>
                <w:kern w:val="0"/>
                <w:sz w:val="16"/>
                <w:szCs w:val="16"/>
                <w:lang w:val="pt-BR" w:eastAsia="pt-BR" w:bidi="ar-SA"/>
              </w:rPr>
              <w:t>R$ XXXXX</w:t>
            </w:r>
          </w:p>
        </w:tc>
      </w:tr>
    </w:tbl>
    <w:p>
      <w:pPr>
        <w:pStyle w:val="Nivel2"/>
        <w:numPr>
          <w:ilvl w:val="1"/>
          <w:numId w:val="133"/>
        </w:numPr>
        <w:spacing w:lineRule="auto" w:line="240" w:before="57" w:after="57"/>
        <w:ind w:hanging="0" w:left="0"/>
        <w:rPr/>
      </w:pPr>
      <w:r>
        <w:rPr/>
        <w:t>Vinculam esta contratação, independentemente de transcrição:</w:t>
      </w:r>
    </w:p>
    <w:p>
      <w:pPr>
        <w:pStyle w:val="Nivel3"/>
        <w:numPr>
          <w:ilvl w:val="2"/>
          <w:numId w:val="134"/>
        </w:numPr>
        <w:spacing w:lineRule="auto" w:line="240" w:before="57" w:after="57"/>
        <w:ind w:hanging="0" w:left="284"/>
        <w:rPr/>
      </w:pPr>
      <w:r>
        <w:rPr/>
        <w:t>O Termo de Referência;</w:t>
      </w:r>
    </w:p>
    <w:p>
      <w:pPr>
        <w:pStyle w:val="Nivel3"/>
        <w:numPr>
          <w:ilvl w:val="2"/>
          <w:numId w:val="135"/>
        </w:numPr>
        <w:spacing w:lineRule="auto" w:line="240" w:before="57" w:after="57"/>
        <w:ind w:hanging="0" w:left="284"/>
        <w:rPr/>
      </w:pPr>
      <w:r>
        <w:rPr/>
        <w:t>O Aviso de Dispensa da Licitação;</w:t>
      </w:r>
    </w:p>
    <w:p>
      <w:pPr>
        <w:pStyle w:val="Nivel3"/>
        <w:numPr>
          <w:ilvl w:val="2"/>
          <w:numId w:val="136"/>
        </w:numPr>
        <w:spacing w:lineRule="auto" w:line="240" w:before="57" w:after="57"/>
        <w:ind w:hanging="0" w:left="284"/>
        <w:rPr/>
      </w:pPr>
      <w:r>
        <w:rPr/>
        <w:t>A Proposta do contratado;</w:t>
      </w:r>
    </w:p>
    <w:p>
      <w:pPr>
        <w:pStyle w:val="Nivel3"/>
        <w:numPr>
          <w:ilvl w:val="2"/>
          <w:numId w:val="137"/>
        </w:numPr>
        <w:spacing w:lineRule="auto" w:line="240" w:before="57" w:after="57"/>
        <w:ind w:hanging="0" w:left="284"/>
        <w:rPr/>
      </w:pPr>
      <w:r>
        <w:rPr/>
        <w:t>Eventuais anexos dos documentos supracitados.</w:t>
      </w:r>
    </w:p>
    <w:p>
      <w:pPr>
        <w:pStyle w:val="Nivel01"/>
        <w:numPr>
          <w:ilvl w:val="0"/>
          <w:numId w:val="138"/>
        </w:numPr>
        <w:ind w:hanging="0" w:left="0"/>
        <w:rPr>
          <w:color w:themeColor="background1" w:val="FFFFFF"/>
        </w:rPr>
      </w:pPr>
      <w:r>
        <w:rPr/>
        <w:t>CLÁUSULA SEGUNDA – VIGÊNCIA E PRORROGAÇÃO</w:t>
      </w:r>
    </w:p>
    <w:p>
      <w:pPr>
        <w:pStyle w:val="Nvel2-Red"/>
        <w:numPr>
          <w:ilvl w:val="1"/>
          <w:numId w:val="139"/>
        </w:numPr>
        <w:ind w:hanging="0" w:left="0"/>
        <w:rPr>
          <w:color w:val="auto"/>
        </w:rPr>
      </w:pPr>
      <w:commentRangeStart w:id="2"/>
      <w:r>
        <w:rPr>
          <w:color w:val="auto"/>
        </w:rPr>
        <w:t xml:space="preserve">O prazo de vigência da contratação é de </w:t>
      </w:r>
      <w:r>
        <w:rPr>
          <w:color w:val="auto"/>
        </w:rPr>
        <w:t>12</w:t>
      </w:r>
      <w:r>
        <w:rPr>
          <w:color w:val="auto"/>
        </w:rPr>
        <w:t xml:space="preserve"> (</w:t>
      </w:r>
      <w:r>
        <w:rPr>
          <w:color w:val="auto"/>
        </w:rPr>
        <w:t>doze</w:t>
      </w:r>
      <w:r>
        <w:rPr>
          <w:color w:val="auto"/>
        </w:rPr>
        <w:t>) meses contados da data de assinatura do contrato, na forma do artigo 105 da Lei n° 14.133, de 2021.</w:t>
      </w:r>
    </w:p>
    <w:p>
      <w:pPr>
        <w:pStyle w:val="Nvel2-Red"/>
        <w:numPr>
          <w:ilvl w:val="1"/>
          <w:numId w:val="140"/>
        </w:numPr>
        <w:ind w:hanging="0" w:left="0"/>
        <w:rPr>
          <w:color w:val="auto"/>
        </w:rPr>
      </w:pPr>
      <w:r>
        <w:rPr>
          <w:color w:val="auto"/>
        </w:rPr>
        <w:t>O prazo de vigência será automaticamente prorrogado, independentemente de termo aditivo, quando o objeto não for concluído no período firmado acima, ressalvadas as providências cabíveis no caso de culpa do contratado, previstas neste instrumento.</w:t>
      </w:r>
      <w:commentRangeEnd w:id="2"/>
      <w:r>
        <w:commentReference w:id="2"/>
      </w:r>
      <w:r>
        <w:rPr>
          <w:color w:val="auto"/>
        </w:rPr>
      </w:r>
    </w:p>
    <w:p>
      <w:pPr>
        <w:pStyle w:val="Nivel01"/>
        <w:numPr>
          <w:ilvl w:val="0"/>
          <w:numId w:val="141"/>
        </w:numPr>
        <w:ind w:hanging="0" w:left="0"/>
        <w:rPr>
          <w:color w:themeColor="background1" w:val="FFFFFF"/>
        </w:rPr>
      </w:pPr>
      <w:bookmarkStart w:id="0" w:name="_Hlk114497577"/>
      <w:bookmarkStart w:id="1" w:name="_Hlk114497502"/>
      <w:bookmarkEnd w:id="0"/>
      <w:bookmarkEnd w:id="1"/>
      <w:r>
        <w:rPr/>
        <w:t>CLÁUSULA TERCEIRA – MODELOS DE EXECUÇÃO E GESTÃO CONTRATUAIS (</w:t>
      </w:r>
      <w:r>
        <w:fldChar w:fldCharType="begin"/>
      </w:r>
      <w:r>
        <w:rPr>
          <w:rStyle w:val="Hyperlink"/>
        </w:rPr>
        <w:instrText xml:space="preserve"> HYPERLINK "http://www.planalto.gov.br/ccivil_03/_ato2019-2022/2021/lei/L14133.htm" \l "art92"</w:instrText>
      </w:r>
      <w:r>
        <w:rPr>
          <w:rStyle w:val="Hyperlink"/>
        </w:rPr>
        <w:fldChar w:fldCharType="separate"/>
      </w:r>
      <w:r>
        <w:rPr>
          <w:rStyle w:val="Hyperlink"/>
        </w:rPr>
        <w:t>art. 92, IV, VII e XVIII)</w:t>
      </w:r>
      <w:r>
        <w:rPr>
          <w:rStyle w:val="Hyperlink"/>
        </w:rPr>
        <w:fldChar w:fldCharType="end"/>
      </w:r>
    </w:p>
    <w:p>
      <w:pPr>
        <w:pStyle w:val="Nivel2"/>
        <w:numPr>
          <w:ilvl w:val="1"/>
          <w:numId w:val="142"/>
        </w:numPr>
        <w:ind w:hanging="0" w:left="0"/>
        <w:rPr/>
      </w:pPr>
      <w:r>
        <w:rPr/>
        <w:t>O regime de execução contratual, os modelos de gestão e de execução, assim como os prazos e condições de conclusão, entrega, observação e recebimento do objeto constam no Termo de Referência, anexo a este Contrato.</w:t>
      </w:r>
    </w:p>
    <w:p>
      <w:pPr>
        <w:pStyle w:val="Nivel01"/>
        <w:numPr>
          <w:ilvl w:val="0"/>
          <w:numId w:val="143"/>
        </w:numPr>
        <w:ind w:hanging="0" w:left="0"/>
        <w:rPr>
          <w:color w:themeColor="background1" w:val="FFFFFF"/>
        </w:rPr>
      </w:pPr>
      <w:r>
        <w:rPr/>
        <w:t>CLÁUSULA QUARTA – SUBCONTRATAÇÃO</w:t>
      </w:r>
    </w:p>
    <w:p>
      <w:pPr>
        <w:pStyle w:val="Nvel2-Red"/>
        <w:numPr>
          <w:ilvl w:val="1"/>
          <w:numId w:val="144"/>
        </w:numPr>
        <w:ind w:hanging="0" w:left="0"/>
        <w:rPr>
          <w:color w:val="auto"/>
        </w:rPr>
      </w:pPr>
      <w:r>
        <w:rPr>
          <w:color w:val="auto"/>
        </w:rPr>
        <w:t>Será admitida a subcontratação do objeto contratual.</w:t>
      </w:r>
    </w:p>
    <w:p>
      <w:pPr>
        <w:pStyle w:val="Nivel01"/>
        <w:numPr>
          <w:ilvl w:val="0"/>
          <w:numId w:val="145"/>
        </w:numPr>
        <w:ind w:hanging="0" w:left="0"/>
        <w:rPr/>
      </w:pPr>
      <w:r>
        <w:rPr>
          <w:color w:val="auto"/>
        </w:rPr>
        <w:t>CLÁUSULA QUINTA – PREÇO (</w:t>
      </w:r>
      <w:r>
        <w:fldChar w:fldCharType="begin"/>
      </w:r>
      <w:r>
        <w:rPr>
          <w:rStyle w:val="Hyperlink"/>
          <w:color w:val="auto"/>
        </w:rPr>
        <w:instrText xml:space="preserve"> HYPERLINK "http://www.planalto.gov.br/ccivil_03/_ato2019-2022/2021/lei/L14133.htm" \l "art92"</w:instrText>
      </w:r>
      <w:r>
        <w:rPr>
          <w:rStyle w:val="Hyperlink"/>
          <w:color w:val="auto"/>
        </w:rPr>
        <w:fldChar w:fldCharType="separate"/>
      </w:r>
      <w:r>
        <w:rPr>
          <w:rStyle w:val="Hyperlink"/>
          <w:color w:val="auto"/>
        </w:rPr>
        <w:t>art. 92, V</w:t>
      </w:r>
      <w:r>
        <w:rPr>
          <w:rStyle w:val="Hyperlink"/>
          <w:color w:val="auto"/>
        </w:rPr>
        <w:fldChar w:fldCharType="end"/>
      </w:r>
      <w:r>
        <w:rPr>
          <w:color w:val="auto"/>
        </w:rPr>
        <w:t>)</w:t>
      </w:r>
      <w:r>
        <w:rPr/>
        <w:commentReference w:id="3"/>
      </w:r>
    </w:p>
    <w:p>
      <w:pPr>
        <w:pStyle w:val="Nvel2-Red"/>
        <w:numPr>
          <w:ilvl w:val="1"/>
          <w:numId w:val="146"/>
        </w:numPr>
        <w:ind w:hanging="0" w:left="0"/>
        <w:rPr>
          <w:color w:val="auto"/>
        </w:rPr>
      </w:pPr>
      <w:commentRangeStart w:id="4"/>
      <w:r>
        <w:rPr>
          <w:color w:val="auto"/>
        </w:rPr>
        <w:t xml:space="preserve">O valor total da contratação é de </w:t>
      </w:r>
      <w:r>
        <w:rPr>
          <w:b/>
          <w:bCs/>
          <w:color w:val="auto"/>
        </w:rPr>
        <w:t xml:space="preserve">R$ </w:t>
      </w:r>
      <w:r>
        <w:rPr>
          <w:b w:val="false"/>
          <w:bCs w:val="false"/>
          <w:color w:val="FF0000"/>
        </w:rPr>
        <w:t>x.xxx,xx (xxxxxxxxxxxxxxx</w:t>
      </w:r>
      <w:r>
        <w:rPr>
          <w:b w:val="false"/>
          <w:bCs w:val="false"/>
          <w:color w:val="auto"/>
        </w:rPr>
        <w:t>)</w:t>
      </w:r>
      <w:commentRangeEnd w:id="4"/>
      <w:r>
        <w:commentReference w:id="4"/>
      </w:r>
      <w:r>
        <w:rPr>
          <w:b w:val="false"/>
          <w:bCs w:val="false"/>
          <w:color w:val="auto"/>
        </w:rPr>
      </w:r>
    </w:p>
    <w:p>
      <w:pPr>
        <w:pStyle w:val="Nivel2"/>
        <w:numPr>
          <w:ilvl w:val="1"/>
          <w:numId w:val="147"/>
        </w:numPr>
        <w:ind w:hanging="0" w:left="0"/>
        <w:rPr>
          <w:color w:val="auto"/>
        </w:rPr>
      </w:pPr>
      <w:r>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vel2-Red"/>
        <w:numPr>
          <w:ilvl w:val="1"/>
          <w:numId w:val="148"/>
        </w:numPr>
        <w:ind w:hanging="0" w:left="0"/>
        <w:rPr>
          <w:color w:val="auto"/>
        </w:rPr>
      </w:pPr>
      <w:commentRangeStart w:id="5"/>
      <w:r>
        <w:rPr>
          <w:color w:val="auto"/>
        </w:rPr>
        <w:t>O valor acima é meramente estimativo, de forma que os pagamentos devidos ao contratado dependerão dos quantitativos efetivamente fornecidos.</w:t>
      </w:r>
      <w:commentRangeEnd w:id="5"/>
      <w:r>
        <w:commentReference w:id="5"/>
      </w:r>
      <w:r>
        <w:rPr>
          <w:color w:val="auto"/>
        </w:rPr>
      </w:r>
    </w:p>
    <w:p>
      <w:pPr>
        <w:pStyle w:val="Nivel01"/>
        <w:numPr>
          <w:ilvl w:val="0"/>
          <w:numId w:val="149"/>
        </w:numPr>
        <w:ind w:hanging="0" w:left="0"/>
        <w:rPr>
          <w:color w:themeColor="background1" w:val="FFFFFF"/>
        </w:rPr>
      </w:pPr>
      <w:r>
        <w:rPr/>
        <w:t>6. CLÁUSULA SEXTA - PAGAMENTO (</w:t>
      </w:r>
      <w:r>
        <w:fldChar w:fldCharType="begin"/>
      </w:r>
      <w:r>
        <w:rPr>
          <w:rStyle w:val="Hyperlink"/>
        </w:rPr>
        <w:instrText xml:space="preserve"> HYPERLINK "http://www.planalto.gov.br/ccivil_03/_ato2019-2022/2021/lei/L14133.htm" \l "art92"</w:instrText>
      </w:r>
      <w:r>
        <w:rPr>
          <w:rStyle w:val="Hyperlink"/>
        </w:rPr>
        <w:fldChar w:fldCharType="separate"/>
      </w:r>
      <w:r>
        <w:rPr>
          <w:rStyle w:val="Hyperlink"/>
        </w:rPr>
        <w:t>art. 92, V e VI</w:t>
      </w:r>
      <w:r>
        <w:rPr>
          <w:rStyle w:val="Hyperlink"/>
        </w:rPr>
        <w:fldChar w:fldCharType="end"/>
      </w:r>
      <w:r>
        <w:rPr/>
        <w:t>)</w:t>
      </w:r>
    </w:p>
    <w:p>
      <w:pPr>
        <w:pStyle w:val="Nivel2"/>
        <w:numPr>
          <w:ilvl w:val="1"/>
          <w:numId w:val="150"/>
        </w:numPr>
        <w:ind w:hanging="0" w:left="0"/>
        <w:rPr/>
      </w:pPr>
      <w:r>
        <w:rPr/>
        <w:t xml:space="preserve">O pagamento será efetuado ao contratado até 10(dez) dias úteis, </w:t>
      </w:r>
      <w:r>
        <w:rPr/>
        <w:t>mensalmente</w:t>
      </w:r>
      <w:r>
        <w:rPr/>
        <w:t xml:space="preserve"> após a execução, acompanhado de nota fiscal, ou outro documento comprobatório com ateste do fiscal de contrato com relatório das atividades.</w:t>
      </w:r>
    </w:p>
    <w:p>
      <w:pPr>
        <w:pStyle w:val="Nivel2"/>
        <w:numPr>
          <w:ilvl w:val="1"/>
          <w:numId w:val="151"/>
        </w:numPr>
        <w:ind w:hanging="0" w:left="0"/>
        <w:rPr/>
      </w:pPr>
      <w:r>
        <w:rPr/>
        <w:t xml:space="preserve">O pagamento só será efetuado após a confirmação da situação de regularidade fiscal do contratado. </w:t>
      </w:r>
    </w:p>
    <w:p>
      <w:pPr>
        <w:pStyle w:val="Nivel01"/>
        <w:numPr>
          <w:ilvl w:val="0"/>
          <w:numId w:val="152"/>
        </w:numPr>
        <w:ind w:hanging="0" w:left="0"/>
        <w:rPr>
          <w:color w:themeColor="background1" w:val="FFFFFF"/>
        </w:rPr>
      </w:pPr>
      <w:commentRangeStart w:id="6"/>
      <w:r>
        <w:rPr/>
        <w:t>CLÁUSULA SÉTIMA - REAJUSTE (</w:t>
      </w:r>
      <w:r>
        <w:fldChar w:fldCharType="begin"/>
      </w:r>
      <w:r>
        <w:rPr>
          <w:rStyle w:val="Hyperlink"/>
        </w:rPr>
        <w:instrText xml:space="preserve"> HYPERLINK "http://www.planalto.gov.br/ccivil_03/_ato2019-2022/2021/lei/L14133.htm" \l "art92"</w:instrText>
      </w:r>
      <w:r>
        <w:rPr>
          <w:rStyle w:val="Hyperlink"/>
        </w:rPr>
        <w:fldChar w:fldCharType="separate"/>
      </w:r>
      <w:r>
        <w:rPr>
          <w:rStyle w:val="Hyperlink"/>
        </w:rPr>
        <w:t>art. 92, V</w:t>
      </w:r>
      <w:r>
        <w:rPr>
          <w:rStyle w:val="Hyperlink"/>
        </w:rPr>
        <w:fldChar w:fldCharType="end"/>
      </w:r>
      <w:r>
        <w:rPr/>
        <w:t>)</w:t>
      </w:r>
      <w:commentRangeEnd w:id="6"/>
      <w:r>
        <w:commentReference w:id="6"/>
      </w:r>
      <w:r>
        <w:rPr/>
      </w:r>
    </w:p>
    <w:p>
      <w:pPr>
        <w:pStyle w:val="Nivel2"/>
        <w:numPr>
          <w:ilvl w:val="1"/>
          <w:numId w:val="153"/>
        </w:numPr>
        <w:ind w:hanging="0" w:left="0"/>
        <w:rPr/>
      </w:pPr>
      <w:r>
        <w:rPr/>
        <w:t xml:space="preserve">Os preços inicialmente contratados são fixos e irreajustáveis no prazo de um ano contado da data </w:t>
      </w:r>
      <w:r>
        <w:rPr/>
        <w:t>da proposta enviada na data da disputa</w:t>
      </w:r>
      <w:r>
        <w:rPr/>
        <w:t>, em</w:t>
      </w:r>
      <w:r>
        <w:rPr>
          <w:color w:val="auto"/>
        </w:rPr>
        <w:t xml:space="preserve"> </w:t>
      </w:r>
      <w:r>
        <w:rPr>
          <w:color w:val="auto"/>
        </w:rPr>
        <w:t>03</w:t>
      </w:r>
      <w:r>
        <w:rPr>
          <w:color w:val="auto"/>
        </w:rPr>
        <w:t>/</w:t>
      </w:r>
      <w:r>
        <w:rPr>
          <w:color w:val="auto"/>
        </w:rPr>
        <w:t>11</w:t>
      </w:r>
      <w:r>
        <w:rPr>
          <w:color w:val="auto"/>
        </w:rPr>
        <w:t>/2025</w:t>
      </w:r>
      <w:r>
        <w:rPr>
          <w:i/>
          <w:iCs/>
          <w:color w:val="auto"/>
        </w:rPr>
        <w:t>.</w:t>
      </w:r>
    </w:p>
    <w:p>
      <w:pPr>
        <w:pStyle w:val="Nivel01"/>
        <w:numPr>
          <w:ilvl w:val="0"/>
          <w:numId w:val="154"/>
        </w:numPr>
        <w:ind w:hanging="0" w:left="0"/>
        <w:rPr>
          <w:color w:themeColor="background1" w:val="FFFFFF"/>
        </w:rPr>
      </w:pPr>
      <w:r>
        <w:rPr/>
        <w:t xml:space="preserve">CLÁUSULA OITAVA - OBRIGAÇÕES DO CONTRATANTE </w:t>
      </w:r>
      <w:r>
        <w:fldChar w:fldCharType="begin"/>
      </w:r>
      <w:r>
        <w:rPr>
          <w:rStyle w:val="Hyperlink"/>
        </w:rPr>
        <w:instrText xml:space="preserve"> HYPERLINK "http://www.planalto.gov.br/ccivil_03/_ato2019-2022/2021/lei/L14133.htm" \l "art92"</w:instrText>
      </w:r>
      <w:r>
        <w:rPr>
          <w:rStyle w:val="Hyperlink"/>
        </w:rPr>
        <w:fldChar w:fldCharType="separate"/>
      </w:r>
      <w:commentRangeStart w:id="7"/>
      <w:r>
        <w:rPr>
          <w:rStyle w:val="Hyperlink"/>
        </w:rPr>
        <w:t>(art. 92, X, XI e XIV</w:t>
      </w:r>
      <w:r>
        <w:rPr>
          <w:rStyle w:val="Hyperlink"/>
        </w:rPr>
        <w:fldChar w:fldCharType="end"/>
      </w:r>
      <w:r>
        <w:rPr>
          <w:rStyle w:val="Hyperlink"/>
        </w:rPr>
      </w:r>
      <w:commentRangeEnd w:id="7"/>
      <w:r>
        <w:commentReference w:id="7"/>
      </w:r>
      <w:r>
        <w:rPr/>
        <w:t>)</w:t>
      </w:r>
    </w:p>
    <w:p>
      <w:pPr>
        <w:pStyle w:val="Nivel2"/>
        <w:numPr>
          <w:ilvl w:val="1"/>
          <w:numId w:val="155"/>
        </w:numPr>
        <w:ind w:hanging="0" w:left="0"/>
        <w:rPr/>
      </w:pPr>
      <w:r>
        <w:rPr/>
        <w:t>São obrigações do Contratante:</w:t>
      </w:r>
    </w:p>
    <w:p>
      <w:pPr>
        <w:pStyle w:val="Nivel2"/>
        <w:numPr>
          <w:ilvl w:val="1"/>
          <w:numId w:val="156"/>
        </w:numPr>
        <w:ind w:hanging="0" w:left="0"/>
        <w:rPr/>
      </w:pPr>
      <w:r>
        <w:rPr/>
        <w:t>Exigir o cumprimento de todas as obrigações assumidas pelo Contratado, de acordo com o contrato e seus anexos;</w:t>
      </w:r>
    </w:p>
    <w:p>
      <w:pPr>
        <w:pStyle w:val="Nivel2"/>
        <w:numPr>
          <w:ilvl w:val="1"/>
          <w:numId w:val="157"/>
        </w:numPr>
        <w:ind w:hanging="0" w:left="0"/>
        <w:rPr/>
      </w:pPr>
      <w:r>
        <w:rPr/>
        <w:t>Receber o objeto no prazo e condições estabelecidas no Termo de Referência;</w:t>
      </w:r>
    </w:p>
    <w:p>
      <w:pPr>
        <w:pStyle w:val="Nivel2"/>
        <w:numPr>
          <w:ilvl w:val="1"/>
          <w:numId w:val="158"/>
        </w:numPr>
        <w:ind w:hanging="0" w:left="0"/>
        <w:rPr/>
      </w:pPr>
      <w:r>
        <w:rPr/>
        <w:t>Notificar o Contratado, por escrito, sobre vícios, defeitos ou incorreções verificadas no objeto fornecido, para que seja por ele substituído, reparado ou corrigido, no total ou em parte, às suas expensas;</w:t>
      </w:r>
    </w:p>
    <w:p>
      <w:pPr>
        <w:pStyle w:val="Nivel2"/>
        <w:numPr>
          <w:ilvl w:val="1"/>
          <w:numId w:val="159"/>
        </w:numPr>
        <w:ind w:hanging="0" w:left="0"/>
        <w:rPr/>
      </w:pPr>
      <w:r>
        <w:rPr/>
        <w:t>Acompanhar e fiscalizar a execução do contrato e o cumprimento das obrigações pelo Contratado;</w:t>
      </w:r>
    </w:p>
    <w:p>
      <w:pPr>
        <w:pStyle w:val="Nivel2"/>
        <w:numPr>
          <w:ilvl w:val="1"/>
          <w:numId w:val="160"/>
        </w:numPr>
        <w:ind w:hanging="0" w:left="0"/>
        <w:rPr/>
      </w:pPr>
      <w:r>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pPr>
        <w:pStyle w:val="Nivel2"/>
        <w:numPr>
          <w:ilvl w:val="1"/>
          <w:numId w:val="161"/>
        </w:numPr>
        <w:ind w:hanging="0" w:left="0"/>
        <w:rPr/>
      </w:pPr>
      <w:r>
        <w:rPr/>
        <w:t>Efetuar o pagamento ao Contratado do valor correspondente à execução do objeto, no prazo, forma e condições estabelecidos no presente Contrato e no Termo de Referência;</w:t>
      </w:r>
    </w:p>
    <w:p>
      <w:pPr>
        <w:pStyle w:val="Nivel2"/>
        <w:numPr>
          <w:ilvl w:val="1"/>
          <w:numId w:val="162"/>
        </w:numPr>
        <w:ind w:hanging="0" w:left="0"/>
        <w:rPr/>
      </w:pPr>
      <w:r>
        <w:rPr/>
        <w:t xml:space="preserve">Aplicar ao Contratado as sanções previstas na lei e neste Contrato; </w:t>
      </w:r>
    </w:p>
    <w:p>
      <w:pPr>
        <w:pStyle w:val="Nivel2"/>
        <w:numPr>
          <w:ilvl w:val="1"/>
          <w:numId w:val="163"/>
        </w:numPr>
        <w:ind w:hanging="0" w:left="0"/>
        <w:rPr/>
      </w:pPr>
      <w:r>
        <w:rPr/>
        <w:t>Cientificar o órgão de representação judicial da Advocacia-Geral da União para adoção das medidas cabíveis quando do descumprimento de obrigações pelo Contratado;</w:t>
      </w:r>
    </w:p>
    <w:p>
      <w:pPr>
        <w:pStyle w:val="Nivel2"/>
        <w:numPr>
          <w:ilvl w:val="1"/>
          <w:numId w:val="164"/>
        </w:numPr>
        <w:ind w:hanging="0" w:left="0"/>
        <w:rPr/>
      </w:pPr>
      <w: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3"/>
        <w:numPr>
          <w:ilvl w:val="2"/>
          <w:numId w:val="165"/>
        </w:numPr>
        <w:ind w:hanging="0" w:left="284"/>
        <w:rPr>
          <w:b/>
          <w:bCs/>
        </w:rPr>
      </w:pPr>
      <w:r>
        <w:rPr/>
        <w:t xml:space="preserve"> </w:t>
      </w:r>
      <w:commentRangeStart w:id="8"/>
      <w:r>
        <w:rPr/>
        <w:t>A Administração terá o prazo de</w:t>
      </w:r>
      <w:r>
        <w:rPr>
          <w:i/>
          <w:iCs/>
          <w:color w:val="FF0000"/>
        </w:rPr>
        <w:t xml:space="preserve"> </w:t>
      </w:r>
      <w:r>
        <w:rPr>
          <w:i/>
          <w:iCs/>
          <w:color w:val="auto"/>
        </w:rPr>
        <w:t>30 dias</w:t>
      </w:r>
      <w:r>
        <w:rPr>
          <w:color w:val="auto"/>
        </w:rPr>
        <w:t xml:space="preserve"> a </w:t>
      </w:r>
      <w:r>
        <w:rPr/>
        <w:t xml:space="preserve">contar da data do protocolo do requerimento para decidir, admitida a prorrogação motivada, por igual período. </w:t>
      </w:r>
      <w:commentRangeEnd w:id="8"/>
      <w:r>
        <w:commentReference w:id="8"/>
      </w:r>
      <w:r>
        <w:rPr/>
      </w:r>
    </w:p>
    <w:p>
      <w:pPr>
        <w:pStyle w:val="Nivel2"/>
        <w:numPr>
          <w:ilvl w:val="1"/>
          <w:numId w:val="166"/>
        </w:numPr>
        <w:ind w:hanging="0" w:left="0"/>
        <w:rPr>
          <w:color w:val="FF0000"/>
        </w:rPr>
      </w:pPr>
      <w:commentRangeStart w:id="9"/>
      <w:r>
        <w:rPr/>
        <w:t>Responder eventuais pedidos de reestabelecimento do equilíbrio econômico-financeiro feitos pelo contratado no prazo máximo de 30 dias</w:t>
      </w:r>
      <w:r>
        <w:rPr>
          <w:color w:val="FF0000"/>
        </w:rPr>
        <w:t>.</w:t>
      </w:r>
      <w:commentRangeEnd w:id="9"/>
      <w:r>
        <w:commentReference w:id="9"/>
      </w:r>
      <w:r>
        <w:rPr>
          <w:color w:val="FF0000"/>
        </w:rPr>
      </w:r>
    </w:p>
    <w:p>
      <w:pPr>
        <w:pStyle w:val="Nvel2-Red"/>
        <w:numPr>
          <w:ilvl w:val="1"/>
          <w:numId w:val="167"/>
        </w:numPr>
        <w:ind w:hanging="0" w:left="0"/>
        <w:rPr>
          <w:color w:val="auto"/>
        </w:rPr>
      </w:pPr>
      <w:bookmarkStart w:id="2" w:name="_Hlk114499841"/>
      <w:bookmarkEnd w:id="2"/>
      <w:commentRangeStart w:id="10"/>
      <w:r>
        <w:rPr>
          <w:color w:val="auto"/>
        </w:rPr>
        <w:t>Notificar os emitentes das garantias quanto ao início de processo administrativo para apuração de descumprimento de cláusulas contratuais.</w:t>
      </w:r>
      <w:commentRangeEnd w:id="10"/>
      <w:r>
        <w:commentReference w:id="10"/>
      </w:r>
      <w:r>
        <w:rPr>
          <w:color w:val="auto"/>
        </w:rPr>
      </w:r>
    </w:p>
    <w:p>
      <w:pPr>
        <w:pStyle w:val="Nivel2"/>
        <w:numPr>
          <w:ilvl w:val="1"/>
          <w:numId w:val="168"/>
        </w:numPr>
        <w:ind w:hanging="0" w:left="0"/>
        <w:rPr/>
      </w:pPr>
      <w:r>
        <w:rPr/>
        <w:t xml:space="preserve">Comunicar o Contratado na hipótese de posterior alteração do projeto pelo Contratante, no caso </w:t>
      </w:r>
      <w:r>
        <w:fldChar w:fldCharType="begin"/>
      </w:r>
      <w:r>
        <w:rPr>
          <w:rStyle w:val="Hyperlink"/>
        </w:rPr>
        <w:instrText xml:space="preserve"> HYPERLINK "http://www.planalto.gov.br/ccivil_03/_ato2019-2022/2021/lei/L14133.htm" \l "art93§2"</w:instrText>
      </w:r>
      <w:r>
        <w:rPr>
          <w:rStyle w:val="Hyperlink"/>
        </w:rPr>
        <w:fldChar w:fldCharType="separate"/>
      </w:r>
      <w:r>
        <w:rPr>
          <w:rStyle w:val="Hyperlink"/>
        </w:rPr>
        <w:t>do art. 93, §2º, da Lei nº 14.133, de 2021</w:t>
      </w:r>
      <w:r>
        <w:rPr>
          <w:rStyle w:val="Hyperlink"/>
        </w:rPr>
        <w:fldChar w:fldCharType="end"/>
      </w:r>
      <w:r>
        <w:rPr/>
        <w:t>.</w:t>
      </w:r>
    </w:p>
    <w:p>
      <w:pPr>
        <w:pStyle w:val="Nivel2"/>
        <w:numPr>
          <w:ilvl w:val="1"/>
          <w:numId w:val="169"/>
        </w:numPr>
        <w:ind w:hanging="0" w:left="0"/>
        <w:rPr/>
      </w:pPr>
      <w: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170"/>
        </w:numPr>
        <w:ind w:hanging="0" w:left="0"/>
        <w:rPr>
          <w:color w:themeColor="background1" w:val="FFFFFF"/>
        </w:rPr>
      </w:pPr>
      <w:commentRangeStart w:id="11"/>
      <w:r>
        <w:rPr/>
        <w:t>CLÁUSULA NONA - OBRIGAÇÕES DO CONTRATADO (</w:t>
      </w:r>
      <w:r>
        <w:fldChar w:fldCharType="begin"/>
      </w:r>
      <w:r>
        <w:rPr>
          <w:rStyle w:val="Hyperlink"/>
        </w:rPr>
        <w:instrText xml:space="preserve"> HYPERLINK "http://www.planalto.gov.br/ccivil_03/_ato2019-2022/2021/lei/L14133.htm" \l "art92"</w:instrText>
      </w:r>
      <w:r>
        <w:rPr>
          <w:rStyle w:val="Hyperlink"/>
        </w:rPr>
        <w:fldChar w:fldCharType="separate"/>
      </w:r>
      <w:r>
        <w:rPr>
          <w:rStyle w:val="Hyperlink"/>
        </w:rPr>
        <w:t>art. 92, XIV, XVI e XVII</w:t>
      </w:r>
      <w:r>
        <w:rPr>
          <w:rStyle w:val="Hyperlink"/>
        </w:rPr>
        <w:fldChar w:fldCharType="end"/>
      </w:r>
      <w:r>
        <w:rPr/>
        <w:t>)</w:t>
      </w:r>
      <w:commentRangeEnd w:id="11"/>
      <w:r>
        <w:commentReference w:id="11"/>
      </w:r>
      <w:r>
        <w:rPr/>
      </w:r>
    </w:p>
    <w:p>
      <w:pPr>
        <w:pStyle w:val="Nivel2"/>
        <w:numPr>
          <w:ilvl w:val="1"/>
          <w:numId w:val="171"/>
        </w:numPr>
        <w:ind w:hanging="0" w:left="0"/>
        <w:rPr/>
      </w:pPr>
      <w:r>
        <w:rPr/>
        <w:t>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Nivel2"/>
        <w:numPr>
          <w:ilvl w:val="1"/>
          <w:numId w:val="172"/>
        </w:numPr>
        <w:ind w:hanging="0" w:left="0"/>
        <w:rPr/>
      </w:pPr>
      <w:r>
        <w:rPr/>
        <w:t>Manter preposto aceito pela Administração no local do serviço para representá-lo na execução do contrato.</w:t>
      </w:r>
    </w:p>
    <w:p>
      <w:pPr>
        <w:pStyle w:val="Nivel2"/>
        <w:numPr>
          <w:ilvl w:val="1"/>
          <w:numId w:val="173"/>
        </w:numPr>
        <w:ind w:hanging="0" w:left="0"/>
        <w:rPr/>
      </w:pPr>
      <w:r>
        <w:rPr/>
        <w:t>A indicação ou a manutenção do preposto da empresa poderá ser recusada pelo órgão ou entidade, desde que devidamente justificada, devendo a empresa designar outro para o exercício da atividade.</w:t>
      </w:r>
    </w:p>
    <w:p>
      <w:pPr>
        <w:pStyle w:val="Nivel2"/>
        <w:numPr>
          <w:ilvl w:val="1"/>
          <w:numId w:val="174"/>
        </w:numPr>
        <w:ind w:hanging="0" w:left="0"/>
        <w:rPr/>
      </w:pPr>
      <w:r>
        <w:rPr/>
        <w:t>Atender às determinações regulares emitidas pelo fiscal do contrato ou autoridade superior (</w:t>
      </w:r>
      <w:r>
        <w:fldChar w:fldCharType="begin"/>
      </w:r>
      <w:r>
        <w:rPr>
          <w:rStyle w:val="Hyperlink"/>
        </w:rPr>
        <w:instrText xml:space="preserve"> HYPERLINK "http://www.planalto.gov.br/ccivil_03/_ato2019-2022/2021/lei/L14133.htm" \l "art137"</w:instrText>
      </w:r>
      <w:r>
        <w:rPr>
          <w:rStyle w:val="Hyperlink"/>
        </w:rPr>
        <w:fldChar w:fldCharType="separate"/>
      </w:r>
      <w:r>
        <w:rPr>
          <w:rStyle w:val="Hyperlink"/>
        </w:rPr>
        <w:t>art. 137, II</w:t>
      </w:r>
      <w:r>
        <w:rPr>
          <w:rStyle w:val="Hyperlink"/>
        </w:rPr>
        <w:fldChar w:fldCharType="end"/>
      </w:r>
      <w:r>
        <w:rPr/>
        <w:t xml:space="preserve">) </w:t>
      </w:r>
      <w:r>
        <w:rPr>
          <w:color w:themeColor="text1" w:val="000000"/>
        </w:rPr>
        <w:t xml:space="preserve">e </w:t>
      </w:r>
      <w:r>
        <w:rPr/>
        <w:t>prestar todo esclarecimento ou informação por eles solicitados</w:t>
      </w:r>
      <w:r>
        <w:rPr>
          <w:color w:themeColor="text1" w:val="000000"/>
        </w:rPr>
        <w:t>;</w:t>
      </w:r>
    </w:p>
    <w:p>
      <w:pPr>
        <w:pStyle w:val="Nivel2"/>
        <w:numPr>
          <w:ilvl w:val="1"/>
          <w:numId w:val="175"/>
        </w:numPr>
        <w:ind w:hanging="0" w:left="0"/>
        <w:rPr/>
      </w:pPr>
      <w:r>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pPr>
        <w:pStyle w:val="Nivel2"/>
        <w:numPr>
          <w:ilvl w:val="1"/>
          <w:numId w:val="176"/>
        </w:numPr>
        <w:ind w:hanging="0" w:left="0"/>
        <w:rPr/>
      </w:pPr>
      <w:commentRangeStart w:id="12"/>
      <w:r>
        <w:rPr/>
        <w:t>Reparar, corrigir, remover, reconstruir ou substituir, às suas expensas, no total ou em parte, no prazo fixado pelo fiscal do contrato, os serviços nos quais se verificarem vícios, defeitos ou incorreções resultantes da execução ou dos materiais empregados;</w:t>
      </w:r>
      <w:commentRangeEnd w:id="12"/>
      <w:r>
        <w:commentReference w:id="12"/>
      </w:r>
      <w:r>
        <w:rPr/>
      </w:r>
    </w:p>
    <w:p>
      <w:pPr>
        <w:pStyle w:val="Nivel2"/>
        <w:numPr>
          <w:ilvl w:val="1"/>
          <w:numId w:val="177"/>
        </w:numPr>
        <w:ind w:hanging="0" w:left="0"/>
        <w:rPr/>
      </w:pPr>
      <w:r>
        <w:rPr/>
        <w:t xml:space="preserve">Responsabilizar-se pelos vícios e danos decorrentes da execução do objeto, de acordo com o </w:t>
      </w:r>
      <w:hyperlink r:id="rId3">
        <w:r>
          <w:rPr>
            <w:rStyle w:val="Hyperlink"/>
          </w:rPr>
          <w:t>Código de Defesa do Consumidor (Lei nº 8.078, de 1990</w:t>
        </w:r>
      </w:hyperlink>
      <w:r>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pStyle w:val="Nivel2"/>
        <w:numPr>
          <w:ilvl w:val="1"/>
          <w:numId w:val="178"/>
        </w:numPr>
        <w:ind w:hanging="0" w:left="0"/>
        <w:rPr/>
      </w:pPr>
      <w:r>
        <w:rPr/>
        <w:t xml:space="preserve">Não contratar, durante a vigência do contrato, cônjuge, companheiro ou parente em linha reta, colateral ou por afinidade, até o terceiro grau, de dirigente do contratante ou do fiscal ou gestor do contrato, nos termos do </w:t>
      </w:r>
      <w:r>
        <w:fldChar w:fldCharType="begin"/>
      </w:r>
      <w:r>
        <w:rPr>
          <w:rStyle w:val="Hyperlink"/>
        </w:rPr>
        <w:instrText xml:space="preserve"> HYPERLINK "http://www.planalto.gov.br/ccivil_03/_ato2019-2022/2021/lei/L14133.htm" \l "art48"</w:instrText>
      </w:r>
      <w:r>
        <w:rPr>
          <w:rStyle w:val="Hyperlink"/>
        </w:rPr>
        <w:fldChar w:fldCharType="separate"/>
      </w:r>
      <w:r>
        <w:rPr>
          <w:rStyle w:val="Hyperlink"/>
        </w:rPr>
        <w:t>artigo 48, parágrafo único, da Lei nº 14.133, de 2021</w:t>
      </w:r>
      <w:r>
        <w:rPr>
          <w:rStyle w:val="Hyperlink"/>
        </w:rPr>
        <w:fldChar w:fldCharType="end"/>
      </w:r>
      <w:r>
        <w:rPr/>
        <w:t>;</w:t>
      </w:r>
    </w:p>
    <w:p>
      <w:pPr>
        <w:pStyle w:val="Nivel2"/>
        <w:numPr>
          <w:ilvl w:val="1"/>
          <w:numId w:val="179"/>
        </w:numPr>
        <w:ind w:hanging="0" w:left="0"/>
        <w:rPr/>
      </w:pPr>
      <w:r>
        <w:rPr/>
        <w:t>Q</w:t>
      </w:r>
      <w:commentRangeStart w:id="13"/>
      <w:r>
        <w:rPr/>
        <w:t xml:space="preserve">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commentRangeEnd w:id="13"/>
      <w:r>
        <w:commentReference w:id="13"/>
      </w:r>
      <w:r>
        <w:rPr/>
      </w:r>
    </w:p>
    <w:p>
      <w:pPr>
        <w:pStyle w:val="Nivel2"/>
        <w:numPr>
          <w:ilvl w:val="1"/>
          <w:numId w:val="180"/>
        </w:numPr>
        <w:ind w:hanging="0" w:left="0"/>
        <w:rPr/>
      </w:pPr>
      <w:r>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pPr>
        <w:pStyle w:val="Nivel2"/>
        <w:numPr>
          <w:ilvl w:val="1"/>
          <w:numId w:val="181"/>
        </w:numPr>
        <w:ind w:hanging="0" w:left="0"/>
        <w:rPr/>
      </w:pPr>
      <w:r>
        <w:rPr/>
        <w:t>Comunicar ao Fiscal do contrato, no prazo de 24 (vinte e quatro) horas, qualquer ocorrência anormal ou acidente que se verifique no local dos serviços.</w:t>
      </w:r>
    </w:p>
    <w:p>
      <w:pPr>
        <w:pStyle w:val="Nivel2"/>
        <w:numPr>
          <w:ilvl w:val="1"/>
          <w:numId w:val="182"/>
        </w:numPr>
        <w:ind w:hanging="0" w:left="0"/>
        <w:rPr/>
      </w:pPr>
      <w:r>
        <w:rPr/>
        <w:t>Prestar todo esclarecimento ou informação solicitada pelo Contratante ou por seus prepostos, garantindo-lhes o acesso, a qualquer tempo, ao local dos trabalhos, bem como aos documentos relativos à execução do empreendimento.</w:t>
      </w:r>
    </w:p>
    <w:p>
      <w:pPr>
        <w:pStyle w:val="Nivel2"/>
        <w:numPr>
          <w:ilvl w:val="1"/>
          <w:numId w:val="183"/>
        </w:numPr>
        <w:ind w:hanging="0" w:left="0"/>
        <w:rPr/>
      </w:pPr>
      <w:r>
        <w:rPr/>
        <w:t>Paralisar, por determinação do Contratante, qualquer atividade que não esteja sendo executada de acordo com a boa técnica ou que ponha em risco a segurança de pessoas ou bens de terceiros.</w:t>
      </w:r>
    </w:p>
    <w:p>
      <w:pPr>
        <w:pStyle w:val="Nivel2"/>
        <w:numPr>
          <w:ilvl w:val="1"/>
          <w:numId w:val="184"/>
        </w:numPr>
        <w:ind w:hanging="0" w:left="0"/>
        <w:rPr/>
      </w:pPr>
      <w:r>
        <w:rPr/>
        <w:t>Promover a guarda, manutenção e vigilância de materiais, ferramentas, e tudo o que for necessário à execução do objeto, durante a vigência do contrato.</w:t>
      </w:r>
    </w:p>
    <w:p>
      <w:pPr>
        <w:pStyle w:val="Nivel2"/>
        <w:numPr>
          <w:ilvl w:val="1"/>
          <w:numId w:val="185"/>
        </w:numPr>
        <w:ind w:hanging="0" w:left="0"/>
        <w:rPr/>
      </w:pPr>
      <w:r>
        <w:rPr/>
        <w:t>Conduzir os trabalhos com estrita observância às normas da legislação pertinente, cumprindo as determinações dos Poderes Públicos, mantendo sempre limpo o local dos serviços e nas melhores condições de segurança, higiene e disciplina.</w:t>
      </w:r>
    </w:p>
    <w:p>
      <w:pPr>
        <w:pStyle w:val="Nivel2"/>
        <w:numPr>
          <w:ilvl w:val="1"/>
          <w:numId w:val="186"/>
        </w:numPr>
        <w:ind w:hanging="0" w:left="0"/>
        <w:rPr/>
      </w:pPr>
      <w:r>
        <w:rPr/>
        <w:t>Submeter previamente, por escrito, ao Contratante, para análise e aprovação, quaisquer mudanças nos métodos executivos que fujam às especificações do memorial descritivo ou instrumento congênere.</w:t>
      </w:r>
    </w:p>
    <w:p>
      <w:pPr>
        <w:pStyle w:val="Nivel2"/>
        <w:numPr>
          <w:ilvl w:val="1"/>
          <w:numId w:val="187"/>
        </w:numPr>
        <w:ind w:hanging="0" w:left="0"/>
        <w:rPr/>
      </w:pPr>
      <w: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Nivel2"/>
        <w:numPr>
          <w:ilvl w:val="1"/>
          <w:numId w:val="188"/>
        </w:numPr>
        <w:ind w:hanging="0" w:left="0"/>
        <w:rPr/>
      </w:pPr>
      <w:r>
        <w:rPr/>
        <w:t xml:space="preserve"> </w:t>
      </w:r>
      <w:r>
        <w:rPr/>
        <w:t xml:space="preserve">Manter durante toda a vigência do contrato, em compatibilidade com as obrigações assumidas, todas as condições exigidas para habilitação na licitação; </w:t>
      </w:r>
    </w:p>
    <w:p>
      <w:pPr>
        <w:pStyle w:val="Nivel2"/>
        <w:numPr>
          <w:ilvl w:val="1"/>
          <w:numId w:val="189"/>
        </w:numPr>
        <w:ind w:hanging="0" w:left="0"/>
        <w:rPr/>
      </w:pPr>
      <w:r>
        <w:rPr/>
        <w:t>Guardar sigilo sobre todas as informações obtidas em decorrência do cumprimento do contrato;</w:t>
      </w:r>
    </w:p>
    <w:p>
      <w:pPr>
        <w:pStyle w:val="Nivel2"/>
        <w:numPr>
          <w:ilvl w:val="1"/>
          <w:numId w:val="190"/>
        </w:numPr>
        <w:ind w:hanging="0" w:left="0"/>
        <w:rPr/>
      </w:pPr>
      <w: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fldChar w:fldCharType="begin"/>
      </w:r>
      <w:r>
        <w:rPr>
          <w:rStyle w:val="Hyperlink"/>
        </w:rPr>
        <w:instrText xml:space="preserve"> HYPERLINK "http://www.planalto.gov.br/ccivil_03/_ato2019-2022/2021/lei/L14133.htm" \l "art124"</w:instrText>
      </w:r>
      <w:r>
        <w:rPr>
          <w:rStyle w:val="Hyperlink"/>
        </w:rPr>
        <w:fldChar w:fldCharType="separate"/>
      </w:r>
      <w:r>
        <w:rPr>
          <w:rStyle w:val="Hyperlink"/>
        </w:rPr>
        <w:t>art. 124, II, d, da Lei nº 14.133, de 2021</w:t>
      </w:r>
      <w:r>
        <w:rPr>
          <w:rStyle w:val="Hyperlink"/>
        </w:rPr>
        <w:fldChar w:fldCharType="end"/>
      </w:r>
      <w:r>
        <w:rPr/>
        <w:t>;</w:t>
      </w:r>
    </w:p>
    <w:p>
      <w:pPr>
        <w:pStyle w:val="Nivel2"/>
        <w:numPr>
          <w:ilvl w:val="1"/>
          <w:numId w:val="191"/>
        </w:numPr>
        <w:ind w:hanging="0" w:left="0"/>
        <w:rPr/>
      </w:pPr>
      <w:r>
        <w:rPr/>
        <w:t>Cumprir, além dos postulados legais vigentes de âmbito federal, estadual ou municipal, as normas de segurança do Contratante;</w:t>
      </w:r>
    </w:p>
    <w:p>
      <w:pPr>
        <w:pStyle w:val="Nivel01"/>
        <w:numPr>
          <w:ilvl w:val="0"/>
          <w:numId w:val="192"/>
        </w:numPr>
        <w:ind w:hanging="0" w:left="0"/>
        <w:rPr>
          <w:color w:val="auto"/>
        </w:rPr>
      </w:pPr>
      <w:commentRangeStart w:id="14"/>
      <w:r>
        <w:rPr>
          <w:color w:val="auto"/>
        </w:rPr>
        <w:t>CLÁUSULA DÉCIMA - OBRIGAÇÕES PERTINENTES À LGPD</w:t>
      </w:r>
      <w:commentRangeEnd w:id="14"/>
      <w:r>
        <w:commentReference w:id="14"/>
      </w:r>
      <w:r>
        <w:rPr>
          <w:color w:val="auto"/>
        </w:rPr>
      </w:r>
    </w:p>
    <w:p>
      <w:pPr>
        <w:pStyle w:val="Nvel2-Red"/>
        <w:numPr>
          <w:ilvl w:val="1"/>
          <w:numId w:val="193"/>
        </w:numPr>
        <w:ind w:hanging="0" w:left="0"/>
        <w:rPr/>
      </w:pPr>
      <w:r>
        <w:rPr>
          <w:color w:val="auto"/>
        </w:rPr>
        <w:t xml:space="preserve">As partes deverão cumprir a </w:t>
      </w:r>
      <w:hyperlink r:id="rId4">
        <w:r>
          <w:rPr>
            <w:rStyle w:val="Hyperlink"/>
            <w:color w:val="auto"/>
          </w:rPr>
          <w:t>Lei nº 13.709, de 14 de agosto de 2018 (LGPD)</w:t>
        </w:r>
      </w:hyperlink>
      <w:r>
        <w:rPr>
          <w:color w:val="auto"/>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Nvel2-Red"/>
        <w:numPr>
          <w:ilvl w:val="1"/>
          <w:numId w:val="194"/>
        </w:numPr>
        <w:ind w:hanging="0" w:left="0"/>
        <w:rPr/>
      </w:pPr>
      <w:r>
        <w:rPr>
          <w:color w:val="auto"/>
        </w:rPr>
        <w:t xml:space="preserve">Os dados obtidos somente poderão ser utilizados para as finalidades que justificaram seu acesso e de acordo com a boa-fé e com os princípios do </w:t>
      </w:r>
      <w:r>
        <w:fldChar w:fldCharType="begin"/>
      </w:r>
      <w:r>
        <w:rPr>
          <w:rStyle w:val="Hyperlink"/>
          <w:color w:val="auto"/>
        </w:rPr>
        <w:instrText xml:space="preserve"> HYPERLINK "https://www.planalto.gov.br/ccivil_03/_ato2015-2018/2018/lei/l13709.htm" \l "art6"</w:instrText>
      </w:r>
      <w:r>
        <w:rPr>
          <w:rStyle w:val="Hyperlink"/>
          <w:color w:val="auto"/>
        </w:rPr>
        <w:fldChar w:fldCharType="separate"/>
      </w:r>
      <w:r>
        <w:rPr>
          <w:rStyle w:val="Hyperlink"/>
          <w:color w:val="auto"/>
        </w:rPr>
        <w:t>art. 6º da LGPD</w:t>
      </w:r>
      <w:r>
        <w:rPr>
          <w:rStyle w:val="Hyperlink"/>
          <w:color w:val="auto"/>
        </w:rPr>
        <w:fldChar w:fldCharType="end"/>
      </w:r>
      <w:r>
        <w:rPr>
          <w:color w:val="auto"/>
        </w:rPr>
        <w:t xml:space="preserve">. </w:t>
      </w:r>
    </w:p>
    <w:p>
      <w:pPr>
        <w:pStyle w:val="Nvel2-Red"/>
        <w:numPr>
          <w:ilvl w:val="1"/>
          <w:numId w:val="195"/>
        </w:numPr>
        <w:ind w:hanging="0" w:left="0"/>
        <w:rPr>
          <w:color w:val="auto"/>
        </w:rPr>
      </w:pPr>
      <w:r>
        <w:rPr>
          <w:color w:val="auto"/>
        </w:rPr>
        <w:t>É vedado o compartilhamento com terceiros dos dados obtidos fora das hipóteses permitidas em Lei.</w:t>
      </w:r>
    </w:p>
    <w:p>
      <w:pPr>
        <w:pStyle w:val="Nvel2-Red"/>
        <w:numPr>
          <w:ilvl w:val="1"/>
          <w:numId w:val="196"/>
        </w:numPr>
        <w:ind w:hanging="0" w:left="0"/>
        <w:rPr>
          <w:color w:val="auto"/>
        </w:rPr>
      </w:pPr>
      <w:r>
        <w:rPr>
          <w:color w:val="auto"/>
        </w:rPr>
        <w:t xml:space="preserve">A Administração deverá ser informada no prazo de 5 (cinco) dias úteis sobre todos os contratos de suboperação firmados ou que venham a ser celebrados pelo Contratado. </w:t>
      </w:r>
    </w:p>
    <w:p>
      <w:pPr>
        <w:pStyle w:val="Nvel2-Red"/>
        <w:numPr>
          <w:ilvl w:val="1"/>
          <w:numId w:val="197"/>
        </w:numPr>
        <w:ind w:hanging="0" w:left="0"/>
        <w:rPr/>
      </w:pPr>
      <w:r>
        <w:rPr>
          <w:color w:val="auto"/>
        </w:rPr>
        <w:t xml:space="preserve">Terminado o tratamento dos dados nos termos do </w:t>
      </w:r>
      <w:r>
        <w:fldChar w:fldCharType="begin"/>
      </w:r>
      <w:r>
        <w:rPr>
          <w:rStyle w:val="Hyperlink"/>
          <w:color w:val="auto"/>
        </w:rPr>
        <w:instrText xml:space="preserve"> HYPERLINK "https://www.planalto.gov.br/ccivil_03/_ato2015-2018/2018/lei/l13709.htm" \l "art15"</w:instrText>
      </w:r>
      <w:r>
        <w:rPr>
          <w:rStyle w:val="Hyperlink"/>
          <w:color w:val="auto"/>
        </w:rPr>
        <w:fldChar w:fldCharType="separate"/>
      </w:r>
      <w:r>
        <w:rPr>
          <w:rStyle w:val="Hyperlink"/>
          <w:color w:val="auto"/>
        </w:rPr>
        <w:t>art. 15 da LGPD</w:t>
      </w:r>
      <w:r>
        <w:rPr>
          <w:rStyle w:val="Hyperlink"/>
          <w:color w:val="auto"/>
        </w:rPr>
        <w:fldChar w:fldCharType="end"/>
      </w:r>
      <w:r>
        <w:rPr>
          <w:color w:val="auto"/>
        </w:rPr>
        <w:t xml:space="preserve">, é dever do contratado eliminá-los, com exceção das hipóteses do </w:t>
      </w:r>
      <w:r>
        <w:fldChar w:fldCharType="begin"/>
      </w:r>
      <w:r>
        <w:rPr>
          <w:rStyle w:val="Hyperlink"/>
          <w:color w:val="auto"/>
        </w:rPr>
        <w:instrText xml:space="preserve"> HYPERLINK "https://www.planalto.gov.br/ccivil_03/_ato2015-2018/2018/lei/l13709.htm" \l "art16"</w:instrText>
      </w:r>
      <w:r>
        <w:rPr>
          <w:rStyle w:val="Hyperlink"/>
          <w:color w:val="auto"/>
        </w:rPr>
        <w:fldChar w:fldCharType="separate"/>
      </w:r>
      <w:r>
        <w:rPr>
          <w:rStyle w:val="Hyperlink"/>
          <w:color w:val="auto"/>
        </w:rPr>
        <w:t>art. 16 da LGPD</w:t>
      </w:r>
      <w:r>
        <w:rPr>
          <w:rStyle w:val="Hyperlink"/>
          <w:color w:val="auto"/>
        </w:rPr>
        <w:fldChar w:fldCharType="end"/>
      </w:r>
      <w:r>
        <w:rPr>
          <w:color w:val="auto"/>
        </w:rPr>
        <w:t xml:space="preserve">, incluindo aquelas em que houver necessidade de guarda de documentação para fins de comprovação do cumprimento de obrigações legais ou contratuais e somente enquanto não prescritas essas obrigações. </w:t>
      </w:r>
    </w:p>
    <w:p>
      <w:pPr>
        <w:pStyle w:val="Nvel2-Red"/>
        <w:numPr>
          <w:ilvl w:val="1"/>
          <w:numId w:val="198"/>
        </w:numPr>
        <w:ind w:hanging="0" w:left="0"/>
        <w:rPr>
          <w:color w:val="auto"/>
        </w:rPr>
      </w:pPr>
      <w:commentRangeStart w:id="15"/>
      <w:r>
        <w:rPr>
          <w:color w:val="auto"/>
        </w:rPr>
        <w:t xml:space="preserve">É dever do contratado orientar e treinar seus empregados sobre os deveres, requisitos e responsabilidades decorrentes da LGPD. </w:t>
      </w:r>
      <w:commentRangeEnd w:id="15"/>
      <w:r>
        <w:commentReference w:id="15"/>
      </w:r>
      <w:r>
        <w:rPr>
          <w:color w:val="auto"/>
        </w:rPr>
      </w:r>
    </w:p>
    <w:p>
      <w:pPr>
        <w:pStyle w:val="Nvel2-Red"/>
        <w:numPr>
          <w:ilvl w:val="1"/>
          <w:numId w:val="199"/>
        </w:numPr>
        <w:ind w:hanging="0" w:left="0"/>
        <w:rPr>
          <w:color w:val="auto"/>
        </w:rPr>
      </w:pPr>
      <w:r>
        <w:rPr>
          <w:color w:val="auto"/>
        </w:rPr>
        <w:t>O Contratado deverá exigir de suboperadores e subcontratados o cumprimento dos deveres da presente cláusula, permanecendo integralmente responsável por garantir sua observância.</w:t>
      </w:r>
    </w:p>
    <w:p>
      <w:pPr>
        <w:pStyle w:val="Nvel2-Red"/>
        <w:numPr>
          <w:ilvl w:val="1"/>
          <w:numId w:val="200"/>
        </w:numPr>
        <w:ind w:hanging="0" w:left="0"/>
        <w:rPr>
          <w:color w:val="auto"/>
        </w:rPr>
      </w:pPr>
      <w:commentRangeStart w:id="16"/>
      <w:r>
        <w:rPr>
          <w:color w:val="auto"/>
        </w:rPr>
        <w:t xml:space="preserve">O Contratante poderá realizar diligência para aferir o cumprimento dessa cláusula, devendo o Contratado atender prontamente eventuais pedidos de comprovação formulados. </w:t>
      </w:r>
      <w:commentRangeEnd w:id="16"/>
      <w:r>
        <w:commentReference w:id="16"/>
      </w:r>
      <w:r>
        <w:rPr>
          <w:color w:val="auto"/>
        </w:rPr>
      </w:r>
    </w:p>
    <w:p>
      <w:pPr>
        <w:pStyle w:val="Nvel2-Red"/>
        <w:numPr>
          <w:ilvl w:val="1"/>
          <w:numId w:val="201"/>
        </w:numPr>
        <w:ind w:hanging="0" w:left="0"/>
        <w:rPr>
          <w:color w:val="auto"/>
        </w:rPr>
      </w:pPr>
      <w:r>
        <w:rPr>
          <w:color w:val="auto"/>
        </w:rPr>
        <w:t xml:space="preserve">O Contratado deverá prestar, no prazo fixado pelo Contratante, prorrogável justificadamente, quaisquer informações acerca dos dados pessoais para cumprimento da LGPD, inclusive quanto a eventual descarte realizado. </w:t>
      </w:r>
    </w:p>
    <w:p>
      <w:pPr>
        <w:pStyle w:val="Nvel2-Red"/>
        <w:numPr>
          <w:ilvl w:val="1"/>
          <w:numId w:val="202"/>
        </w:numPr>
        <w:ind w:hanging="0" w:left="0"/>
        <w:rPr/>
      </w:pPr>
      <w:r>
        <w:rPr>
          <w:color w:val="auto"/>
        </w:rPr>
        <w:t>Bancos de dados formados a partir de contratos administrativos, notadamente aqueles que se proponham a armazenar dados pessoais, devem ser mantidos em ambiente virtual controlado, com registro</w:t>
      </w:r>
      <w:r>
        <w:rPr/>
        <w:t xml:space="preserve"> </w:t>
      </w:r>
      <w:r>
        <w:rPr>
          <w:color w:val="auto"/>
        </w:rPr>
        <w:t>individual rastreável de tratamentos realizados (</w:t>
      </w:r>
      <w:hyperlink r:id="rId5">
        <w:r>
          <w:rPr>
            <w:rStyle w:val="Hyperlink"/>
            <w:color w:val="auto"/>
          </w:rPr>
          <w:t>LGPD, art. 37</w:t>
        </w:r>
      </w:hyperlink>
      <w:r>
        <w:rPr>
          <w:color w:val="auto"/>
        </w:rPr>
        <w:t>), com cada acesso, data, horário e registro da finalidade, para efeito de responsabilização, em caso de eventuais omissões, desvios ou abusos.</w:t>
      </w:r>
    </w:p>
    <w:p>
      <w:pPr>
        <w:pStyle w:val="Nvel3-R"/>
        <w:numPr>
          <w:ilvl w:val="2"/>
          <w:numId w:val="203"/>
        </w:numPr>
        <w:ind w:hanging="0" w:left="284"/>
        <w:rPr>
          <w:color w:val="auto"/>
        </w:rPr>
      </w:pPr>
      <w:r>
        <w:rPr>
          <w:color w:val="auto"/>
        </w:rPr>
        <w:t>Os referidos bancos de dados devem ser desenvolvidos em formato interoperável, a fim de garantir a reutilização desses dados pela Administração nas hipóteses previstas na LGPD.</w:t>
      </w:r>
    </w:p>
    <w:p>
      <w:pPr>
        <w:pStyle w:val="Nvel2-Red"/>
        <w:numPr>
          <w:ilvl w:val="1"/>
          <w:numId w:val="204"/>
        </w:numPr>
        <w:ind w:hanging="0" w:left="0"/>
        <w:rPr>
          <w:color w:val="auto"/>
        </w:rPr>
      </w:pPr>
      <w:r>
        <w:rPr>
          <w:color w:val="auto"/>
        </w:rPr>
        <w:t>O contrato está sujeito a ser alterado nos procedimentos pertinentes ao tratamento de dados pessoais, quando indicado pela autoridade competente, em especial a ANPD por meio de opiniões técnicas ou recomendações, editadas na forma da LGPD.</w:t>
      </w:r>
    </w:p>
    <w:p>
      <w:pPr>
        <w:pStyle w:val="Nvel2-Red"/>
        <w:numPr>
          <w:ilvl w:val="1"/>
          <w:numId w:val="205"/>
        </w:numPr>
        <w:ind w:hanging="0" w:left="0"/>
        <w:rPr/>
      </w:pPr>
      <w:commentRangeStart w:id="17"/>
      <w:r>
        <w:rPr>
          <w:color w:val="auto"/>
        </w:rPr>
        <w:t xml:space="preserve">Os contratos e convênios de que trata o </w:t>
      </w:r>
      <w:r>
        <w:fldChar w:fldCharType="begin"/>
      </w:r>
      <w:r>
        <w:rPr>
          <w:rStyle w:val="Hyperlink"/>
          <w:color w:val="auto"/>
        </w:rPr>
        <w:instrText xml:space="preserve"> HYPERLINK "https://www.planalto.gov.br/ccivil_03/_ato2015-2018/2018/lei/l13709.htm" \l "art26§1"</w:instrText>
      </w:r>
      <w:r>
        <w:rPr>
          <w:rStyle w:val="Hyperlink"/>
          <w:color w:val="auto"/>
        </w:rPr>
        <w:fldChar w:fldCharType="separate"/>
      </w:r>
      <w:r>
        <w:rPr>
          <w:rStyle w:val="Hyperlink"/>
          <w:color w:val="auto"/>
        </w:rPr>
        <w:t>§ 1º do art. 26 da LGPD</w:t>
      </w:r>
      <w:r>
        <w:rPr>
          <w:rStyle w:val="Hyperlink"/>
          <w:color w:val="auto"/>
        </w:rPr>
        <w:fldChar w:fldCharType="end"/>
      </w:r>
      <w:r>
        <w:rPr>
          <w:color w:val="auto"/>
        </w:rPr>
        <w:t xml:space="preserve"> deverão ser comunicados à autoridade nacional.</w:t>
      </w:r>
      <w:commentRangeEnd w:id="17"/>
      <w:r>
        <w:commentReference w:id="17"/>
      </w:r>
      <w:r>
        <w:rPr>
          <w:color w:val="auto"/>
        </w:rPr>
      </w:r>
    </w:p>
    <w:p>
      <w:pPr>
        <w:pStyle w:val="Nivel01"/>
        <w:numPr>
          <w:ilvl w:val="0"/>
          <w:numId w:val="206"/>
        </w:numPr>
        <w:ind w:hanging="0" w:left="0"/>
        <w:rPr>
          <w:color w:themeColor="background1" w:val="FFFFFF"/>
        </w:rPr>
      </w:pPr>
      <w:r>
        <w:rPr/>
        <w:t>CLÁUSULA DÉCIMA PRIMEIRA – GARANTIA DE EXECUÇÃO (</w:t>
      </w:r>
      <w:r>
        <w:fldChar w:fldCharType="begin"/>
      </w:r>
      <w:r>
        <w:rPr>
          <w:rStyle w:val="Hyperlink"/>
        </w:rPr>
        <w:instrText xml:space="preserve"> HYPERLINK "http://www.planalto.gov.br/ccivil_03/_ato2019-2022/2021/lei/L14133.htm" \l "art92"</w:instrText>
      </w:r>
      <w:r>
        <w:rPr>
          <w:rStyle w:val="Hyperlink"/>
        </w:rPr>
        <w:fldChar w:fldCharType="separate"/>
      </w:r>
      <w:r>
        <w:rPr>
          <w:rStyle w:val="Hyperlink"/>
        </w:rPr>
        <w:t>art. 92, XII</w:t>
      </w:r>
      <w:r>
        <w:rPr>
          <w:rStyle w:val="Hyperlink"/>
        </w:rPr>
        <w:fldChar w:fldCharType="end"/>
      </w:r>
      <w:r>
        <w:rPr/>
        <w:t>)</w:t>
      </w:r>
    </w:p>
    <w:p>
      <w:pPr>
        <w:pStyle w:val="Nvel2-Red"/>
        <w:numPr>
          <w:ilvl w:val="1"/>
          <w:numId w:val="207"/>
        </w:numPr>
        <w:ind w:hanging="0" w:left="0"/>
        <w:rPr>
          <w:color w:val="auto"/>
        </w:rPr>
      </w:pPr>
      <w:commentRangeStart w:id="18"/>
      <w:r>
        <w:rPr>
          <w:color w:val="auto"/>
        </w:rPr>
        <w:t>Não haverá exigência de garantia contratual da execução.</w:t>
      </w:r>
      <w:commentRangeEnd w:id="18"/>
      <w:r>
        <w:commentReference w:id="18"/>
      </w:r>
      <w:r>
        <w:rPr>
          <w:color w:val="auto"/>
        </w:rPr>
      </w:r>
    </w:p>
    <w:p>
      <w:pPr>
        <w:pStyle w:val="Nivel01"/>
        <w:numPr>
          <w:ilvl w:val="0"/>
          <w:numId w:val="208"/>
        </w:numPr>
        <w:ind w:hanging="0" w:left="0"/>
        <w:rPr>
          <w:color w:themeColor="background1" w:val="FFFFFF"/>
        </w:rPr>
      </w:pPr>
      <w:r>
        <w:rPr/>
        <w:t>CLÁUSULA DÉCIMA SEGUNDA – INFRAÇÕES E SANÇÕES ADMINISTRATIVAS (</w:t>
      </w:r>
      <w:r>
        <w:fldChar w:fldCharType="begin"/>
      </w:r>
      <w:r>
        <w:rPr>
          <w:rStyle w:val="Hyperlink"/>
        </w:rPr>
        <w:instrText xml:space="preserve"> HYPERLINK "http://www.planalto.gov.br/ccivil_03/_ato2019-2022/2021/lei/L14133.htm" \l "art92"</w:instrText>
      </w:r>
      <w:r>
        <w:rPr>
          <w:rStyle w:val="Hyperlink"/>
        </w:rPr>
        <w:fldChar w:fldCharType="separate"/>
      </w:r>
      <w:r>
        <w:rPr>
          <w:rStyle w:val="Hyperlink"/>
        </w:rPr>
        <w:t>art. 92, XIV</w:t>
      </w:r>
      <w:r>
        <w:rPr>
          <w:rStyle w:val="Hyperlink"/>
        </w:rPr>
        <w:fldChar w:fldCharType="end"/>
      </w:r>
      <w:r>
        <w:rPr/>
        <w:t>)</w:t>
      </w:r>
    </w:p>
    <w:p>
      <w:pPr>
        <w:pStyle w:val="Nivel2"/>
        <w:numPr>
          <w:ilvl w:val="1"/>
          <w:numId w:val="209"/>
        </w:numPr>
        <w:ind w:hanging="0" w:left="0"/>
        <w:rPr/>
      </w:pPr>
      <w:r>
        <w:rPr/>
        <w:t xml:space="preserve">Comete infração administrativa, nos termos da </w:t>
      </w:r>
      <w:hyperlink r:id="rId6">
        <w:r>
          <w:rPr>
            <w:rStyle w:val="Hyperlink"/>
          </w:rPr>
          <w:t>Lei nº 14.133, de 2021</w:t>
        </w:r>
      </w:hyperlink>
      <w:r>
        <w:rPr/>
        <w:t>, o contratado que:</w:t>
      </w:r>
    </w:p>
    <w:p>
      <w:pPr>
        <w:pStyle w:val="Normal"/>
        <w:numPr>
          <w:ilvl w:val="2"/>
          <w:numId w:val="5"/>
        </w:numPr>
        <w:suppressAutoHyphens w:val="true"/>
        <w:spacing w:lineRule="auto" w:line="276" w:before="120" w:after="120"/>
        <w:ind w:hanging="0" w:left="284"/>
        <w:jc w:val="both"/>
        <w:rPr>
          <w:rFonts w:ascii="Arial" w:hAnsi="Arial" w:eastAsia="Arial" w:cs="Arial"/>
          <w:sz w:val="20"/>
          <w:szCs w:val="20"/>
        </w:rPr>
      </w:pPr>
      <w:r>
        <w:rPr>
          <w:rFonts w:eastAsia="Arial" w:cs="Arial" w:ascii="Arial" w:hAnsi="Arial"/>
          <w:sz w:val="20"/>
          <w:szCs w:val="20"/>
        </w:rPr>
        <w:t>der causa à inexecução parcial do contrato;</w:t>
      </w:r>
    </w:p>
    <w:p>
      <w:pPr>
        <w:pStyle w:val="Normal"/>
        <w:numPr>
          <w:ilvl w:val="2"/>
          <w:numId w:val="5"/>
        </w:numPr>
        <w:suppressAutoHyphens w:val="true"/>
        <w:spacing w:lineRule="auto" w:line="276" w:before="120" w:after="120"/>
        <w:ind w:hanging="0" w:left="284"/>
        <w:jc w:val="both"/>
        <w:rPr>
          <w:rFonts w:ascii="Arial" w:hAnsi="Arial" w:eastAsia="Arial" w:cs="Arial"/>
          <w:sz w:val="20"/>
          <w:szCs w:val="20"/>
        </w:rPr>
      </w:pPr>
      <w:r>
        <w:rPr>
          <w:rFonts w:eastAsia="Arial" w:cs="Arial" w:ascii="Arial" w:hAnsi="Arial"/>
          <w:sz w:val="20"/>
          <w:szCs w:val="20"/>
        </w:rPr>
        <w:t>der causa à inexecução parcial do contrato que cause grave dano à Administração ou ao funcionamento dos serviços públicos ou ao interesse coletivo;</w:t>
      </w:r>
    </w:p>
    <w:p>
      <w:pPr>
        <w:pStyle w:val="Normal"/>
        <w:numPr>
          <w:ilvl w:val="2"/>
          <w:numId w:val="5"/>
        </w:numPr>
        <w:suppressAutoHyphens w:val="true"/>
        <w:spacing w:lineRule="auto" w:line="276" w:before="120" w:after="120"/>
        <w:ind w:hanging="0" w:left="284"/>
        <w:jc w:val="both"/>
        <w:rPr>
          <w:rFonts w:ascii="Arial" w:hAnsi="Arial" w:eastAsia="Arial" w:cs="Arial"/>
          <w:sz w:val="20"/>
          <w:szCs w:val="20"/>
        </w:rPr>
      </w:pPr>
      <w:r>
        <w:rPr>
          <w:rFonts w:eastAsia="Arial" w:cs="Arial" w:ascii="Arial" w:hAnsi="Arial"/>
          <w:sz w:val="20"/>
          <w:szCs w:val="20"/>
        </w:rPr>
        <w:t>der causa à inexecução total do contrato;</w:t>
      </w:r>
    </w:p>
    <w:p>
      <w:pPr>
        <w:pStyle w:val="Normal"/>
        <w:numPr>
          <w:ilvl w:val="2"/>
          <w:numId w:val="5"/>
        </w:numPr>
        <w:suppressAutoHyphens w:val="true"/>
        <w:spacing w:lineRule="auto" w:line="276" w:before="120" w:after="120"/>
        <w:ind w:hanging="0" w:left="284"/>
        <w:jc w:val="both"/>
        <w:rPr>
          <w:rFonts w:ascii="Arial" w:hAnsi="Arial" w:eastAsia="Arial" w:cs="Arial"/>
          <w:sz w:val="20"/>
          <w:szCs w:val="20"/>
        </w:rPr>
      </w:pPr>
      <w:r>
        <w:rPr>
          <w:rFonts w:eastAsia="Arial" w:cs="Arial" w:ascii="Arial" w:hAnsi="Arial"/>
          <w:sz w:val="20"/>
          <w:szCs w:val="20"/>
        </w:rPr>
        <w:t>ensejar o retardamento da execução ou da entrega do objeto da contratação sem motivo justificado;</w:t>
      </w:r>
    </w:p>
    <w:p>
      <w:pPr>
        <w:pStyle w:val="Normal"/>
        <w:numPr>
          <w:ilvl w:val="2"/>
          <w:numId w:val="5"/>
        </w:numPr>
        <w:suppressAutoHyphens w:val="true"/>
        <w:spacing w:lineRule="auto" w:line="276" w:before="120" w:after="120"/>
        <w:ind w:hanging="0" w:left="284"/>
        <w:jc w:val="both"/>
        <w:rPr>
          <w:rFonts w:ascii="Arial" w:hAnsi="Arial" w:eastAsia="Arial" w:cs="Arial"/>
          <w:sz w:val="20"/>
          <w:szCs w:val="20"/>
        </w:rPr>
      </w:pPr>
      <w:r>
        <w:rPr>
          <w:rFonts w:eastAsia="Arial" w:cs="Arial" w:ascii="Arial" w:hAnsi="Arial"/>
          <w:sz w:val="20"/>
          <w:szCs w:val="20"/>
        </w:rPr>
        <w:t>apresentar documentação falsa ou prestar declaração falsa durante a execução do contrato;</w:t>
      </w:r>
    </w:p>
    <w:p>
      <w:pPr>
        <w:pStyle w:val="Normal"/>
        <w:numPr>
          <w:ilvl w:val="2"/>
          <w:numId w:val="5"/>
        </w:numPr>
        <w:suppressAutoHyphens w:val="true"/>
        <w:spacing w:lineRule="auto" w:line="276" w:before="120" w:after="120"/>
        <w:ind w:hanging="0" w:left="284"/>
        <w:jc w:val="both"/>
        <w:rPr>
          <w:rFonts w:ascii="Arial" w:hAnsi="Arial" w:eastAsia="Arial" w:cs="Arial"/>
          <w:sz w:val="20"/>
          <w:szCs w:val="20"/>
        </w:rPr>
      </w:pPr>
      <w:r>
        <w:rPr>
          <w:rFonts w:eastAsia="Arial" w:cs="Arial" w:ascii="Arial" w:hAnsi="Arial"/>
          <w:sz w:val="20"/>
          <w:szCs w:val="20"/>
        </w:rPr>
        <w:t>praticar ato fraudulento na execução do contrato;</w:t>
      </w:r>
    </w:p>
    <w:p>
      <w:pPr>
        <w:pStyle w:val="Normal"/>
        <w:numPr>
          <w:ilvl w:val="2"/>
          <w:numId w:val="5"/>
        </w:numPr>
        <w:suppressAutoHyphens w:val="true"/>
        <w:spacing w:lineRule="auto" w:line="276" w:before="120" w:after="120"/>
        <w:ind w:hanging="0" w:left="284"/>
        <w:jc w:val="both"/>
        <w:rPr>
          <w:rFonts w:ascii="Arial" w:hAnsi="Arial" w:eastAsia="Arial" w:cs="Arial"/>
          <w:sz w:val="20"/>
          <w:szCs w:val="20"/>
        </w:rPr>
      </w:pPr>
      <w:r>
        <w:rPr>
          <w:rFonts w:eastAsia="Arial" w:cs="Arial" w:ascii="Arial" w:hAnsi="Arial"/>
          <w:sz w:val="20"/>
          <w:szCs w:val="20"/>
        </w:rPr>
        <w:t>comportar-se de modo inidôneo ou cometer fraude de qualquer natureza;</w:t>
      </w:r>
    </w:p>
    <w:p>
      <w:pPr>
        <w:pStyle w:val="Normal"/>
        <w:numPr>
          <w:ilvl w:val="2"/>
          <w:numId w:val="5"/>
        </w:numPr>
        <w:suppressAutoHyphens w:val="true"/>
        <w:spacing w:lineRule="auto" w:line="276" w:before="120" w:after="120"/>
        <w:ind w:hanging="0" w:left="284"/>
        <w:jc w:val="both"/>
        <w:rPr>
          <w:rFonts w:ascii="Arial" w:hAnsi="Arial" w:eastAsia="Arial" w:cs="Arial"/>
          <w:sz w:val="20"/>
          <w:szCs w:val="20"/>
        </w:rPr>
      </w:pPr>
      <w:r>
        <w:rPr>
          <w:rFonts w:eastAsia="Arial" w:cs="Arial" w:ascii="Arial" w:hAnsi="Arial"/>
          <w:sz w:val="20"/>
          <w:szCs w:val="20"/>
        </w:rPr>
        <w:t>praticar ato lesivo previsto no art. 5º da Lei nº 12.846, de 1º de agosto de 2013.</w:t>
      </w:r>
    </w:p>
    <w:p>
      <w:pPr>
        <w:pStyle w:val="Nivel2"/>
        <w:numPr>
          <w:ilvl w:val="1"/>
          <w:numId w:val="210"/>
        </w:numPr>
        <w:ind w:hanging="0" w:left="0"/>
        <w:rPr/>
      </w:pPr>
      <w:r>
        <w:rPr/>
        <w:t>Serão aplicadas ao contratado que incorrer nas infrações acima descritas as seguintes sanções:</w:t>
      </w:r>
    </w:p>
    <w:p>
      <w:pPr>
        <w:pStyle w:val="Normal"/>
        <w:numPr>
          <w:ilvl w:val="2"/>
          <w:numId w:val="6"/>
        </w:numPr>
        <w:suppressAutoHyphens w:val="true"/>
        <w:spacing w:lineRule="auto" w:line="276" w:before="120" w:after="120"/>
        <w:ind w:hanging="0" w:left="284"/>
        <w:contextualSpacing/>
        <w:jc w:val="both"/>
        <w:rPr>
          <w:rFonts w:ascii="Arial" w:hAnsi="Arial" w:eastAsia="Arial" w:cs="Arial"/>
          <w:sz w:val="20"/>
          <w:szCs w:val="20"/>
        </w:rPr>
      </w:pPr>
      <w:r>
        <w:rPr>
          <w:rFonts w:eastAsia="Arial" w:cs="Arial" w:ascii="Arial" w:hAnsi="Arial"/>
          <w:b/>
          <w:bCs/>
          <w:sz w:val="20"/>
          <w:szCs w:val="20"/>
        </w:rPr>
        <w:t>Advertência</w:t>
      </w:r>
      <w:r>
        <w:rPr>
          <w:rFonts w:eastAsia="Arial" w:cs="Arial" w:ascii="Arial" w:hAnsi="Arial"/>
          <w:sz w:val="20"/>
          <w:szCs w:val="20"/>
        </w:rPr>
        <w:t>, quando o contratado der causa à inexecução parcial do contrato, sempre que não se justificar a imposição de penalidade mais grave (</w:t>
      </w:r>
      <w:r>
        <w:fldChar w:fldCharType="begin"/>
      </w:r>
      <w:r>
        <w:rPr>
          <w:rStyle w:val="Hyperlink"/>
          <w:sz w:val="20"/>
          <w:szCs w:val="20"/>
          <w:rFonts w:eastAsia="Arial" w:cs="Arial" w:ascii="Arial" w:hAnsi="Arial"/>
        </w:rPr>
        <w:instrText xml:space="preserve"> HYPERLINK "http://www.planalto.gov.br/ccivil_03/_ato2019-2022/2021/lei/L14133.htm" \l "art156§2"</w:instrText>
      </w:r>
      <w:r>
        <w:rPr>
          <w:rStyle w:val="Hyperlink"/>
          <w:sz w:val="20"/>
          <w:szCs w:val="20"/>
          <w:rFonts w:eastAsia="Arial" w:cs="Arial" w:ascii="Arial" w:hAnsi="Arial"/>
        </w:rPr>
        <w:fldChar w:fldCharType="separate"/>
      </w:r>
      <w:r>
        <w:rPr>
          <w:rStyle w:val="Hyperlink"/>
          <w:rFonts w:eastAsia="Arial" w:cs="Arial" w:ascii="Arial" w:hAnsi="Arial"/>
          <w:sz w:val="20"/>
          <w:szCs w:val="20"/>
        </w:rPr>
        <w:t xml:space="preserve">art. 156, §2º, da </w:t>
      </w:r>
      <w:r>
        <w:rPr>
          <w:rStyle w:val="Hyperlink"/>
          <w:sz w:val="20"/>
          <w:szCs w:val="20"/>
          <w:rFonts w:eastAsia="Arial" w:cs="Arial" w:ascii="Arial" w:hAnsi="Arial"/>
        </w:rPr>
        <w:fldChar w:fldCharType="end"/>
      </w:r>
      <w:bookmarkStart w:id="3" w:name="_Hlk114504069"/>
      <w:r>
        <w:rPr>
          <w:rStyle w:val="Hyperlink"/>
          <w:rFonts w:eastAsia="Arial" w:cs="Arial" w:ascii="Arial" w:hAnsi="Arial"/>
          <w:sz w:val="20"/>
          <w:szCs w:val="20"/>
        </w:rPr>
        <w:t>Lei nº 14.133, de 2021</w:t>
      </w:r>
      <w:bookmarkEnd w:id="3"/>
      <w:r>
        <w:rPr>
          <w:rFonts w:eastAsia="Arial" w:cs="Arial" w:ascii="Arial" w:hAnsi="Arial"/>
          <w:sz w:val="20"/>
          <w:szCs w:val="20"/>
        </w:rPr>
        <w:t>);</w:t>
      </w:r>
    </w:p>
    <w:p>
      <w:pPr>
        <w:pStyle w:val="Normal"/>
        <w:numPr>
          <w:ilvl w:val="2"/>
          <w:numId w:val="6"/>
        </w:numPr>
        <w:suppressAutoHyphens w:val="true"/>
        <w:spacing w:lineRule="auto" w:line="276" w:before="120" w:after="120"/>
        <w:ind w:hanging="0" w:left="284"/>
        <w:contextualSpacing/>
        <w:jc w:val="both"/>
        <w:rPr>
          <w:rFonts w:ascii="Arial" w:hAnsi="Arial" w:eastAsia="Arial" w:cs="Arial"/>
          <w:sz w:val="20"/>
          <w:szCs w:val="20"/>
        </w:rPr>
      </w:pPr>
      <w:r>
        <w:rPr>
          <w:rFonts w:eastAsia="Arial" w:cs="Arial" w:ascii="Arial" w:hAnsi="Arial"/>
          <w:b/>
          <w:bCs/>
          <w:sz w:val="20"/>
          <w:szCs w:val="20"/>
        </w:rPr>
        <w:t>Impedimento de licitar e contratar</w:t>
      </w:r>
      <w:r>
        <w:rPr>
          <w:rFonts w:eastAsia="Arial" w:cs="Arial" w:ascii="Arial" w:hAnsi="Arial"/>
          <w:sz w:val="20"/>
          <w:szCs w:val="20"/>
        </w:rPr>
        <w:t>, quando praticadas as condutas descritas nas alíneas “b”, “c” e “d” do subitem acima deste Contrato, sempre que não se justificar a imposição de penalidade mais grave (</w:t>
      </w:r>
      <w:r>
        <w:fldChar w:fldCharType="begin"/>
      </w:r>
      <w:r>
        <w:rPr>
          <w:rStyle w:val="Hyperlink"/>
          <w:sz w:val="20"/>
          <w:szCs w:val="20"/>
          <w:rFonts w:eastAsia="Arial" w:cs="Arial" w:ascii="Arial" w:hAnsi="Arial"/>
        </w:rPr>
        <w:instrText xml:space="preserve"> HYPERLINK "http://www.planalto.gov.br/ccivil_03/_ato2019-2022/2021/lei/L14133.htm" \l "art156§4"</w:instrText>
      </w:r>
      <w:r>
        <w:rPr>
          <w:rStyle w:val="Hyperlink"/>
          <w:sz w:val="20"/>
          <w:szCs w:val="20"/>
          <w:rFonts w:eastAsia="Arial" w:cs="Arial" w:ascii="Arial" w:hAnsi="Arial"/>
        </w:rPr>
        <w:fldChar w:fldCharType="separate"/>
      </w:r>
      <w:r>
        <w:rPr>
          <w:rStyle w:val="Hyperlink"/>
          <w:rFonts w:eastAsia="Arial" w:cs="Arial" w:ascii="Arial" w:hAnsi="Arial"/>
          <w:sz w:val="20"/>
          <w:szCs w:val="20"/>
        </w:rPr>
        <w:t>art. 156, § 4º, da Lei nº 14.133, de 2021</w:t>
      </w:r>
      <w:r>
        <w:rPr>
          <w:rStyle w:val="Hyperlink"/>
          <w:sz w:val="20"/>
          <w:szCs w:val="20"/>
          <w:rFonts w:eastAsia="Arial" w:cs="Arial" w:ascii="Arial" w:hAnsi="Arial"/>
        </w:rPr>
        <w:fldChar w:fldCharType="end"/>
      </w:r>
      <w:r>
        <w:rPr>
          <w:rFonts w:eastAsia="Arial" w:cs="Arial" w:ascii="Arial" w:hAnsi="Arial"/>
          <w:sz w:val="20"/>
          <w:szCs w:val="20"/>
        </w:rPr>
        <w:t>);</w:t>
      </w:r>
    </w:p>
    <w:p>
      <w:pPr>
        <w:pStyle w:val="Normal"/>
        <w:numPr>
          <w:ilvl w:val="2"/>
          <w:numId w:val="6"/>
        </w:numPr>
        <w:suppressAutoHyphens w:val="true"/>
        <w:spacing w:lineRule="auto" w:line="276" w:before="120" w:after="120"/>
        <w:ind w:hanging="0" w:left="284"/>
        <w:contextualSpacing/>
        <w:jc w:val="both"/>
        <w:rPr>
          <w:rFonts w:ascii="Arial" w:hAnsi="Arial" w:eastAsia="Arial" w:cs="Arial"/>
          <w:sz w:val="20"/>
          <w:szCs w:val="20"/>
        </w:rPr>
      </w:pPr>
      <w:r>
        <w:rPr>
          <w:rFonts w:eastAsia="Arial" w:cs="Arial" w:ascii="Arial" w:hAnsi="Arial"/>
          <w:b/>
          <w:bCs/>
          <w:sz w:val="20"/>
          <w:szCs w:val="20"/>
        </w:rPr>
        <w:t>Declaração de inidoneidade para licitar e contratar</w:t>
      </w:r>
      <w:r>
        <w:rPr>
          <w:rFonts w:eastAsia="Arial" w:cs="Arial" w:ascii="Arial" w:hAnsi="Arial"/>
          <w:sz w:val="20"/>
          <w:szCs w:val="20"/>
        </w:rPr>
        <w:t>, quando praticadas as condutas descritas nas alíneas “e”, “f”, “g” e “h” do subitem acima deste Contrato, bem como nas alíneas “b”, “c” e “d”, que justifiquem a imposição de penalidade mais grave (</w:t>
      </w:r>
      <w:r>
        <w:fldChar w:fldCharType="begin"/>
      </w:r>
      <w:r>
        <w:rPr>
          <w:rStyle w:val="Hyperlink"/>
          <w:sz w:val="20"/>
          <w:szCs w:val="20"/>
          <w:rFonts w:eastAsia="Arial" w:cs="Arial" w:ascii="Arial" w:hAnsi="Arial"/>
        </w:rPr>
        <w:instrText xml:space="preserve"> HYPERLINK "http://www.planalto.gov.br/ccivil_03/_ato2019-2022/2021/lei/L14133.htm" \l "art156§5"</w:instrText>
      </w:r>
      <w:r>
        <w:rPr>
          <w:rStyle w:val="Hyperlink"/>
          <w:sz w:val="20"/>
          <w:szCs w:val="20"/>
          <w:rFonts w:eastAsia="Arial" w:cs="Arial" w:ascii="Arial" w:hAnsi="Arial"/>
        </w:rPr>
        <w:fldChar w:fldCharType="separate"/>
      </w:r>
      <w:r>
        <w:rPr>
          <w:rStyle w:val="Hyperlink"/>
          <w:rFonts w:eastAsia="Arial" w:cs="Arial" w:ascii="Arial" w:hAnsi="Arial"/>
          <w:sz w:val="20"/>
          <w:szCs w:val="20"/>
        </w:rPr>
        <w:t>art. 156, §5º, da Lei nº 14.133, de 2021</w:t>
      </w:r>
      <w:r>
        <w:rPr>
          <w:rStyle w:val="Hyperlink"/>
          <w:sz w:val="20"/>
          <w:szCs w:val="20"/>
          <w:rFonts w:eastAsia="Arial" w:cs="Arial" w:ascii="Arial" w:hAnsi="Arial"/>
        </w:rPr>
        <w:fldChar w:fldCharType="end"/>
      </w:r>
      <w:r>
        <w:rPr>
          <w:rFonts w:eastAsia="Arial" w:cs="Arial" w:ascii="Arial" w:hAnsi="Arial"/>
          <w:sz w:val="20"/>
          <w:szCs w:val="20"/>
        </w:rPr>
        <w:t>).</w:t>
      </w:r>
    </w:p>
    <w:p>
      <w:pPr>
        <w:pStyle w:val="Normal"/>
        <w:numPr>
          <w:ilvl w:val="2"/>
          <w:numId w:val="6"/>
        </w:numPr>
        <w:suppressAutoHyphens w:val="true"/>
        <w:spacing w:lineRule="auto" w:line="276" w:before="120" w:after="120"/>
        <w:ind w:hanging="0" w:left="284"/>
        <w:contextualSpacing/>
        <w:jc w:val="both"/>
        <w:rPr>
          <w:rFonts w:ascii="Arial" w:hAnsi="Arial" w:eastAsia="Arial" w:cs="Arial"/>
          <w:sz w:val="20"/>
          <w:szCs w:val="20"/>
        </w:rPr>
      </w:pPr>
      <w:r>
        <w:rPr>
          <w:rFonts w:eastAsia="Arial" w:cs="Arial" w:ascii="Arial" w:hAnsi="Arial"/>
          <w:b/>
          <w:bCs/>
          <w:sz w:val="20"/>
          <w:szCs w:val="20"/>
        </w:rPr>
        <w:t>Multa:</w:t>
      </w:r>
    </w:p>
    <w:p>
      <w:pPr>
        <w:pStyle w:val="Normal"/>
        <w:numPr>
          <w:ilvl w:val="3"/>
          <w:numId w:val="6"/>
        </w:numPr>
        <w:suppressAutoHyphens w:val="true"/>
        <w:spacing w:lineRule="auto" w:line="276" w:before="120" w:after="120"/>
        <w:ind w:hanging="0" w:left="567"/>
        <w:contextualSpacing/>
        <w:jc w:val="both"/>
        <w:rPr>
          <w:color w:val="auto"/>
        </w:rPr>
      </w:pPr>
      <w:r>
        <w:rPr>
          <w:rFonts w:eastAsia="Arial" w:cs="Arial" w:ascii="Arial" w:hAnsi="Arial"/>
          <w:color w:val="auto"/>
          <w:sz w:val="20"/>
          <w:szCs w:val="20"/>
        </w:rPr>
        <w:t xml:space="preserve">Moratória de 0,5 % (meio por cento) por dia de atraso injustificado sobre o valor da parcela inadimplida, até o limite de 30 (trinta) </w:t>
      </w:r>
      <w:commentRangeStart w:id="19"/>
      <w:r>
        <w:rPr>
          <w:rFonts w:eastAsia="Arial" w:cs="Arial" w:ascii="Arial" w:hAnsi="Arial"/>
          <w:color w:val="auto"/>
          <w:sz w:val="20"/>
          <w:szCs w:val="20"/>
        </w:rPr>
        <w:t>dias</w:t>
      </w:r>
      <w:r>
        <w:rPr>
          <w:rFonts w:eastAsia="Arial" w:cs="Arial" w:ascii="Arial" w:hAnsi="Arial"/>
          <w:color w:val="auto"/>
          <w:sz w:val="20"/>
          <w:szCs w:val="20"/>
        </w:rPr>
      </w:r>
      <w:commentRangeEnd w:id="19"/>
      <w:r>
        <w:commentReference w:id="19"/>
      </w:r>
      <w:r>
        <w:rPr>
          <w:rFonts w:eastAsia="Arial" w:cs="Arial" w:ascii="Arial" w:hAnsi="Arial"/>
          <w:color w:val="auto"/>
          <w:sz w:val="20"/>
          <w:szCs w:val="20"/>
        </w:rPr>
        <w:t>;</w:t>
      </w:r>
    </w:p>
    <w:p>
      <w:pPr>
        <w:pStyle w:val="Normal"/>
        <w:numPr>
          <w:ilvl w:val="3"/>
          <w:numId w:val="6"/>
        </w:numPr>
        <w:suppressAutoHyphens w:val="true"/>
        <w:spacing w:lineRule="auto" w:line="276" w:before="120" w:after="120"/>
        <w:ind w:hanging="0" w:left="567"/>
        <w:contextualSpacing/>
        <w:jc w:val="both"/>
        <w:rPr>
          <w:color w:val="auto"/>
          <w:highlight w:val="none"/>
          <w:shd w:fill="auto" w:val="clear"/>
        </w:rPr>
      </w:pPr>
      <w:r>
        <w:rPr>
          <w:rFonts w:eastAsia="Arial" w:cs="Arial" w:ascii="Arial" w:hAnsi="Arial"/>
          <w:i/>
          <w:iCs/>
          <w:color w:val="000000"/>
          <w:sz w:val="20"/>
          <w:szCs w:val="20"/>
          <w:shd w:fill="auto" w:val="clear"/>
        </w:rPr>
        <w:t>M</w:t>
      </w:r>
      <w:commentRangeStart w:id="20"/>
      <w:r>
        <w:rPr>
          <w:rFonts w:eastAsia="Arial" w:cs="Arial" w:ascii="Arial" w:hAnsi="Arial"/>
          <w:i/>
          <w:iCs/>
          <w:color w:val="000000"/>
          <w:sz w:val="20"/>
          <w:szCs w:val="20"/>
          <w:shd w:fill="auto" w:val="clear"/>
        </w:rPr>
        <w:t xml:space="preserve">oratória de 0,07% (sete centésimos por cento) do valor total do contrato por dia de atraso injustificado, até o máximo de 2% (dois por cento), pela inobservância do prazo fixado para apresentação, suplementação ou reposição da garantia. </w:t>
      </w:r>
    </w:p>
    <w:p>
      <w:pPr>
        <w:pStyle w:val="Normal"/>
        <w:numPr>
          <w:ilvl w:val="7"/>
          <w:numId w:val="6"/>
        </w:numPr>
        <w:suppressAutoHyphens w:val="true"/>
        <w:spacing w:lineRule="auto" w:line="276" w:before="120" w:after="120"/>
        <w:ind w:hanging="0" w:left="851"/>
        <w:contextualSpacing/>
        <w:jc w:val="both"/>
        <w:rPr/>
      </w:pPr>
      <w:r>
        <w:rPr>
          <w:rFonts w:eastAsia="Arial" w:cs="Arial" w:ascii="Arial" w:hAnsi="Arial"/>
          <w:i/>
          <w:iCs/>
          <w:color w:val="000000"/>
          <w:sz w:val="20"/>
          <w:szCs w:val="20"/>
          <w:shd w:fill="auto" w:val="clear"/>
        </w:rPr>
        <w:t xml:space="preserve">O atraso superior a 30 dias autoriza a Administração a promover a extinção do contrato por descumprimento ou cumprimento irregular de suas cláusulas, conforme dispõe o </w:t>
      </w:r>
      <w:r>
        <w:fldChar w:fldCharType="begin"/>
      </w:r>
      <w:r>
        <w:rPr>
          <w:rStyle w:val="Hyperlink"/>
          <w:sz w:val="20"/>
          <w:i/>
          <w:shd w:fill="auto" w:val="clear"/>
          <w:szCs w:val="20"/>
          <w:iCs/>
          <w:rFonts w:eastAsia="Arial" w:cs="Arial" w:ascii="Arial" w:hAnsi="Arial"/>
          <w:color w:val="000000"/>
        </w:rPr>
        <w:instrText xml:space="preserve"> HYPERLINK "http://www.planalto.gov.br/ccivil_03/_ato2019-2022/2021/lei/L14133.htm" \l "art137"</w:instrText>
      </w:r>
      <w:r>
        <w:rPr>
          <w:rStyle w:val="Hyperlink"/>
          <w:sz w:val="20"/>
          <w:i/>
          <w:shd w:fill="auto" w:val="clear"/>
          <w:szCs w:val="20"/>
          <w:iCs/>
          <w:rFonts w:eastAsia="Arial" w:cs="Arial" w:ascii="Arial" w:hAnsi="Arial"/>
          <w:color w:val="000000"/>
        </w:rPr>
        <w:fldChar w:fldCharType="separate"/>
      </w:r>
      <w:r>
        <w:rPr>
          <w:rStyle w:val="Hyperlink"/>
          <w:rFonts w:eastAsia="Arial" w:cs="Arial" w:ascii="Arial" w:hAnsi="Arial"/>
          <w:i/>
          <w:iCs/>
          <w:color w:val="000000"/>
          <w:sz w:val="20"/>
          <w:szCs w:val="20"/>
          <w:shd w:fill="auto" w:val="clear"/>
        </w:rPr>
        <w:t>inciso I do art. 137 da Lei n. 14.133, de 2021</w:t>
      </w:r>
      <w:r>
        <w:rPr>
          <w:rStyle w:val="Hyperlink"/>
          <w:sz w:val="20"/>
          <w:i/>
          <w:shd w:fill="auto" w:val="clear"/>
          <w:szCs w:val="20"/>
          <w:iCs/>
          <w:rFonts w:eastAsia="Arial" w:cs="Arial" w:ascii="Arial" w:hAnsi="Arial"/>
          <w:color w:val="000000"/>
        </w:rPr>
        <w:fldChar w:fldCharType="end"/>
      </w:r>
      <w:r>
        <w:rPr>
          <w:rFonts w:eastAsia="Arial" w:cs="Arial" w:ascii="Arial" w:hAnsi="Arial"/>
          <w:i/>
          <w:iCs/>
          <w:color w:val="000000"/>
          <w:sz w:val="20"/>
          <w:szCs w:val="20"/>
          <w:shd w:fill="auto" w:val="clear"/>
        </w:rPr>
        <w:t xml:space="preserve">. </w:t>
      </w:r>
      <w:commentRangeEnd w:id="20"/>
      <w:r>
        <w:commentReference w:id="20"/>
      </w:r>
      <w:r>
        <w:rPr>
          <w:rFonts w:eastAsia="Arial" w:cs="Arial" w:ascii="Arial" w:hAnsi="Arial"/>
          <w:i/>
          <w:iCs/>
          <w:color w:val="000000"/>
          <w:sz w:val="20"/>
          <w:szCs w:val="20"/>
          <w:shd w:fill="auto" w:val="clear"/>
        </w:rPr>
      </w:r>
    </w:p>
    <w:p>
      <w:pPr>
        <w:pStyle w:val="Normal"/>
        <w:numPr>
          <w:ilvl w:val="3"/>
          <w:numId w:val="6"/>
        </w:numPr>
        <w:suppressAutoHyphens w:val="true"/>
        <w:spacing w:lineRule="auto" w:line="276" w:before="120" w:after="120"/>
        <w:ind w:hanging="0" w:left="567"/>
        <w:contextualSpacing/>
        <w:jc w:val="both"/>
        <w:rPr>
          <w:highlight w:val="none"/>
          <w:shd w:fill="auto" w:val="clear"/>
        </w:rPr>
      </w:pPr>
      <w:r>
        <w:rPr>
          <w:rFonts w:eastAsia="Arial" w:cs="Arial" w:ascii="Arial" w:hAnsi="Arial"/>
          <w:sz w:val="20"/>
          <w:szCs w:val="20"/>
          <w:shd w:fill="auto" w:val="clear"/>
        </w:rPr>
        <w:t xml:space="preserve"> </w:t>
      </w:r>
      <w:r>
        <w:rPr>
          <w:rFonts w:eastAsia="Arial" w:cs="Arial" w:ascii="Arial" w:hAnsi="Arial"/>
          <w:sz w:val="20"/>
          <w:szCs w:val="20"/>
          <w:shd w:fill="auto" w:val="clear"/>
        </w:rPr>
        <w:t xml:space="preserve">Compensatória, para as infrações descritas nas alíneas “e” a “h” do subitem 12.1, de 0,5% a 30 % do valor do </w:t>
      </w:r>
      <w:commentRangeStart w:id="21"/>
      <w:r>
        <w:rPr>
          <w:rFonts w:eastAsia="Arial" w:cs="Arial" w:ascii="Arial" w:hAnsi="Arial"/>
          <w:sz w:val="20"/>
          <w:szCs w:val="20"/>
          <w:shd w:fill="auto" w:val="clear"/>
        </w:rPr>
        <w:t>Contrato</w:t>
      </w:r>
      <w:r>
        <w:rPr>
          <w:rFonts w:eastAsia="Arial" w:cs="Arial" w:ascii="Arial" w:hAnsi="Arial"/>
          <w:sz w:val="20"/>
          <w:szCs w:val="20"/>
          <w:shd w:fill="auto" w:val="clear"/>
        </w:rPr>
      </w:r>
      <w:commentRangeEnd w:id="21"/>
      <w:r>
        <w:commentReference w:id="21"/>
      </w:r>
      <w:r>
        <w:rPr>
          <w:rFonts w:eastAsia="Arial" w:cs="Arial" w:ascii="Arial" w:hAnsi="Arial"/>
          <w:sz w:val="20"/>
          <w:szCs w:val="20"/>
          <w:shd w:fill="auto" w:val="clear"/>
        </w:rPr>
        <w:t>.</w:t>
      </w:r>
    </w:p>
    <w:p>
      <w:pPr>
        <w:pStyle w:val="Normal"/>
        <w:numPr>
          <w:ilvl w:val="3"/>
          <w:numId w:val="6"/>
        </w:numPr>
        <w:suppressAutoHyphens w:val="true"/>
        <w:spacing w:lineRule="auto" w:line="276" w:before="120" w:after="120"/>
        <w:ind w:hanging="0" w:left="567"/>
        <w:contextualSpacing/>
        <w:jc w:val="both"/>
        <w:rPr>
          <w:highlight w:val="none"/>
          <w:shd w:fill="auto" w:val="clear"/>
        </w:rPr>
      </w:pPr>
      <w:r>
        <w:rPr>
          <w:rFonts w:eastAsia="Arial" w:cs="Arial" w:ascii="Arial" w:hAnsi="Arial"/>
          <w:sz w:val="20"/>
          <w:szCs w:val="20"/>
          <w:shd w:fill="auto" w:val="clear"/>
        </w:rPr>
        <w:t xml:space="preserve">Compensatória, para a inexecução total do contrato prevista na alínea “c” do subitem 12.1, de 0,5 % a 30 %  do valor do Contrato. </w:t>
      </w:r>
    </w:p>
    <w:p>
      <w:pPr>
        <w:pStyle w:val="Normal"/>
        <w:numPr>
          <w:ilvl w:val="3"/>
          <w:numId w:val="6"/>
        </w:numPr>
        <w:suppressAutoHyphens w:val="true"/>
        <w:spacing w:lineRule="auto" w:line="276" w:before="120" w:after="120"/>
        <w:ind w:hanging="0" w:left="567"/>
        <w:contextualSpacing/>
        <w:jc w:val="both"/>
        <w:rPr>
          <w:highlight w:val="none"/>
          <w:shd w:fill="auto" w:val="clear"/>
        </w:rPr>
      </w:pPr>
      <w:r>
        <w:rPr>
          <w:rFonts w:eastAsia="Arial" w:cs="Arial" w:ascii="Arial" w:hAnsi="Arial"/>
          <w:sz w:val="20"/>
          <w:szCs w:val="20"/>
          <w:shd w:fill="auto" w:val="clear"/>
        </w:rPr>
        <w:t>Para infração descrita na alínea “b” do subitem 12.1, a multa será de 0,5% a 30%  do valor do Contrato.</w:t>
      </w:r>
    </w:p>
    <w:p>
      <w:pPr>
        <w:pStyle w:val="Normal"/>
        <w:numPr>
          <w:ilvl w:val="3"/>
          <w:numId w:val="6"/>
        </w:numPr>
        <w:suppressAutoHyphens w:val="true"/>
        <w:spacing w:lineRule="auto" w:line="276" w:before="120" w:after="120"/>
        <w:ind w:hanging="0" w:left="567"/>
        <w:contextualSpacing/>
        <w:jc w:val="both"/>
        <w:rPr>
          <w:highlight w:val="none"/>
          <w:shd w:fill="auto" w:val="clear"/>
        </w:rPr>
      </w:pPr>
      <w:r>
        <w:rPr>
          <w:rFonts w:eastAsia="Arial" w:cs="Arial" w:ascii="Arial" w:hAnsi="Arial"/>
          <w:sz w:val="20"/>
          <w:szCs w:val="20"/>
          <w:shd w:fill="auto" w:val="clear"/>
        </w:rPr>
        <w:t>Para infrações descritas na alínea “d” do subitem 12.1, a multa será de 0,5% a 30%  do valor do Contrato.</w:t>
      </w:r>
    </w:p>
    <w:p>
      <w:pPr>
        <w:pStyle w:val="Normal"/>
        <w:numPr>
          <w:ilvl w:val="3"/>
          <w:numId w:val="6"/>
        </w:numPr>
        <w:suppressAutoHyphens w:val="true"/>
        <w:spacing w:lineRule="auto" w:line="276" w:before="120" w:after="120"/>
        <w:ind w:hanging="0" w:left="567"/>
        <w:contextualSpacing/>
        <w:jc w:val="both"/>
        <w:rPr>
          <w:highlight w:val="none"/>
          <w:shd w:fill="auto" w:val="clear"/>
        </w:rPr>
      </w:pPr>
      <w:r>
        <w:rPr>
          <w:rFonts w:eastAsia="Arial" w:cs="Arial" w:ascii="Arial" w:hAnsi="Arial"/>
          <w:sz w:val="20"/>
          <w:szCs w:val="20"/>
          <w:shd w:fill="auto" w:val="clear"/>
        </w:rPr>
        <w:t>Para a infração descrita na alínea “a” do subitem 12.1, a multa será de 0,5% a 30% do valor do Contrato, ressalvadas as seguintes infrações:</w:t>
      </w:r>
    </w:p>
    <w:p>
      <w:pPr>
        <w:pStyle w:val="Normal"/>
        <w:suppressAutoHyphens w:val="true"/>
        <w:spacing w:lineRule="auto" w:line="276" w:before="120" w:after="120"/>
        <w:ind w:hanging="0" w:left="851"/>
        <w:contextualSpacing/>
        <w:jc w:val="both"/>
        <w:rPr>
          <w:rFonts w:ascii="Arial" w:hAnsi="Arial" w:eastAsia="Arial" w:cs="Arial"/>
          <w:sz w:val="20"/>
          <w:szCs w:val="20"/>
        </w:rPr>
      </w:pPr>
      <w:r>
        <w:rPr>
          <w:rFonts w:eastAsia="Arial" w:cs="Arial" w:ascii="Arial" w:hAnsi="Arial"/>
          <w:sz w:val="20"/>
          <w:szCs w:val="20"/>
        </w:rPr>
      </w:r>
    </w:p>
    <w:p>
      <w:pPr>
        <w:pStyle w:val="Nivel2"/>
        <w:numPr>
          <w:ilvl w:val="1"/>
          <w:numId w:val="211"/>
        </w:numPr>
        <w:ind w:hanging="0" w:left="0"/>
        <w:rPr/>
      </w:pPr>
      <w:r>
        <w:rPr/>
        <w:t>A aplicação das sanções previstas neste Contrato não exclui, em hipótese alguma, a obrigação de reparação integral do dano causado ao Contratante (</w:t>
      </w:r>
      <w:r>
        <w:fldChar w:fldCharType="begin"/>
      </w:r>
      <w:r>
        <w:rPr>
          <w:rStyle w:val="Hyperlink"/>
        </w:rPr>
        <w:instrText xml:space="preserve"> HYPERLINK "http://www.planalto.gov.br/ccivil_03/_ato2019-2022/2021/lei/L14133.htm" \l "art156§9"</w:instrText>
      </w:r>
      <w:r>
        <w:rPr>
          <w:rStyle w:val="Hyperlink"/>
        </w:rPr>
        <w:fldChar w:fldCharType="separate"/>
      </w:r>
      <w:r>
        <w:rPr>
          <w:rStyle w:val="Hyperlink"/>
        </w:rPr>
        <w:t>art. 156, §9º, da Lei nº 14.133, de 2021</w:t>
      </w:r>
      <w:r>
        <w:rPr>
          <w:rStyle w:val="Hyperlink"/>
        </w:rPr>
        <w:fldChar w:fldCharType="end"/>
      </w:r>
      <w:r>
        <w:rPr/>
        <w:t>)</w:t>
      </w:r>
    </w:p>
    <w:p>
      <w:pPr>
        <w:pStyle w:val="Nivel2"/>
        <w:numPr>
          <w:ilvl w:val="1"/>
          <w:numId w:val="212"/>
        </w:numPr>
        <w:ind w:hanging="0" w:left="0"/>
        <w:rPr/>
      </w:pPr>
      <w:r>
        <w:rPr/>
        <w:t>Todas as sanções previstas neste Contrato poderão ser aplicadas cumulativamente com a multa (</w:t>
      </w:r>
      <w:r>
        <w:fldChar w:fldCharType="begin"/>
      </w:r>
      <w:r>
        <w:rPr>
          <w:rStyle w:val="Hyperlink"/>
        </w:rPr>
        <w:instrText xml:space="preserve"> HYPERLINK "http://www.planalto.gov.br/ccivil_03/_ato2019-2022/2021/lei/L14133.htm" \l "art156§7"</w:instrText>
      </w:r>
      <w:r>
        <w:rPr>
          <w:rStyle w:val="Hyperlink"/>
        </w:rPr>
        <w:fldChar w:fldCharType="separate"/>
      </w:r>
      <w:r>
        <w:rPr>
          <w:rStyle w:val="Hyperlink"/>
        </w:rPr>
        <w:t>art. 156, §7º, da Lei nº 14.133, de 2021</w:t>
      </w:r>
      <w:r>
        <w:rPr>
          <w:rStyle w:val="Hyperlink"/>
        </w:rPr>
        <w:fldChar w:fldCharType="end"/>
      </w:r>
      <w:r>
        <w:rPr/>
        <w:t>).</w:t>
      </w:r>
    </w:p>
    <w:p>
      <w:pPr>
        <w:pStyle w:val="Nivel3"/>
        <w:numPr>
          <w:ilvl w:val="2"/>
          <w:numId w:val="213"/>
        </w:numPr>
        <w:ind w:hanging="0" w:left="284"/>
        <w:rPr/>
      </w:pPr>
      <w:r>
        <w:rPr/>
        <w:t>Antes da aplicação da multa será facultada a defesa do interessado no prazo de 15 (quinze) dias úteis, contado da data de sua intimação (</w:t>
      </w:r>
      <w:r>
        <w:fldChar w:fldCharType="begin"/>
      </w:r>
      <w:r>
        <w:rPr>
          <w:rStyle w:val="Hyperlink"/>
        </w:rPr>
        <w:instrText xml:space="preserve"> HYPERLINK "http://www.planalto.gov.br/ccivil_03/_ato2019-2022/2021/lei/L14133.htm" \l "art157"</w:instrText>
      </w:r>
      <w:r>
        <w:rPr>
          <w:rStyle w:val="Hyperlink"/>
        </w:rPr>
        <w:fldChar w:fldCharType="separate"/>
      </w:r>
      <w:r>
        <w:rPr>
          <w:rStyle w:val="Hyperlink"/>
        </w:rPr>
        <w:t>art. 157, da Lei nº 14.133, de 2021</w:t>
      </w:r>
      <w:r>
        <w:rPr>
          <w:rStyle w:val="Hyperlink"/>
        </w:rPr>
        <w:fldChar w:fldCharType="end"/>
      </w:r>
      <w:r>
        <w:rPr/>
        <w:t>)</w:t>
      </w:r>
    </w:p>
    <w:p>
      <w:pPr>
        <w:pStyle w:val="Nivel2"/>
        <w:numPr>
          <w:ilvl w:val="1"/>
          <w:numId w:val="214"/>
        </w:numPr>
        <w:ind w:hanging="0" w:left="0"/>
        <w:rPr/>
      </w:pPr>
      <w:r>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Hyperlink"/>
        </w:rPr>
        <w:instrText xml:space="preserve"> HYPERLINK "http://www.planalto.gov.br/ccivil_03/_ato2019-2022/2021/lei/L14133.htm" \l "art156§8"</w:instrText>
      </w:r>
      <w:r>
        <w:rPr>
          <w:rStyle w:val="Hyperlink"/>
        </w:rPr>
        <w:fldChar w:fldCharType="separate"/>
      </w:r>
      <w:r>
        <w:rPr>
          <w:rStyle w:val="Hyperlink"/>
        </w:rPr>
        <w:t>art. 156, §8º, da Lei nº 14.133, de 2021</w:t>
      </w:r>
      <w:r>
        <w:rPr>
          <w:rStyle w:val="Hyperlink"/>
        </w:rPr>
        <w:fldChar w:fldCharType="end"/>
      </w:r>
      <w:r>
        <w:rPr/>
        <w:t>).</w:t>
      </w:r>
    </w:p>
    <w:p>
      <w:pPr>
        <w:pStyle w:val="Nivel2"/>
        <w:numPr>
          <w:ilvl w:val="1"/>
          <w:numId w:val="215"/>
        </w:numPr>
        <w:ind w:hanging="0" w:left="0"/>
        <w:rPr/>
      </w:pPr>
      <w:r>
        <w:rPr/>
        <w:t xml:space="preserve">Previamente ao encaminhamento à cobrança judicial, a multa poderá ser recolhida administrativamente no prazo máximo de 30 </w:t>
      </w:r>
      <w:r>
        <w:rPr>
          <w:i/>
          <w:iCs/>
          <w:color w:val="auto"/>
        </w:rPr>
        <w:t xml:space="preserve">(trinta) </w:t>
      </w:r>
      <w:r>
        <w:rPr>
          <w:color w:val="auto"/>
        </w:rPr>
        <w:t>dia</w:t>
      </w:r>
      <w:r>
        <w:rPr/>
        <w:t>s, a contar da data do recebimento da comunicação enviada pela autoridade competente.</w:t>
      </w:r>
      <w:bookmarkStart w:id="4" w:name="_Hlk78351618"/>
      <w:bookmarkEnd w:id="4"/>
    </w:p>
    <w:p>
      <w:pPr>
        <w:pStyle w:val="Nivel2"/>
        <w:numPr>
          <w:ilvl w:val="1"/>
          <w:numId w:val="216"/>
        </w:numPr>
        <w:ind w:hanging="0" w:left="0"/>
        <w:rPr/>
      </w:pPr>
      <w:r>
        <w:rPr/>
        <w:t xml:space="preserve">A aplicação das sanções realizar-se-á em processo administrativo que assegure o contraditório e a ampla defesa ao Contratado, observando-se o procedimento previsto no </w:t>
      </w:r>
      <w:r>
        <w:rPr>
          <w:b/>
          <w:bCs/>
        </w:rPr>
        <w:t xml:space="preserve">caput </w:t>
      </w:r>
      <w:r>
        <w:rPr/>
        <w:t xml:space="preserve">e parágrafos do </w:t>
      </w:r>
      <w:r>
        <w:fldChar w:fldCharType="begin"/>
      </w:r>
      <w:r>
        <w:rPr>
          <w:rStyle w:val="Hyperlink"/>
        </w:rPr>
        <w:instrText xml:space="preserve"> HYPERLINK "http://www.planalto.gov.br/ccivil_03/_ato2019-2022/2021/lei/L14133.htm" \l "art158"</w:instrText>
      </w:r>
      <w:r>
        <w:rPr>
          <w:rStyle w:val="Hyperlink"/>
        </w:rPr>
        <w:fldChar w:fldCharType="separate"/>
      </w:r>
      <w:r>
        <w:rPr>
          <w:rStyle w:val="Hyperlink"/>
        </w:rPr>
        <w:t>art. 158 da Lei nº 14.133, de 2021</w:t>
      </w:r>
      <w:r>
        <w:rPr>
          <w:rStyle w:val="Hyperlink"/>
        </w:rPr>
        <w:fldChar w:fldCharType="end"/>
      </w:r>
      <w:r>
        <w:rPr/>
        <w:t>, para as penalidades de impedimento de licitar e contratar e de declaração de inidoneidade para licitar ou contratar.</w:t>
      </w:r>
    </w:p>
    <w:p>
      <w:pPr>
        <w:pStyle w:val="Nivel2"/>
        <w:numPr>
          <w:ilvl w:val="1"/>
          <w:numId w:val="217"/>
        </w:numPr>
        <w:ind w:hanging="0" w:left="0"/>
        <w:rPr/>
      </w:pPr>
      <w:r>
        <w:rPr/>
        <w:t>Na aplicação das sanções serão considerados (</w:t>
      </w:r>
      <w:r>
        <w:fldChar w:fldCharType="begin"/>
      </w:r>
      <w:r>
        <w:rPr>
          <w:rStyle w:val="Hyperlink"/>
        </w:rPr>
        <w:instrText xml:space="preserve"> HYPERLINK "http://www.planalto.gov.br/ccivil_03/_ato2019-2022/2021/lei/L14133.htm" \l "art156§1"</w:instrText>
      </w:r>
      <w:r>
        <w:rPr>
          <w:rStyle w:val="Hyperlink"/>
        </w:rPr>
        <w:fldChar w:fldCharType="separate"/>
      </w:r>
      <w:r>
        <w:rPr>
          <w:rStyle w:val="Hyperlink"/>
        </w:rPr>
        <w:t>art. 156, §1º, da Lei nº 14.133, de 2021</w:t>
      </w:r>
      <w:r>
        <w:rPr>
          <w:rStyle w:val="Hyperlink"/>
        </w:rPr>
        <w:fldChar w:fldCharType="end"/>
      </w:r>
      <w:r>
        <w:rPr/>
        <w:t>):</w:t>
      </w:r>
    </w:p>
    <w:p>
      <w:pPr>
        <w:pStyle w:val="Normal"/>
        <w:numPr>
          <w:ilvl w:val="0"/>
          <w:numId w:val="3"/>
        </w:numPr>
        <w:suppressAutoHyphens w:val="true"/>
        <w:spacing w:lineRule="auto" w:line="276" w:before="120" w:after="120"/>
        <w:ind w:hanging="0" w:left="284"/>
        <w:contextualSpacing/>
        <w:jc w:val="both"/>
        <w:rPr>
          <w:rFonts w:ascii="Arial" w:hAnsi="Arial" w:eastAsia="Arial" w:cs="Arial"/>
          <w:sz w:val="20"/>
          <w:szCs w:val="20"/>
        </w:rPr>
      </w:pPr>
      <w:r>
        <w:rPr>
          <w:rFonts w:eastAsia="Arial" w:cs="Arial" w:ascii="Arial" w:hAnsi="Arial"/>
          <w:sz w:val="20"/>
          <w:szCs w:val="20"/>
        </w:rPr>
        <w:t>a natureza e a gravidade da infração cometida;</w:t>
      </w:r>
    </w:p>
    <w:p>
      <w:pPr>
        <w:pStyle w:val="Normal"/>
        <w:numPr>
          <w:ilvl w:val="0"/>
          <w:numId w:val="3"/>
        </w:numPr>
        <w:suppressAutoHyphens w:val="true"/>
        <w:spacing w:lineRule="auto" w:line="276" w:before="120" w:after="120"/>
        <w:ind w:hanging="0" w:left="284"/>
        <w:contextualSpacing/>
        <w:jc w:val="both"/>
        <w:rPr>
          <w:rFonts w:ascii="Arial" w:hAnsi="Arial" w:eastAsia="Arial" w:cs="Arial"/>
          <w:sz w:val="20"/>
          <w:szCs w:val="20"/>
        </w:rPr>
      </w:pPr>
      <w:r>
        <w:rPr>
          <w:rFonts w:eastAsia="Arial" w:cs="Arial" w:ascii="Arial" w:hAnsi="Arial"/>
          <w:sz w:val="20"/>
          <w:szCs w:val="20"/>
        </w:rPr>
        <w:t>as peculiaridades do caso concreto;</w:t>
      </w:r>
    </w:p>
    <w:p>
      <w:pPr>
        <w:pStyle w:val="Normal"/>
        <w:numPr>
          <w:ilvl w:val="0"/>
          <w:numId w:val="3"/>
        </w:numPr>
        <w:suppressAutoHyphens w:val="true"/>
        <w:spacing w:lineRule="auto" w:line="276" w:before="120" w:after="120"/>
        <w:ind w:hanging="0" w:left="284"/>
        <w:contextualSpacing/>
        <w:jc w:val="both"/>
        <w:rPr>
          <w:rFonts w:ascii="Arial" w:hAnsi="Arial" w:eastAsia="Arial" w:cs="Arial"/>
          <w:sz w:val="20"/>
          <w:szCs w:val="20"/>
        </w:rPr>
      </w:pPr>
      <w:r>
        <w:rPr>
          <w:rFonts w:eastAsia="Arial" w:cs="Arial" w:ascii="Arial" w:hAnsi="Arial"/>
          <w:sz w:val="20"/>
          <w:szCs w:val="20"/>
        </w:rPr>
        <w:t>as circunstâncias agravantes ou atenuantes;</w:t>
      </w:r>
    </w:p>
    <w:p>
      <w:pPr>
        <w:pStyle w:val="Normal"/>
        <w:numPr>
          <w:ilvl w:val="0"/>
          <w:numId w:val="3"/>
        </w:numPr>
        <w:suppressAutoHyphens w:val="true"/>
        <w:spacing w:lineRule="auto" w:line="276" w:before="120" w:after="120"/>
        <w:ind w:hanging="0" w:left="284"/>
        <w:contextualSpacing/>
        <w:jc w:val="both"/>
        <w:rPr>
          <w:rFonts w:ascii="Arial" w:hAnsi="Arial" w:eastAsia="Arial" w:cs="Arial"/>
          <w:sz w:val="20"/>
          <w:szCs w:val="20"/>
        </w:rPr>
      </w:pPr>
      <w:r>
        <w:rPr>
          <w:rFonts w:eastAsia="Arial" w:cs="Arial" w:ascii="Arial" w:hAnsi="Arial"/>
          <w:sz w:val="20"/>
          <w:szCs w:val="20"/>
        </w:rPr>
        <w:t>os danos que dela provierem para o Contratante;</w:t>
      </w:r>
    </w:p>
    <w:p>
      <w:pPr>
        <w:pStyle w:val="Normal"/>
        <w:numPr>
          <w:ilvl w:val="0"/>
          <w:numId w:val="3"/>
        </w:numPr>
        <w:suppressAutoHyphens w:val="true"/>
        <w:spacing w:lineRule="auto" w:line="276" w:before="120" w:after="120"/>
        <w:ind w:hanging="0" w:left="284"/>
        <w:contextualSpacing/>
        <w:jc w:val="both"/>
        <w:rPr>
          <w:rFonts w:ascii="Arial" w:hAnsi="Arial" w:eastAsia="Arial" w:cs="Arial"/>
          <w:sz w:val="20"/>
          <w:szCs w:val="20"/>
        </w:rPr>
      </w:pPr>
      <w:r>
        <w:rPr>
          <w:rFonts w:eastAsia="Arial" w:cs="Arial" w:ascii="Arial" w:hAnsi="Arial"/>
          <w:sz w:val="20"/>
          <w:szCs w:val="20"/>
        </w:rPr>
        <w:t>a implantação ou o aperfeiçoamento de programa de integridade, conforme normas e orientações dos órgãos de controle.</w:t>
      </w:r>
    </w:p>
    <w:p>
      <w:pPr>
        <w:pStyle w:val="Nivel2"/>
        <w:numPr>
          <w:ilvl w:val="1"/>
          <w:numId w:val="218"/>
        </w:numPr>
        <w:ind w:hanging="0" w:left="0"/>
        <w:rPr/>
      </w:pPr>
      <w:r>
        <w:rPr/>
        <w:t xml:space="preserve">Os atos previstos como infrações administrativas na </w:t>
      </w:r>
      <w:hyperlink r:id="rId7">
        <w:r>
          <w:rPr>
            <w:rStyle w:val="Hyperlink"/>
          </w:rPr>
          <w:t>Lei nº 14.133, de 2021</w:t>
        </w:r>
      </w:hyperlink>
      <w:r>
        <w:rPr/>
        <w:t xml:space="preserve">, ou em outras leis de licitações e contratos da Administração Pública que também sejam tipificados como atos lesivos </w:t>
      </w:r>
      <w:hyperlink r:id="rId8">
        <w:r>
          <w:rPr>
            <w:rStyle w:val="Hyperlink"/>
          </w:rPr>
          <w:t>na Lei nº 12.846, de 2013</w:t>
        </w:r>
      </w:hyperlink>
      <w:r>
        <w:rPr/>
        <w:t xml:space="preserve">, serão apurados e julgados conjuntamente, nos mesmos autos, observados o rito procedimental e autoridade competente definidos na referida </w:t>
      </w:r>
      <w:r>
        <w:fldChar w:fldCharType="begin"/>
      </w:r>
      <w:r>
        <w:rPr>
          <w:rStyle w:val="Hyperlink"/>
        </w:rPr>
        <w:instrText xml:space="preserve"> HYPERLINK "http://www.planalto.gov.br/ccivil_03/_ato2019-2022/2021/lei/L14133.htm" \l "art159"</w:instrText>
      </w:r>
      <w:r>
        <w:rPr>
          <w:rStyle w:val="Hyperlink"/>
        </w:rPr>
        <w:fldChar w:fldCharType="separate"/>
      </w:r>
      <w:r>
        <w:rPr>
          <w:rStyle w:val="Hyperlink"/>
        </w:rPr>
        <w:t>Lei (art. 159</w:t>
      </w:r>
      <w:r>
        <w:rPr>
          <w:rStyle w:val="Hyperlink"/>
        </w:rPr>
        <w:fldChar w:fldCharType="end"/>
      </w:r>
      <w:r>
        <w:rPr/>
        <w:t>).</w:t>
      </w:r>
    </w:p>
    <w:p>
      <w:pPr>
        <w:pStyle w:val="Nivel2"/>
        <w:numPr>
          <w:ilvl w:val="1"/>
          <w:numId w:val="219"/>
        </w:numPr>
        <w:ind w:hanging="0" w:left="0"/>
        <w:rPr>
          <w:i/>
          <w:i/>
          <w:iCs/>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Hyperlink"/>
        </w:rPr>
        <w:instrText xml:space="preserve"> HYPERLINK "http://www.planalto.gov.br/ccivil_03/_ato2019-2022/2021/lei/L14133.htm" \l "art160"</w:instrText>
      </w:r>
      <w:r>
        <w:rPr>
          <w:rStyle w:val="Hyperlink"/>
        </w:rPr>
        <w:fldChar w:fldCharType="separate"/>
      </w:r>
      <w:r>
        <w:rPr>
          <w:rStyle w:val="Hyperlink"/>
        </w:rPr>
        <w:t>art. 160, da Lei nº 14.133, de 2021</w:t>
      </w:r>
      <w:r>
        <w:rPr>
          <w:rStyle w:val="Hyperlink"/>
        </w:rPr>
        <w:fldChar w:fldCharType="end"/>
      </w:r>
      <w:r>
        <w:rPr/>
        <w:t>)</w:t>
      </w:r>
    </w:p>
    <w:p>
      <w:pPr>
        <w:pStyle w:val="Nivel2"/>
        <w:numPr>
          <w:ilvl w:val="1"/>
          <w:numId w:val="220"/>
        </w:numPr>
        <w:ind w:hanging="0" w:left="0"/>
        <w:rPr>
          <w:i/>
          <w:i/>
          <w:iCs/>
        </w:rPr>
      </w:pPr>
      <w:r>
        <w:rPr/>
        <w:t xml:space="preserve"> </w:t>
      </w:r>
      <w:r>
        <w:rPr/>
        <w:t xml:space="preserve">O Contratante deverá, no prazo máximo </w:t>
      </w:r>
      <w:r>
        <w:rPr>
          <w:color w:val="auto"/>
        </w:rPr>
        <w:t>de</w:t>
      </w:r>
      <w:r>
        <w:rPr>
          <w:color w:val="00B050"/>
        </w:rPr>
        <w:t xml:space="preserve"> </w:t>
      </w:r>
      <w:r>
        <w:rPr/>
        <w:t>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fldChar w:fldCharType="begin"/>
      </w:r>
      <w:r>
        <w:rPr>
          <w:rStyle w:val="Hyperlink"/>
        </w:rPr>
        <w:instrText xml:space="preserve"> HYPERLINK "http://www.planalto.gov.br/ccivil_03/_ato2019-2022/2021/lei/L14133.htm" \l "art161"</w:instrText>
      </w:r>
      <w:r>
        <w:rPr>
          <w:rStyle w:val="Hyperlink"/>
        </w:rPr>
        <w:fldChar w:fldCharType="separate"/>
      </w:r>
      <w:r>
        <w:rPr>
          <w:rStyle w:val="Hyperlink"/>
        </w:rPr>
        <w:t>Art. 161, da Lei nº 14.133, de 2021</w:t>
      </w:r>
      <w:r>
        <w:rPr>
          <w:rStyle w:val="Hyperlink"/>
        </w:rPr>
        <w:fldChar w:fldCharType="end"/>
      </w:r>
      <w:r>
        <w:rPr/>
        <w:t>)</w:t>
      </w:r>
    </w:p>
    <w:p>
      <w:pPr>
        <w:pStyle w:val="Nivel2"/>
        <w:numPr>
          <w:ilvl w:val="1"/>
          <w:numId w:val="221"/>
        </w:numPr>
        <w:ind w:hanging="0" w:left="0"/>
        <w:rPr>
          <w:i/>
          <w:i/>
          <w:iCs/>
        </w:rPr>
      </w:pPr>
      <w:r>
        <w:rPr/>
        <w:t xml:space="preserve">As sanções de impedimento de licitar e contratar e declaração de inidoneidade para licitar ou contratar são passíveis de reabilitação na forma do </w:t>
      </w:r>
      <w:r>
        <w:fldChar w:fldCharType="begin"/>
      </w:r>
      <w:r>
        <w:rPr>
          <w:rStyle w:val="Hyperlink"/>
        </w:rPr>
        <w:instrText xml:space="preserve"> HYPERLINK "http://www.planalto.gov.br/ccivil_03/_ato2019-2022/2021/lei/L14133.htm" \l "art163"</w:instrText>
      </w:r>
      <w:r>
        <w:rPr>
          <w:rStyle w:val="Hyperlink"/>
        </w:rPr>
        <w:fldChar w:fldCharType="separate"/>
      </w:r>
      <w:r>
        <w:rPr>
          <w:rStyle w:val="Hyperlink"/>
        </w:rPr>
        <w:t>art. 163 da Lei nº 14.133/21.</w:t>
      </w:r>
      <w:r>
        <w:rPr>
          <w:rStyle w:val="Hyperlink"/>
        </w:rPr>
        <w:fldChar w:fldCharType="end"/>
      </w:r>
    </w:p>
    <w:p>
      <w:pPr>
        <w:pStyle w:val="Nivel2"/>
        <w:numPr>
          <w:ilvl w:val="1"/>
          <w:numId w:val="222"/>
        </w:numPr>
        <w:ind w:hanging="0" w:left="0"/>
        <w:rPr/>
      </w:pPr>
      <w:r>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
        <w:r>
          <w:rPr>
            <w:rStyle w:val="Hyperlink"/>
          </w:rPr>
          <w:t>Instrução Normativa SEGES/ME nº 26, de 13 de abril de 2022</w:t>
        </w:r>
      </w:hyperlink>
      <w:r>
        <w:rPr/>
        <w:t xml:space="preserve">. </w:t>
      </w:r>
    </w:p>
    <w:p>
      <w:pPr>
        <w:pStyle w:val="Nivel01"/>
        <w:numPr>
          <w:ilvl w:val="0"/>
          <w:numId w:val="223"/>
        </w:numPr>
        <w:ind w:hanging="0" w:left="0"/>
        <w:rPr>
          <w:color w:themeColor="background1" w:val="FFFFFF"/>
        </w:rPr>
      </w:pPr>
      <w:commentRangeStart w:id="22"/>
      <w:r>
        <w:rPr/>
        <w:t>CLÁUSULA DÉCIMA TERCEIRA – DA EXTINÇÃO CONTRATUAL (</w:t>
      </w:r>
      <w:r>
        <w:fldChar w:fldCharType="begin"/>
      </w:r>
      <w:r>
        <w:rPr>
          <w:rStyle w:val="Hyperlink"/>
        </w:rPr>
        <w:instrText xml:space="preserve"> HYPERLINK "http://www.planalto.gov.br/ccivil_03/_ato2019-2022/2021/lei/L14133.htm" \l "art92"</w:instrText>
      </w:r>
      <w:r>
        <w:rPr>
          <w:rStyle w:val="Hyperlink"/>
        </w:rPr>
        <w:fldChar w:fldCharType="separate"/>
      </w:r>
      <w:r>
        <w:rPr>
          <w:rStyle w:val="Hyperlink"/>
        </w:rPr>
        <w:t>art. 92, XIX</w:t>
      </w:r>
      <w:r>
        <w:rPr>
          <w:rStyle w:val="Hyperlink"/>
        </w:rPr>
        <w:fldChar w:fldCharType="end"/>
      </w:r>
      <w:r>
        <w:rPr/>
        <w:t>)</w:t>
      </w:r>
      <w:commentRangeEnd w:id="22"/>
      <w:r>
        <w:commentReference w:id="22"/>
      </w:r>
      <w:r>
        <w:rPr/>
      </w:r>
    </w:p>
    <w:p>
      <w:pPr>
        <w:pStyle w:val="Ou"/>
        <w:rPr>
          <w:color w:val="auto"/>
        </w:rPr>
      </w:pPr>
      <w:r>
        <w:rPr>
          <w:color w:val="auto"/>
        </w:rPr>
      </w:r>
    </w:p>
    <w:p>
      <w:pPr>
        <w:pStyle w:val="Nvel2-Red"/>
        <w:numPr>
          <w:ilvl w:val="1"/>
          <w:numId w:val="224"/>
        </w:numPr>
        <w:ind w:hanging="0" w:left="0"/>
        <w:rPr>
          <w:color w:val="auto"/>
          <w:highlight w:val="none"/>
          <w:shd w:fill="auto" w:val="clear"/>
        </w:rPr>
      </w:pPr>
      <w:commentRangeStart w:id="23"/>
      <w:r>
        <w:rPr>
          <w:color w:val="000000"/>
          <w:shd w:fill="auto" w:val="clear"/>
        </w:rPr>
        <w:t>O contrato será extinto quando vencido o prazo nele estipulado, independentemente de terem sido cumpridas ou não as obrigações de ambas as partes contraentes.</w:t>
      </w:r>
    </w:p>
    <w:p>
      <w:pPr>
        <w:pStyle w:val="Nvel2-Red"/>
        <w:numPr>
          <w:ilvl w:val="1"/>
          <w:numId w:val="225"/>
        </w:numPr>
        <w:ind w:hanging="0" w:left="0"/>
        <w:rPr>
          <w:color w:val="auto"/>
          <w:highlight w:val="none"/>
          <w:shd w:fill="auto" w:val="clear"/>
        </w:rPr>
      </w:pPr>
      <w:r>
        <w:rPr>
          <w:color w:val="000000"/>
          <w:shd w:fill="auto" w:val="clear"/>
        </w:rPr>
        <w:t>O contrato poderá ser extinto antes do prazo nele fixado, sem ônus para o contratante, quando esta não dispuser de créditos orçamentários para sua continuidade ou quando entender que o contrato não mais lhe oferece vantagem.</w:t>
      </w:r>
    </w:p>
    <w:p>
      <w:pPr>
        <w:pStyle w:val="Nvel2-Red"/>
        <w:numPr>
          <w:ilvl w:val="1"/>
          <w:numId w:val="226"/>
        </w:numPr>
        <w:ind w:hanging="0" w:left="0"/>
        <w:rPr>
          <w:color w:val="auto"/>
          <w:highlight w:val="none"/>
          <w:shd w:fill="auto" w:val="clear"/>
        </w:rPr>
      </w:pPr>
      <w:r>
        <w:rPr>
          <w:color w:val="000000"/>
          <w:shd w:fill="auto" w:val="clear"/>
        </w:rPr>
        <w:t>A extinção nesta hipótese ocorrerá na próxima data de aniversário do contrato, desde que haja a notificação do contratado pelo contratante nesse sentido com pelo menos 2 (dois) meses de antecedência desse dia.</w:t>
      </w:r>
      <w:commentRangeEnd w:id="23"/>
      <w:r>
        <w:commentReference w:id="23"/>
      </w:r>
      <w:r>
        <w:rPr>
          <w:color w:val="000000"/>
          <w:shd w:fill="auto" w:val="clear"/>
        </w:rPr>
      </w:r>
    </w:p>
    <w:p>
      <w:pPr>
        <w:pStyle w:val="Nvel2-Red"/>
        <w:numPr>
          <w:ilvl w:val="1"/>
          <w:numId w:val="227"/>
        </w:numPr>
        <w:ind w:hanging="0" w:left="0"/>
        <w:rPr>
          <w:color w:val="auto"/>
          <w:highlight w:val="none"/>
          <w:shd w:fill="auto" w:val="clear"/>
        </w:rPr>
      </w:pPr>
      <w:commentRangeStart w:id="24"/>
      <w:r>
        <w:rPr>
          <w:color w:val="000000"/>
          <w:shd w:fill="auto" w:val="clear"/>
        </w:rPr>
        <w:t>Caso a notificação da não-continuidade do contrato de que trata este subitem ocorra com menos de 2 (dois) meses da data de aniversário, a extinção contratual ocorrerá após 2 (dois) meses da data da comunicação.</w:t>
      </w:r>
      <w:commentRangeEnd w:id="24"/>
      <w:r>
        <w:commentReference w:id="24"/>
      </w:r>
      <w:r>
        <w:rPr>
          <w:color w:val="000000"/>
          <w:shd w:fill="auto" w:val="clear"/>
        </w:rPr>
      </w:r>
    </w:p>
    <w:p>
      <w:pPr>
        <w:pStyle w:val="Nivel2"/>
        <w:numPr>
          <w:ilvl w:val="1"/>
          <w:numId w:val="228"/>
        </w:numPr>
        <w:ind w:hanging="0" w:left="0"/>
        <w:rPr/>
      </w:pPr>
      <w:r>
        <w:rPr>
          <w:color w:val="000000"/>
          <w:shd w:fill="auto" w:val="clear"/>
        </w:rPr>
        <w:t>O contrat</w:t>
      </w:r>
      <w:r>
        <w:rPr>
          <w:shd w:fill="auto" w:val="clear"/>
        </w:rPr>
        <w:t xml:space="preserve">o poderá ser extinto antes de cumpridas as obrigações nele estipuladas, ou antes do prazo nele fixado, por algum dos motivos previstos no </w:t>
      </w:r>
      <w:r>
        <w:fldChar w:fldCharType="begin"/>
      </w:r>
      <w:r>
        <w:rPr>
          <w:rStyle w:val="Hyperlink"/>
          <w:shd w:fill="auto" w:val="clear"/>
        </w:rPr>
        <w:instrText xml:space="preserve"> HYPERLINK "http://www.planalto.gov.br/ccivil_03/_ato2019-2022/2021/lei/L14133.htm" \l "art137"</w:instrText>
      </w:r>
      <w:r>
        <w:rPr>
          <w:rStyle w:val="Hyperlink"/>
          <w:shd w:fill="auto" w:val="clear"/>
        </w:rPr>
        <w:fldChar w:fldCharType="separate"/>
      </w:r>
      <w:r>
        <w:rPr>
          <w:rStyle w:val="Hyperlink"/>
          <w:shd w:fill="auto" w:val="clear"/>
        </w:rPr>
        <w:t>artigo 137 da Lei nº 14.133/21</w:t>
      </w:r>
      <w:r>
        <w:rPr>
          <w:rStyle w:val="Hyperlink"/>
          <w:shd w:fill="auto" w:val="clear"/>
        </w:rPr>
        <w:fldChar w:fldCharType="end"/>
      </w:r>
      <w:r>
        <w:rPr>
          <w:shd w:fill="auto" w:val="clear"/>
        </w:rPr>
        <w:t xml:space="preserve">, bem como amigavelmente, </w:t>
      </w:r>
      <w:r>
        <w:rPr>
          <w:color w:themeColor="text1" w:val="000000"/>
          <w:shd w:fill="auto" w:val="clear"/>
        </w:rPr>
        <w:t>assegurados o contraditório e a ampla defesa</w:t>
      </w:r>
      <w:r>
        <w:rPr>
          <w:shd w:fill="auto" w:val="clear"/>
        </w:rPr>
        <w:t>.</w:t>
      </w:r>
    </w:p>
    <w:p>
      <w:pPr>
        <w:pStyle w:val="Nivel3"/>
        <w:numPr>
          <w:ilvl w:val="2"/>
          <w:numId w:val="229"/>
        </w:numPr>
        <w:ind w:hanging="0" w:left="284"/>
        <w:rPr/>
      </w:pPr>
      <w:r>
        <w:rPr>
          <w:shd w:fill="auto" w:val="clear"/>
        </w:rPr>
        <w:t xml:space="preserve">Nesta hipótese, aplicam-se também os </w:t>
      </w:r>
      <w:r>
        <w:fldChar w:fldCharType="begin"/>
      </w:r>
      <w:r>
        <w:rPr>
          <w:rStyle w:val="Hyperlink"/>
          <w:shd w:fill="auto" w:val="clear"/>
        </w:rPr>
        <w:instrText xml:space="preserve"> HYPERLINK "http://www.planalto.gov.br/ccivil_03/_ato2019-2022/2021/lei/L14133.htm" \l "art138"</w:instrText>
      </w:r>
      <w:r>
        <w:rPr>
          <w:rStyle w:val="Hyperlink"/>
          <w:shd w:fill="auto" w:val="clear"/>
        </w:rPr>
        <w:fldChar w:fldCharType="separate"/>
      </w:r>
      <w:r>
        <w:rPr>
          <w:rStyle w:val="Hyperlink"/>
          <w:shd w:fill="auto" w:val="clear"/>
        </w:rPr>
        <w:t>artigos 138 e 139</w:t>
      </w:r>
      <w:r>
        <w:rPr>
          <w:rStyle w:val="Hyperlink"/>
          <w:shd w:fill="auto" w:val="clear"/>
        </w:rPr>
        <w:fldChar w:fldCharType="end"/>
      </w:r>
      <w:r>
        <w:rPr>
          <w:shd w:fill="auto" w:val="clear"/>
        </w:rPr>
        <w:t xml:space="preserve"> da mesma Lei.</w:t>
      </w:r>
    </w:p>
    <w:p>
      <w:pPr>
        <w:pStyle w:val="Nivel3"/>
        <w:numPr>
          <w:ilvl w:val="2"/>
          <w:numId w:val="230"/>
        </w:numPr>
        <w:ind w:hanging="0" w:left="284"/>
        <w:rPr>
          <w:highlight w:val="none"/>
          <w:shd w:fill="auto" w:val="clear"/>
        </w:rPr>
      </w:pPr>
      <w:r>
        <w:rPr>
          <w:shd w:fill="auto" w:val="clear"/>
        </w:rPr>
        <w:t>A alteração social ou a modificação da finalidade ou da estrutura da empresa não ensejará a extinção se não restringir sua capacidade de concluir o contrato.</w:t>
      </w:r>
    </w:p>
    <w:p>
      <w:pPr>
        <w:pStyle w:val="Nivel4"/>
        <w:numPr>
          <w:ilvl w:val="3"/>
          <w:numId w:val="231"/>
        </w:numPr>
        <w:ind w:hanging="0" w:left="567"/>
        <w:rPr>
          <w:highlight w:val="none"/>
          <w:shd w:fill="auto" w:val="clear"/>
        </w:rPr>
      </w:pPr>
      <w:r>
        <w:rPr>
          <w:color w:themeColor="text1" w:val="000000"/>
          <w:shd w:fill="auto" w:val="clear"/>
        </w:rPr>
        <w:t xml:space="preserve">Se a operação </w:t>
      </w:r>
      <w:r>
        <w:rPr>
          <w:shd w:fill="auto" w:val="clear"/>
        </w:rPr>
        <w:t>implicar mudança da pessoa jurídica contratada, deverá ser formalizado termo aditivo para alteração subjetiva.</w:t>
      </w:r>
    </w:p>
    <w:p>
      <w:pPr>
        <w:pStyle w:val="Nivel2"/>
        <w:numPr>
          <w:ilvl w:val="1"/>
          <w:numId w:val="232"/>
        </w:numPr>
        <w:ind w:hanging="0" w:left="0"/>
        <w:rPr>
          <w:highlight w:val="none"/>
          <w:shd w:fill="auto" w:val="clear"/>
        </w:rPr>
      </w:pPr>
      <w:r>
        <w:rPr>
          <w:shd w:fill="auto" w:val="clear"/>
        </w:rPr>
        <w:t>O termo de extinção, sempre que possível, será precedido:</w:t>
      </w:r>
    </w:p>
    <w:p>
      <w:pPr>
        <w:pStyle w:val="Nivel4"/>
        <w:numPr>
          <w:ilvl w:val="3"/>
          <w:numId w:val="233"/>
        </w:numPr>
        <w:ind w:hanging="0" w:left="567"/>
        <w:rPr/>
      </w:pPr>
      <w:r>
        <w:rPr>
          <w:shd w:fill="auto" w:val="clear"/>
        </w:rPr>
        <w:t>Balanço dos eventos c</w:t>
      </w:r>
      <w:r>
        <w:rPr/>
        <w:t>ontratuais já cumpridos ou parcialmente cumpridos;</w:t>
      </w:r>
    </w:p>
    <w:p>
      <w:pPr>
        <w:pStyle w:val="Nivel4"/>
        <w:numPr>
          <w:ilvl w:val="3"/>
          <w:numId w:val="234"/>
        </w:numPr>
        <w:ind w:hanging="0" w:left="567"/>
        <w:rPr/>
      </w:pPr>
      <w:r>
        <w:rPr/>
        <w:t>Relação dos pagamentos já efetuados e ainda devidos;</w:t>
      </w:r>
    </w:p>
    <w:p>
      <w:pPr>
        <w:pStyle w:val="Nivel4"/>
        <w:numPr>
          <w:ilvl w:val="3"/>
          <w:numId w:val="235"/>
        </w:numPr>
        <w:ind w:hanging="0" w:left="567"/>
        <w:rPr/>
      </w:pPr>
      <w:r>
        <w:rPr/>
        <w:t>Indenizações e multas.</w:t>
      </w:r>
    </w:p>
    <w:p>
      <w:pPr>
        <w:pStyle w:val="Nivel2"/>
        <w:numPr>
          <w:ilvl w:val="1"/>
          <w:numId w:val="236"/>
        </w:numPr>
        <w:ind w:hanging="0" w:left="0"/>
        <w:rPr/>
      </w:pPr>
      <w:r>
        <w:rPr/>
        <w:t>A extinção do contrato não configura óbice para o reconhecimento do desequilíbrio econômico-financeiro, hipótese em que será concedida indenização por meio de termo indenizatório (</w:t>
      </w:r>
      <w:r>
        <w:fldChar w:fldCharType="begin"/>
      </w:r>
      <w:r>
        <w:rPr>
          <w:rStyle w:val="Hyperlink"/>
        </w:rPr>
        <w:instrText xml:space="preserve"> HYPERLINK "http://www.planalto.gov.br/ccivil_03/_ato2019-2022/2021/lei/L14133.htm" \l "art131"</w:instrText>
      </w:r>
      <w:r>
        <w:rPr>
          <w:rStyle w:val="Hyperlink"/>
        </w:rPr>
        <w:fldChar w:fldCharType="separate"/>
      </w:r>
      <w:r>
        <w:rPr>
          <w:rStyle w:val="Hyperlink"/>
        </w:rPr>
        <w:t xml:space="preserve">art. 131, </w:t>
      </w:r>
      <w:r>
        <w:rPr>
          <w:rStyle w:val="Hyperlink"/>
        </w:rPr>
        <w:fldChar w:fldCharType="end"/>
      </w:r>
      <w:r>
        <w:rPr>
          <w:rStyle w:val="Hyperlink"/>
          <w:i/>
          <w:iCs/>
        </w:rPr>
        <w:t xml:space="preserve">caput, </w:t>
      </w:r>
      <w:r>
        <w:rPr>
          <w:rStyle w:val="Hyperlink"/>
        </w:rPr>
        <w:t>da Lei n.º 14.133, de 2021).</w:t>
      </w:r>
      <w:r>
        <w:rPr/>
        <w:t xml:space="preserve"> </w:t>
      </w:r>
    </w:p>
    <w:p>
      <w:pPr>
        <w:pStyle w:val="Nivel2"/>
        <w:numPr>
          <w:ilvl w:val="1"/>
          <w:numId w:val="237"/>
        </w:numPr>
        <w:ind w:hanging="0" w:left="0"/>
        <w:rPr>
          <w:highlight w:val="none"/>
          <w:shd w:fill="auto" w:val="clear"/>
        </w:rPr>
      </w:pPr>
      <w:r>
        <w:rPr>
          <w:shd w:fill="auto" w:val="clear"/>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pPr>
        <w:pStyle w:val="Nivel01"/>
        <w:numPr>
          <w:ilvl w:val="0"/>
          <w:numId w:val="238"/>
        </w:numPr>
        <w:ind w:hanging="0" w:left="0"/>
        <w:rPr>
          <w:color w:themeColor="background1" w:val="FFFFFF"/>
        </w:rPr>
      </w:pPr>
      <w:r>
        <w:rPr>
          <w:shd w:fill="auto" w:val="clear"/>
        </w:rPr>
        <w:t>CLÁUSULA DÉCIMA QUARTA – DOTAÇÃO ORÇAMENTÁ</w:t>
      </w:r>
      <w:r>
        <w:rPr/>
        <w:t>RIA (</w:t>
      </w:r>
      <w:r>
        <w:fldChar w:fldCharType="begin"/>
      </w:r>
      <w:r>
        <w:rPr>
          <w:rStyle w:val="Hyperlink"/>
        </w:rPr>
        <w:instrText xml:space="preserve"> HYPERLINK "http://www.planalto.gov.br/ccivil_03/_ato2019-2022/2021/lei/L14133.htm" \l "art92"</w:instrText>
      </w:r>
      <w:r>
        <w:rPr>
          <w:rStyle w:val="Hyperlink"/>
        </w:rPr>
        <w:fldChar w:fldCharType="separate"/>
      </w:r>
      <w:r>
        <w:rPr>
          <w:rStyle w:val="Hyperlink"/>
        </w:rPr>
        <w:t>art. 92, VIII</w:t>
      </w:r>
      <w:r>
        <w:rPr>
          <w:rStyle w:val="Hyperlink"/>
        </w:rPr>
        <w:fldChar w:fldCharType="end"/>
      </w:r>
      <w:r>
        <w:rPr/>
        <w:t>)</w:t>
      </w:r>
    </w:p>
    <w:p>
      <w:pPr>
        <w:pStyle w:val="Nivel2"/>
        <w:numPr>
          <w:ilvl w:val="1"/>
          <w:numId w:val="239"/>
        </w:numPr>
        <w:ind w:hanging="0" w:left="0"/>
        <w:rPr/>
      </w:pPr>
      <w:r>
        <w:rPr/>
        <w:t>As despesas decorrentes da presente contratação correrão à conta de recursos específicos consignados no Orçamento Geral da União deste exercício, na dotação abaixo discriminada:</w:t>
      </w:r>
    </w:p>
    <w:p>
      <w:pPr>
        <w:pStyle w:val="Normal"/>
        <w:numPr>
          <w:ilvl w:val="1"/>
          <w:numId w:val="4"/>
        </w:numPr>
        <w:suppressAutoHyphens w:val="true"/>
        <w:spacing w:lineRule="auto" w:line="276" w:before="120" w:after="120"/>
        <w:ind w:firstLine="1134" w:left="284"/>
        <w:jc w:val="both"/>
        <w:rPr>
          <w:rFonts w:ascii="Arial" w:hAnsi="Arial" w:eastAsia="Arial" w:cs="Arial"/>
          <w:sz w:val="20"/>
          <w:szCs w:val="20"/>
        </w:rPr>
      </w:pPr>
      <w:r>
        <w:rPr>
          <w:rFonts w:eastAsia="Arial" w:cs="Arial" w:ascii="Arial" w:hAnsi="Arial"/>
          <w:sz w:val="20"/>
          <w:szCs w:val="20"/>
        </w:rPr>
        <w:t>Gestão/Unidade: 00001/167487</w:t>
      </w:r>
    </w:p>
    <w:p>
      <w:pPr>
        <w:pStyle w:val="Normal"/>
        <w:numPr>
          <w:ilvl w:val="1"/>
          <w:numId w:val="4"/>
        </w:numPr>
        <w:suppressAutoHyphens w:val="true"/>
        <w:spacing w:lineRule="auto" w:line="276" w:before="120" w:after="120"/>
        <w:ind w:firstLine="1134" w:left="284"/>
        <w:jc w:val="both"/>
        <w:rPr>
          <w:rFonts w:ascii="Arial" w:hAnsi="Arial" w:eastAsia="Arial" w:cs="Arial"/>
          <w:sz w:val="20"/>
          <w:szCs w:val="20"/>
        </w:rPr>
      </w:pPr>
      <w:r>
        <w:rPr>
          <w:rFonts w:eastAsia="Arial" w:cs="Arial" w:ascii="Arial" w:hAnsi="Arial"/>
          <w:sz w:val="20"/>
          <w:szCs w:val="20"/>
        </w:rPr>
        <w:t>Fonte de Recursos: 1050000415</w:t>
      </w:r>
    </w:p>
    <w:p>
      <w:pPr>
        <w:pStyle w:val="Normal"/>
        <w:numPr>
          <w:ilvl w:val="1"/>
          <w:numId w:val="4"/>
        </w:numPr>
        <w:suppressAutoHyphens w:val="true"/>
        <w:spacing w:lineRule="auto" w:line="276" w:before="120" w:after="120"/>
        <w:ind w:firstLine="1134" w:left="284"/>
        <w:jc w:val="both"/>
        <w:rPr>
          <w:rFonts w:ascii="Arial" w:hAnsi="Arial" w:eastAsia="Arial" w:cs="Arial"/>
          <w:sz w:val="20"/>
          <w:szCs w:val="20"/>
        </w:rPr>
      </w:pPr>
      <w:r>
        <w:rPr>
          <w:rFonts w:eastAsia="Arial" w:cs="Arial" w:ascii="Arial" w:hAnsi="Arial"/>
          <w:sz w:val="20"/>
          <w:szCs w:val="20"/>
        </w:rPr>
        <w:t>Programa de Trabalho: 232198</w:t>
      </w:r>
    </w:p>
    <w:p>
      <w:pPr>
        <w:pStyle w:val="Normal"/>
        <w:numPr>
          <w:ilvl w:val="1"/>
          <w:numId w:val="4"/>
        </w:numPr>
        <w:suppressAutoHyphens w:val="true"/>
        <w:spacing w:lineRule="auto" w:line="276" w:before="120" w:after="120"/>
        <w:ind w:firstLine="1134" w:left="284"/>
        <w:jc w:val="both"/>
        <w:rPr>
          <w:rFonts w:ascii="Arial" w:hAnsi="Arial" w:eastAsia="Arial" w:cs="Arial"/>
          <w:sz w:val="20"/>
          <w:szCs w:val="20"/>
        </w:rPr>
      </w:pPr>
      <w:r>
        <w:rPr>
          <w:rFonts w:eastAsia="Arial" w:cs="Arial" w:ascii="Arial" w:hAnsi="Arial"/>
          <w:sz w:val="20"/>
          <w:szCs w:val="20"/>
        </w:rPr>
        <w:t>Elemento de Despesa: 33903</w:t>
      </w:r>
      <w:r>
        <w:rPr>
          <w:rFonts w:eastAsia="Arial" w:cs="Arial" w:ascii="Arial" w:hAnsi="Arial"/>
          <w:sz w:val="20"/>
          <w:szCs w:val="20"/>
        </w:rPr>
        <w:t>9</w:t>
      </w:r>
    </w:p>
    <w:p>
      <w:pPr>
        <w:pStyle w:val="Normal"/>
        <w:numPr>
          <w:ilvl w:val="1"/>
          <w:numId w:val="4"/>
        </w:numPr>
        <w:suppressAutoHyphens w:val="true"/>
        <w:spacing w:lineRule="auto" w:line="276" w:before="120" w:after="120"/>
        <w:ind w:firstLine="1134" w:left="284"/>
        <w:jc w:val="both"/>
        <w:rPr>
          <w:rFonts w:ascii="Arial" w:hAnsi="Arial" w:eastAsia="Arial" w:cs="Arial"/>
          <w:sz w:val="20"/>
          <w:szCs w:val="20"/>
        </w:rPr>
      </w:pPr>
      <w:r>
        <w:rPr>
          <w:rFonts w:eastAsia="Arial" w:cs="Arial" w:ascii="Arial" w:hAnsi="Arial"/>
          <w:sz w:val="20"/>
          <w:szCs w:val="20"/>
        </w:rPr>
        <w:t xml:space="preserve">Plano Interno: </w:t>
      </w:r>
      <w:r>
        <w:rPr>
          <w:rFonts w:eastAsia="Arial" w:cs="Arial" w:ascii="Arial" w:hAnsi="Arial"/>
          <w:color w:val="auto"/>
          <w:kern w:val="0"/>
          <w:sz w:val="20"/>
          <w:szCs w:val="20"/>
          <w:lang w:val="pt-BR" w:eastAsia="pt-BR" w:bidi="ar-SA"/>
        </w:rPr>
        <w:t>C5ENEASCOMI</w:t>
      </w:r>
    </w:p>
    <w:p>
      <w:pPr>
        <w:pStyle w:val="Normal"/>
        <w:numPr>
          <w:ilvl w:val="1"/>
          <w:numId w:val="4"/>
        </w:numPr>
        <w:suppressAutoHyphens w:val="true"/>
        <w:spacing w:lineRule="auto" w:line="276" w:before="120" w:after="120"/>
        <w:ind w:firstLine="1134" w:left="284"/>
        <w:jc w:val="both"/>
        <w:rPr>
          <w:rFonts w:ascii="Arial" w:hAnsi="Arial" w:eastAsia="Arial" w:cs="Arial"/>
          <w:sz w:val="20"/>
          <w:szCs w:val="20"/>
        </w:rPr>
      </w:pPr>
      <w:r>
        <w:rPr>
          <w:rFonts w:eastAsia="Arial" w:cs="Arial" w:ascii="Arial" w:hAnsi="Arial"/>
          <w:sz w:val="20"/>
          <w:szCs w:val="20"/>
        </w:rPr>
        <w:t xml:space="preserve">Nota de Empenho: </w:t>
      </w:r>
      <w:r>
        <w:rPr>
          <w:rFonts w:eastAsia="Arial" w:cs="Arial" w:ascii="Arial" w:hAnsi="Arial"/>
          <w:color w:val="FF0000"/>
          <w:sz w:val="20"/>
          <w:szCs w:val="20"/>
        </w:rPr>
        <w:t>XXXXXXXXXX</w:t>
      </w:r>
    </w:p>
    <w:p>
      <w:pPr>
        <w:pStyle w:val="Nvel2-Red"/>
        <w:numPr>
          <w:ilvl w:val="1"/>
          <w:numId w:val="240"/>
        </w:numPr>
        <w:ind w:hanging="0" w:left="0"/>
        <w:rPr>
          <w:color w:val="auto"/>
        </w:rPr>
      </w:pPr>
      <w:commentRangeStart w:id="25"/>
      <w:r>
        <w:rPr>
          <w:color w:val="auto"/>
        </w:rPr>
        <w:t>A dotação relativa aos exercícios financeiros subsequentes será indicada após aprovação da Lei Orçamentária respectiva e liberação dos créditos correspondentes, mediante apostilamento.</w:t>
      </w:r>
      <w:commentRangeEnd w:id="25"/>
      <w:r>
        <w:commentReference w:id="25"/>
      </w:r>
      <w:r>
        <w:rPr>
          <w:color w:val="auto"/>
        </w:rPr>
      </w:r>
    </w:p>
    <w:p>
      <w:pPr>
        <w:pStyle w:val="Nivel01"/>
        <w:numPr>
          <w:ilvl w:val="0"/>
          <w:numId w:val="241"/>
        </w:numPr>
        <w:ind w:hanging="0" w:left="0"/>
        <w:rPr>
          <w:color w:themeColor="background1" w:val="FFFFFF"/>
        </w:rPr>
      </w:pPr>
      <w:r>
        <w:rPr/>
        <w:t>CLÁUSULA DÉCIMA QUINTA – DOS CASOS OMISSOS (</w:t>
      </w:r>
      <w:r>
        <w:fldChar w:fldCharType="begin"/>
      </w:r>
      <w:r>
        <w:rPr>
          <w:rStyle w:val="Hyperlink"/>
        </w:rPr>
        <w:instrText xml:space="preserve"> HYPERLINK "http://www.planalto.gov.br/ccivil_03/_ato2019-2022/2021/lei/L14133.htm" \l "art92"</w:instrText>
      </w:r>
      <w:r>
        <w:rPr>
          <w:rStyle w:val="Hyperlink"/>
        </w:rPr>
        <w:fldChar w:fldCharType="separate"/>
      </w:r>
      <w:r>
        <w:rPr>
          <w:rStyle w:val="Hyperlink"/>
        </w:rPr>
        <w:t>art. 92, III</w:t>
      </w:r>
      <w:r>
        <w:rPr>
          <w:rStyle w:val="Hyperlink"/>
        </w:rPr>
        <w:fldChar w:fldCharType="end"/>
      </w:r>
      <w:r>
        <w:rPr/>
        <w:t>)</w:t>
      </w:r>
    </w:p>
    <w:p>
      <w:pPr>
        <w:pStyle w:val="Nivel2"/>
        <w:numPr>
          <w:ilvl w:val="1"/>
          <w:numId w:val="242"/>
        </w:numPr>
        <w:ind w:hanging="0" w:left="0"/>
        <w:rPr/>
      </w:pPr>
      <w:commentRangeStart w:id="26"/>
      <w:r>
        <w:rPr/>
        <w:t xml:space="preserve">Os casos omissos serão decididos pelo contratante, segundo as disposições contidas na </w:t>
      </w:r>
      <w:hyperlink r:id="rId10">
        <w:r>
          <w:rPr>
            <w:rStyle w:val="Hyperlink"/>
          </w:rPr>
          <w:t>Lei nº 14.133, de 2021</w:t>
        </w:r>
      </w:hyperlink>
      <w:r>
        <w:rPr/>
        <w:t xml:space="preserve">, e demais normas federais aplicáveis e, subsidiariamente, segundo as disposições contidas na </w:t>
      </w:r>
      <w:hyperlink r:id="rId11">
        <w:r>
          <w:rPr>
            <w:rStyle w:val="Hyperlink"/>
          </w:rPr>
          <w:t>Lei nº 8.078, de 1990 – Código de Defesa do Consumidor</w:t>
        </w:r>
      </w:hyperlink>
      <w:r>
        <w:rPr/>
        <w:t xml:space="preserve"> – e normas e princípios gerais dos contratos.</w:t>
      </w:r>
      <w:commentRangeEnd w:id="26"/>
      <w:r>
        <w:commentReference w:id="26"/>
      </w:r>
      <w:r>
        <w:rPr/>
      </w:r>
    </w:p>
    <w:p>
      <w:pPr>
        <w:pStyle w:val="Nivel01"/>
        <w:numPr>
          <w:ilvl w:val="0"/>
          <w:numId w:val="243"/>
        </w:numPr>
        <w:ind w:hanging="0" w:left="0"/>
        <w:rPr>
          <w:color w:themeColor="background1" w:val="FFFFFF"/>
        </w:rPr>
      </w:pPr>
      <w:r>
        <w:rPr/>
        <w:t>CLÁUSULA DÉCIMA SEXTA – ALTERAÇÕES</w:t>
      </w:r>
    </w:p>
    <w:p>
      <w:pPr>
        <w:pStyle w:val="Nivel2"/>
        <w:numPr>
          <w:ilvl w:val="1"/>
          <w:numId w:val="244"/>
        </w:numPr>
        <w:ind w:hanging="0" w:left="0"/>
        <w:rPr/>
      </w:pPr>
      <w:r>
        <w:rPr/>
        <w:t xml:space="preserve">Eventuais alterações contratuais reger-se-ão pela disciplina dos </w:t>
      </w:r>
      <w:r>
        <w:fldChar w:fldCharType="begin"/>
      </w:r>
      <w:r>
        <w:rPr>
          <w:rStyle w:val="Hyperlink"/>
        </w:rPr>
        <w:instrText xml:space="preserve"> HYPERLINK "http://www.planalto.gov.br/ccivil_03/_ato2019-2022/2021/lei/L14133.htm" \l "art124"</w:instrText>
      </w:r>
      <w:r>
        <w:rPr>
          <w:rStyle w:val="Hyperlink"/>
        </w:rPr>
        <w:fldChar w:fldCharType="separate"/>
      </w:r>
      <w:r>
        <w:rPr>
          <w:rStyle w:val="Hyperlink"/>
        </w:rPr>
        <w:t>arts. 124 e seguintes da Lei nº 14.133, de 2021</w:t>
      </w:r>
      <w:r>
        <w:rPr>
          <w:rStyle w:val="Hyperlink"/>
        </w:rPr>
        <w:fldChar w:fldCharType="end"/>
      </w:r>
      <w:r>
        <w:rPr/>
        <w:t>.</w:t>
      </w:r>
    </w:p>
    <w:p>
      <w:pPr>
        <w:pStyle w:val="Nivel2"/>
        <w:numPr>
          <w:ilvl w:val="1"/>
          <w:numId w:val="245"/>
        </w:numPr>
        <w:ind w:hanging="0" w:left="0"/>
        <w:rPr/>
      </w:pPr>
      <w:r>
        <w:rPr/>
        <w:t>O contratado é obrigado a aceitar, nas mesmas condições contratuais, os acréscimos ou supressões que se</w:t>
      </w:r>
      <w:r>
        <w:rPr>
          <w:shd w:fill="auto" w:val="clear"/>
        </w:rPr>
        <w:t xml:space="preserve"> fizerem necessários, até o limite de 25% (vinte e cinco por cento) do valor inicial atualizado do contrato.</w:t>
      </w:r>
    </w:p>
    <w:p>
      <w:pPr>
        <w:pStyle w:val="Nivel2"/>
        <w:numPr>
          <w:ilvl w:val="1"/>
          <w:numId w:val="246"/>
        </w:numPr>
        <w:ind w:hanging="0" w:left="0"/>
        <w:rPr>
          <w:highlight w:val="none"/>
          <w:shd w:fill="auto" w:val="clear"/>
        </w:rPr>
      </w:pPr>
      <w:r>
        <w:rPr>
          <w:shd w:fill="auto" w:val="clea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pPr>
        <w:pStyle w:val="Nivel2"/>
        <w:numPr>
          <w:ilvl w:val="1"/>
          <w:numId w:val="247"/>
        </w:numPr>
        <w:ind w:hanging="0" w:left="0"/>
        <w:rPr/>
      </w:pPr>
      <w:r>
        <w:rPr>
          <w:shd w:fill="auto" w:val="clear"/>
        </w:rPr>
        <w:t xml:space="preserve">Registros que não caracterizam alteração do contrato podem ser realizados por simples apostila, dispensada a celebração de termo aditivo, na forma do </w:t>
      </w:r>
      <w:r>
        <w:fldChar w:fldCharType="begin"/>
      </w:r>
      <w:r>
        <w:rPr>
          <w:rStyle w:val="Hyperlink"/>
          <w:shd w:fill="auto" w:val="clear"/>
        </w:rPr>
        <w:instrText xml:space="preserve"> HYPERLINK "http://www.planalto.gov.br/ccivil_03/_ato2019-2022/2021/lei/L14133.htm" \l "art136"</w:instrText>
      </w:r>
      <w:r>
        <w:rPr>
          <w:rStyle w:val="Hyperlink"/>
          <w:shd w:fill="auto" w:val="clear"/>
        </w:rPr>
        <w:fldChar w:fldCharType="separate"/>
      </w:r>
      <w:r>
        <w:rPr>
          <w:rStyle w:val="Hyperlink"/>
          <w:shd w:fill="auto" w:val="clear"/>
        </w:rPr>
        <w:t>art. 136 da Lei nº 14.133, de 2021</w:t>
      </w:r>
      <w:r>
        <w:rPr>
          <w:rStyle w:val="Hyperlink"/>
          <w:shd w:fill="auto" w:val="clear"/>
        </w:rPr>
        <w:fldChar w:fldCharType="end"/>
      </w:r>
      <w:r>
        <w:rPr>
          <w:shd w:fill="auto" w:val="clear"/>
        </w:rPr>
        <w:t>.</w:t>
      </w:r>
    </w:p>
    <w:p>
      <w:pPr>
        <w:pStyle w:val="Nivel01"/>
        <w:numPr>
          <w:ilvl w:val="0"/>
          <w:numId w:val="248"/>
        </w:numPr>
        <w:ind w:hanging="0" w:left="0"/>
        <w:rPr>
          <w:color w:themeColor="background1" w:val="FFFFFF"/>
        </w:rPr>
      </w:pPr>
      <w:r>
        <w:rPr/>
        <w:t>CLÁUSULA DÉCIMA SÉTIMA – PUBLICAÇÃO</w:t>
      </w:r>
    </w:p>
    <w:p>
      <w:pPr>
        <w:pStyle w:val="Nivel2"/>
        <w:numPr>
          <w:ilvl w:val="1"/>
          <w:numId w:val="249"/>
        </w:numPr>
        <w:ind w:hanging="0" w:left="0"/>
        <w:rPr/>
      </w:pPr>
      <w:r>
        <w:rPr/>
        <w:t>I</w:t>
      </w:r>
      <w:r>
        <w:rPr>
          <w:shd w:fill="auto" w:val="clear"/>
        </w:rPr>
        <w:t xml:space="preserve">ncumbirá ao contratante divulgar o presente instrumento no Portal Nacional de Contratações Públicas (PNCP), na forma prevista no </w:t>
      </w:r>
      <w:r>
        <w:fldChar w:fldCharType="begin"/>
      </w:r>
      <w:r>
        <w:rPr>
          <w:rStyle w:val="Hyperlink"/>
          <w:shd w:fill="auto" w:val="clear"/>
        </w:rPr>
        <w:instrText xml:space="preserve"> HYPERLINK "http://www.planalto.gov.br/ccivil_03/_ato2019-2022/2021/lei/L14133.htm" \l "art94"</w:instrText>
      </w:r>
      <w:r>
        <w:rPr>
          <w:rStyle w:val="Hyperlink"/>
          <w:shd w:fill="auto" w:val="clear"/>
        </w:rPr>
        <w:fldChar w:fldCharType="separate"/>
      </w:r>
      <w:r>
        <w:rPr>
          <w:rStyle w:val="Hyperlink"/>
          <w:shd w:fill="auto" w:val="clear"/>
        </w:rPr>
        <w:t>art. 94 da Lei 14.133, de 2021</w:t>
      </w:r>
      <w:r>
        <w:rPr>
          <w:rStyle w:val="Hyperlink"/>
          <w:shd w:fill="auto" w:val="clear"/>
        </w:rPr>
        <w:fldChar w:fldCharType="end"/>
      </w:r>
      <w:r>
        <w:rPr>
          <w:shd w:fill="auto" w:val="clear"/>
        </w:rPr>
        <w:t xml:space="preserve">, bem como no respectivo sítio oficial na Internet, em atenção ao art. 91, </w:t>
      </w:r>
      <w:r>
        <w:rPr>
          <w:i/>
          <w:iCs/>
          <w:shd w:fill="auto" w:val="clear"/>
        </w:rPr>
        <w:t>caput,</w:t>
      </w:r>
      <w:r>
        <w:rPr>
          <w:shd w:fill="auto" w:val="clear"/>
        </w:rPr>
        <w:t xml:space="preserve"> da Lei n.º 14.133, de 2021, e ao </w:t>
      </w:r>
      <w:r>
        <w:fldChar w:fldCharType="begin"/>
      </w:r>
      <w:r>
        <w:rPr>
          <w:rStyle w:val="Hyperlink"/>
          <w:shd w:fill="auto" w:val="clear"/>
        </w:rPr>
        <w:instrText xml:space="preserve"> HYPERLINK "https://www.planalto.gov.br/ccivil_03/_ato2011-2014/2011/lei/l12527.htm" \l "art8§2"</w:instrText>
      </w:r>
      <w:r>
        <w:rPr>
          <w:rStyle w:val="Hyperlink"/>
          <w:shd w:fill="auto" w:val="clear"/>
        </w:rPr>
        <w:fldChar w:fldCharType="separate"/>
      </w:r>
      <w:r>
        <w:rPr>
          <w:rStyle w:val="Hyperlink"/>
          <w:shd w:fill="auto" w:val="clear"/>
        </w:rPr>
        <w:t>art. 8º, §2º, da Lei n. 12.527, de 2011</w:t>
      </w:r>
      <w:r>
        <w:rPr>
          <w:rStyle w:val="Hyperlink"/>
          <w:shd w:fill="auto" w:val="clear"/>
        </w:rPr>
        <w:fldChar w:fldCharType="end"/>
      </w:r>
      <w:r>
        <w:rPr>
          <w:shd w:fill="auto" w:val="clear"/>
        </w:rPr>
        <w:t xml:space="preserve">, c/c </w:t>
      </w:r>
      <w:r>
        <w:fldChar w:fldCharType="begin"/>
      </w:r>
      <w:r>
        <w:rPr>
          <w:rStyle w:val="Hyperlink"/>
          <w:shd w:fill="auto" w:val="clear"/>
        </w:rPr>
        <w:instrText xml:space="preserve"> HYPERLINK "https://www.planalto.gov.br/ccivil_03/_ato2011-2014/2012/decreto/d7724.htm" \l "art7§3"</w:instrText>
      </w:r>
      <w:r>
        <w:rPr>
          <w:rStyle w:val="Hyperlink"/>
          <w:shd w:fill="auto" w:val="clear"/>
        </w:rPr>
        <w:fldChar w:fldCharType="separate"/>
      </w:r>
      <w:r>
        <w:rPr>
          <w:rStyle w:val="Hyperlink"/>
          <w:shd w:fill="auto" w:val="clear"/>
        </w:rPr>
        <w:t>art. 7º, §3º, inciso V, do Decreto n. 7.724, de 2012.</w:t>
      </w:r>
      <w:r>
        <w:rPr>
          <w:rStyle w:val="Hyperlink"/>
          <w:shd w:fill="auto" w:val="clear"/>
        </w:rPr>
        <w:fldChar w:fldCharType="end"/>
      </w:r>
      <w:r>
        <w:rPr>
          <w:shd w:fill="auto" w:val="clear"/>
        </w:rPr>
        <w:t xml:space="preserve"> </w:t>
      </w:r>
    </w:p>
    <w:p>
      <w:pPr>
        <w:pStyle w:val="Nivel01"/>
        <w:numPr>
          <w:ilvl w:val="0"/>
          <w:numId w:val="250"/>
        </w:numPr>
        <w:ind w:hanging="0" w:left="0"/>
        <w:rPr/>
      </w:pPr>
      <w:r>
        <w:rPr>
          <w:shd w:fill="auto" w:val="clear"/>
        </w:rPr>
        <w:t>CLÁUSULA DÉCIMA OITAVA– FORO (</w:t>
      </w:r>
      <w:r>
        <w:fldChar w:fldCharType="begin"/>
      </w:r>
      <w:r>
        <w:rPr>
          <w:rStyle w:val="Hyperlink"/>
          <w:shd w:fill="auto" w:val="clear"/>
        </w:rPr>
        <w:instrText xml:space="preserve"> HYPERLINK "http://www.planalto.gov.br/ccivil_03/_ato2019-2022/2021/lei/L14133.htm" \l "art92§1"</w:instrText>
      </w:r>
      <w:r>
        <w:rPr>
          <w:rStyle w:val="Hyperlink"/>
          <w:shd w:fill="auto" w:val="clear"/>
        </w:rPr>
        <w:fldChar w:fldCharType="separate"/>
      </w:r>
      <w:r>
        <w:rPr>
          <w:rStyle w:val="Hyperlink"/>
          <w:shd w:fill="auto" w:val="clear"/>
        </w:rPr>
        <w:t>art. 92, §1º</w:t>
      </w:r>
      <w:r>
        <w:rPr>
          <w:rStyle w:val="Hyperlink"/>
          <w:shd w:fill="auto" w:val="clear"/>
        </w:rPr>
        <w:fldChar w:fldCharType="end"/>
      </w:r>
      <w:r>
        <w:rPr>
          <w:shd w:fill="auto" w:val="clear"/>
        </w:rPr>
        <w:t>)</w:t>
      </w:r>
    </w:p>
    <w:p>
      <w:pPr>
        <w:pStyle w:val="Nivel2"/>
        <w:numPr>
          <w:ilvl w:val="1"/>
          <w:numId w:val="251"/>
        </w:numPr>
        <w:ind w:hanging="0" w:left="0"/>
        <w:rPr/>
      </w:pPr>
      <w:r>
        <w:rPr>
          <w:shd w:fill="auto" w:val="clear"/>
        </w:rPr>
        <w:t>Fica eleito o Foro da Just</w:t>
      </w:r>
      <w:r>
        <w:rPr/>
        <w:t xml:space="preserve">iça Federal em </w:t>
      </w:r>
      <w:r>
        <w:rPr>
          <w:color w:val="auto"/>
        </w:rPr>
        <w:t>São Paulo, Seção Judiciária de São Paulo</w:t>
      </w:r>
      <w:r>
        <w:rPr>
          <w:color w:val="FF0000"/>
        </w:rPr>
        <w:t xml:space="preserve"> </w:t>
      </w:r>
      <w:r>
        <w:rPr/>
        <w:t xml:space="preserve">para dirimir os litígios que decorrerem da execução deste Termo de Contrato que não puderem ser compostos pela conciliação, conforme </w:t>
      </w:r>
      <w:r>
        <w:fldChar w:fldCharType="begin"/>
      </w:r>
      <w:r>
        <w:rPr>
          <w:rStyle w:val="Hyperlink"/>
        </w:rPr>
        <w:instrText xml:space="preserve"> HYPERLINK "http://www.planalto.gov.br/ccivil_03/_ato2019-2022/2021/lei/L14133.htm" \l "art92§1"</w:instrText>
      </w:r>
      <w:r>
        <w:rPr>
          <w:rStyle w:val="Hyperlink"/>
        </w:rPr>
        <w:fldChar w:fldCharType="separate"/>
      </w:r>
      <w:r>
        <w:rPr>
          <w:rStyle w:val="Hyperlink"/>
        </w:rPr>
        <w:t>art. 92, §1º, da Lei nº 14.133/21.</w:t>
      </w:r>
      <w:r>
        <w:rPr>
          <w:rStyle w:val="Hyperlink"/>
        </w:rPr>
        <w:fldChar w:fldCharType="end"/>
      </w:r>
    </w:p>
    <w:p>
      <w:pPr>
        <w:pStyle w:val="Nivel2"/>
        <w:numPr>
          <w:ilvl w:val="0"/>
          <w:numId w:val="0"/>
        </w:numPr>
        <w:spacing w:lineRule="auto" w:line="312" w:before="120" w:after="288"/>
        <w:ind w:firstLine="709" w:left="0"/>
        <w:rPr>
          <w:i/>
          <w:i/>
          <w:iCs/>
          <w:color w:val="FF0000"/>
        </w:rPr>
      </w:pPr>
      <w:r>
        <w:rPr>
          <w:i/>
          <w:iCs/>
          <w:color w:val="FF0000"/>
        </w:rPr>
      </w:r>
    </w:p>
    <w:p>
      <w:pPr>
        <w:pStyle w:val="Normal"/>
        <w:widowControl w:val="false"/>
        <w:spacing w:lineRule="auto" w:line="360"/>
        <w:ind w:hanging="0" w:right="-30"/>
        <w:jc w:val="center"/>
        <w:rPr/>
      </w:pPr>
      <w:r>
        <w:rPr>
          <w:rFonts w:eastAsia="Times New Roman" w:cs="Arial" w:ascii="Arial" w:hAnsi="Arial"/>
          <w:color w:val="auto"/>
          <w:kern w:val="0"/>
          <w:sz w:val="20"/>
          <w:szCs w:val="20"/>
          <w:lang w:val="pt-BR" w:eastAsia="pt-BR" w:bidi="ar-SA"/>
        </w:rPr>
        <w:t xml:space="preserve">São Paulo-SP, </w:t>
      </w:r>
      <w:r>
        <w:rPr>
          <w:rFonts w:eastAsia="Times New Roman" w:cs="Arial" w:ascii="Arial" w:hAnsi="Arial"/>
          <w:color w:val="FF0000"/>
          <w:kern w:val="0"/>
          <w:sz w:val="20"/>
          <w:szCs w:val="20"/>
          <w:lang w:val="pt-BR" w:eastAsia="pt-BR" w:bidi="ar-SA"/>
        </w:rPr>
        <w:t>xx</w:t>
      </w:r>
      <w:r>
        <w:rPr>
          <w:rFonts w:eastAsia="Times New Roman" w:cs="Arial" w:ascii="Arial" w:hAnsi="Arial"/>
          <w:color w:val="auto"/>
          <w:kern w:val="0"/>
          <w:sz w:val="20"/>
          <w:szCs w:val="20"/>
          <w:lang w:val="pt-BR" w:eastAsia="pt-BR" w:bidi="ar-SA"/>
        </w:rPr>
        <w:t xml:space="preserve"> de </w:t>
      </w:r>
      <w:r>
        <w:rPr>
          <w:rFonts w:eastAsia="Times New Roman" w:cs="Arial" w:ascii="Arial" w:hAnsi="Arial"/>
          <w:color w:val="auto"/>
          <w:kern w:val="0"/>
          <w:sz w:val="20"/>
          <w:szCs w:val="20"/>
          <w:lang w:val="pt-BR" w:eastAsia="pt-BR" w:bidi="ar-SA"/>
        </w:rPr>
        <w:t>________)</w:t>
      </w:r>
      <w:r>
        <w:rPr>
          <w:rFonts w:eastAsia="Times New Roman" w:cs="Arial" w:ascii="Arial" w:hAnsi="Arial"/>
          <w:color w:val="auto"/>
          <w:kern w:val="0"/>
          <w:sz w:val="20"/>
          <w:szCs w:val="20"/>
          <w:lang w:val="pt-BR" w:eastAsia="pt-BR" w:bidi="ar-SA"/>
        </w:rPr>
        <w:t xml:space="preserve"> de 202</w:t>
      </w:r>
      <w:r>
        <w:rPr>
          <w:rFonts w:eastAsia="Times New Roman" w:cs="Arial" w:ascii="Arial" w:hAnsi="Arial"/>
          <w:color w:val="auto"/>
          <w:kern w:val="0"/>
          <w:sz w:val="20"/>
          <w:szCs w:val="20"/>
          <w:lang w:val="pt-BR" w:eastAsia="pt-BR" w:bidi="ar-SA"/>
        </w:rPr>
        <w:t>_</w:t>
      </w:r>
      <w:r>
        <w:rPr>
          <w:rFonts w:eastAsia="Times New Roman" w:cs="Arial" w:ascii="Arial" w:hAnsi="Arial"/>
          <w:color w:val="auto"/>
          <w:kern w:val="0"/>
          <w:sz w:val="20"/>
          <w:szCs w:val="20"/>
          <w:lang w:val="pt-BR" w:eastAsia="pt-BR" w:bidi="ar-SA"/>
        </w:rPr>
        <w:t>.</w:t>
      </w:r>
    </w:p>
    <w:p>
      <w:pPr>
        <w:pStyle w:val="Normal"/>
        <w:widowControl w:val="false"/>
        <w:spacing w:lineRule="auto" w:line="360"/>
        <w:ind w:hanging="0" w:right="-30"/>
        <w:jc w:val="center"/>
        <w:rPr>
          <w:rFonts w:ascii="Arial" w:hAnsi="Arial" w:eastAsia="Times New Roman" w:cs="Arial"/>
          <w:color w:val="auto"/>
          <w:kern w:val="0"/>
          <w:sz w:val="20"/>
          <w:szCs w:val="20"/>
          <w:lang w:val="pt-BR" w:eastAsia="pt-BR" w:bidi="ar-SA"/>
        </w:rPr>
      </w:pPr>
      <w:r>
        <w:rPr>
          <w:rFonts w:eastAsia="Times New Roman" w:cs="Arial" w:ascii="Arial" w:hAnsi="Arial"/>
          <w:color w:val="auto"/>
          <w:kern w:val="0"/>
          <w:sz w:val="20"/>
          <w:szCs w:val="20"/>
          <w:lang w:val="pt-BR" w:eastAsia="pt-BR" w:bidi="ar-SA"/>
        </w:rPr>
      </w:r>
    </w:p>
    <w:tbl>
      <w:tblPr>
        <w:tblW w:w="10038"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4987"/>
        <w:gridCol w:w="5050"/>
      </w:tblGrid>
      <w:tr>
        <w:trPr>
          <w:trHeight w:val="2438" w:hRule="atLeast"/>
        </w:trPr>
        <w:tc>
          <w:tcPr>
            <w:tcW w:w="4987" w:type="dxa"/>
            <w:tcBorders/>
          </w:tcPr>
          <w:p>
            <w:pPr>
              <w:pStyle w:val="Standard"/>
              <w:widowControl w:val="false"/>
              <w:tabs>
                <w:tab w:val="clear" w:pos="708"/>
                <w:tab w:val="left" w:pos="2100" w:leader="none"/>
              </w:tabs>
              <w:jc w:val="center"/>
              <w:rPr>
                <w:rFonts w:ascii="Arial" w:hAnsi="Arial" w:eastAsia="Arial" w:cs="Arial"/>
                <w:iCs/>
                <w:color w:val="auto"/>
                <w:kern w:val="0"/>
                <w:sz w:val="20"/>
                <w:szCs w:val="20"/>
                <w:lang w:val="pt-BR" w:eastAsia="zh-CN" w:bidi="hi-IN"/>
              </w:rPr>
            </w:pPr>
            <w:r>
              <w:rPr>
                <w:rFonts w:eastAsia="Arial" w:cs="Arial" w:ascii="Arial" w:hAnsi="Arial"/>
                <w:iCs/>
                <w:color w:val="auto"/>
                <w:kern w:val="0"/>
                <w:sz w:val="20"/>
                <w:szCs w:val="20"/>
                <w:lang w:val="pt-BR" w:eastAsia="zh-CN" w:bidi="hi-IN"/>
              </w:rPr>
            </w:r>
          </w:p>
          <w:p>
            <w:pPr>
              <w:pStyle w:val="Standard"/>
              <w:widowControl w:val="false"/>
              <w:tabs>
                <w:tab w:val="clear" w:pos="708"/>
                <w:tab w:val="left" w:pos="2100" w:leader="none"/>
              </w:tabs>
              <w:jc w:val="center"/>
              <w:rPr>
                <w:rFonts w:ascii="Arial" w:hAnsi="Arial" w:eastAsia="Arial" w:cs="Arial"/>
                <w:iCs/>
                <w:color w:val="auto"/>
                <w:kern w:val="0"/>
                <w:sz w:val="20"/>
                <w:szCs w:val="20"/>
                <w:lang w:val="pt-BR" w:eastAsia="zh-CN" w:bidi="hi-IN"/>
              </w:rPr>
            </w:pPr>
            <w:r>
              <w:rPr>
                <w:rFonts w:eastAsia="Arial" w:cs="Arial" w:ascii="Arial" w:hAnsi="Arial"/>
                <w:iCs/>
                <w:color w:val="auto"/>
                <w:kern w:val="0"/>
                <w:sz w:val="20"/>
                <w:szCs w:val="20"/>
                <w:lang w:val="pt-BR" w:eastAsia="zh-CN" w:bidi="hi-IN"/>
              </w:rPr>
            </w:r>
          </w:p>
          <w:p>
            <w:pPr>
              <w:pStyle w:val="Standard"/>
              <w:widowControl w:val="false"/>
              <w:tabs>
                <w:tab w:val="clear" w:pos="708"/>
                <w:tab w:val="left" w:pos="2100" w:leader="none"/>
              </w:tabs>
              <w:jc w:val="center"/>
              <w:rPr>
                <w:rFonts w:ascii="Arial" w:hAnsi="Arial" w:eastAsia="Arial" w:cs="Arial"/>
                <w:iCs/>
                <w:color w:val="auto"/>
                <w:kern w:val="0"/>
                <w:sz w:val="20"/>
                <w:szCs w:val="20"/>
                <w:lang w:val="pt-BR" w:eastAsia="zh-CN" w:bidi="hi-IN"/>
              </w:rPr>
            </w:pPr>
            <w:r>
              <w:rPr>
                <w:rFonts w:eastAsia="Arial" w:cs="Arial" w:ascii="Arial" w:hAnsi="Arial"/>
                <w:iCs/>
                <w:color w:val="auto"/>
                <w:kern w:val="0"/>
                <w:sz w:val="20"/>
                <w:szCs w:val="20"/>
                <w:lang w:val="pt-BR" w:eastAsia="zh-CN" w:bidi="hi-IN"/>
              </w:rPr>
            </w:r>
          </w:p>
          <w:p>
            <w:pPr>
              <w:pStyle w:val="Normal"/>
              <w:widowControl w:val="false"/>
              <w:spacing w:lineRule="auto" w:line="240"/>
              <w:ind w:hanging="0" w:right="-30"/>
              <w:jc w:val="center"/>
              <w:rPr>
                <w:b/>
                <w:bCs/>
                <w:i/>
                <w:i/>
              </w:rPr>
            </w:pPr>
            <w:r>
              <w:rPr>
                <w:b/>
                <w:bCs/>
                <w:i/>
              </w:rPr>
            </w:r>
          </w:p>
          <w:p>
            <w:pPr>
              <w:pStyle w:val="Normal"/>
              <w:widowControl/>
              <w:suppressAutoHyphens w:val="true"/>
              <w:bidi w:val="0"/>
              <w:spacing w:lineRule="auto" w:line="276" w:before="120" w:after="120"/>
              <w:ind w:hanging="0" w:left="0" w:right="0"/>
              <w:jc w:val="center"/>
              <w:rPr>
                <w:rFonts w:ascii="Arial" w:hAnsi="Arial" w:eastAsia="Arial" w:cs="Arial"/>
                <w:b/>
                <w:bCs/>
                <w:i/>
                <w:i/>
                <w:iCs/>
                <w:color w:val="auto"/>
                <w:kern w:val="0"/>
                <w:sz w:val="20"/>
                <w:szCs w:val="20"/>
                <w:lang w:val="pt-BR" w:eastAsia="zh-CN" w:bidi="hi-IN"/>
              </w:rPr>
            </w:pPr>
            <w:r>
              <w:rPr>
                <w:rFonts w:eastAsia="Arial" w:cs="Arial" w:ascii="Arial" w:hAnsi="Arial"/>
                <w:b/>
                <w:bCs/>
                <w:i/>
                <w:iCs/>
                <w:color w:val="auto"/>
                <w:kern w:val="0"/>
                <w:sz w:val="20"/>
                <w:szCs w:val="20"/>
                <w:lang w:val="pt-BR" w:eastAsia="zh-CN" w:bidi="hi-IN"/>
              </w:rPr>
            </w:r>
          </w:p>
          <w:p>
            <w:pPr>
              <w:pStyle w:val="Normal"/>
              <w:widowControl/>
              <w:suppressAutoHyphens w:val="true"/>
              <w:bidi w:val="0"/>
              <w:spacing w:lineRule="auto" w:line="240" w:before="0" w:after="0"/>
              <w:ind w:hanging="0" w:left="0" w:right="0"/>
              <w:jc w:val="center"/>
              <w:rPr>
                <w:color w:val="FF0000"/>
              </w:rPr>
            </w:pPr>
            <w:r>
              <w:rPr>
                <w:rFonts w:eastAsia="Arial" w:cs="Arial" w:ascii="Arial" w:hAnsi="Arial"/>
                <w:b/>
                <w:bCs/>
                <w:color w:val="FF0000"/>
                <w:kern w:val="2"/>
                <w:sz w:val="20"/>
                <w:szCs w:val="20"/>
                <w:lang w:val="pt-BR" w:eastAsia="zh-CN" w:bidi="hi-IN"/>
              </w:rPr>
              <w:t>xxxxxxxxxxxxxx(nome representante)</w:t>
            </w:r>
          </w:p>
          <w:p>
            <w:pPr>
              <w:pStyle w:val="Normal"/>
              <w:widowControl/>
              <w:suppressAutoHyphens w:val="true"/>
              <w:bidi w:val="0"/>
              <w:spacing w:lineRule="auto" w:line="240" w:before="0" w:after="0"/>
              <w:ind w:hanging="0" w:left="0" w:right="0"/>
              <w:jc w:val="center"/>
              <w:rPr>
                <w:rFonts w:ascii="Arial" w:hAnsi="Arial" w:eastAsia="Arial" w:cs="Arial"/>
                <w:kern w:val="2"/>
                <w:sz w:val="20"/>
                <w:szCs w:val="20"/>
                <w:lang w:val="pt-BR" w:eastAsia="zh-CN" w:bidi="hi-IN"/>
              </w:rPr>
            </w:pPr>
            <w:r>
              <w:rPr>
                <w:rFonts w:eastAsia="Arial" w:cs="Arial" w:ascii="Arial" w:hAnsi="Arial"/>
                <w:kern w:val="2"/>
                <w:sz w:val="20"/>
                <w:szCs w:val="20"/>
                <w:lang w:val="pt-BR" w:eastAsia="zh-CN" w:bidi="hi-IN"/>
              </w:rPr>
              <w:t xml:space="preserve">cpf: </w:t>
            </w:r>
            <w:r>
              <w:rPr>
                <w:rFonts w:eastAsia="Arial" w:cs="Arial" w:ascii="Arial" w:hAnsi="Arial"/>
                <w:color w:val="FF0000"/>
                <w:kern w:val="2"/>
                <w:sz w:val="20"/>
                <w:szCs w:val="20"/>
                <w:lang w:val="pt-BR" w:eastAsia="zh-CN" w:bidi="hi-IN"/>
              </w:rPr>
              <w:t>xxxxxxxxxxx</w:t>
            </w:r>
          </w:p>
          <w:p>
            <w:pPr>
              <w:pStyle w:val="Normal"/>
              <w:widowControl/>
              <w:suppressAutoHyphens w:val="true"/>
              <w:bidi w:val="0"/>
              <w:spacing w:lineRule="auto" w:line="240" w:before="0" w:after="0"/>
              <w:ind w:hanging="0" w:left="0" w:right="0"/>
              <w:jc w:val="center"/>
              <w:rPr>
                <w:color w:val="FF0000"/>
              </w:rPr>
            </w:pPr>
            <w:r>
              <w:rPr>
                <w:rFonts w:eastAsia="Arial" w:cs="Arial" w:ascii="Calibri" w:hAnsi="Calibri"/>
                <w:b/>
                <w:bCs/>
                <w:i w:val="false"/>
                <w:iCs/>
                <w:color w:val="FF0000"/>
                <w:kern w:val="0"/>
                <w:sz w:val="24"/>
                <w:szCs w:val="20"/>
                <w:lang w:val="pt-BR" w:eastAsia="zh-CN" w:bidi="hi-IN"/>
              </w:rPr>
              <w:t>xxxxxxxxxxxxxxxxxx(empresa)</w:t>
            </w:r>
          </w:p>
          <w:p>
            <w:pPr>
              <w:pStyle w:val="Normal"/>
              <w:widowControl w:val="false"/>
              <w:spacing w:lineRule="auto" w:line="240" w:before="0" w:after="0"/>
              <w:ind w:hanging="0" w:right="-30"/>
              <w:jc w:val="center"/>
              <w:rPr/>
            </w:pPr>
            <w:r>
              <w:rPr>
                <w:rFonts w:eastAsia="Arial" w:cs="Arial" w:ascii="Arial" w:hAnsi="Arial"/>
                <w:b w:val="false"/>
                <w:bCs w:val="false"/>
                <w:i w:val="false"/>
                <w:iCs/>
                <w:color w:val="auto"/>
                <w:kern w:val="0"/>
                <w:sz w:val="20"/>
                <w:szCs w:val="20"/>
                <w:lang w:val="pt-BR" w:eastAsia="zh-CN" w:bidi="hi-IN"/>
              </w:rPr>
              <w:t xml:space="preserve">cnpj: </w:t>
            </w:r>
            <w:r>
              <w:rPr>
                <w:rFonts w:eastAsia="Arial" w:cs="Arial" w:ascii="Arial" w:hAnsi="Arial"/>
                <w:b w:val="false"/>
                <w:bCs w:val="false"/>
                <w:i w:val="false"/>
                <w:iCs/>
                <w:color w:val="FF0000"/>
                <w:kern w:val="0"/>
                <w:sz w:val="20"/>
                <w:szCs w:val="20"/>
                <w:lang w:val="pt-BR" w:eastAsia="zh-CN" w:bidi="hi-IN"/>
              </w:rPr>
              <w:t>xxxxxxxx</w:t>
            </w:r>
          </w:p>
        </w:tc>
        <w:tc>
          <w:tcPr>
            <w:tcW w:w="5050" w:type="dxa"/>
            <w:tcBorders/>
          </w:tcPr>
          <w:p>
            <w:pPr>
              <w:pStyle w:val="Standard"/>
              <w:widowControl w:val="false"/>
              <w:jc w:val="center"/>
              <w:rPr>
                <w:rFonts w:ascii="Arial" w:hAnsi="Arial" w:eastAsia="Arial" w:cs="Arial"/>
                <w:b/>
                <w:sz w:val="20"/>
                <w:szCs w:val="20"/>
              </w:rPr>
            </w:pPr>
            <w:r>
              <w:rPr>
                <w:rFonts w:eastAsia="Arial" w:cs="Arial" w:ascii="Arial" w:hAnsi="Arial"/>
                <w:b/>
                <w:sz w:val="20"/>
                <w:szCs w:val="20"/>
              </w:rPr>
            </w:r>
          </w:p>
          <w:p>
            <w:pPr>
              <w:pStyle w:val="Standard"/>
              <w:widowControl w:val="false"/>
              <w:jc w:val="center"/>
              <w:rPr>
                <w:rFonts w:ascii="Arial" w:hAnsi="Arial" w:eastAsia="Arial" w:cs="Arial"/>
                <w:b/>
                <w:sz w:val="20"/>
                <w:szCs w:val="20"/>
              </w:rPr>
            </w:pPr>
            <w:r>
              <w:rPr>
                <w:rFonts w:eastAsia="Arial" w:cs="Arial" w:ascii="Arial" w:hAnsi="Arial"/>
                <w:b/>
                <w:sz w:val="20"/>
                <w:szCs w:val="20"/>
              </w:rPr>
            </w:r>
          </w:p>
          <w:p>
            <w:pPr>
              <w:pStyle w:val="Standard"/>
              <w:widowControl w:val="false"/>
              <w:jc w:val="center"/>
              <w:rPr>
                <w:rFonts w:ascii="Arial" w:hAnsi="Arial" w:eastAsia="Arial" w:cs="Arial"/>
                <w:b/>
                <w:sz w:val="20"/>
                <w:szCs w:val="20"/>
              </w:rPr>
            </w:pPr>
            <w:r>
              <w:rPr>
                <w:rFonts w:eastAsia="Arial" w:cs="Arial" w:ascii="Arial" w:hAnsi="Arial"/>
                <w:b/>
                <w:sz w:val="20"/>
                <w:szCs w:val="20"/>
              </w:rPr>
            </w:r>
          </w:p>
          <w:p>
            <w:pPr>
              <w:pStyle w:val="Standard"/>
              <w:widowControl w:val="false"/>
              <w:jc w:val="center"/>
              <w:rPr>
                <w:rFonts w:ascii="Arial" w:hAnsi="Arial" w:eastAsia="Arial" w:cs="Arial"/>
                <w:b/>
                <w:sz w:val="20"/>
                <w:szCs w:val="20"/>
              </w:rPr>
            </w:pPr>
            <w:r>
              <w:rPr>
                <w:rFonts w:eastAsia="Arial" w:cs="Arial" w:ascii="Arial" w:hAnsi="Arial"/>
                <w:b/>
                <w:sz w:val="20"/>
                <w:szCs w:val="20"/>
              </w:rPr>
            </w:r>
          </w:p>
          <w:p>
            <w:pPr>
              <w:pStyle w:val="Standard"/>
              <w:widowControl w:val="false"/>
              <w:jc w:val="center"/>
              <w:rPr>
                <w:rFonts w:ascii="Arial" w:hAnsi="Arial"/>
                <w:b/>
                <w:bCs/>
                <w:sz w:val="18"/>
                <w:szCs w:val="18"/>
              </w:rPr>
            </w:pPr>
            <w:r>
              <w:rPr>
                <w:rFonts w:ascii="Arial" w:hAnsi="Arial"/>
                <w:b/>
                <w:bCs/>
                <w:sz w:val="18"/>
                <w:szCs w:val="18"/>
              </w:rPr>
            </w:r>
          </w:p>
          <w:p>
            <w:pPr>
              <w:pStyle w:val="Standard"/>
              <w:widowControl w:val="false"/>
              <w:jc w:val="center"/>
              <w:rPr>
                <w:rFonts w:ascii="Arial" w:hAnsi="Arial"/>
                <w:b/>
                <w:bCs/>
                <w:sz w:val="18"/>
                <w:szCs w:val="18"/>
              </w:rPr>
            </w:pPr>
            <w:r>
              <w:rPr>
                <w:rFonts w:ascii="Arial" w:hAnsi="Arial"/>
                <w:b/>
                <w:bCs/>
                <w:sz w:val="18"/>
                <w:szCs w:val="18"/>
              </w:rPr>
            </w:r>
          </w:p>
          <w:p>
            <w:pPr>
              <w:pStyle w:val="Standard"/>
              <w:widowControl w:val="false"/>
              <w:jc w:val="center"/>
              <w:rPr>
                <w:i w:val="false"/>
                <w:i w:val="false"/>
                <w:iCs w:val="false"/>
              </w:rPr>
            </w:pPr>
            <w:r>
              <w:rPr>
                <w:rFonts w:eastAsia="Arial" w:cs="Arial" w:ascii="Arial" w:hAnsi="Arial"/>
                <w:b/>
                <w:bCs/>
                <w:i w:val="false"/>
                <w:iCs w:val="false"/>
                <w:color w:val="111111"/>
                <w:kern w:val="0"/>
                <w:sz w:val="20"/>
                <w:szCs w:val="20"/>
                <w:lang w:val="pt-BR" w:eastAsia="pt-BR" w:bidi="ar-SA"/>
              </w:rPr>
              <w:t>FREDERICO VIEIRA CABRAL MENDES</w:t>
            </w:r>
            <w:r>
              <w:rPr>
                <w:rFonts w:eastAsia="Arial" w:cs="Arial" w:ascii="Arial" w:hAnsi="Arial"/>
                <w:b/>
                <w:bCs/>
                <w:i w:val="false"/>
                <w:iCs w:val="false"/>
                <w:sz w:val="18"/>
                <w:szCs w:val="18"/>
              </w:rPr>
              <w:t xml:space="preserve"> – Cel</w:t>
            </w:r>
          </w:p>
          <w:p>
            <w:pPr>
              <w:pStyle w:val="Standard"/>
              <w:widowControl w:val="false"/>
              <w:tabs>
                <w:tab w:val="clear" w:pos="708"/>
                <w:tab w:val="left" w:pos="2100" w:leader="none"/>
              </w:tabs>
              <w:jc w:val="center"/>
              <w:rPr>
                <w:rFonts w:ascii="Arial" w:hAnsi="Arial"/>
              </w:rPr>
            </w:pPr>
            <w:r>
              <w:rPr>
                <w:rFonts w:eastAsia="Arial" w:cs="Arial" w:ascii="Arial" w:hAnsi="Arial"/>
                <w:iCs/>
                <w:sz w:val="20"/>
                <w:szCs w:val="20"/>
              </w:rPr>
              <w:t>Ordenador de Despesas do CPOR</w:t>
            </w:r>
          </w:p>
        </w:tc>
      </w:tr>
    </w:tbl>
    <w:p>
      <w:pPr>
        <w:pStyle w:val="Normal"/>
        <w:spacing w:lineRule="auto" w:line="312" w:before="120" w:after="288"/>
        <w:ind w:hanging="0"/>
        <w:jc w:val="center"/>
        <w:rPr>
          <w:color w:val="auto"/>
        </w:rPr>
      </w:pPr>
      <w:r>
        <w:rPr>
          <w:color w:val="auto"/>
        </w:rPr>
      </w:r>
    </w:p>
    <w:p>
      <w:pPr>
        <w:pStyle w:val="Normal"/>
        <w:spacing w:lineRule="auto" w:line="312" w:before="120" w:after="288"/>
        <w:ind w:hanging="0"/>
        <w:jc w:val="center"/>
        <w:rPr>
          <w:i w:val="false"/>
          <w:i w:val="false"/>
          <w:iCs w:val="false"/>
        </w:rPr>
      </w:pPr>
      <w:r>
        <w:rPr>
          <w:rFonts w:cs="Arial" w:ascii="Arial" w:hAnsi="Arial"/>
          <w:i w:val="false"/>
          <w:iCs w:val="false"/>
          <w:color w:val="auto"/>
          <w:sz w:val="20"/>
          <w:szCs w:val="20"/>
        </w:rPr>
        <w:t>TESTEMUNHAS</w:t>
      </w:r>
    </w:p>
    <w:tbl>
      <w:tblPr>
        <w:tblW w:w="9849"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4630"/>
        <w:gridCol w:w="5218"/>
      </w:tblGrid>
      <w:tr>
        <w:trPr/>
        <w:tc>
          <w:tcPr>
            <w:tcW w:w="4630" w:type="dxa"/>
            <w:tcBorders/>
          </w:tcPr>
          <w:p>
            <w:pPr>
              <w:pStyle w:val="Standard"/>
              <w:widowControl w:val="false"/>
              <w:tabs>
                <w:tab w:val="clear" w:pos="708"/>
                <w:tab w:val="left" w:pos="2100" w:leader="none"/>
              </w:tabs>
              <w:jc w:val="center"/>
              <w:rPr>
                <w:rFonts w:ascii="Arial" w:hAnsi="Arial" w:eastAsia="Arial" w:cs="Arial"/>
                <w:iCs/>
                <w:color w:val="auto"/>
                <w:kern w:val="0"/>
                <w:sz w:val="20"/>
                <w:szCs w:val="20"/>
                <w:lang w:val="pt-BR" w:eastAsia="zh-CN" w:bidi="hi-IN"/>
              </w:rPr>
            </w:pPr>
            <w:r>
              <w:rPr>
                <w:rFonts w:eastAsia="Arial" w:cs="Arial" w:ascii="Arial" w:hAnsi="Arial"/>
                <w:iCs/>
                <w:color w:val="auto"/>
                <w:kern w:val="0"/>
                <w:sz w:val="20"/>
                <w:szCs w:val="20"/>
                <w:lang w:val="pt-BR" w:eastAsia="zh-CN" w:bidi="hi-IN"/>
              </w:rPr>
            </w:r>
          </w:p>
          <w:p>
            <w:pPr>
              <w:pStyle w:val="Standard"/>
              <w:widowControl w:val="false"/>
              <w:tabs>
                <w:tab w:val="clear" w:pos="708"/>
                <w:tab w:val="left" w:pos="2100" w:leader="none"/>
              </w:tabs>
              <w:jc w:val="center"/>
              <w:rPr>
                <w:rFonts w:ascii="Arial" w:hAnsi="Arial" w:eastAsia="Arial" w:cs="Arial"/>
                <w:iCs/>
                <w:color w:val="auto"/>
                <w:kern w:val="0"/>
                <w:sz w:val="20"/>
                <w:szCs w:val="20"/>
                <w:lang w:val="pt-BR" w:eastAsia="zh-CN" w:bidi="hi-IN"/>
              </w:rPr>
            </w:pPr>
            <w:r>
              <w:rPr>
                <w:rFonts w:eastAsia="Arial" w:cs="Arial" w:ascii="Arial" w:hAnsi="Arial"/>
                <w:iCs/>
                <w:color w:val="auto"/>
                <w:kern w:val="0"/>
                <w:sz w:val="20"/>
                <w:szCs w:val="20"/>
                <w:lang w:val="pt-BR" w:eastAsia="zh-CN" w:bidi="hi-IN"/>
              </w:rPr>
            </w:r>
          </w:p>
          <w:p>
            <w:pPr>
              <w:pStyle w:val="Standard"/>
              <w:widowControl w:val="false"/>
              <w:tabs>
                <w:tab w:val="clear" w:pos="708"/>
                <w:tab w:val="left" w:pos="2100" w:leader="none"/>
              </w:tabs>
              <w:jc w:val="center"/>
              <w:rPr>
                <w:rFonts w:ascii="Arial" w:hAnsi="Arial" w:eastAsia="Arial" w:cs="Arial"/>
                <w:iCs/>
                <w:color w:val="auto"/>
                <w:kern w:val="0"/>
                <w:sz w:val="20"/>
                <w:szCs w:val="20"/>
                <w:lang w:val="pt-BR" w:eastAsia="zh-CN" w:bidi="hi-IN"/>
              </w:rPr>
            </w:pPr>
            <w:r>
              <w:rPr>
                <w:rFonts w:eastAsia="Arial" w:cs="Arial" w:ascii="Arial" w:hAnsi="Arial"/>
                <w:iCs/>
                <w:color w:val="auto"/>
                <w:kern w:val="0"/>
                <w:sz w:val="20"/>
                <w:szCs w:val="20"/>
                <w:lang w:val="pt-BR" w:eastAsia="zh-CN" w:bidi="hi-IN"/>
              </w:rPr>
            </w:r>
          </w:p>
          <w:p>
            <w:pPr>
              <w:pStyle w:val="Normal"/>
              <w:widowControl w:val="false"/>
              <w:spacing w:lineRule="auto" w:line="240"/>
              <w:ind w:hanging="0" w:right="-30"/>
              <w:jc w:val="center"/>
              <w:rPr>
                <w:b/>
                <w:bCs/>
                <w:i/>
                <w:i/>
              </w:rPr>
            </w:pPr>
            <w:r>
              <w:rPr>
                <w:b/>
                <w:bCs/>
                <w:i/>
              </w:rPr>
            </w:r>
          </w:p>
          <w:p>
            <w:pPr>
              <w:pStyle w:val="Normal"/>
              <w:widowControl w:val="false"/>
              <w:spacing w:lineRule="auto" w:line="240"/>
              <w:ind w:hanging="0" w:right="-30"/>
              <w:jc w:val="center"/>
              <w:rPr>
                <w:b/>
                <w:bCs/>
                <w:i/>
                <w:i/>
              </w:rPr>
            </w:pPr>
            <w:r>
              <w:rPr>
                <w:b/>
                <w:bCs/>
                <w:i/>
              </w:rPr>
            </w:r>
          </w:p>
          <w:p>
            <w:pPr>
              <w:pStyle w:val="Normal"/>
              <w:widowControl w:val="false"/>
              <w:spacing w:lineRule="auto" w:line="240"/>
              <w:ind w:hanging="0" w:right="-30"/>
              <w:jc w:val="center"/>
              <w:rPr>
                <w:color w:val="FF0000"/>
              </w:rPr>
            </w:pPr>
            <w:r>
              <w:rPr>
                <w:rFonts w:eastAsia="Arial" w:cs="Arial" w:ascii="Arial" w:hAnsi="Arial"/>
                <w:b/>
                <w:bCs/>
                <w:i w:val="false"/>
                <w:iCs w:val="false"/>
                <w:color w:val="FF0000"/>
                <w:kern w:val="2"/>
                <w:sz w:val="18"/>
                <w:szCs w:val="18"/>
                <w:lang w:val="pt-BR" w:eastAsia="zh-CN" w:bidi="hi-IN"/>
              </w:rPr>
              <w:t>XXXXXXXXXXXXX – P/G</w:t>
            </w:r>
          </w:p>
          <w:p>
            <w:pPr>
              <w:pStyle w:val="Normal"/>
              <w:widowControl w:val="false"/>
              <w:spacing w:lineRule="auto" w:line="240"/>
              <w:ind w:hanging="0" w:right="-30"/>
              <w:jc w:val="center"/>
              <w:rPr>
                <w:rFonts w:ascii="Arial" w:hAnsi="Arial" w:eastAsia="Arial" w:cs="Arial"/>
                <w:iCs/>
                <w:lang w:eastAsia="zh-CN" w:bidi="hi-IN"/>
              </w:rPr>
            </w:pPr>
            <w:r>
              <w:rPr>
                <w:rFonts w:eastAsia="Arial" w:cs="Arial" w:ascii="Arial" w:hAnsi="Arial"/>
                <w:b w:val="false"/>
                <w:bCs w:val="false"/>
                <w:i w:val="false"/>
                <w:iCs/>
                <w:color w:val="auto"/>
                <w:kern w:val="0"/>
                <w:sz w:val="20"/>
                <w:szCs w:val="20"/>
                <w:lang w:val="pt-BR" w:eastAsia="zh-CN" w:bidi="hi-IN"/>
              </w:rPr>
              <w:t>Fiscal de Contrato</w:t>
            </w:r>
          </w:p>
        </w:tc>
        <w:tc>
          <w:tcPr>
            <w:tcW w:w="5218" w:type="dxa"/>
            <w:tcBorders/>
          </w:tcPr>
          <w:p>
            <w:pPr>
              <w:pStyle w:val="Standard"/>
              <w:widowControl w:val="false"/>
              <w:jc w:val="center"/>
              <w:rPr>
                <w:rFonts w:ascii="Arial" w:hAnsi="Arial" w:eastAsia="Arial" w:cs="Arial"/>
                <w:b/>
                <w:sz w:val="20"/>
                <w:szCs w:val="20"/>
              </w:rPr>
            </w:pPr>
            <w:r>
              <w:rPr>
                <w:rFonts w:eastAsia="Arial" w:cs="Arial" w:ascii="Arial" w:hAnsi="Arial"/>
                <w:b/>
                <w:sz w:val="20"/>
                <w:szCs w:val="20"/>
              </w:rPr>
            </w:r>
          </w:p>
          <w:p>
            <w:pPr>
              <w:pStyle w:val="Standard"/>
              <w:widowControl w:val="false"/>
              <w:jc w:val="center"/>
              <w:rPr>
                <w:rFonts w:ascii="Arial" w:hAnsi="Arial" w:eastAsia="Arial" w:cs="Arial"/>
                <w:b/>
                <w:sz w:val="20"/>
                <w:szCs w:val="20"/>
              </w:rPr>
            </w:pPr>
            <w:r>
              <w:rPr>
                <w:rFonts w:eastAsia="Arial" w:cs="Arial" w:ascii="Arial" w:hAnsi="Arial"/>
                <w:b/>
                <w:sz w:val="20"/>
                <w:szCs w:val="20"/>
              </w:rPr>
            </w:r>
          </w:p>
          <w:p>
            <w:pPr>
              <w:pStyle w:val="Standard"/>
              <w:widowControl w:val="false"/>
              <w:jc w:val="center"/>
              <w:rPr>
                <w:rFonts w:ascii="Arial" w:hAnsi="Arial" w:eastAsia="Arial" w:cs="Arial"/>
                <w:b/>
                <w:sz w:val="20"/>
                <w:szCs w:val="20"/>
              </w:rPr>
            </w:pPr>
            <w:r>
              <w:rPr>
                <w:rFonts w:eastAsia="Arial" w:cs="Arial" w:ascii="Arial" w:hAnsi="Arial"/>
                <w:b/>
                <w:sz w:val="20"/>
                <w:szCs w:val="20"/>
              </w:rPr>
            </w:r>
          </w:p>
          <w:p>
            <w:pPr>
              <w:pStyle w:val="Standard"/>
              <w:widowControl w:val="false"/>
              <w:jc w:val="center"/>
              <w:rPr>
                <w:rFonts w:ascii="Arial" w:hAnsi="Arial" w:eastAsia="Arial" w:cs="Arial"/>
                <w:b/>
                <w:sz w:val="20"/>
                <w:szCs w:val="20"/>
              </w:rPr>
            </w:pPr>
            <w:r>
              <w:rPr>
                <w:rFonts w:eastAsia="Arial" w:cs="Arial" w:ascii="Arial" w:hAnsi="Arial"/>
                <w:b/>
                <w:sz w:val="20"/>
                <w:szCs w:val="20"/>
              </w:rPr>
            </w:r>
          </w:p>
          <w:p>
            <w:pPr>
              <w:pStyle w:val="Standard"/>
              <w:widowControl w:val="false"/>
              <w:jc w:val="center"/>
              <w:rPr>
                <w:rFonts w:ascii="Arial" w:hAnsi="Arial"/>
                <w:b/>
                <w:bCs/>
                <w:sz w:val="18"/>
                <w:szCs w:val="18"/>
              </w:rPr>
            </w:pPr>
            <w:r>
              <w:rPr>
                <w:rFonts w:ascii="Arial" w:hAnsi="Arial"/>
                <w:b/>
                <w:bCs/>
                <w:sz w:val="18"/>
                <w:szCs w:val="18"/>
              </w:rPr>
            </w:r>
          </w:p>
          <w:p>
            <w:pPr>
              <w:pStyle w:val="Standard"/>
              <w:widowControl w:val="false"/>
              <w:jc w:val="center"/>
              <w:rPr>
                <w:rFonts w:ascii="Arial" w:hAnsi="Arial"/>
                <w:b/>
                <w:bCs/>
                <w:sz w:val="18"/>
                <w:szCs w:val="18"/>
              </w:rPr>
            </w:pPr>
            <w:r>
              <w:rPr>
                <w:rFonts w:ascii="Arial" w:hAnsi="Arial"/>
                <w:b/>
                <w:bCs/>
                <w:sz w:val="18"/>
                <w:szCs w:val="18"/>
              </w:rPr>
            </w:r>
          </w:p>
          <w:p>
            <w:pPr>
              <w:pStyle w:val="Standard"/>
              <w:widowControl w:val="false"/>
              <w:jc w:val="center"/>
              <w:rPr>
                <w:color w:val="FF0000"/>
              </w:rPr>
            </w:pPr>
            <w:r>
              <w:rPr>
                <w:rFonts w:eastAsia="Arial" w:cs="Arial" w:ascii="Arial" w:hAnsi="Arial"/>
                <w:b/>
                <w:bCs/>
                <w:color w:val="FF0000"/>
                <w:kern w:val="2"/>
                <w:sz w:val="18"/>
                <w:szCs w:val="18"/>
                <w:lang w:val="pt-BR" w:eastAsia="zh-CN" w:bidi="hi-IN"/>
              </w:rPr>
              <w:t>XXXXXXXXXXX</w:t>
            </w:r>
            <w:r>
              <w:rPr>
                <w:rFonts w:eastAsia="Arial" w:cs="Arial" w:ascii="Arial" w:hAnsi="Arial"/>
                <w:b/>
                <w:bCs/>
                <w:color w:val="FF0000"/>
                <w:sz w:val="18"/>
                <w:szCs w:val="18"/>
              </w:rPr>
              <w:t xml:space="preserve"> – </w:t>
            </w:r>
            <w:r>
              <w:rPr>
                <w:rFonts w:eastAsia="Arial" w:cs="Arial" w:ascii="Arial" w:hAnsi="Arial"/>
                <w:b/>
                <w:bCs/>
                <w:i w:val="false"/>
                <w:iCs w:val="false"/>
                <w:color w:val="FF0000"/>
                <w:kern w:val="2"/>
                <w:sz w:val="18"/>
                <w:szCs w:val="18"/>
                <w:lang w:val="pt-BR" w:eastAsia="zh-CN" w:bidi="hi-IN"/>
              </w:rPr>
              <w:t>P/G</w:t>
            </w:r>
          </w:p>
          <w:p>
            <w:pPr>
              <w:pStyle w:val="Normal"/>
              <w:widowControl w:val="false"/>
              <w:tabs>
                <w:tab w:val="clear" w:pos="708"/>
                <w:tab w:val="left" w:pos="2100" w:leader="none"/>
              </w:tabs>
              <w:spacing w:lineRule="auto" w:line="240"/>
              <w:ind w:hanging="0" w:right="-30"/>
              <w:jc w:val="center"/>
              <w:rPr>
                <w:rFonts w:ascii="Arial" w:hAnsi="Arial"/>
              </w:rPr>
            </w:pPr>
            <w:r>
              <w:rPr>
                <w:rFonts w:eastAsia="Arial" w:cs="Arial" w:ascii="Arial" w:hAnsi="Arial"/>
                <w:b w:val="false"/>
                <w:bCs w:val="false"/>
                <w:i w:val="false"/>
                <w:iCs/>
                <w:color w:val="auto"/>
                <w:kern w:val="0"/>
                <w:sz w:val="20"/>
                <w:szCs w:val="20"/>
                <w:lang w:val="pt-BR" w:eastAsia="zh-CN" w:bidi="hi-IN"/>
              </w:rPr>
              <w:t>Fiscal de Contrato Substituto</w:t>
            </w:r>
          </w:p>
        </w:tc>
      </w:tr>
    </w:tbl>
    <w:p>
      <w:pPr>
        <w:pStyle w:val="Normal"/>
        <w:rPr/>
      </w:pPr>
      <w:r>
        <w:rPr/>
      </w:r>
    </w:p>
    <w:sectPr>
      <w:headerReference w:type="default" r:id="rId12"/>
      <w:footerReference w:type="default" r:id="rId13"/>
      <w:type w:val="nextPage"/>
      <w:pgSz w:w="11906" w:h="16838"/>
      <w:pgMar w:left="1134" w:right="1134" w:gutter="0" w:header="709" w:top="1418" w:footer="709" w:bottom="1418"/>
      <w:pgNumType w:fmt="decimal"/>
      <w:formProt w:val="false"/>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Autor" w:date="0-00-00T00:00:00Z" w:initials="A">
    <w:p>
      <w:pPr>
        <w:overflowPunct w:val="true"/>
        <w:rPr/>
      </w:pPr>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rFonts w:ascii="Liberation Serif" w:hAnsi="Liberation Serif" w:eastAsia="DejaVu Sans" w:cs="DejaVu Sans"/>
          <w:b/>
          <w:bCs/>
          <w:i/>
          <w:iCs/>
          <w:color w:val="000000"/>
          <w:lang w:val="en-US" w:eastAsia="en-US" w:bidi="en-US"/>
        </w:rPr>
        <w:t>não constem os números de documentos pessoais das pessoas naturais que irão assiná-los, como ocorre normalmente com os representantes da Administração e da empresa contratada</w:t>
      </w:r>
      <w:r>
        <w:rPr>
          <w:rFonts w:ascii="Liberation Serif" w:hAnsi="Liberation Serif" w:eastAsia="DejaVu Sans" w:cs="DejaVu Sans"/>
          <w:i/>
          <w:iCs/>
          <w:color w:val="000000"/>
          <w:lang w:val="en-US" w:eastAsia="en-US" w:bidi="en-US"/>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w:t>
      </w:r>
      <w:r>
        <w:fldChar w:fldCharType="begin"/>
      </w:r>
      <w:r>
        <w:instrText xml:space="preserve"> HYPERLINK "https://www.planalto.gov.br/ccivil_03/leis/l8666cons.htm" \l "art61"</w:instrText>
      </w:r>
      <w:r>
        <w:fldChar w:fldCharType="separate"/>
      </w:r>
      <w:r>
        <w:rPr>
          <w:rFonts w:ascii="Liberation Serif" w:hAnsi="Liberation Serif" w:eastAsia="DejaVu Sans" w:cs="DejaVu Sans"/>
          <w:i/>
          <w:iCs/>
          <w:color w:val="000000"/>
          <w:lang w:val="en-US" w:eastAsia="en-US" w:bidi="en-US"/>
        </w:rPr>
        <w:t>art. 61 da Lei nº 8.666, de 1993</w:t>
      </w:r>
      <w:r>
        <w:fldChar w:fldCharType="end"/>
      </w:r>
      <w:r>
        <w:rPr>
          <w:rFonts w:ascii="Liberation Serif" w:hAnsi="Liberation Serif" w:eastAsia="DejaVu Sans" w:cs="DejaVu Sans"/>
          <w:i/>
          <w:iCs/>
          <w:color w:val="000000"/>
          <w:lang w:val="en-US" w:eastAsia="en-US" w:bidi="en-US"/>
        </w:rPr>
        <w:t xml:space="preserve">, e o </w:t>
      </w:r>
      <w:r>
        <w:fldChar w:fldCharType="begin"/>
      </w:r>
      <w:r>
        <w:instrText xml:space="preserve"> HYPERLINK "http://www.planalto.gov.br/ccivil_03/_ato2019-2022/2021/lei/L14133.htm" \l "art89§1"</w:instrText>
      </w:r>
      <w:r>
        <w:fldChar w:fldCharType="separate"/>
      </w:r>
      <w:r>
        <w:rPr>
          <w:rFonts w:ascii="Liberation Serif" w:hAnsi="Liberation Serif" w:eastAsia="DejaVu Sans" w:cs="DejaVu Sans"/>
          <w:i/>
          <w:iCs/>
          <w:color w:val="000000"/>
          <w:lang w:val="en-US" w:eastAsia="en-US" w:bidi="en-US"/>
        </w:rPr>
        <w:t>§1º do art. 89 da Lei nº 14.133, de 1º de abril de 2021</w:t>
      </w:r>
      <w:r>
        <w:fldChar w:fldCharType="end"/>
      </w:r>
      <w:r>
        <w:rPr>
          <w:rFonts w:ascii="Liberation Serif" w:hAnsi="Liberation Serif" w:eastAsia="DejaVu Sans" w:cs="DejaVu Sans"/>
          <w:i/>
          <w:iCs/>
          <w:color w:val="000000"/>
          <w:lang w:val="en-US" w:eastAsia="en-US" w:bidi="en-US"/>
        </w:rPr>
        <w:t>, exigem apenas esse dado”.</w:t>
      </w:r>
    </w:p>
  </w:comment>
  <w:comment w:id="1" w:author="Autor" w:date="0-00-00T00:00:00Z" w:initials="A">
    <w:p>
      <w:pPr>
        <w:overflowPunct w:val="true"/>
        <w:rPr/>
      </w:pPr>
      <w:r>
        <w:rPr>
          <w:rFonts w:ascii="Liberation Serif" w:hAnsi="Liberation Serif" w:eastAsia="DejaVu Sans" w:cs="DejaVu Sans"/>
          <w:b/>
          <w:bCs/>
          <w:i/>
          <w:iCs/>
          <w:color w:val="000000"/>
          <w:lang w:val="en-US" w:eastAsia="en-US" w:bidi="en-US"/>
        </w:rPr>
        <w:t xml:space="preserve">Nota explicativa: </w:t>
      </w:r>
      <w:r>
        <w:rPr>
          <w:rFonts w:ascii="Liberation Serif" w:hAnsi="Liberation Serif" w:eastAsia="DejaVu Sans" w:cs="DejaVu Sans"/>
          <w:i/>
          <w:iCs/>
          <w:color w:val="000000"/>
          <w:lang w:val="en-US" w:eastAsia="en-US" w:bidi="en-US"/>
        </w:rPr>
        <w:t>Esta tabela é meramente ilustrativa, devendo ser ajustada conforme o caso concreto.</w:t>
      </w:r>
    </w:p>
  </w:comment>
  <w:comment w:id="2" w:author="Autor" w:date="0-00-00T00:00:00Z" w:initials="A">
    <w:p>
      <w:pPr>
        <w:overflowPunct w:val="false"/>
        <w:rPr/>
      </w:pPr>
      <w:r>
        <w:rPr>
          <w:rFonts w:ascii="Liberation Serif" w:hAnsi="Liberation Serif" w:eastAsia="DejaVu Sans" w:cs="DejaVu Sans"/>
          <w:b/>
          <w:bCs/>
          <w:i/>
          <w:iCs/>
          <w:color w:val="000000"/>
          <w:lang w:val="en-US" w:eastAsia="en-US" w:bidi="en-US"/>
        </w:rPr>
        <w:t xml:space="preserve">Nota Explicativa: </w:t>
      </w:r>
      <w:r>
        <w:rPr>
          <w:rFonts w:ascii="Liberation Serif" w:hAnsi="Liberation Serif" w:eastAsia="DejaVu Sans" w:cs="DejaVu Sans"/>
          <w:i/>
          <w:iCs/>
          <w:color w:val="000000"/>
          <w:lang w:val="en-US" w:eastAsia="en-US" w:bidi="en-US"/>
        </w:rPr>
        <w:t xml:space="preserve">Utilizar a redação do subitem 2.1 e 2.2 para </w:t>
      </w:r>
      <w:r>
        <w:rPr>
          <w:rFonts w:ascii="Liberation Serif" w:hAnsi="Liberation Serif" w:eastAsia="DejaVu Sans" w:cs="DejaVu Sans"/>
          <w:b/>
          <w:bCs/>
          <w:i/>
          <w:iCs/>
          <w:color w:val="000000"/>
          <w:lang w:val="en-US" w:eastAsia="en-US" w:bidi="en-US"/>
        </w:rPr>
        <w:t>contratos de escopo</w:t>
      </w:r>
      <w:r>
        <w:rPr>
          <w:rFonts w:ascii="Liberation Serif" w:hAnsi="Liberation Serif" w:eastAsia="DejaVu Sans" w:cs="DejaVu Sans"/>
          <w:i/>
          <w:iCs/>
          <w:color w:val="000000"/>
          <w:lang w:val="en-US" w:eastAsia="en-US" w:bidi="en-US"/>
        </w:rPr>
        <w:t xml:space="preserve">, cuja vigência se fundamenta no </w:t>
      </w:r>
      <w:r>
        <w:fldChar w:fldCharType="begin"/>
      </w:r>
      <w:r>
        <w:instrText xml:space="preserve"> HYPERLINK "http://www.planalto.gov.br/ccivil_03/_ato2019-2022/2021/lei/L14133.htm" \l "art105"</w:instrText>
      </w:r>
      <w:r>
        <w:fldChar w:fldCharType="separate"/>
      </w:r>
      <w:r>
        <w:rPr>
          <w:rFonts w:ascii="Liberation Serif" w:hAnsi="Liberation Serif" w:eastAsia="DejaVu Sans" w:cs="DejaVu Sans"/>
          <w:i/>
          <w:iCs/>
          <w:color w:val="000000"/>
          <w:lang w:val="en-US" w:eastAsia="en-US" w:bidi="en-US"/>
        </w:rPr>
        <w:t>art. 105 da Lei n.º 14.133, de 2021</w:t>
      </w:r>
      <w:r>
        <w:fldChar w:fldCharType="end"/>
      </w:r>
    </w:p>
  </w:comment>
  <w:comment w:id="3" w:author="Autor" w:date="0-00-00T00:00:00Z" w:initials="A">
    <w:p>
      <w:pPr>
        <w:overflowPunct w:val="false"/>
        <w:rPr/>
      </w:pPr>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w:t>
      </w:r>
      <w:r>
        <w:fldChar w:fldCharType="begin"/>
      </w:r>
      <w:r>
        <w:instrText xml:space="preserve"> HYPERLINK "http://www.planalto.gov.br/ccivil_03/_ato2019-2022/2021/lei/L14133.htm" \l "art25§7"</w:instrText>
      </w:r>
      <w:r>
        <w:fldChar w:fldCharType="separate"/>
      </w:r>
      <w:r>
        <w:rPr>
          <w:rFonts w:ascii="Liberation Serif" w:hAnsi="Liberation Serif" w:eastAsia="DejaVu Sans" w:cs="DejaVu Sans"/>
          <w:i/>
          <w:iCs/>
          <w:color w:val="000000"/>
          <w:lang w:val="en-US" w:eastAsia="en-US" w:bidi="en-US"/>
        </w:rPr>
        <w:t>A Lei n.º 14.133, de 2021 em seu artigo 25, §7º</w:t>
      </w:r>
      <w:r>
        <w:fldChar w:fldCharType="end"/>
      </w:r>
      <w:r>
        <w:rPr>
          <w:rFonts w:ascii="Liberation Serif" w:hAnsi="Liberation Serif" w:eastAsia="DejaVu Sans" w:cs="DejaVu Sans"/>
          <w:i/>
          <w:iCs/>
          <w:color w:val="000000"/>
          <w:lang w:val="en-US" w:eastAsia="en-US" w:bidi="en-US"/>
        </w:rPr>
        <w:t xml:space="preserve"> fixou a necessidade da estipulação no contrato, </w:t>
      </w:r>
      <w:r>
        <w:rPr>
          <w:rFonts w:ascii="Liberation Serif" w:hAnsi="Liberation Serif" w:eastAsia="DejaVu Sans" w:cs="DejaVu Sans"/>
          <w:b/>
          <w:bCs/>
          <w:i/>
          <w:iCs/>
          <w:color w:val="000000"/>
          <w:lang w:val="en-US" w:eastAsia="en-US" w:bidi="en-US"/>
        </w:rPr>
        <w:t>independente do prazo de sua duração</w:t>
      </w:r>
      <w:r>
        <w:rPr>
          <w:rFonts w:ascii="Liberation Serif" w:hAnsi="Liberation Serif" w:eastAsia="DejaVu Sans" w:cs="DejaVu Sans"/>
          <w:i/>
          <w:iCs/>
          <w:color w:val="000000"/>
          <w:lang w:val="en-US" w:eastAsia="en-US" w:bidi="en-US"/>
        </w:rPr>
        <w:t xml:space="preserve">, de índice de reajustamento de preço, com data-base vinculada à data do orçamento estimado. </w:t>
      </w:r>
    </w:p>
    <w:p>
      <w:pPr>
        <w:overflowPunct w:val="false"/>
        <w:rPr/>
      </w:pPr>
      <w:r>
        <w:rPr>
          <w:rFonts w:ascii="Liberation Serif" w:hAnsi="Liberation Serif" w:eastAsia="DejaVu Sans" w:cs="DejaVu Sans"/>
          <w:i/>
          <w:iCs/>
          <w:color w:val="000000"/>
          <w:lang w:val="en-US" w:eastAsia="en-US" w:bidi="en-US"/>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pPr>
        <w:overflowPunct w:val="false"/>
        <w:rPr/>
      </w:pPr>
      <w:r>
        <w:rPr>
          <w:rFonts w:ascii="Liberation Serif" w:hAnsi="Liberation Serif" w:eastAsia="DejaVu Sans" w:cs="DejaVu Sans"/>
          <w:i/>
          <w:iCs/>
          <w:color w:val="000000"/>
          <w:lang w:val="en-US" w:eastAsia="en-US" w:bidi="en-US"/>
        </w:rPr>
        <w:t xml:space="preserve">A </w:t>
      </w:r>
      <w:hyperlink r:id="rId1">
        <w:r>
          <w:rPr>
            <w:rFonts w:ascii="Liberation Serif" w:hAnsi="Liberation Serif" w:eastAsia="DejaVu Sans" w:cs="DejaVu Sans"/>
            <w:i/>
            <w:iCs/>
            <w:color w:val="000000"/>
            <w:lang w:val="en-US" w:eastAsia="en-US" w:bidi="en-US"/>
          </w:rPr>
          <w:t>Lei n.º 14.133, de 2021</w:t>
        </w:r>
      </w:hyperlink>
      <w:r>
        <w:rPr>
          <w:rFonts w:ascii="Liberation Serif" w:hAnsi="Liberation Serif" w:eastAsia="DejaVu Sans" w:cs="DejaVu Sans"/>
          <w:i/>
          <w:iCs/>
          <w:color w:val="000000"/>
          <w:lang w:val="en-US" w:eastAsia="en-US" w:bidi="en-US"/>
        </w:rPr>
        <w:t xml:space="preserve"> inova quanto à possibilidade do estabelecimento de mais de um índice específico ou setorial, desde que consentâneo com a realidade de mercado dos respectivos insumos. Assim, caso a contratação envolva vários insumos, resta a possibilidade da fixação de mais de um índice de reajuste com o intuito de melhor refletir a variação de custo sofrida.</w:t>
      </w:r>
    </w:p>
    <w:p>
      <w:pPr>
        <w:overflowPunct w:val="false"/>
        <w:rPr/>
      </w:pPr>
      <w:r>
        <w:rPr>
          <w:rFonts w:ascii="Liberation Serif" w:hAnsi="Liberation Serif" w:eastAsia="DejaVu Sans" w:cs="DejaVu Sans"/>
          <w:i/>
          <w:iCs/>
          <w:color w:val="000000"/>
          <w:lang w:val="en-US" w:eastAsia="en-US" w:bidi="en-US"/>
        </w:rPr>
        <w:t xml:space="preserve">Importa enfatizar que o marco inicial para a contagem da anualidade é a </w:t>
      </w:r>
      <w:r>
        <w:rPr>
          <w:rFonts w:ascii="Liberation Serif" w:hAnsi="Liberation Serif" w:eastAsia="DejaVu Sans" w:cs="DejaVu Sans"/>
          <w:b/>
          <w:bCs/>
          <w:i/>
          <w:iCs/>
          <w:color w:val="000000"/>
          <w:lang w:val="en-US" w:eastAsia="en-US" w:bidi="en-US"/>
        </w:rPr>
        <w:t>data do orçamento estimado</w:t>
      </w:r>
      <w:r>
        <w:rPr>
          <w:rFonts w:ascii="Liberation Serif" w:hAnsi="Liberation Serif" w:eastAsia="DejaVu Sans" w:cs="DejaVu Sans"/>
          <w:i/>
          <w:iCs/>
          <w:color w:val="000000"/>
          <w:lang w:val="en-US" w:eastAsia="en-US" w:bidi="en-US"/>
        </w:rPr>
        <w:t>, o que representa um aperfeiçoamento em relação à sistemática anterior. Isso torna indispensável que o orçamento contenha a data específica a que se refere.</w:t>
      </w:r>
    </w:p>
  </w:comment>
  <w:comment w:id="4" w:author="Autor" w:date="0-00-00T00:00:00Z" w:initials="A">
    <w:p>
      <w:pPr>
        <w:overflowPunct w:val="false"/>
        <w:rPr/>
      </w:pPr>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O cômputo do valor total do Termo de Contrato levará em conta o período inicial de vigência estabelecido.</w:t>
      </w:r>
    </w:p>
  </w:comment>
  <w:comment w:id="5" w:author="Autor" w:date="0-00-00T00:00:00Z" w:initials="A">
    <w:p>
      <w:pPr>
        <w:overflowPunct w:val="false"/>
        <w:rPr/>
      </w:pPr>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Caso se trate de contrato de valor estimativo, em que a própria demanda é variável, cabe inserir o subitem 5.4.</w:t>
      </w:r>
    </w:p>
  </w:comment>
  <w:comment w:id="6" w:author="Autor" w:date="0-00-00T00:00:00Z" w:initials="A">
    <w:p>
      <w:pPr>
        <w:overflowPunct w:val="false"/>
        <w:rPr/>
      </w:pPr>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w:t>
      </w:r>
      <w:r>
        <w:fldChar w:fldCharType="begin"/>
      </w:r>
      <w:r>
        <w:instrText xml:space="preserve"> HYPERLINK "http://www.planalto.gov.br/ccivil_03/_ato2019-2022/2021/lei/L14133.htm" \l "art25§7"</w:instrText>
      </w:r>
      <w:r>
        <w:fldChar w:fldCharType="separate"/>
      </w:r>
      <w:r>
        <w:rPr>
          <w:rFonts w:ascii="Liberation Serif" w:hAnsi="Liberation Serif" w:eastAsia="DejaVu Sans" w:cs="DejaVu Sans"/>
          <w:i/>
          <w:iCs/>
          <w:color w:val="000000"/>
          <w:lang w:val="en-US" w:eastAsia="en-US" w:bidi="en-US"/>
        </w:rPr>
        <w:t>A Lei n.º 14.133, de 2021 em seu artigo 25, §7º</w:t>
      </w:r>
      <w:r>
        <w:fldChar w:fldCharType="end"/>
      </w:r>
      <w:r>
        <w:rPr>
          <w:rFonts w:ascii="Liberation Serif" w:hAnsi="Liberation Serif" w:eastAsia="DejaVu Sans" w:cs="DejaVu Sans"/>
          <w:i/>
          <w:iCs/>
          <w:color w:val="000000"/>
          <w:lang w:val="en-US" w:eastAsia="en-US" w:bidi="en-US"/>
        </w:rPr>
        <w:t xml:space="preserve"> fixou a necessidade da estipulação no contrato, </w:t>
      </w:r>
      <w:r>
        <w:rPr>
          <w:rFonts w:ascii="Liberation Serif" w:hAnsi="Liberation Serif" w:eastAsia="DejaVu Sans" w:cs="DejaVu Sans"/>
          <w:b/>
          <w:bCs/>
          <w:i/>
          <w:iCs/>
          <w:color w:val="000000"/>
          <w:lang w:val="en-US" w:eastAsia="en-US" w:bidi="en-US"/>
        </w:rPr>
        <w:t>independente do prazo de sua duração</w:t>
      </w:r>
      <w:r>
        <w:rPr>
          <w:rFonts w:ascii="Liberation Serif" w:hAnsi="Liberation Serif" w:eastAsia="DejaVu Sans" w:cs="DejaVu Sans"/>
          <w:i/>
          <w:iCs/>
          <w:color w:val="000000"/>
          <w:lang w:val="en-US" w:eastAsia="en-US" w:bidi="en-US"/>
        </w:rPr>
        <w:t xml:space="preserve">, de índice de reajustamento de preço, com data-base vinculada à data do orçamento estimado. </w:t>
      </w:r>
    </w:p>
    <w:p>
      <w:pPr>
        <w:overflowPunct w:val="false"/>
        <w:rPr/>
      </w:pPr>
      <w:r>
        <w:rPr>
          <w:rFonts w:ascii="Liberation Serif" w:hAnsi="Liberation Serif" w:eastAsia="DejaVu Sans" w:cs="DejaVu Sans"/>
          <w:i/>
          <w:iCs/>
          <w:color w:val="000000"/>
          <w:lang w:val="en-US" w:eastAsia="en-US" w:bidi="en-US"/>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pPr>
        <w:overflowPunct w:val="false"/>
        <w:rPr/>
      </w:pPr>
      <w:r>
        <w:rPr>
          <w:rFonts w:ascii="Liberation Serif" w:hAnsi="Liberation Serif" w:eastAsia="DejaVu Sans" w:cs="DejaVu Sans"/>
          <w:i/>
          <w:iCs/>
          <w:color w:val="000000"/>
          <w:lang w:val="en-US" w:eastAsia="en-US" w:bidi="en-US"/>
        </w:rPr>
        <w:t xml:space="preserve">A </w:t>
      </w:r>
      <w:hyperlink r:id="rId2">
        <w:r>
          <w:rPr>
            <w:rFonts w:ascii="Liberation Serif" w:hAnsi="Liberation Serif" w:eastAsia="DejaVu Sans" w:cs="DejaVu Sans"/>
            <w:i/>
            <w:iCs/>
            <w:color w:val="000000"/>
            <w:lang w:val="en-US" w:eastAsia="en-US" w:bidi="en-US"/>
          </w:rPr>
          <w:t>Lei n.º 14.133, de 2021</w:t>
        </w:r>
      </w:hyperlink>
      <w:r>
        <w:rPr>
          <w:rFonts w:ascii="Liberation Serif" w:hAnsi="Liberation Serif" w:eastAsia="DejaVu Sans" w:cs="DejaVu Sans"/>
          <w:i/>
          <w:iCs/>
          <w:color w:val="000000"/>
          <w:lang w:val="en-US" w:eastAsia="en-US" w:bidi="en-US"/>
        </w:rPr>
        <w:t xml:space="preserve"> inova quanto à possibilidade do estabelecimento de mais de um índice específico ou setorial, desde que consentâneo com a realidade de mercado dos respectivos insumos. Assim, caso a contratação envolva vários insumos, resta a possibilidade da fixação de mais de um índice de reajuste com o intuito de melhor refletir a variação de custo sofrida.</w:t>
      </w:r>
    </w:p>
    <w:p>
      <w:pPr>
        <w:overflowPunct w:val="false"/>
        <w:rPr/>
      </w:pPr>
      <w:r>
        <w:rPr>
          <w:rFonts w:ascii="Liberation Serif" w:hAnsi="Liberation Serif" w:eastAsia="DejaVu Sans" w:cs="DejaVu Sans"/>
          <w:i/>
          <w:iCs/>
          <w:color w:val="000000"/>
          <w:lang w:val="en-US" w:eastAsia="en-US" w:bidi="en-US"/>
        </w:rPr>
        <w:t xml:space="preserve">Importa enfatizar que o marco inicial para a contagem da anualidade é a </w:t>
      </w:r>
      <w:r>
        <w:rPr>
          <w:rFonts w:ascii="Liberation Serif" w:hAnsi="Liberation Serif" w:eastAsia="DejaVu Sans" w:cs="DejaVu Sans"/>
          <w:b/>
          <w:bCs/>
          <w:i/>
          <w:iCs/>
          <w:color w:val="000000"/>
          <w:lang w:val="en-US" w:eastAsia="en-US" w:bidi="en-US"/>
        </w:rPr>
        <w:t>data do orçamento estimado</w:t>
      </w:r>
      <w:r>
        <w:rPr>
          <w:rFonts w:ascii="Liberation Serif" w:hAnsi="Liberation Serif" w:eastAsia="DejaVu Sans" w:cs="DejaVu Sans"/>
          <w:i/>
          <w:iCs/>
          <w:color w:val="000000"/>
          <w:lang w:val="en-US" w:eastAsia="en-US" w:bidi="en-US"/>
        </w:rPr>
        <w:t>, o que representa um aperfeiçoamento em relação à sistemática anterior. Isso torna indispensável que o orçamento contenha a data específica a que se refere.</w:t>
      </w:r>
    </w:p>
  </w:comment>
  <w:comment w:id="7" w:author="Autor" w:date="0-00-00T00:00:00Z" w:initials="A">
    <w:p>
      <w:pPr>
        <w:overflowPunct w:val="false"/>
        <w:rPr/>
      </w:pPr>
      <w:r>
        <w:rPr>
          <w:rFonts w:ascii="Liberation Serif" w:hAnsi="Liberation Serif" w:eastAsia="Segoe UI"/>
          <w:lang w:val="en-US" w:eastAsia="en-US" w:bidi="en-US"/>
        </w:rPr>
        <w:t>Nota Explicativa: Este modelo contém obrigações gerais, que podem ser aplicadas aos mais diversos tipos de contratações de serviços. Entretanto, compete ao órgão definir quais obrigações serão aplicáveis, incluindo, modificando ou excluindo itens a depender das especificidades do objeto.</w:t>
      </w:r>
    </w:p>
    <w:p>
      <w:pPr>
        <w:overflowPunct w:val="false"/>
        <w:rPr/>
      </w:pPr>
      <w:r>
        <w:rPr>
          <w:rFonts w:ascii="Liberation Serif" w:hAnsi="Liberation Serif" w:eastAsia="Segoe UI"/>
          <w:lang w:val="en-US" w:eastAsia="en-US" w:bidi="en-US"/>
        </w:rPr>
      </w:r>
    </w:p>
  </w:comment>
  <w:comment w:id="8" w:author="Autor" w:date="0-00-00T00:00:00Z" w:initials="A">
    <w:p>
      <w:pPr>
        <w:overflowPunct w:val="false"/>
        <w:rPr/>
      </w:pPr>
      <w:r>
        <w:rPr>
          <w:rFonts w:ascii="Liberation Serif" w:hAnsi="Liberation Serif" w:eastAsia="DejaVu Sans" w:cs="DejaVu Sans"/>
          <w:b/>
          <w:bCs/>
          <w:i/>
          <w:iCs/>
          <w:color w:val="000000"/>
          <w:lang w:val="en-US" w:eastAsia="en-US" w:bidi="en-US"/>
        </w:rPr>
        <w:t xml:space="preserve">Nota Explicativa: </w:t>
      </w:r>
      <w:r>
        <w:rPr>
          <w:rFonts w:ascii="Liberation Serif" w:hAnsi="Liberation Serif" w:eastAsia="DejaVu Sans" w:cs="DejaVu Sans"/>
          <w:i/>
          <w:iCs/>
          <w:color w:val="000000"/>
          <w:lang w:val="en-US" w:eastAsia="en-US" w:bidi="en-US"/>
        </w:rPr>
        <w:t xml:space="preserve">Nos termos do </w:t>
      </w:r>
      <w:r>
        <w:fldChar w:fldCharType="begin"/>
      </w:r>
      <w:r>
        <w:instrText xml:space="preserve"> HYPERLINK "http://www.planalto.gov.br/ccivil_03/_ato2019-2022/2021/lei/L14133.htm" \l "art123"</w:instrText>
      </w:r>
      <w:r>
        <w:fldChar w:fldCharType="separate"/>
      </w:r>
      <w:r>
        <w:rPr>
          <w:rFonts w:ascii="Liberation Serif" w:hAnsi="Liberation Serif" w:eastAsia="DejaVu Sans" w:cs="DejaVu Sans"/>
          <w:i/>
          <w:iCs/>
          <w:color w:val="000000"/>
          <w:lang w:val="en-US" w:eastAsia="en-US" w:bidi="en-US"/>
        </w:rPr>
        <w:t>art. 123 da Lei nº 14.133/21</w:t>
      </w:r>
      <w:r>
        <w:fldChar w:fldCharType="end"/>
      </w:r>
      <w:r>
        <w:rPr>
          <w:rFonts w:ascii="Liberation Serif" w:hAnsi="Liberation Serif" w:eastAsia="DejaVu Sans" w:cs="DejaVu Sans"/>
          <w:i/>
          <w:iCs/>
          <w:color w:val="000000"/>
          <w:lang w:val="en-US" w:eastAsia="en-US" w:bidi="en-US"/>
        </w:rPr>
        <w:t xml:space="preserve">,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w:t>
      </w:r>
      <w:r>
        <w:fldChar w:fldCharType="begin"/>
      </w:r>
      <w:r>
        <w:instrText xml:space="preserve"> HYPERLINK "http://www.planalto.gov.br/ccivil_03/_ato2019-2022/2021/lei/L14133.htm" \l "art123"</w:instrText>
      </w:r>
      <w:r>
        <w:fldChar w:fldCharType="separate"/>
      </w:r>
      <w:r>
        <w:rPr>
          <w:rFonts w:ascii="Liberation Serif" w:hAnsi="Liberation Serif" w:eastAsia="DejaVu Sans" w:cs="DejaVu Sans"/>
          <w:i/>
          <w:iCs/>
          <w:color w:val="000000"/>
          <w:lang w:val="en-US" w:eastAsia="en-US" w:bidi="en-US"/>
        </w:rPr>
        <w:t>art. 123, parágrafo único, da Lei n.º 14.133, de 2021</w:t>
      </w:r>
      <w:r>
        <w:fldChar w:fldCharType="end"/>
      </w:r>
      <w:r>
        <w:rPr>
          <w:rFonts w:ascii="Liberation Serif" w:hAnsi="Liberation Serif" w:eastAsia="DejaVu Sans" w:cs="DejaVu Sans"/>
          <w:i/>
          <w:iCs/>
          <w:color w:val="000000"/>
          <w:lang w:val="en-US" w:eastAsia="en-US" w:bidi="en-US"/>
        </w:rPr>
        <w:t xml:space="preserve">, e o </w:t>
      </w:r>
      <w:r>
        <w:fldChar w:fldCharType="begin"/>
      </w:r>
      <w:r>
        <w:instrText xml:space="preserve"> HYPERLINK "https://in.gov.br/en/web/dou/-/decreto-n-11.246-de-27-de-outubro-de-2022-440217660" \l "art28"</w:instrText>
      </w:r>
      <w:r>
        <w:fldChar w:fldCharType="separate"/>
      </w:r>
      <w:r>
        <w:rPr>
          <w:rFonts w:ascii="Liberation Serif" w:hAnsi="Liberation Serif" w:eastAsia="DejaVu Sans" w:cs="DejaVu Sans"/>
          <w:i/>
          <w:iCs/>
          <w:color w:val="000000"/>
          <w:lang w:val="en-US" w:eastAsia="en-US" w:bidi="en-US"/>
        </w:rPr>
        <w:t>art. 28, do Decreto n.º 11.246, de 2022</w:t>
      </w:r>
      <w:r>
        <w:fldChar w:fldCharType="end"/>
      </w:r>
      <w:r>
        <w:rPr>
          <w:rFonts w:ascii="Liberation Serif" w:hAnsi="Liberation Serif" w:eastAsia="DejaVu Sans" w:cs="DejaVu Sans"/>
          <w:i/>
          <w:iCs/>
          <w:color w:val="000000"/>
          <w:lang w:val="en-US" w:eastAsia="en-US" w:bidi="en-US"/>
        </w:rPr>
        <w:t>, estabelecem que o prazo será de um mês.</w:t>
      </w:r>
    </w:p>
  </w:comment>
  <w:comment w:id="9" w:author="Autor" w:date="0-00-00T00:00:00Z" w:initials="A">
    <w:p>
      <w:pPr>
        <w:overflowPunct w:val="false"/>
        <w:rPr/>
      </w:pPr>
      <w:r>
        <w:rPr>
          <w:rFonts w:ascii="Liberation Serif" w:hAnsi="Liberation Serif" w:eastAsia="DejaVu Sans" w:cs="DejaVu Sans"/>
          <w:b/>
          <w:bCs/>
          <w:i/>
          <w:iCs/>
          <w:lang w:val="en-US" w:eastAsia="en-US" w:bidi="en-US"/>
        </w:rPr>
        <w:t>Nota Explicativa:</w:t>
      </w:r>
      <w:r>
        <w:rPr>
          <w:rFonts w:ascii="Liberation Serif" w:hAnsi="Liberation Serif" w:eastAsia="DejaVu Sans" w:cs="DejaVu Sans"/>
          <w:i/>
          <w:iCs/>
          <w:lang w:val="en-US" w:eastAsia="en-US" w:bidi="en-US"/>
        </w:rPr>
        <w:t xml:space="preserve"> O </w:t>
      </w:r>
      <w:r>
        <w:fldChar w:fldCharType="begin"/>
      </w:r>
      <w:r>
        <w:instrText xml:space="preserve"> HYPERLINK "http://www.planalto.gov.br/ccivil_03/_ato2019-2022/2021/lei/L14133.htm" \l "art92"</w:instrText>
      </w:r>
      <w:r>
        <w:fldChar w:fldCharType="separate"/>
      </w:r>
      <w:r>
        <w:rPr>
          <w:rFonts w:ascii="Liberation Serif" w:hAnsi="Liberation Serif" w:eastAsia="DejaVu Sans" w:cs="DejaVu Sans"/>
          <w:i/>
          <w:iCs/>
          <w:lang w:val="en-US" w:eastAsia="en-US" w:bidi="en-US"/>
        </w:rPr>
        <w:t>art. 92, inciso XI, da Lei nº 14.133, de 2021</w:t>
      </w:r>
      <w:r>
        <w:fldChar w:fldCharType="end"/>
      </w:r>
      <w:r>
        <w:rPr>
          <w:rFonts w:ascii="Liberation Serif" w:hAnsi="Liberation Serif" w:eastAsia="DejaVu Sans" w:cs="DejaVu Sans"/>
          <w:i/>
          <w:iCs/>
          <w:lang w:val="en-US" w:eastAsia="en-US" w:bidi="en-US"/>
        </w:rPr>
        <w:t xml:space="preserve">,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w:t>
      </w:r>
      <w:r>
        <w:fldChar w:fldCharType="begin"/>
      </w:r>
      <w:r>
        <w:instrText xml:space="preserve"> HYPERLINK "http://www.planalto.gov.br/ccivil_03/_ato2019-2022/2021/lei/L14133.htm" \l "art123"</w:instrText>
      </w:r>
      <w:r>
        <w:fldChar w:fldCharType="separate"/>
      </w:r>
      <w:r>
        <w:rPr>
          <w:rFonts w:ascii="Liberation Serif" w:hAnsi="Liberation Serif" w:eastAsia="DejaVu Sans" w:cs="DejaVu Sans"/>
          <w:i/>
          <w:iCs/>
          <w:lang w:val="en-US" w:eastAsia="en-US" w:bidi="en-US"/>
        </w:rPr>
        <w:t>art. 123 do texto legal</w:t>
      </w:r>
      <w:r>
        <w:fldChar w:fldCharType="end"/>
      </w:r>
      <w:r>
        <w:rPr>
          <w:rFonts w:ascii="Liberation Serif" w:hAnsi="Liberation Serif" w:eastAsia="DejaVu Sans" w:cs="DejaVu Sans"/>
          <w:i/>
          <w:iCs/>
          <w:lang w:val="en-US" w:eastAsia="en-US" w:bidi="en-US"/>
        </w:rPr>
        <w:t>, o que deverá ser analisado conforme as especificidades de cada órgão.</w:t>
      </w:r>
    </w:p>
  </w:comment>
  <w:comment w:id="10" w:author="Autor" w:date="0-00-00T00:00:00Z" w:initials="A">
    <w:p>
      <w:pPr>
        <w:overflowPunct w:val="false"/>
        <w:rPr/>
      </w:pPr>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Esta disposição decorre do </w:t>
      </w:r>
      <w:r>
        <w:fldChar w:fldCharType="begin"/>
      </w:r>
      <w:r>
        <w:instrText xml:space="preserve"> HYPERLINK "http://www.planalto.gov.br/ccivil_03/_ato2019-2022/2021/lei/L14133.htm" \l "art137§4"</w:instrText>
      </w:r>
      <w:r>
        <w:fldChar w:fldCharType="separate"/>
      </w:r>
      <w:r>
        <w:rPr>
          <w:rFonts w:ascii="Liberation Serif" w:hAnsi="Liberation Serif" w:eastAsia="DejaVu Sans" w:cs="DejaVu Sans"/>
          <w:i/>
          <w:iCs/>
          <w:color w:val="000000"/>
          <w:lang w:val="en-US" w:eastAsia="en-US" w:bidi="en-US"/>
        </w:rPr>
        <w:t>§4º, do art. 137, da Lei nº 14.133, de 2021</w:t>
      </w:r>
      <w:r>
        <w:fldChar w:fldCharType="end"/>
      </w:r>
      <w:r>
        <w:rPr>
          <w:rFonts w:ascii="Liberation Serif" w:hAnsi="Liberation Serif" w:eastAsia="DejaVu Sans" w:cs="DejaVu Sans"/>
          <w:i/>
          <w:iCs/>
          <w:color w:val="000000"/>
          <w:lang w:val="en-US" w:eastAsia="en-US" w:bidi="en-US"/>
        </w:rPr>
        <w:t>.</w:t>
      </w:r>
    </w:p>
  </w:comment>
  <w:comment w:id="11" w:author="Autor" w:date="0-00-00T00:00:00Z" w:initials="A">
    <w:p>
      <w:pPr>
        <w:overflowPunct w:val="false"/>
        <w:rPr/>
      </w:pPr>
      <w:r>
        <w:rPr>
          <w:rFonts w:ascii="Liberation Serif" w:hAnsi="Liberation Serif" w:eastAsia="DejaVu Sans" w:cs="DejaVu Sans"/>
          <w:b/>
          <w:bCs/>
          <w:i/>
          <w:iCs/>
          <w:color w:val="000000"/>
          <w:lang w:val="en-US" w:eastAsia="en-US" w:bidi="en-US"/>
        </w:rPr>
        <w:t>Nota Explicativa 1:</w:t>
      </w:r>
      <w:r>
        <w:rPr>
          <w:rFonts w:ascii="Liberation Serif" w:hAnsi="Liberation Serif" w:eastAsia="DejaVu Sans" w:cs="DejaVu Sans"/>
          <w:i/>
          <w:iCs/>
          <w:color w:val="000000"/>
          <w:lang w:val="en-US" w:eastAsia="en-US" w:bidi="en-US"/>
        </w:rPr>
        <w:t xml:space="preserve"> Este modelo contém obrigações gerais, que podem ser aplicadas aos mais diversos tipos de contratações de serviços. Entretanto, compete ao órgão definir quais obrigações serão aplicáveis, incluindo, modificando ou excluindo itens a depender das especificidades do objeto.</w:t>
      </w:r>
    </w:p>
    <w:p>
      <w:pPr>
        <w:overflowPunct w:val="false"/>
        <w:rPr/>
      </w:pPr>
      <w:r>
        <w:rPr>
          <w:rFonts w:ascii="Liberation Serif" w:hAnsi="Liberation Serif" w:eastAsia="DejaVu Sans" w:cs="DejaVu Sans"/>
          <w:b/>
          <w:bCs/>
          <w:i/>
          <w:iCs/>
          <w:lang w:val="en-US" w:eastAsia="en-US" w:bidi="en-US"/>
        </w:rPr>
        <w:t>Nota Explicativa 2:</w:t>
      </w:r>
      <w:r>
        <w:rPr>
          <w:rFonts w:ascii="Liberation Serif" w:hAnsi="Liberation Serif" w:eastAsia="DejaVu Sans" w:cs="DejaVu Sans"/>
          <w:i/>
          <w:iCs/>
          <w:lang w:val="en-US" w:eastAsia="en-US" w:bidi="en-US"/>
        </w:rPr>
        <w:t xml:space="preserve"> No caso de órgãos ou entidades públicas vinculados ao Ministério da Economia, considerada a edição da </w:t>
      </w:r>
      <w:hyperlink r:id="rId3">
        <w:r>
          <w:rPr>
            <w:rFonts w:ascii="Liberation Serif" w:hAnsi="Liberation Serif" w:eastAsia="DejaVu Sans" w:cs="DejaVu Sans"/>
            <w:i/>
            <w:iCs/>
            <w:lang w:val="en-US" w:eastAsia="en-US" w:bidi="en-US"/>
          </w:rPr>
          <w:t>Portaria ME n° 1.144, de 3 de fevereiro de 2021</w:t>
        </w:r>
      </w:hyperlink>
      <w:r>
        <w:rPr>
          <w:rFonts w:ascii="Liberation Serif" w:hAnsi="Liberation Serif" w:eastAsia="DejaVu Sans" w:cs="DejaVu Sans"/>
          <w:i/>
          <w:iCs/>
          <w:lang w:val="en-US" w:eastAsia="en-US" w:bidi="en-US"/>
        </w:rPr>
        <w:t xml:space="preserve">, que disciplina os procedimentos e as rotinas para prevenção do nepotismo e responsabilização das suas ocorrências no âmbito daquele Ministério, necessário incluir, nesse item, subitem com o seguinte teor: “.x. Apresentar as declarações firmadas pelos terceirizados indicados aos postos de serviços contratados, em conformidade com o </w:t>
      </w:r>
      <w:r>
        <w:fldChar w:fldCharType="begin"/>
      </w:r>
      <w:r>
        <w:instrText xml:space="preserve"> HYPERLINK "http://www.planalto.gov.br/ccivil_03/_ato2019-2022/2021/lei/L14133.htm" \l "art5"</w:instrText>
      </w:r>
      <w:r>
        <w:fldChar w:fldCharType="separate"/>
      </w:r>
      <w:r>
        <w:rPr>
          <w:rFonts w:ascii="Liberation Serif" w:hAnsi="Liberation Serif" w:eastAsia="DejaVu Sans" w:cs="DejaVu Sans"/>
          <w:i/>
          <w:iCs/>
          <w:lang w:val="en-US" w:eastAsia="en-US" w:bidi="en-US"/>
        </w:rPr>
        <w:t>artigo 5°, inciso I, da Portaria ME n° 1.144, de 3 de fevereiro de 2021</w:t>
      </w:r>
      <w:r>
        <w:fldChar w:fldCharType="end"/>
      </w:r>
      <w:r>
        <w:rPr>
          <w:rFonts w:ascii="Liberation Serif" w:hAnsi="Liberation Serif" w:eastAsia="DejaVu Sans" w:cs="DejaVu Sans"/>
          <w:i/>
          <w:iCs/>
          <w:lang w:val="en-US" w:eastAsia="en-US" w:bidi="en-US"/>
        </w:rPr>
        <w:t xml:space="preserve">, atestando ausência de relação familiar ou de parentesco que importe a prática de nepotismo, nos termos do disposto no </w:t>
      </w:r>
      <w:r>
        <w:fldChar w:fldCharType="begin"/>
      </w:r>
      <w:r>
        <w:instrText xml:space="preserve"> HYPERLINK "http://www.planalto.gov.br/ccivil_03/_ato2019-2022/2021/lei/L14133.htm" \l "art2"</w:instrText>
      </w:r>
      <w:r>
        <w:fldChar w:fldCharType="separate"/>
      </w:r>
      <w:r>
        <w:rPr>
          <w:rFonts w:ascii="Liberation Serif" w:hAnsi="Liberation Serif" w:eastAsia="DejaVu Sans" w:cs="DejaVu Sans"/>
          <w:i/>
          <w:iCs/>
          <w:lang w:val="en-US" w:eastAsia="en-US" w:bidi="en-US"/>
        </w:rPr>
        <w:t>inciso II do artigo 2° daquele normativo.”</w:t>
      </w:r>
      <w:r>
        <w:fldChar w:fldCharType="end"/>
      </w:r>
    </w:p>
  </w:comment>
  <w:comment w:id="12" w:author="Autor" w:date="0-00-00T00:00:00Z" w:initials="A">
    <w:p>
      <w:pPr>
        <w:overflowPunct w:val="false"/>
        <w:rPr/>
      </w:pPr>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Cada vício, defeito ou incorreção verificada pelo fiscal do contrato reveste-se de peculiar característica. Por isso que, diante da natureza do objeto contratado, é impróprio determinar prazo único para as correções devidas, devendo o fiscal do contrato, avaliar o caso concreto, para o fim de fixar prazo para as correções.</w:t>
      </w:r>
    </w:p>
  </w:comment>
  <w:comment w:id="13" w:author="Autor" w:date="0-00-00T00:00:00Z" w:initials="A">
    <w:p>
      <w:pPr>
        <w:overflowPunct w:val="false"/>
        <w:rPr/>
      </w:pPr>
      <w:r>
        <w:rPr>
          <w:rFonts w:ascii="Liberation Serif" w:hAnsi="Liberation Serif" w:eastAsia="DejaVu Sans" w:cs="DejaVu Sans"/>
          <w:b/>
          <w:bCs/>
          <w:i/>
          <w:iCs/>
          <w:color w:val="000000"/>
          <w:lang w:val="en-US" w:eastAsia="en-US" w:bidi="en-US"/>
        </w:rPr>
        <w:t>Nota explicativa 1:</w:t>
      </w:r>
      <w:r>
        <w:rPr>
          <w:rFonts w:ascii="Liberation Serif" w:hAnsi="Liberation Serif" w:eastAsia="DejaVu Sans" w:cs="DejaVu Sans"/>
          <w:i/>
          <w:iCs/>
          <w:color w:val="000000"/>
          <w:lang w:val="en-US" w:eastAsia="en-US" w:bidi="en-US"/>
        </w:rPr>
        <w:t xml:space="preserve"> O artigo 193 do CTN preceitua que a prova da quitação de todos os tributos devidos dar-se-á no âmbito da Fazenda Pública interessada. Portanto, a comprovação de inscrição no cadastro de contribuinte e regularidade fiscal correspondente considerará a natureza da atividade objeto da contratação.</w:t>
      </w:r>
    </w:p>
    <w:p>
      <w:pPr>
        <w:overflowPunct w:val="false"/>
        <w:rPr/>
      </w:pPr>
      <w:r>
        <w:rPr>
          <w:rFonts w:ascii="Liberation Serif" w:hAnsi="Liberation Serif" w:eastAsia="DejaVu Sans" w:cs="DejaVu Sans"/>
          <w:i/>
          <w:iCs/>
          <w:color w:val="000000"/>
          <w:lang w:val="en-US" w:eastAsia="en-US" w:bidi="en-US"/>
        </w:rPr>
        <w:t xml:space="preserve">Via de regra, a prestação de serviços de modo geral é hipótese de incidência de tributação municipal (Imposto Sobre Serviços de Qualquer Natureza - ISSQN), conforme lista anexa </w:t>
      </w:r>
      <w:hyperlink r:id="rId4">
        <w:r>
          <w:rPr>
            <w:rFonts w:ascii="Liberation Serif" w:hAnsi="Liberation Serif" w:eastAsia="DejaVu Sans" w:cs="DejaVu Sans"/>
            <w:i/>
            <w:iCs/>
            <w:color w:val="000000"/>
            <w:lang w:val="en-US" w:eastAsia="en-US" w:bidi="en-US"/>
          </w:rPr>
          <w:t>à Lei Complementar nº 116/2003</w:t>
        </w:r>
      </w:hyperlink>
      <w:r>
        <w:rPr>
          <w:rFonts w:ascii="Liberation Serif" w:hAnsi="Liberation Serif" w:eastAsia="DejaVu Sans" w:cs="DejaVu Sans"/>
          <w:i/>
          <w:iCs/>
          <w:color w:val="000000"/>
          <w:lang w:val="en-US" w:eastAsia="en-US" w:bidi="en-US"/>
        </w:rPr>
        <w:t xml:space="preserve">.  </w:t>
      </w:r>
    </w:p>
    <w:p>
      <w:pPr>
        <w:overflowPunct w:val="false"/>
        <w:rPr/>
      </w:pPr>
      <w:r>
        <w:rPr>
          <w:rFonts w:ascii="Liberation Serif" w:hAnsi="Liberation Serif" w:eastAsia="DejaVu Sans" w:cs="DejaVu Sans"/>
          <w:i/>
          <w:iCs/>
          <w:color w:val="000000"/>
          <w:lang w:val="en-US" w:eastAsia="en-US" w:bidi="en-US"/>
        </w:rPr>
        <w:t>Existem, contudo, situações em que a prestação de um serviço pode dar ensejo à incidência de tributação estadual pelo ICMS. Como exemplos, citem-se os serviços de transporte interestadual e intermunicipal e os serviços de comunicação (</w:t>
      </w:r>
      <w:r>
        <w:fldChar w:fldCharType="begin"/>
      </w:r>
      <w:r>
        <w:instrText xml:space="preserve"> HYPERLINK "https://www.planalto.gov.br/ccivil_03/constituicao/constituicao.htm" \l "art155"</w:instrText>
      </w:r>
      <w:r>
        <w:fldChar w:fldCharType="separate"/>
      </w:r>
      <w:r>
        <w:rPr>
          <w:rFonts w:ascii="Liberation Serif" w:hAnsi="Liberation Serif" w:eastAsia="DejaVu Sans" w:cs="DejaVu Sans"/>
          <w:i/>
          <w:iCs/>
          <w:color w:val="000000"/>
          <w:lang w:val="en-US" w:eastAsia="en-US" w:bidi="en-US"/>
        </w:rPr>
        <w:t>art. 155, II, da CF/88</w:t>
      </w:r>
      <w:r>
        <w:fldChar w:fldCharType="end"/>
      </w:r>
      <w:r>
        <w:rPr>
          <w:rFonts w:ascii="Liberation Serif" w:hAnsi="Liberation Serif" w:eastAsia="DejaVu Sans" w:cs="DejaVu Sans"/>
          <w:i/>
          <w:iCs/>
          <w:color w:val="000000"/>
          <w:lang w:val="en-US" w:eastAsia="en-US" w:bidi="en-US"/>
        </w:rPr>
        <w:t xml:space="preserve">), bem como as exceções expressamente previstas na lista da referida LC 116/2003. </w:t>
      </w:r>
    </w:p>
  </w:comment>
  <w:comment w:id="14" w:author="Autor" w:date="0-00-00T00:00:00Z" w:initials="A">
    <w:p>
      <w:pPr>
        <w:overflowPunct w:val="false"/>
        <w:rPr/>
      </w:pPr>
      <w:r>
        <w:rPr>
          <w:rFonts w:ascii="Liberation Serif" w:hAnsi="Liberation Serif" w:eastAsia="DejaVu Sans" w:cs="DejaVu Sans"/>
          <w:b/>
          <w:bCs/>
          <w:i/>
          <w:iCs/>
          <w:color w:val="000000"/>
          <w:lang w:val="en-US" w:eastAsia="en-US" w:bidi="en-US"/>
        </w:rPr>
        <w:t xml:space="preserve">Nota Explicativa 1: </w:t>
      </w:r>
      <w:r>
        <w:rPr>
          <w:rFonts w:ascii="Liberation Serif" w:hAnsi="Liberation Serif" w:eastAsia="DejaVu Sans" w:cs="DejaVu Sans"/>
          <w:i/>
          <w:iCs/>
          <w:color w:val="000000"/>
          <w:lang w:val="en-US" w:eastAsia="en-US" w:bidi="en-US"/>
        </w:rPr>
        <w:t xml:space="preserve">As cláusulas 10.1 a 10.12 são necessárias para cumprimento </w:t>
      </w:r>
      <w:hyperlink r:id="rId5">
        <w:r>
          <w:rPr>
            <w:rFonts w:ascii="Liberation Serif" w:hAnsi="Liberation Serif" w:eastAsia="DejaVu Sans" w:cs="DejaVu Sans"/>
            <w:i/>
            <w:iCs/>
            <w:color w:val="000000"/>
            <w:lang w:val="en-US" w:eastAsia="en-US" w:bidi="en-US"/>
          </w:rPr>
          <w:t>da Lei nº 13.709, de 14 de agosto de 2018 (LGPD</w:t>
        </w:r>
      </w:hyperlink>
      <w:r>
        <w:rPr>
          <w:rFonts w:ascii="Liberation Serif" w:hAnsi="Liberation Serif" w:eastAsia="DejaVu Sans" w:cs="DejaVu Sans"/>
          <w:i/>
          <w:iCs/>
          <w:color w:val="000000"/>
          <w:lang w:val="en-US" w:eastAsia="en-US" w:bidi="en-US"/>
        </w:rPr>
        <w:t>), caso a contratação envolva, de qualquer forma, o tratamento de dados pessoais, devendo ser incluída e ajustada nessa hipótese.</w:t>
      </w:r>
    </w:p>
    <w:p>
      <w:pPr>
        <w:overflowPunct w:val="false"/>
        <w:rPr/>
      </w:pPr>
      <w:r>
        <w:rPr>
          <w:rFonts w:ascii="Liberation Serif" w:hAnsi="Liberation Serif" w:eastAsia="DejaVu Sans" w:cs="DejaVu Sans"/>
          <w:b/>
          <w:bCs/>
          <w:i/>
          <w:iCs/>
          <w:color w:val="000000"/>
          <w:lang w:val="en-US" w:eastAsia="en-US" w:bidi="en-US"/>
        </w:rPr>
        <w:t xml:space="preserve">Nota Explicativa 2: </w:t>
      </w:r>
      <w:r>
        <w:rPr>
          <w:rFonts w:ascii="Liberation Serif" w:hAnsi="Liberation Serif" w:eastAsia="DejaVu Sans" w:cs="DejaVu Sans"/>
          <w:i/>
          <w:iCs/>
          <w:color w:val="000000"/>
          <w:lang w:val="en-US" w:eastAsia="en-US" w:bidi="en-US"/>
        </w:rPr>
        <w:t>Caso o objeto do contrato envolva, ainda que indiretamente, o acesso ou o tratamento de dados pessoais, é possível que a Administração estabeleça modelagem contratual por meio da qual seja imposto ao Contratado o dever de disponibilizar à Administração a possibilidade de acesso direto a esses dados, o que deve se dar com todas as cautelas cabíveis em relação ao tema.</w:t>
      </w:r>
    </w:p>
    <w:p>
      <w:pPr>
        <w:overflowPunct w:val="false"/>
        <w:rPr/>
      </w:pPr>
      <w:r>
        <w:rPr>
          <w:rFonts w:ascii="Liberation Serif" w:hAnsi="Liberation Serif" w:eastAsia="DejaVu Sans" w:cs="DejaVu Sans"/>
          <w:i/>
          <w:iCs/>
          <w:color w:val="000000"/>
          <w:lang w:val="en-US" w:eastAsia="en-US" w:bidi="en-US"/>
        </w:rPr>
        <w:t>Vale lembrar que eventual requerimento administrativo do titular dos dados será direcionado à Administração, sendo certo que comandos oriundos de Autoridade Regulatória ou do Poder Judiciário serão igualmente direcionados à Administração, inclusive com risco de responsabilização objetiva. Por isso, em situações em que for justificável, fica a recomendação para que a Administração crie condições para que possa atender tempestivamente o requerimento do titular dos dados ou eventual comando regulatório ou judicial. Tudo isso para que a Administração tenha condições de atender o requerimento ou comando tempestivamente, sem depender exclusivamente do Contratado para tanto.</w:t>
      </w:r>
    </w:p>
    <w:p>
      <w:pPr>
        <w:overflowPunct w:val="false"/>
        <w:rPr/>
      </w:pPr>
      <w:r>
        <w:rPr>
          <w:rFonts w:ascii="Liberation Serif" w:hAnsi="Liberation Serif" w:eastAsia="DejaVu Sans" w:cs="DejaVu Sans"/>
          <w:i/>
          <w:iCs/>
          <w:color w:val="000000"/>
          <w:lang w:val="en-US" w:eastAsia="en-US" w:bidi="en-US"/>
        </w:rPr>
        <w:t>O tema deve ser avaliado pela Administração com base nos riscos da contratação em relação aos dados pessoais eventualmente envolvidos.</w:t>
      </w:r>
    </w:p>
  </w:comment>
  <w:comment w:id="15" w:author="Autor" w:date="0-00-00T00:00:00Z" w:initials="A">
    <w:p>
      <w:pPr>
        <w:overflowPunct w:val="false"/>
        <w:rPr/>
      </w:pPr>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Conforme PARECER n. 00004/2022/CNMLC/CGU/AGU, é possível também a exigência de declaração, firmada por representante da empresa, de que seus empregados estão capacitados e/ou firmaram termo de responsabilidade de cumprimento da LGPD. Ademais, em situações específicas, é possível exigir tal providência de cada empregado. Incumbe ao Contratante avaliar a necessidade de medida dessa natureza. </w:t>
      </w:r>
    </w:p>
  </w:comment>
  <w:comment w:id="16" w:author="Autor" w:date="0-00-00T00:00:00Z" w:initials="A">
    <w:p>
      <w:pPr>
        <w:overflowPunct w:val="false"/>
        <w:rPr/>
      </w:pPr>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Se o Contratante entender oportuno, é possível especificar, nesta cláusula, rotinas ou diligências mais adequadas ao objeto contratual respectivo. </w:t>
      </w:r>
    </w:p>
  </w:comment>
  <w:comment w:id="17" w:author="Autor" w:date="0-00-00T00:00:00Z" w:initials="A">
    <w:p>
      <w:pPr>
        <w:overflowPunct w:val="false"/>
        <w:rPr/>
      </w:pPr>
      <w:r>
        <w:rPr>
          <w:rFonts w:ascii="Liberation Serif" w:hAnsi="Liberation Serif" w:eastAsia="DejaVu Sans" w:cs="DejaVu Sans"/>
          <w:b/>
          <w:bCs/>
          <w:i/>
          <w:iCs/>
          <w:color w:val="000000"/>
          <w:lang w:val="en-US" w:eastAsia="en-US" w:bidi="en-US"/>
        </w:rPr>
        <w:t>Nota Explicativa 1</w:t>
      </w:r>
      <w:r>
        <w:rPr>
          <w:rFonts w:ascii="Liberation Serif" w:hAnsi="Liberation Serif" w:eastAsia="DejaVu Sans" w:cs="DejaVu Sans"/>
          <w:i/>
          <w:iCs/>
          <w:color w:val="000000"/>
          <w:lang w:val="en-US" w:eastAsia="en-US" w:bidi="en-US"/>
        </w:rPr>
        <w:t xml:space="preserve">: Recomenda-se avaliar e, se for o caso, incluir disposição sobre transferência internacional de dados, estabelecendo alguma rotina para sua eventual realização. Trata-se de questão específica para contratos que envolvam o tratamento de dados no seu objeto, não sendo medida necessária para contratos em geral. </w:t>
      </w:r>
    </w:p>
    <w:p>
      <w:pPr>
        <w:overflowPunct w:val="false"/>
        <w:rPr/>
      </w:pPr>
      <w:r>
        <w:rPr>
          <w:rFonts w:ascii="Liberation Serif" w:hAnsi="Liberation Serif" w:eastAsia="DejaVu Sans" w:cs="DejaVu Sans"/>
          <w:b/>
          <w:bCs/>
          <w:i/>
          <w:iCs/>
          <w:color w:val="000000"/>
          <w:lang w:val="en-US" w:eastAsia="en-US" w:bidi="en-US"/>
        </w:rPr>
        <w:t>Nota explicativa 2:</w:t>
      </w:r>
      <w:r>
        <w:rPr>
          <w:rFonts w:ascii="Liberation Serif" w:hAnsi="Liberation Serif" w:eastAsia="DejaVu Sans" w:cs="DejaVu Sans"/>
          <w:i/>
          <w:iCs/>
          <w:color w:val="000000"/>
          <w:lang w:val="en-US" w:eastAsia="en-US" w:bidi="en-US"/>
        </w:rPr>
        <w:t xml:space="preserve"> Todas as disposições da presente cláusula são meramente indicativas. Pode ser necessário que se suprimam algumas das obrigações ou se arrolem outras, conforme as peculiaridades do órgão e as especificações do serviço a ser executado.</w:t>
      </w:r>
    </w:p>
  </w:comment>
  <w:comment w:id="18" w:author="Autor" w:date="0-00-00T00:00:00Z" w:initials="A">
    <w:p>
      <w:pPr>
        <w:overflowPunct w:val="false"/>
        <w:rPr/>
      </w:pPr>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 </w:t>
      </w:r>
    </w:p>
  </w:comment>
  <w:comment w:id="19" w:author="Autor" w:date="0-00-00T00:00:00Z" w:initials="A">
    <w:p>
      <w:pPr>
        <w:overflowPunct w:val="true"/>
        <w:rPr/>
      </w:pPr>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w:t>
      </w:r>
      <w:r>
        <w:fldChar w:fldCharType="begin"/>
      </w:r>
      <w:r>
        <w:instrText xml:space="preserve"> HYPERLINK "http://www.planalto.gov.br/ccivil_03/_ato2019-2022/2021/lei/L14133.htm" \l "art156§3"</w:instrText>
      </w:r>
      <w:r>
        <w:fldChar w:fldCharType="separate"/>
      </w:r>
      <w:r>
        <w:rPr>
          <w:rFonts w:ascii="Liberation Serif" w:hAnsi="Liberation Serif" w:eastAsia="DejaVu Sans" w:cs="DejaVu Sans"/>
          <w:i/>
          <w:iCs/>
          <w:color w:val="000000"/>
          <w:lang w:val="en-US" w:eastAsia="en-US" w:bidi="en-US"/>
        </w:rPr>
        <w:t>O art. 156, §3º, da Lei nº 14.133, de 2021</w:t>
      </w:r>
      <w:r>
        <w:fldChar w:fldCharType="end"/>
      </w:r>
      <w:r>
        <w:rPr>
          <w:rFonts w:ascii="Liberation Serif" w:hAnsi="Liberation Serif" w:eastAsia="DejaVu Sans" w:cs="DejaVu Sans"/>
          <w:i/>
          <w:iCs/>
          <w:color w:val="000000"/>
          <w:lang w:val="en-US" w:eastAsia="en-US" w:bidi="en-US"/>
        </w:rPr>
        <w:t xml:space="preserve">, esclarece que “a multa não poderá ser inferior a 0,5% (cinco décimos por cento) nem superior a 30% (trinta por cento) do valor do contrato licitado ou celebrado com contratação direta e será aplicada ao responsável por qualquer das infrações administrativas previstas no </w:t>
      </w:r>
      <w:r>
        <w:fldChar w:fldCharType="begin"/>
      </w:r>
      <w:r>
        <w:instrText xml:space="preserve"> HYPERLINK "http://www.planalto.gov.br/ccivil_03/_ato2019-2022/2021/lei/L14133.htm" \l "art155"</w:instrText>
      </w:r>
      <w:r>
        <w:fldChar w:fldCharType="separate"/>
      </w:r>
      <w:r>
        <w:rPr>
          <w:rFonts w:ascii="Liberation Serif" w:hAnsi="Liberation Serif" w:eastAsia="DejaVu Sans" w:cs="DejaVu Sans"/>
          <w:i/>
          <w:iCs/>
          <w:color w:val="000000"/>
          <w:lang w:val="en-US" w:eastAsia="en-US" w:bidi="en-US"/>
        </w:rPr>
        <w:t>art. 155 desta Lei</w:t>
      </w:r>
      <w:r>
        <w:fldChar w:fldCharType="end"/>
      </w:r>
      <w:r>
        <w:rPr>
          <w:rFonts w:ascii="Liberation Serif" w:hAnsi="Liberation Serif" w:eastAsia="DejaVu Sans" w:cs="DejaVu Sans"/>
          <w:i/>
          <w:iCs/>
          <w:color w:val="000000"/>
          <w:lang w:val="en-US" w:eastAsia="en-US" w:bidi="en-US"/>
        </w:rPr>
        <w:t xml:space="preserve">”. </w:t>
      </w:r>
    </w:p>
  </w:comment>
  <w:comment w:id="20" w:author="Autor" w:date="0-00-00T00:00:00Z" w:initials="A">
    <w:p>
      <w:pPr>
        <w:overflowPunct w:val="true"/>
        <w:rPr/>
      </w:pPr>
      <w:r>
        <w:rPr>
          <w:rFonts w:ascii="Liberation Serif" w:hAnsi="Liberation Serif" w:eastAsia="DejaVu Sans" w:cs="DejaVu Sans"/>
          <w:b/>
          <w:bCs/>
          <w:i/>
          <w:iCs/>
          <w:color w:val="000000"/>
          <w:lang w:val="en-US" w:eastAsia="en-US" w:bidi="en-US"/>
        </w:rPr>
        <w:t xml:space="preserve">Nota Explicativa: </w:t>
      </w:r>
      <w:r>
        <w:rPr>
          <w:rFonts w:ascii="Liberation Serif" w:hAnsi="Liberation Serif" w:eastAsia="DejaVu Sans" w:cs="DejaVu Sans"/>
          <w:i/>
          <w:iCs/>
          <w:color w:val="000000"/>
          <w:lang w:val="en-US" w:eastAsia="en-US" w:bidi="en-US"/>
        </w:rPr>
        <w:t>Recomenda-se suprimir a sanção relativa à apresentação, reposição ou suplementação da garantia caso esta não seja exigida para a contratação.</w:t>
      </w:r>
    </w:p>
  </w:comment>
  <w:comment w:id="21" w:author="Autor" w:date="0-00-00T00:00:00Z" w:initials="A">
    <w:p>
      <w:pPr>
        <w:overflowPunct w:val="true"/>
        <w:rPr/>
      </w:pPr>
      <w:r>
        <w:rPr>
          <w:rFonts w:ascii="Liberation Serif" w:hAnsi="Liberation Serif" w:eastAsia="DejaVu Sans" w:cs="DejaVu Sans"/>
          <w:b/>
          <w:bCs/>
          <w:i/>
          <w:iCs/>
          <w:lang w:val="en-US" w:eastAsia="en-US" w:bidi="en-US"/>
        </w:rPr>
        <w:t>Nota Explicativa</w:t>
      </w:r>
      <w:r>
        <w:rPr>
          <w:rFonts w:ascii="Liberation Serif" w:hAnsi="Liberation Serif" w:eastAsia="DejaVu Sans" w:cs="DejaVu Sans"/>
          <w:i/>
          <w:iCs/>
          <w:lang w:val="en-US" w:eastAsia="en-US" w:bidi="en-US"/>
        </w:rPr>
        <w:t>: A redação dos itens 3 a 7 é apenas exemplificativa. A ideia é que haja uma multa maior para infrações mais graves e menor para infrações menos graves. Segundo a própria Lei, as infrações sujeitas à declaração inidoneidade são mais graves que as sujeitas à pena de impedimento.</w:t>
      </w:r>
    </w:p>
  </w:comment>
  <w:comment w:id="22" w:author="Autor" w:date="0-00-00T00:00:00Z" w:initials="A">
    <w:p>
      <w:pPr>
        <w:overflowPunct w:val="false"/>
        <w:rPr/>
      </w:pPr>
      <w:r>
        <w:rPr>
          <w:rFonts w:ascii="Liberation Serif" w:hAnsi="Liberation Serif" w:eastAsia="DejaVu Sans" w:cs="DejaVu Sans"/>
          <w:b/>
          <w:bCs/>
          <w:i/>
          <w:iCs/>
          <w:color w:val="000000"/>
          <w:lang w:val="en-US" w:eastAsia="en-US" w:bidi="en-US"/>
        </w:rPr>
        <w:t xml:space="preserve">Nota Explicativa: </w:t>
      </w:r>
      <w:r>
        <w:rPr>
          <w:rFonts w:ascii="Liberation Serif" w:hAnsi="Liberation Serif" w:eastAsia="DejaVu Sans" w:cs="DejaVu Sans"/>
          <w:i/>
          <w:iCs/>
          <w:color w:val="000000"/>
          <w:lang w:val="en-US" w:eastAsia="en-US" w:bidi="en-US"/>
        </w:rPr>
        <w:t xml:space="preserve">Use a redação abaixo para os contratos por escopo, assim considerados os contratos nos quais se impõe ao contratado o dever de realizar a prestação de um serviço específico em um período predeterminado. Ex: realizar a reforma de um imóvel público no prazo de 120 dias. </w:t>
      </w:r>
    </w:p>
  </w:comment>
  <w:comment w:id="23" w:author="Autor" w:date="0-00-00T00:00:00Z" w:initials="A">
    <w:p>
      <w:pPr>
        <w:overflowPunct w:val="false"/>
        <w:rPr/>
      </w:pPr>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Use a redação dos itens 13.4 a 13.7 para os contratos de serviços contínuos e de aluguel de equipamentos e à utilização de programas de informática (</w:t>
      </w:r>
      <w:r>
        <w:fldChar w:fldCharType="begin"/>
      </w:r>
      <w:r>
        <w:instrText xml:space="preserve"> HYPERLINK "http://www.planalto.gov.br/ccivil_03/_ato2019-2022/2021/lei/L14133.htm" \l "art106"</w:instrText>
      </w:r>
      <w:r>
        <w:fldChar w:fldCharType="separate"/>
      </w:r>
      <w:r>
        <w:rPr>
          <w:rFonts w:ascii="Liberation Serif" w:hAnsi="Liberation Serif" w:eastAsia="DejaVu Sans" w:cs="DejaVu Sans"/>
          <w:i/>
          <w:iCs/>
          <w:color w:val="000000"/>
          <w:lang w:val="en-US" w:eastAsia="en-US" w:bidi="en-US"/>
        </w:rPr>
        <w:t>art. 106. NLLC</w:t>
      </w:r>
      <w:r>
        <w:fldChar w:fldCharType="end"/>
      </w:r>
      <w:r>
        <w:rPr>
          <w:rFonts w:ascii="Liberation Serif" w:hAnsi="Liberation Serif" w:eastAsia="DejaVu Sans" w:cs="DejaVu Sans"/>
          <w:i/>
          <w:iCs/>
          <w:color w:val="000000"/>
          <w:lang w:val="en-US" w:eastAsia="en-US" w:bidi="en-US"/>
        </w:rPr>
        <w:t>)</w:t>
      </w:r>
    </w:p>
  </w:comment>
  <w:comment w:id="24" w:author="Autor" w:date="0-00-00T00:00:00Z" w:initials="A">
    <w:p>
      <w:pPr>
        <w:overflowPunct w:val="false"/>
        <w:rPr/>
      </w:pPr>
      <w:r>
        <w:rPr>
          <w:rFonts w:ascii="Liberation Serif" w:hAnsi="Liberation Serif" w:eastAsia="DejaVu Sans" w:cs="DejaVu Sans"/>
          <w:b/>
          <w:bCs/>
          <w:i/>
          <w:iCs/>
          <w:color w:val="000000"/>
          <w:lang w:val="en-US" w:eastAsia="en-US" w:bidi="en-US"/>
        </w:rPr>
        <w:t xml:space="preserve">Nota Explicativa: </w:t>
      </w:r>
      <w:r>
        <w:rPr>
          <w:rFonts w:ascii="Liberation Serif" w:hAnsi="Liberation Serif" w:eastAsia="DejaVu Sans" w:cs="DejaVu Sans"/>
          <w:i/>
          <w:iCs/>
          <w:color w:val="000000"/>
          <w:lang w:val="en-US" w:eastAsia="en-US" w:bidi="en-US"/>
        </w:rPr>
        <w:t xml:space="preserve">A sistemática do item 13.7 decorre do que dispõe o </w:t>
      </w:r>
      <w:r>
        <w:fldChar w:fldCharType="begin"/>
      </w:r>
      <w:r>
        <w:instrText xml:space="preserve"> HYPERLINK "http://www.planalto.gov.br/ccivil_03/_ato2019-2022/2021/lei/L14133.htm" \l "art106§1"</w:instrText>
      </w:r>
      <w:r>
        <w:fldChar w:fldCharType="separate"/>
      </w:r>
      <w:r>
        <w:rPr>
          <w:rFonts w:ascii="Liberation Serif" w:hAnsi="Liberation Serif" w:eastAsia="DejaVu Sans" w:cs="DejaVu Sans"/>
          <w:i/>
          <w:iCs/>
          <w:color w:val="000000"/>
          <w:lang w:val="en-US" w:eastAsia="en-US" w:bidi="en-US"/>
        </w:rPr>
        <w:t>art. 106, III e §1º, da Lei nº 14.133/21</w:t>
      </w:r>
      <w:r>
        <w:fldChar w:fldCharType="end"/>
      </w:r>
      <w:r>
        <w:rPr>
          <w:rFonts w:ascii="Liberation Serif" w:hAnsi="Liberation Serif" w:eastAsia="DejaVu Sans" w:cs="DejaVu Sans"/>
          <w:i/>
          <w:iCs/>
          <w:color w:val="000000"/>
          <w:lang w:val="en-US" w:eastAsia="en-US" w:bidi="en-US"/>
        </w:rPr>
        <w:t xml:space="preserve">. Para a sua compreensão, vale trazer um exemplo: </w:t>
      </w:r>
    </w:p>
    <w:p>
      <w:pPr>
        <w:overflowPunct w:val="false"/>
        <w:rPr/>
      </w:pPr>
      <w:r>
        <w:rPr>
          <w:rFonts w:ascii="Liberation Serif" w:hAnsi="Liberation Serif" w:eastAsia="DejaVu Sans" w:cs="DejaVu Sans"/>
          <w:i/>
          <w:iCs/>
          <w:color w:val="000000"/>
          <w:lang w:val="en-US" w:eastAsia="en-US" w:bidi="en-US"/>
        </w:rPr>
        <w:t xml:space="preserve">Um contrato firmado em 20 de maio de 2022 fará aniversário no dia 20 de maio dos anos subsequentes. Supondo-se que se chegue à conclusão pela descontinuidade do contrato, seja por razões orçamentárias, seja por ausência de vantagem na permanência, há três possibilidades: </w:t>
      </w:r>
    </w:p>
    <w:p>
      <w:pPr>
        <w:overflowPunct w:val="false"/>
        <w:rPr/>
      </w:pPr>
      <w:r>
        <w:rPr>
          <w:rFonts w:ascii="Liberation Serif" w:hAnsi="Liberation Serif" w:eastAsia="DejaVu Sans" w:cs="DejaVu Sans"/>
          <w:i/>
          <w:iCs/>
          <w:color w:val="000000"/>
          <w:lang w:val="en-US" w:eastAsia="en-US" w:bidi="en-US"/>
        </w:rPr>
        <w:t xml:space="preserve">1) Se a comunicação ao contratado noticiando a rescisão ocorrer até 20 de março (dois meses antes da data de aniversário), a extinção poderá ocorrer na data de aniversário, ou seja, 20 de maio. </w:t>
      </w:r>
    </w:p>
    <w:p>
      <w:pPr>
        <w:overflowPunct w:val="false"/>
        <w:rPr/>
      </w:pPr>
      <w:r>
        <w:rPr>
          <w:rFonts w:ascii="Liberation Serif" w:hAnsi="Liberation Serif" w:eastAsia="DejaVu Sans" w:cs="DejaVu Sans"/>
          <w:i/>
          <w:iCs/>
          <w:color w:val="000000"/>
          <w:lang w:val="en-US" w:eastAsia="en-US" w:bidi="en-US"/>
        </w:rPr>
        <w:t xml:space="preserve">2) Se a comunicação se der entre 20 de março e 20 de maio (menos de dois meses), fica garantida a vigência contratual por mais dois meses (portanto, por exemplo, se a notificação for em 20 de abril, a extinção seria em 20 de junho). </w:t>
      </w:r>
    </w:p>
    <w:p>
      <w:pPr>
        <w:overflowPunct w:val="false"/>
        <w:rPr/>
      </w:pPr>
      <w:r>
        <w:rPr>
          <w:rFonts w:ascii="Liberation Serif" w:hAnsi="Liberation Serif" w:eastAsia="DejaVu Sans" w:cs="DejaVu Sans"/>
          <w:i/>
          <w:iCs/>
          <w:color w:val="000000"/>
          <w:lang w:val="en-US" w:eastAsia="en-US" w:bidi="en-US"/>
        </w:rPr>
        <w:t>3) Por fim, uma comunicação de extinção havida após a data de aniversário só teria efeito no aniversário subsequente, salvo se houver enquadramento na situação “2”.</w:t>
      </w:r>
    </w:p>
  </w:comment>
  <w:comment w:id="25" w:author="Autor" w:date="0-00-00T00:00:00Z" w:initials="A">
    <w:p>
      <w:pPr>
        <w:overflowPunct w:val="false"/>
        <w:rPr/>
      </w:pPr>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O </w:t>
      </w:r>
      <w:r>
        <w:fldChar w:fldCharType="begin"/>
      </w:r>
      <w:r>
        <w:instrText xml:space="preserve"> HYPERLINK "http://www.planalto.gov.br/ccivil_03/_ato2019-2022/2021/lei/L14133.htm" \l "art106"</w:instrText>
      </w:r>
      <w:r>
        <w:fldChar w:fldCharType="separate"/>
      </w:r>
      <w:r>
        <w:rPr>
          <w:rFonts w:ascii="Liberation Serif" w:hAnsi="Liberation Serif" w:eastAsia="DejaVu Sans" w:cs="DejaVu Sans"/>
          <w:i/>
          <w:iCs/>
          <w:color w:val="000000"/>
          <w:lang w:val="en-US" w:eastAsia="en-US" w:bidi="en-US"/>
        </w:rPr>
        <w:t>art. 106, II, da Lei nº 14.133/21</w:t>
      </w:r>
      <w:r>
        <w:fldChar w:fldCharType="end"/>
      </w:r>
      <w:r>
        <w:rPr>
          <w:rFonts w:ascii="Liberation Serif" w:hAnsi="Liberation Serif" w:eastAsia="DejaVu Sans" w:cs="DejaVu Sans"/>
          <w:i/>
          <w:iCs/>
          <w:color w:val="000000"/>
          <w:lang w:val="en-US" w:eastAsia="en-US" w:bidi="en-US"/>
        </w:rPr>
        <w:t xml:space="preserve"> prevê para contratações de serviços continuados que “a Administração deverá atestar, no início da contratação e de cada exercício, a existência de créditos orçamentários vinculados à contratação e a vantagem em sua manutenção”. </w:t>
      </w:r>
    </w:p>
  </w:comment>
  <w:comment w:id="26" w:author="Autor" w:date="0-00-00T00:00:00Z" w:initials="A">
    <w:p>
      <w:pPr>
        <w:overflowPunct w:val="false"/>
        <w:rPr/>
      </w:pPr>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No Acórdão n.º 2569/2018 – Plenário, o TCU concluiu que “A Administração Pública pode invocar </w:t>
      </w:r>
      <w:hyperlink r:id="rId6">
        <w:r>
          <w:rPr>
            <w:rFonts w:ascii="Liberation Serif" w:hAnsi="Liberation Serif" w:eastAsia="DejaVu Sans" w:cs="DejaVu Sans"/>
            <w:i/>
            <w:iCs/>
            <w:color w:val="000000"/>
            <w:lang w:val="en-US" w:eastAsia="en-US" w:bidi="en-US"/>
          </w:rPr>
          <w:t>a Lei 8.078/1990 (CDC</w:t>
        </w:r>
      </w:hyperlink>
      <w:r>
        <w:rPr>
          <w:rFonts w:ascii="Liberation Serif" w:hAnsi="Liberation Serif" w:eastAsia="DejaVu Sans" w:cs="DejaVu Sans"/>
          <w:i/>
          <w:iCs/>
          <w:color w:val="000000"/>
          <w:lang w:val="en-US" w:eastAsia="en-US" w:bidi="en-US"/>
        </w:rPr>
        <w:t xml:space="preserve">), na condição de destinatária final de bens e serviços, quando suas prerrogativas estabelecidas na legislação de licitações e contratos forem insuficientes para garantir a proteção mínima dos interesses da sociedade [...]”. (cf. Boletim de Jurisprudência n.º 244, sessões 6 e 7 de novembro de 2018). Consta do referido Acórdão, nesse sentido, que: </w:t>
      </w:r>
    </w:p>
    <w:p>
      <w:pPr>
        <w:overflowPunct w:val="false"/>
        <w:rPr/>
      </w:pPr>
      <w:r>
        <w:rPr>
          <w:rFonts w:ascii="Liberation Serif" w:hAnsi="Liberation Serif" w:eastAsia="DejaVu Sans" w:cs="DejaVu Sans"/>
          <w:i/>
          <w:iCs/>
          <w:color w:val="000000"/>
          <w:lang w:val="en-US" w:eastAsia="en-US" w:bidi="en-US"/>
        </w:rPr>
        <w:t xml:space="preserve">“307. Como é exposto no exame técnico transcrito no relatório do TC-016.501/2003-0, acolhido integralmente pelo Relator do Acórdão 1.670/2003-Plenário, Ministro-Substituto Lincoln Magalhães da Rocha, a </w:t>
      </w:r>
      <w:hyperlink r:id="rId7">
        <w:r>
          <w:rPr>
            <w:rFonts w:ascii="Liberation Serif" w:hAnsi="Liberation Serif" w:eastAsia="DejaVu Sans" w:cs="DejaVu Sans"/>
            <w:i/>
            <w:iCs/>
            <w:color w:val="000000"/>
            <w:lang w:val="en-US" w:eastAsia="en-US" w:bidi="en-US"/>
          </w:rPr>
          <w:t>Lei 8.078/1990</w:t>
        </w:r>
      </w:hyperlink>
      <w:r>
        <w:rPr>
          <w:rFonts w:ascii="Liberation Serif" w:hAnsi="Liberation Serif" w:eastAsia="DejaVu Sans" w:cs="DejaVu Sans"/>
          <w:i/>
          <w:iCs/>
          <w:color w:val="000000"/>
          <w:lang w:val="en-US" w:eastAsia="en-US" w:bidi="en-US"/>
        </w:rPr>
        <w:t xml:space="preserve">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464201752"/>
    </w:sdtPr>
    <w:sdtContent>
      <w:p>
        <w:pPr>
          <w:pStyle w:val="Footer"/>
          <w:rPr>
            <w:rFonts w:ascii="Arial" w:hAnsi="Arial" w:cs="Arial"/>
            <w:color w:themeColor="text2" w:themeTint="99" w:val="548DD4"/>
            <w:spacing w:val="60"/>
            <w:sz w:val="16"/>
            <w:szCs w:val="16"/>
          </w:rPr>
        </w:pPr>
        <w:r>
          <w:rPr>
            <w:rFonts w:cs="Arial" w:ascii="Arial" w:hAnsi="Arial"/>
            <w:color w:themeColor="text2" w:themeTint="99" w:val="548DD4"/>
            <w:spacing w:val="60"/>
            <w:sz w:val="22"/>
            <w:szCs w:val="22"/>
          </w:rPr>
          <w:tab/>
          <w:tab/>
        </w:r>
      </w:p>
      <w:p>
        <w:pPr>
          <w:pStyle w:val="Footer"/>
          <w:rPr>
            <w:rFonts w:ascii="Arial" w:hAnsi="Arial" w:cs="Arial"/>
            <w:color w:themeColor="text1" w:themeTint="80" w:val="7F7F7F"/>
            <w:sz w:val="18"/>
            <w:szCs w:val="18"/>
          </w:rPr>
        </w:pPr>
        <w:r>
          <w:rPr>
            <w:rFonts w:cs="Arial" w:ascii="Arial" w:hAnsi="Arial"/>
            <w:color w:themeColor="text1" w:themeTint="80" w:val="7F7F7F"/>
            <w:spacing w:val="60"/>
            <w:sz w:val="22"/>
            <w:szCs w:val="22"/>
          </w:rPr>
          <w:tab/>
          <w:tab/>
        </w:r>
        <w:r>
          <w:rPr>
            <w:rFonts w:cs="Arial" w:ascii="Arial" w:hAnsi="Arial"/>
            <w:color w:themeColor="text1" w:themeTint="a6" w:val="595959"/>
            <w:spacing w:val="60"/>
            <w:sz w:val="18"/>
            <w:szCs w:val="18"/>
          </w:rPr>
          <w:t>Página</w:t>
        </w:r>
        <w:r>
          <w:rPr>
            <w:rFonts w:cs="Arial" w:ascii="Arial" w:hAnsi="Arial"/>
            <w:color w:themeColor="text1" w:themeTint="a6" w:val="595959"/>
            <w:sz w:val="18"/>
            <w:szCs w:val="18"/>
          </w:rPr>
          <w:t xml:space="preserve"> </w:t>
        </w:r>
        <w:r>
          <w:rPr>
            <w:rFonts w:cs="Arial" w:ascii="Arial" w:hAnsi="Arial"/>
            <w:color w:val="595959"/>
            <w:sz w:val="18"/>
            <w:szCs w:val="18"/>
          </w:rPr>
          <w:fldChar w:fldCharType="begin"/>
        </w:r>
        <w:r>
          <w:rPr>
            <w:sz w:val="18"/>
            <w:szCs w:val="18"/>
            <w:rFonts w:cs="Arial" w:ascii="Arial" w:hAnsi="Arial"/>
            <w:color w:val="595959"/>
          </w:rPr>
          <w:instrText xml:space="preserve"> PAGE </w:instrText>
        </w:r>
        <w:r>
          <w:rPr>
            <w:sz w:val="18"/>
            <w:szCs w:val="18"/>
            <w:rFonts w:cs="Arial" w:ascii="Arial" w:hAnsi="Arial"/>
            <w:color w:val="595959"/>
          </w:rPr>
          <w:fldChar w:fldCharType="separate"/>
        </w:r>
        <w:r>
          <w:rPr>
            <w:sz w:val="18"/>
            <w:szCs w:val="18"/>
            <w:rFonts w:cs="Arial" w:ascii="Arial" w:hAnsi="Arial"/>
            <w:color w:val="595959"/>
          </w:rPr>
          <w:t>10</w:t>
        </w:r>
        <w:r>
          <w:rPr>
            <w:sz w:val="18"/>
            <w:szCs w:val="18"/>
            <w:rFonts w:cs="Arial" w:ascii="Arial" w:hAnsi="Arial"/>
            <w:color w:val="595959"/>
          </w:rPr>
          <w:fldChar w:fldCharType="end"/>
        </w:r>
        <w:r>
          <w:rPr>
            <w:rFonts w:cs="Arial" w:ascii="Arial" w:hAnsi="Arial"/>
            <w:color w:themeColor="text1" w:themeTint="a6" w:val="595959"/>
            <w:sz w:val="18"/>
            <w:szCs w:val="18"/>
          </w:rPr>
          <w:t xml:space="preserve"> | </w:t>
        </w:r>
        <w:r>
          <w:rPr>
            <w:rFonts w:cs="Arial" w:ascii="Arial" w:hAnsi="Arial"/>
            <w:color w:val="595959"/>
            <w:sz w:val="18"/>
            <w:szCs w:val="18"/>
          </w:rPr>
          <w:fldChar w:fldCharType="begin"/>
        </w:r>
        <w:r>
          <w:rPr>
            <w:sz w:val="18"/>
            <w:szCs w:val="18"/>
            <w:rFonts w:cs="Arial" w:ascii="Arial" w:hAnsi="Arial"/>
            <w:color w:val="595959"/>
          </w:rPr>
          <w:instrText xml:space="preserve"> NUMPAGES </w:instrText>
        </w:r>
        <w:r>
          <w:rPr>
            <w:sz w:val="18"/>
            <w:szCs w:val="18"/>
            <w:rFonts w:cs="Arial" w:ascii="Arial" w:hAnsi="Arial"/>
            <w:color w:val="595959"/>
          </w:rPr>
          <w:fldChar w:fldCharType="separate"/>
        </w:r>
        <w:r>
          <w:rPr>
            <w:sz w:val="18"/>
            <w:szCs w:val="18"/>
            <w:rFonts w:cs="Arial" w:ascii="Arial" w:hAnsi="Arial"/>
            <w:color w:val="595959"/>
          </w:rPr>
          <w:t>10</w:t>
        </w:r>
        <w:r>
          <w:rPr>
            <w:sz w:val="18"/>
            <w:szCs w:val="18"/>
            <w:rFonts w:cs="Arial" w:ascii="Arial" w:hAnsi="Arial"/>
            <w:color w:val="595959"/>
          </w:rPr>
          <w:fldChar w:fldCharType="end"/>
        </w:r>
      </w:p>
      <w:p>
        <w:pPr>
          <w:pStyle w:val="Footer"/>
          <w:rPr>
            <w:rFonts w:ascii="Arial" w:hAnsi="Arial" w:cs="Arial"/>
            <w:sz w:val="14"/>
            <w:szCs w:val="14"/>
          </w:rPr>
        </w:pPr>
        <w:r>
          <w:rPr>
            <w:rFonts w:cs="Arial" w:ascii="Arial" w:hAnsi="Arial"/>
            <w:sz w:val="14"/>
            <w:szCs w:val="14"/>
          </w:rPr>
          <w:t>Câmara Nacional de Modelos de Licitações e Contratos da Consultoria-Geral da União</w:t>
        </w:r>
      </w:p>
      <w:p>
        <w:pPr>
          <w:pStyle w:val="Footer"/>
          <w:rPr>
            <w:rFonts w:ascii="Arial" w:hAnsi="Arial" w:cs="Arial"/>
            <w:sz w:val="14"/>
            <w:szCs w:val="14"/>
          </w:rPr>
        </w:pPr>
        <w:r>
          <w:rPr>
            <w:rFonts w:cs="Arial" w:ascii="Arial" w:hAnsi="Arial"/>
            <w:sz w:val="14"/>
            <w:szCs w:val="14"/>
          </w:rPr>
          <w:t>Atualização: maio/2023</w:t>
        </w:r>
      </w:p>
      <w:p>
        <w:pPr>
          <w:pStyle w:val="Footer"/>
          <w:rPr>
            <w:rFonts w:ascii="Arial" w:hAnsi="Arial" w:cs="Arial"/>
            <w:sz w:val="14"/>
            <w:szCs w:val="14"/>
          </w:rPr>
        </w:pPr>
        <w:r>
          <w:rPr>
            <w:rFonts w:cs="Arial" w:ascii="Arial" w:hAnsi="Arial"/>
            <w:sz w:val="14"/>
            <w:szCs w:val="14"/>
          </w:rPr>
          <w:t>Termo de contrato modelo para Dispensa Eletrônica – Serviços sem mão de obra em regime de dedicação exclusiva - Lei n.º 14.133, de 2021.</w:t>
        </w:r>
      </w:p>
      <w:p>
        <w:pPr>
          <w:pStyle w:val="Footer"/>
          <w:rPr>
            <w:rFonts w:ascii="Arial" w:hAnsi="Arial" w:cs="Arial"/>
            <w:sz w:val="14"/>
            <w:szCs w:val="14"/>
          </w:rPr>
        </w:pPr>
        <w:r>
          <w:rPr>
            <w:rFonts w:cs="Arial" w:ascii="Arial" w:hAnsi="Arial"/>
            <w:sz w:val="14"/>
            <w:szCs w:val="14"/>
          </w:rPr>
          <w:t>Aprovado pela Secretaria de Gestão e Inovação.</w:t>
        </w:r>
      </w:p>
      <w:p>
        <w:pPr>
          <w:pStyle w:val="Footer"/>
          <w:rPr>
            <w:rFonts w:ascii="Arial" w:hAnsi="Arial" w:cs="Arial"/>
          </w:rPr>
        </w:pPr>
        <w:r>
          <w:rPr>
            <w:rFonts w:cs="Arial" w:ascii="Arial" w:hAnsi="Arial"/>
            <w:sz w:val="14"/>
            <w:szCs w:val="14"/>
          </w:rPr>
          <w:t>Identidade visual pela Secretaria de Gestão e Inovação</w:t>
        </w:r>
      </w:p>
    </w:sdtContent>
  </w:sdt>
  <w:p>
    <w:pPr>
      <w:pStyle w:val="Footer"/>
      <w:rPr>
        <w:rFonts w:ascii="Arial" w:hAnsi="Arial" w:cs="Arial"/>
      </w:rPr>
    </w:pPr>
    <w:r>
      <w:rPr>
        <w:rFonts w:cs="Arial" w:ascii="Arial" w:hAnsi="Arial"/>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5112" w:type="dxa"/>
      <w:jc w:val="left"/>
      <w:tblInd w:w="3828" w:type="dxa"/>
      <w:tblLayout w:type="fixed"/>
      <w:tblCellMar>
        <w:top w:w="0" w:type="dxa"/>
        <w:left w:w="108" w:type="dxa"/>
        <w:bottom w:w="0" w:type="dxa"/>
        <w:right w:w="108" w:type="dxa"/>
      </w:tblCellMar>
      <w:tblLook w:firstRow="1" w:noVBand="1" w:lastRow="0" w:firstColumn="1" w:lastColumn="0" w:noHBand="1" w:val="06a0"/>
    </w:tblPr>
    <w:tblGrid>
      <w:gridCol w:w="9071"/>
      <w:gridCol w:w="3021"/>
      <w:gridCol w:w="3020"/>
    </w:tblGrid>
    <w:tr>
      <w:trPr>
        <w:trHeight w:val="300" w:hRule="atLeast"/>
      </w:trPr>
      <w:tc>
        <w:tcPr>
          <w:tcW w:w="9071" w:type="dxa"/>
          <w:tcBorders/>
        </w:tcPr>
        <w:p>
          <w:pPr>
            <w:pStyle w:val="Header"/>
            <w:widowControl w:val="false"/>
            <w:ind w:hanging="0" w:left="-115"/>
            <w:rPr>
              <w:rFonts w:ascii="Arial" w:hAnsi="Arial" w:cs="Arial"/>
              <w:sz w:val="20"/>
              <w:szCs w:val="20"/>
            </w:rPr>
          </w:pPr>
          <w:r>
            <w:rPr>
              <w:rFonts w:cs="Arial" w:ascii="Arial" w:hAnsi="Arial"/>
              <w:sz w:val="20"/>
              <w:szCs w:val="20"/>
            </w:rPr>
            <w:t>TERMO DE CONTRATO ADMINISTRATIVO Nº ___</w:t>
          </w:r>
          <w:r>
            <w:rPr>
              <w:rFonts w:eastAsia="" w:cs="Arial" w:ascii="Arial" w:hAnsi="Arial" w:eastAsiaTheme="minorEastAsia"/>
              <w:color w:val="auto"/>
              <w:kern w:val="0"/>
              <w:sz w:val="20"/>
              <w:szCs w:val="20"/>
              <w:lang w:val="pt-BR" w:eastAsia="pt-BR" w:bidi="ar-SA"/>
            </w:rPr>
            <w:t>/2025</w:t>
          </w:r>
        </w:p>
      </w:tc>
      <w:tc>
        <w:tcPr>
          <w:tcW w:w="3021" w:type="dxa"/>
          <w:tcBorders/>
        </w:tcPr>
        <w:p>
          <w:pPr>
            <w:pStyle w:val="Header"/>
            <w:widowControl w:val="false"/>
            <w:jc w:val="center"/>
            <w:rPr/>
          </w:pPr>
          <w:r>
            <w:rPr/>
          </w:r>
        </w:p>
      </w:tc>
      <w:tc>
        <w:tcPr>
          <w:tcW w:w="3020" w:type="dxa"/>
          <w:tcBorders/>
        </w:tcPr>
        <w:p>
          <w:pPr>
            <w:pStyle w:val="Header"/>
            <w:widowControl w:val="false"/>
            <w:ind w:hanging="0" w:right="-115"/>
            <w:jc w:val="right"/>
            <w:rPr/>
          </w:pPr>
          <w:r>
            <w:rPr/>
          </w:r>
        </w:p>
      </w:tc>
    </w:tr>
  </w:tbl>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szCs w:val="20"/>
        <w:color w:val="auto"/>
      </w:rPr>
    </w:lvl>
    <w:lvl w:ilvl="2">
      <w:start w:val="1"/>
      <w:numFmt w:val="decimal"/>
      <w:lvlText w:val="%1.%2.%3."/>
      <w:lvlJc w:val="left"/>
      <w:pPr>
        <w:tabs>
          <w:tab w:val="num" w:pos="0"/>
        </w:tabs>
        <w:ind w:left="3198" w:hanging="504"/>
      </w:pPr>
      <w:rPr>
        <w:dstrike w:val="false"/>
        <w:strike w:val="false"/>
        <w:sz w:val="20"/>
        <w:i w:val="false"/>
        <w:b/>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lowerLetter"/>
      <w:lvlText w:val="%1)"/>
      <w:lvlJc w:val="left"/>
      <w:pPr>
        <w:tabs>
          <w:tab w:val="num" w:pos="0"/>
        </w:tabs>
        <w:ind w:left="1436" w:hanging="360"/>
      </w:pPr>
      <w:rPr/>
    </w:lvl>
    <w:lvl w:ilvl="1">
      <w:start w:val="1"/>
      <w:numFmt w:val="lowerLetter"/>
      <w:lvlText w:val="%2."/>
      <w:lvlJc w:val="left"/>
      <w:pPr>
        <w:tabs>
          <w:tab w:val="num" w:pos="0"/>
        </w:tabs>
        <w:ind w:left="2156" w:hanging="360"/>
      </w:pPr>
      <w:rPr/>
    </w:lvl>
    <w:lvl w:ilvl="2">
      <w:start w:val="1"/>
      <w:numFmt w:val="lowerRoman"/>
      <w:lvlText w:val="%3."/>
      <w:lvlJc w:val="right"/>
      <w:pPr>
        <w:tabs>
          <w:tab w:val="num" w:pos="0"/>
        </w:tabs>
        <w:ind w:left="2876" w:hanging="180"/>
      </w:pPr>
      <w:rPr/>
    </w:lvl>
    <w:lvl w:ilvl="3">
      <w:start w:val="1"/>
      <w:numFmt w:val="decimal"/>
      <w:lvlText w:val="%4."/>
      <w:lvlJc w:val="left"/>
      <w:pPr>
        <w:tabs>
          <w:tab w:val="num" w:pos="0"/>
        </w:tabs>
        <w:ind w:left="3596" w:hanging="360"/>
      </w:pPr>
      <w:rPr/>
    </w:lvl>
    <w:lvl w:ilvl="4">
      <w:start w:val="1"/>
      <w:numFmt w:val="lowerLetter"/>
      <w:lvlText w:val="%5."/>
      <w:lvlJc w:val="left"/>
      <w:pPr>
        <w:tabs>
          <w:tab w:val="num" w:pos="0"/>
        </w:tabs>
        <w:ind w:left="4316" w:hanging="360"/>
      </w:pPr>
      <w:rPr/>
    </w:lvl>
    <w:lvl w:ilvl="5">
      <w:start w:val="1"/>
      <w:numFmt w:val="lowerRoman"/>
      <w:lvlText w:val="%6."/>
      <w:lvlJc w:val="right"/>
      <w:pPr>
        <w:tabs>
          <w:tab w:val="num" w:pos="0"/>
        </w:tabs>
        <w:ind w:left="5036" w:hanging="180"/>
      </w:pPr>
      <w:rPr/>
    </w:lvl>
    <w:lvl w:ilvl="6">
      <w:start w:val="1"/>
      <w:numFmt w:val="decimal"/>
      <w:lvlText w:val="%7."/>
      <w:lvlJc w:val="left"/>
      <w:pPr>
        <w:tabs>
          <w:tab w:val="num" w:pos="0"/>
        </w:tabs>
        <w:ind w:left="5756" w:hanging="360"/>
      </w:pPr>
      <w:rPr/>
    </w:lvl>
    <w:lvl w:ilvl="7">
      <w:start w:val="1"/>
      <w:numFmt w:val="lowerLetter"/>
      <w:lvlText w:val="%8."/>
      <w:lvlJc w:val="left"/>
      <w:pPr>
        <w:tabs>
          <w:tab w:val="num" w:pos="0"/>
        </w:tabs>
        <w:ind w:left="6476" w:hanging="360"/>
      </w:pPr>
      <w:rPr/>
    </w:lvl>
    <w:lvl w:ilvl="8">
      <w:start w:val="1"/>
      <w:numFmt w:val="lowerRoman"/>
      <w:lvlText w:val="%9."/>
      <w:lvlJc w:val="right"/>
      <w:pPr>
        <w:tabs>
          <w:tab w:val="num" w:pos="0"/>
        </w:tabs>
        <w:ind w:left="7196" w:hanging="180"/>
      </w:pPr>
      <w:rPr/>
    </w:lvl>
  </w:abstractNum>
  <w:abstractNum w:abstractNumId="4">
    <w:lvl w:ilvl="0">
      <w:start w:val="1"/>
      <w:numFmt w:val="decimal"/>
      <w:lvlText w:val="%1."/>
      <w:lvlJc w:val="left"/>
      <w:pPr>
        <w:tabs>
          <w:tab w:val="num" w:pos="0"/>
        </w:tabs>
        <w:ind w:left="360" w:hanging="360"/>
      </w:pPr>
      <w:rPr>
        <w:i w:val="false"/>
        <w:b/>
      </w:rPr>
    </w:lvl>
    <w:lvl w:ilvl="1">
      <w:start w:val="1"/>
      <w:numFmt w:val="upperRoman"/>
      <w:lvlText w:val="%2."/>
      <w:lvlJc w:val="right"/>
      <w:pPr>
        <w:tabs>
          <w:tab w:val="num" w:pos="0"/>
        </w:tabs>
        <w:ind w:left="360" w:hanging="360"/>
      </w:pPr>
      <w:rPr/>
    </w:lvl>
    <w:lvl w:ilvl="2">
      <w:start w:val="1"/>
      <w:numFmt w:val="decimal"/>
      <w:suff w:val="space"/>
      <w:lvlText w:val="%1.%2.%3."/>
      <w:lvlJc w:val="left"/>
      <w:pPr>
        <w:tabs>
          <w:tab w:val="num" w:pos="0"/>
        </w:tabs>
        <w:ind w:left="1135" w:hanging="0"/>
      </w:pPr>
      <w:rPr>
        <w:i w:val="false"/>
        <w:b w:val="false"/>
      </w:rPr>
    </w:lvl>
    <w:lvl w:ilvl="3">
      <w:start w:val="1"/>
      <w:numFmt w:val="decimal"/>
      <w:suff w:val="space"/>
      <w:lvlText w:val="%1.%2.%3.%4."/>
      <w:lvlJc w:val="left"/>
      <w:pPr>
        <w:tabs>
          <w:tab w:val="num" w:pos="0"/>
        </w:tabs>
        <w:ind w:left="851" w:hanging="0"/>
      </w:pPr>
      <w:rPr>
        <w:i w:val="false"/>
        <w:b/>
      </w:rPr>
    </w:lvl>
    <w:lvl w:ilvl="4">
      <w:start w:val="1"/>
      <w:numFmt w:val="decimal"/>
      <w:suff w:val="space"/>
      <w:lvlText w:val="%1.%2.%3.%4.%5."/>
      <w:lvlJc w:val="left"/>
      <w:pPr>
        <w:tabs>
          <w:tab w:val="num" w:pos="0"/>
        </w:tabs>
        <w:ind w:left="1134" w:hanging="0"/>
      </w:pPr>
      <w:rPr>
        <w:i w:val="false"/>
        <w:b/>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5">
    <w:lvl w:ilvl="0">
      <w:start w:val="19"/>
      <w:numFmt w:val="decimal"/>
      <w:lvlText w:val="%1."/>
      <w:lvlJc w:val="left"/>
      <w:pPr>
        <w:tabs>
          <w:tab w:val="num" w:pos="0"/>
        </w:tabs>
        <w:ind w:left="360" w:hanging="360"/>
      </w:pPr>
      <w:rPr/>
    </w:lvl>
    <w:lvl w:ilvl="1">
      <w:start w:val="1"/>
      <w:numFmt w:val="decimal"/>
      <w:lvlText w:val="%1.%2."/>
      <w:lvlJc w:val="left"/>
      <w:pPr>
        <w:tabs>
          <w:tab w:val="num" w:pos="0"/>
        </w:tabs>
        <w:ind w:left="792" w:hanging="432"/>
      </w:pPr>
      <w:rPr>
        <w:i w:val="false"/>
        <w:b w:val="false"/>
      </w:rPr>
    </w:lvl>
    <w:lvl w:ilvl="2">
      <w:start w:val="1"/>
      <w:numFmt w:val="lowerLetter"/>
      <w:lvlText w:val="%3)"/>
      <w:lvlJc w:val="left"/>
      <w:pPr>
        <w:tabs>
          <w:tab w:val="num" w:pos="0"/>
        </w:tabs>
        <w:ind w:left="1224" w:hanging="504"/>
      </w:pPr>
      <w:rPr>
        <w:b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i w:val="false"/>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7"/>
    <w:lvlOverride w:ilvl="0">
      <w:startOverride w:val="1"/>
    </w:lvlOverride>
  </w:num>
  <w:num w:numId="131">
    <w:abstractNumId w:val="7"/>
    <w:lvlOverride w:ilvl="0">
      <w:startOverride w:val="1"/>
    </w:lvlOverride>
    <w:lvlOverride w:ilvl="1">
      <w:startOverride w:val="1"/>
    </w:lvlOverride>
  </w:num>
  <w:num w:numId="132">
    <w:abstractNumId w:val="7"/>
  </w:num>
  <w:num w:numId="133">
    <w:abstractNumId w:val="7"/>
  </w:num>
  <w:num w:numId="134">
    <w:abstractNumId w:val="7"/>
  </w:num>
  <w:num w:numId="135">
    <w:abstractNumId w:val="7"/>
  </w:num>
  <w:num w:numId="136">
    <w:abstractNumId w:val="7"/>
  </w:num>
  <w:num w:numId="137">
    <w:abstractNumId w:val="7"/>
  </w:num>
  <w:num w:numId="138">
    <w:abstractNumId w:val="7"/>
  </w:num>
  <w:num w:numId="139">
    <w:abstractNumId w:val="7"/>
  </w:num>
  <w:num w:numId="140">
    <w:abstractNumId w:val="7"/>
  </w:num>
  <w:num w:numId="141">
    <w:abstractNumId w:val="7"/>
  </w:num>
  <w:num w:numId="142">
    <w:abstractNumId w:val="7"/>
  </w:num>
  <w:num w:numId="143">
    <w:abstractNumId w:val="7"/>
  </w:num>
  <w:num w:numId="144">
    <w:abstractNumId w:val="7"/>
  </w:num>
  <w:num w:numId="145">
    <w:abstractNumId w:val="7"/>
  </w:num>
  <w:num w:numId="146">
    <w:abstractNumId w:val="7"/>
  </w:num>
  <w:num w:numId="147">
    <w:abstractNumId w:val="7"/>
  </w:num>
  <w:num w:numId="148">
    <w:abstractNumId w:val="7"/>
  </w:num>
  <w:num w:numId="149">
    <w:abstractNumId w:val="7"/>
  </w:num>
  <w:num w:numId="150">
    <w:abstractNumId w:val="7"/>
  </w:num>
  <w:num w:numId="151">
    <w:abstractNumId w:val="7"/>
  </w:num>
  <w:num w:numId="152">
    <w:abstractNumId w:val="7"/>
  </w:num>
  <w:num w:numId="153">
    <w:abstractNumId w:val="7"/>
  </w:num>
  <w:num w:numId="154">
    <w:abstractNumId w:val="7"/>
  </w:num>
  <w:num w:numId="155">
    <w:abstractNumId w:val="7"/>
  </w:num>
  <w:num w:numId="156">
    <w:abstractNumId w:val="7"/>
  </w:num>
  <w:num w:numId="157">
    <w:abstractNumId w:val="7"/>
  </w:num>
  <w:num w:numId="158">
    <w:abstractNumId w:val="7"/>
  </w:num>
  <w:num w:numId="159">
    <w:abstractNumId w:val="7"/>
  </w:num>
  <w:num w:numId="160">
    <w:abstractNumId w:val="7"/>
  </w:num>
  <w:num w:numId="161">
    <w:abstractNumId w:val="7"/>
  </w:num>
  <w:num w:numId="162">
    <w:abstractNumId w:val="7"/>
  </w:num>
  <w:num w:numId="163">
    <w:abstractNumId w:val="7"/>
  </w:num>
  <w:num w:numId="164">
    <w:abstractNumId w:val="7"/>
  </w:num>
  <w:num w:numId="165">
    <w:abstractNumId w:val="7"/>
  </w:num>
  <w:num w:numId="166">
    <w:abstractNumId w:val="7"/>
  </w:num>
  <w:num w:numId="167">
    <w:abstractNumId w:val="7"/>
  </w:num>
  <w:num w:numId="168">
    <w:abstractNumId w:val="7"/>
  </w:num>
  <w:num w:numId="169">
    <w:abstractNumId w:val="7"/>
  </w:num>
  <w:num w:numId="170">
    <w:abstractNumId w:val="7"/>
  </w:num>
  <w:num w:numId="171">
    <w:abstractNumId w:val="7"/>
  </w:num>
  <w:num w:numId="172">
    <w:abstractNumId w:val="7"/>
  </w:num>
  <w:num w:numId="173">
    <w:abstractNumId w:val="7"/>
  </w:num>
  <w:num w:numId="174">
    <w:abstractNumId w:val="7"/>
  </w:num>
  <w:num w:numId="175">
    <w:abstractNumId w:val="7"/>
  </w:num>
  <w:num w:numId="176">
    <w:abstractNumId w:val="7"/>
  </w:num>
  <w:num w:numId="177">
    <w:abstractNumId w:val="7"/>
  </w:num>
  <w:num w:numId="178">
    <w:abstractNumId w:val="7"/>
  </w:num>
  <w:num w:numId="179">
    <w:abstractNumId w:val="7"/>
  </w:num>
  <w:num w:numId="180">
    <w:abstractNumId w:val="7"/>
  </w:num>
  <w:num w:numId="181">
    <w:abstractNumId w:val="7"/>
  </w:num>
  <w:num w:numId="182">
    <w:abstractNumId w:val="7"/>
  </w:num>
  <w:num w:numId="183">
    <w:abstractNumId w:val="7"/>
  </w:num>
  <w:num w:numId="184">
    <w:abstractNumId w:val="7"/>
  </w:num>
  <w:num w:numId="185">
    <w:abstractNumId w:val="7"/>
  </w:num>
  <w:num w:numId="186">
    <w:abstractNumId w:val="7"/>
  </w:num>
  <w:num w:numId="187">
    <w:abstractNumId w:val="7"/>
  </w:num>
  <w:num w:numId="188">
    <w:abstractNumId w:val="7"/>
  </w:num>
  <w:num w:numId="189">
    <w:abstractNumId w:val="7"/>
  </w:num>
  <w:num w:numId="190">
    <w:abstractNumId w:val="7"/>
  </w:num>
  <w:num w:numId="191">
    <w:abstractNumId w:val="7"/>
  </w:num>
  <w:num w:numId="192">
    <w:abstractNumId w:val="7"/>
  </w:num>
  <w:num w:numId="193">
    <w:abstractNumId w:val="7"/>
  </w:num>
  <w:num w:numId="194">
    <w:abstractNumId w:val="7"/>
  </w:num>
  <w:num w:numId="195">
    <w:abstractNumId w:val="7"/>
  </w:num>
  <w:num w:numId="196">
    <w:abstractNumId w:val="7"/>
  </w:num>
  <w:num w:numId="197">
    <w:abstractNumId w:val="7"/>
  </w:num>
  <w:num w:numId="198">
    <w:abstractNumId w:val="7"/>
  </w:num>
  <w:num w:numId="199">
    <w:abstractNumId w:val="7"/>
  </w:num>
  <w:num w:numId="200">
    <w:abstractNumId w:val="7"/>
  </w:num>
  <w:num w:numId="201">
    <w:abstractNumId w:val="7"/>
  </w:num>
  <w:num w:numId="202">
    <w:abstractNumId w:val="7"/>
  </w:num>
  <w:num w:numId="203">
    <w:abstractNumId w:val="7"/>
  </w:num>
  <w:num w:numId="204">
    <w:abstractNumId w:val="7"/>
  </w:num>
  <w:num w:numId="205">
    <w:abstractNumId w:val="7"/>
  </w:num>
  <w:num w:numId="206">
    <w:abstractNumId w:val="7"/>
  </w:num>
  <w:num w:numId="207">
    <w:abstractNumId w:val="7"/>
  </w:num>
  <w:num w:numId="208">
    <w:abstractNumId w:val="7"/>
  </w:num>
  <w:num w:numId="209">
    <w:abstractNumId w:val="7"/>
  </w:num>
  <w:num w:numId="210">
    <w:abstractNumId w:val="7"/>
  </w:num>
  <w:num w:numId="211">
    <w:abstractNumId w:val="7"/>
  </w:num>
  <w:num w:numId="212">
    <w:abstractNumId w:val="7"/>
  </w:num>
  <w:num w:numId="213">
    <w:abstractNumId w:val="7"/>
  </w:num>
  <w:num w:numId="214">
    <w:abstractNumId w:val="7"/>
  </w:num>
  <w:num w:numId="215">
    <w:abstractNumId w:val="7"/>
  </w:num>
  <w:num w:numId="216">
    <w:abstractNumId w:val="7"/>
  </w:num>
  <w:num w:numId="217">
    <w:abstractNumId w:val="7"/>
  </w:num>
  <w:num w:numId="218">
    <w:abstractNumId w:val="7"/>
  </w:num>
  <w:num w:numId="219">
    <w:abstractNumId w:val="7"/>
  </w:num>
  <w:num w:numId="220">
    <w:abstractNumId w:val="7"/>
  </w:num>
  <w:num w:numId="221">
    <w:abstractNumId w:val="7"/>
  </w:num>
  <w:num w:numId="222">
    <w:abstractNumId w:val="7"/>
  </w:num>
  <w:num w:numId="223">
    <w:abstractNumId w:val="7"/>
  </w:num>
  <w:num w:numId="224">
    <w:abstractNumId w:val="7"/>
  </w:num>
  <w:num w:numId="225">
    <w:abstractNumId w:val="7"/>
  </w:num>
  <w:num w:numId="226">
    <w:abstractNumId w:val="7"/>
  </w:num>
  <w:num w:numId="227">
    <w:abstractNumId w:val="7"/>
  </w:num>
  <w:num w:numId="228">
    <w:abstractNumId w:val="7"/>
  </w:num>
  <w:num w:numId="229">
    <w:abstractNumId w:val="7"/>
  </w:num>
  <w:num w:numId="230">
    <w:abstractNumId w:val="7"/>
  </w:num>
  <w:num w:numId="231">
    <w:abstractNumId w:val="7"/>
  </w:num>
  <w:num w:numId="232">
    <w:abstractNumId w:val="7"/>
  </w:num>
  <w:num w:numId="233">
    <w:abstractNumId w:val="7"/>
  </w:num>
  <w:num w:numId="234">
    <w:abstractNumId w:val="7"/>
  </w:num>
  <w:num w:numId="235">
    <w:abstractNumId w:val="7"/>
  </w:num>
  <w:num w:numId="236">
    <w:abstractNumId w:val="7"/>
  </w:num>
  <w:num w:numId="237">
    <w:abstractNumId w:val="7"/>
  </w:num>
  <w:num w:numId="238">
    <w:abstractNumId w:val="7"/>
  </w:num>
  <w:num w:numId="239">
    <w:abstractNumId w:val="7"/>
  </w:num>
  <w:num w:numId="240">
    <w:abstractNumId w:val="7"/>
  </w:num>
  <w:num w:numId="241">
    <w:abstractNumId w:val="7"/>
  </w:num>
  <w:num w:numId="242">
    <w:abstractNumId w:val="7"/>
  </w:num>
  <w:num w:numId="243">
    <w:abstractNumId w:val="7"/>
  </w:num>
  <w:num w:numId="244">
    <w:abstractNumId w:val="7"/>
  </w:num>
  <w:num w:numId="245">
    <w:abstractNumId w:val="7"/>
  </w:num>
  <w:num w:numId="246">
    <w:abstractNumId w:val="7"/>
  </w:num>
  <w:num w:numId="247">
    <w:abstractNumId w:val="7"/>
  </w:num>
  <w:num w:numId="248">
    <w:abstractNumId w:val="7"/>
  </w:num>
  <w:num w:numId="249">
    <w:abstractNumId w:val="7"/>
  </w:num>
  <w:num w:numId="250">
    <w:abstractNumId w:val="7"/>
  </w:num>
  <w:num w:numId="251">
    <w:abstractNumId w:val="7"/>
  </w:num>
</w:numbering>
</file>

<file path=word/settings.xml><?xml version="1.0" encoding="utf-8"?>
<w:settings xmlns:w="http://schemas.openxmlformats.org/wordprocessingml/2006/main">
  <w:zoom w:percent="90"/>
  <w:mirrorMargins/>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1" w:uiPriority="9"/>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qFormat="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suppressAutoHyphens w:val="true"/>
      <w:bidi w:val="0"/>
      <w:spacing w:before="0" w:after="0"/>
      <w:jc w:val="left"/>
    </w:pPr>
    <w:rPr>
      <w:rFonts w:ascii="Ecofont_Spranq_eco_Sans" w:hAnsi="Ecofont_Spranq_eco_Sans" w:eastAsia="" w:cs="Tahoma" w:eastAsiaTheme="minorEastAsia"/>
      <w:color w:val="auto"/>
      <w:kern w:val="0"/>
      <w:sz w:val="24"/>
      <w:szCs w:val="24"/>
      <w:lang w:val="pt-BR" w:eastAsia="pt-BR" w:bidi="ar-SA"/>
    </w:rPr>
  </w:style>
  <w:style w:type="paragraph" w:styleId="Heading1">
    <w:name w:val="Heading 1"/>
    <w:basedOn w:val="Normal"/>
    <w:next w:val="Normal"/>
    <w:link w:val="Ttulo1Char"/>
    <w:uiPriority w:val="9"/>
    <w:qFormat/>
    <w:rsid w:val="007f77ad"/>
    <w:pPr>
      <w:keepNext w:val="true"/>
      <w:keepLines/>
      <w:spacing w:before="480" w:after="0"/>
      <w:outlineLvl w:val="0"/>
    </w:pPr>
    <w:rPr>
      <w:rFonts w:ascii="Calibri" w:hAnsi="Calibri" w:eastAsia=""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rsid w:val="004b460a"/>
    <w:pPr>
      <w:keepNext w:val="true"/>
      <w:tabs>
        <w:tab w:val="clear" w:pos="708"/>
        <w:tab w:val="left" w:pos="1701" w:leader="none"/>
      </w:tabs>
      <w:ind w:hanging="0" w:right="-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 w:cs="" w:asciiTheme="majorHAnsi" w:cstheme="majorBidi" w:eastAsiaTheme="majorEastAsia" w:hAnsiTheme="majorHAnsi"/>
      <w:color w:themeColor="accent1" w:themeShade="7f" w:val="243F60"/>
      <w:lang w:eastAsia="en-US"/>
    </w:rPr>
  </w:style>
  <w:style w:type="paragraph" w:styleId="Heading4">
    <w:name w:val="Heading 4"/>
    <w:basedOn w:val="Normal"/>
    <w:next w:val="Normal"/>
    <w:link w:val="Ttulo4Char"/>
    <w:semiHidden/>
    <w:unhideWhenUsed/>
    <w:qFormat/>
    <w:rsid w:val="00a45a85"/>
    <w:pPr>
      <w:keepNext w:val="true"/>
      <w:keepLines/>
      <w:spacing w:before="40" w:after="0"/>
      <w:outlineLvl w:val="3"/>
    </w:pPr>
    <w:rPr>
      <w:rFonts w:ascii="Calibri" w:hAnsi="Calibri" w:eastAsia="" w:cs="" w:asciiTheme="majorHAnsi" w:cstheme="majorBidi" w:eastAsiaTheme="majorEastAsia" w:hAnsiTheme="majorHAnsi"/>
      <w:i/>
      <w:iCs/>
      <w:color w:themeColor="accent1" w:themeShade="bf" w:val="365F91"/>
    </w:rPr>
  </w:style>
  <w:style w:type="paragraph" w:styleId="Heading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 w:cs="" w:asciiTheme="majorHAnsi" w:cstheme="majorBidi" w:eastAsiaTheme="majorEastAsia" w:hAnsiTheme="majorHAnsi"/>
      <w:color w:themeColor="accent1" w:themeShade="7f" w:val="243F60"/>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Hyperlink" w:customStyle="1">
    <w:name w:val="Hyperlink"/>
    <w:basedOn w:val="DefaultParagraphFont"/>
    <w:uiPriority w:val="99"/>
    <w:unhideWhenUsed/>
    <w:rsid w:val="00dc41dd"/>
    <w:rPr>
      <w:color w:themeColor="hyperlink" w:val="0000FF"/>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uiPriority w:val="99"/>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link w:val="Annotationtex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 w:cs=""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sid w:val="007f77ad"/>
    <w:rPr>
      <w:rFonts w:ascii="Calibri" w:hAnsi="Calibri" w:eastAsia="" w:cs="" w:asciiTheme="majorHAnsi" w:cstheme="majorBidi" w:eastAsiaTheme="majorEastAsia" w:hAnsiTheme="majorHAnsi"/>
      <w:color w:themeColor="text2" w:themeShade="bf" w:val="17365D"/>
      <w:spacing w:val="5"/>
      <w:kern w:val="2"/>
      <w:sz w:val="52"/>
      <w:szCs w:val="52"/>
      <w:lang w:eastAsia="pt-BR"/>
    </w:rPr>
  </w:style>
  <w:style w:type="character" w:styleId="Nivel01Char" w:customStyle="1">
    <w:name w:val="Nivel 01 Char"/>
    <w:basedOn w:val="TtuloChar"/>
    <w:link w:val="Nivel01"/>
    <w:qFormat/>
    <w:rsid w:val="001958d0"/>
    <w:rPr>
      <w:rFonts w:ascii="Arial" w:hAnsi="Arial" w:eastAsia="" w:cs="Arial" w:eastAsiaTheme="majorEastAsia"/>
      <w:b/>
      <w:bCs/>
      <w:color w:themeColor="text2" w:themeShade="bf" w:val="17365D"/>
      <w:spacing w:val="5"/>
      <w:kern w:val="2"/>
      <w:sz w:val="52"/>
      <w:szCs w:val="52"/>
      <w:lang w:eastAsia="pt-BR"/>
    </w:rPr>
  </w:style>
  <w:style w:type="character" w:styleId="Ttulo1Char" w:customStyle="1">
    <w:name w:val="Título 1 Char"/>
    <w:basedOn w:val="DefaultParagraphFont"/>
    <w:uiPriority w:val="9"/>
    <w:qFormat/>
    <w:rsid w:val="007f77ad"/>
    <w:rPr>
      <w:rFonts w:ascii="Calibri" w:hAnsi="Calibri" w:eastAsia="" w:cs=""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sid w:val="00e967ea"/>
    <w:rPr>
      <w:rFonts w:ascii="Arial" w:hAnsi="Arial" w:eastAsia="" w:cs="" w:cstheme="majorBidi" w:eastAsiaTheme="majorEastAsia"/>
      <w:b/>
      <w:bCs/>
      <w:color w:themeColor="text1" w:val="000000"/>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 w:cs="Arial" w:eastAsiaTheme="majorEastAsia"/>
      <w:b/>
      <w:bCs w:val="false"/>
      <w:color w:themeColor="accent1" w:themeShade="bf" w:val="000000"/>
      <w:sz w:val="28"/>
      <w:szCs w:val="28"/>
      <w:lang w:eastAsia="pt-BR"/>
    </w:rPr>
  </w:style>
  <w:style w:type="character" w:styleId="Nivel4Char" w:customStyle="1">
    <w:name w:val="Nivel 4 Char"/>
    <w:basedOn w:val="DefaultParagraphFont"/>
    <w:link w:val="Nivel4"/>
    <w:qFormat/>
    <w:rsid w:val="001958d0"/>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Emphasis">
    <w:name w:val="Emphasis"/>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FollowedHyperlink">
    <w:name w:val="FollowedHyperlink"/>
    <w:basedOn w:val="DefaultParagraphFont"/>
    <w:uiPriority w:val="99"/>
    <w:semiHidden/>
    <w:unhideWhenUsed/>
    <w:rsid w:val="00d30a43"/>
    <w:rPr>
      <w:color w:themeColor="followedHyperlink" w:val="800080"/>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1958d0"/>
    <w:rPr>
      <w:rFonts w:ascii="Arial" w:hAnsi="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4"/>
      <w:szCs w:val="24"/>
    </w:rPr>
  </w:style>
  <w:style w:type="character" w:styleId="Ttulo6Char" w:customStyle="1">
    <w:name w:val="Título 6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d14643"/>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qFormat/>
    <w:rsid w:val="00f83142"/>
    <w:rPr>
      <w:rFonts w:ascii="Arial" w:hAnsi="Arial" w:cs="Arial"/>
      <w:i/>
      <w:iCs/>
      <w:color w:val="FF0000"/>
      <w:lang w:eastAsia="pt-BR"/>
    </w:rPr>
  </w:style>
  <w:style w:type="character" w:styleId="Nivel3Char" w:customStyle="1">
    <w:name w:val="Nivel 3 Char"/>
    <w:basedOn w:val="DefaultParagraphFont"/>
    <w:link w:val="Nivel3"/>
    <w:qFormat/>
    <w:rsid w:val="001958d0"/>
    <w:rPr>
      <w:rFonts w:ascii="Arial" w:hAnsi="Arial" w:cs="Arial"/>
      <w:color w:val="000000"/>
      <w:lang w:eastAsia="pt-BR"/>
    </w:rPr>
  </w:style>
  <w:style w:type="character" w:styleId="Nvel3-RChar" w:customStyle="1">
    <w:name w:val="Nível 3-R Char"/>
    <w:basedOn w:val="Nivel3Char"/>
    <w:qFormat/>
    <w:rsid w:val="001958d0"/>
    <w:rPr>
      <w:rFonts w:ascii="Arial" w:hAnsi="Arial" w:cs="Arial"/>
      <w:i/>
      <w:iCs/>
      <w:color w:val="FF0000"/>
      <w:lang w:eastAsia="pt-BR"/>
    </w:rPr>
  </w:style>
  <w:style w:type="character" w:styleId="Nvel4-RChar" w:customStyle="1">
    <w:name w:val="Nível 4-R Char"/>
    <w:basedOn w:val="Nivel4Char"/>
    <w:qFormat/>
    <w:rsid w:val="00031dbe"/>
    <w:rPr>
      <w:rFonts w:ascii="Arial" w:hAnsi="Arial" w:cs="Arial"/>
      <w:i/>
      <w:iCs/>
      <w:color w:val="FF0000"/>
      <w:lang w:eastAsia="pt-BR"/>
    </w:rPr>
  </w:style>
  <w:style w:type="character" w:styleId="Nvel1-SemNumChar" w:customStyle="1">
    <w:name w:val="Nível 1-Sem Num Char"/>
    <w:basedOn w:val="Nivel01Char"/>
    <w:qFormat/>
    <w:rsid w:val="00e7273b"/>
    <w:rPr>
      <w:rFonts w:ascii="Arial" w:hAnsi="Arial" w:eastAsia="" w:cs="Arial" w:eastAsiaTheme="majorEastAsia"/>
      <w:b/>
      <w:bCs/>
      <w:color w:themeColor="text2" w:themeShade="bf"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oPendente5" w:customStyle="1">
    <w:name w:val="Menção Pendente5"/>
    <w:basedOn w:val="DefaultParagraphFont"/>
    <w:uiPriority w:val="99"/>
    <w:semiHidden/>
    <w:unhideWhenUsed/>
    <w:qFormat/>
    <w:rsid w:val="00e27aeb"/>
    <w:rPr>
      <w:color w:val="605E5C"/>
      <w:shd w:fill="E1DFDD" w:val="clear"/>
    </w:rPr>
  </w:style>
  <w:style w:type="character" w:styleId="UnresolvedMention1" w:customStyle="1">
    <w:name w:val="Unresolved Mention1"/>
    <w:basedOn w:val="DefaultParagraphFont"/>
    <w:uiPriority w:val="99"/>
    <w:semiHidden/>
    <w:unhideWhenUsed/>
    <w:qFormat/>
    <w:rsid w:val="00824eb5"/>
    <w:rPr>
      <w:color w:val="605E5C"/>
      <w:shd w:fill="E1DFDD" w:val="clear"/>
    </w:rPr>
  </w:style>
  <w:style w:type="character" w:styleId="UnresolvedMention">
    <w:name w:val="Unresolved Mention"/>
    <w:basedOn w:val="DefaultParagraphFont"/>
    <w:uiPriority w:val="99"/>
    <w:semiHidden/>
    <w:unhideWhenUsed/>
    <w:qFormat/>
    <w:rsid w:val="004d7421"/>
    <w:rPr>
      <w:color w:val="605E5C"/>
      <w:shd w:fill="E1DFDD" w:val="clear"/>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ListParagraph">
    <w:name w:val="List Paragraph"/>
    <w:basedOn w:val="Normal"/>
    <w:link w:val="PargrafodaListaChar"/>
    <w:uiPriority w:val="34"/>
    <w:qFormat/>
    <w:rsid w:val="004773fc"/>
    <w:pPr>
      <w:spacing w:before="0" w:after="0"/>
      <w:ind w:hanging="0" w:left="72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qFormat/>
    <w:rsid w:val="001a3a05"/>
    <w:pPr>
      <w:numPr>
        <w:ilvl w:val="0"/>
        <w:numId w:val="2"/>
      </w:numPr>
      <w:spacing w:before="0" w:after="0"/>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
    <w:name w:val="Cabeçalho e Rodapé"/>
    <w:basedOn w:val="Normal"/>
    <w:qFormat/>
    <w:pPr/>
    <w:rPr/>
  </w:style>
  <w:style w:type="paragraph" w:styleId="Header">
    <w:name w:val="Header"/>
    <w:basedOn w:val="Normal"/>
    <w:link w:val="CabealhoChar"/>
    <w:uiPriority w:val="99"/>
    <w:rsid w:val="00ca24fb"/>
    <w:pPr>
      <w:tabs>
        <w:tab w:val="clear" w:pos="708"/>
        <w:tab w:val="center" w:pos="4252" w:leader="none"/>
        <w:tab w:val="right" w:pos="8504" w:leader="none"/>
      </w:tabs>
    </w:pPr>
    <w:rPr/>
  </w:style>
  <w:style w:type="paragraph" w:styleId="Footer">
    <w:name w:val="Footer"/>
    <w:basedOn w:val="Normal"/>
    <w:link w:val="RodapChar"/>
    <w:uiPriority w:val="99"/>
    <w:rsid w:val="00ca24fb"/>
    <w:pPr>
      <w:tabs>
        <w:tab w:val="clear" w:pos="708"/>
        <w:tab w:val="center" w:pos="4252" w:leader="none"/>
        <w:tab w:val="right" w:pos="8504" w:leader="none"/>
      </w:tabs>
    </w:pPr>
    <w:rPr/>
  </w:style>
  <w:style w:type="paragraph" w:styleId="Annotationtext">
    <w:name w:val="annotation text"/>
    <w:basedOn w:val="Normal"/>
    <w:link w:val="TextodecomentrioChar"/>
    <w:uiPriority w:val="99"/>
    <w:unhideWhenUsed/>
    <w:qFormat/>
    <w:rsid w:val="00d30a43"/>
    <w:pPr/>
    <w:rPr>
      <w:sz w:val="20"/>
      <w:szCs w:val="20"/>
    </w:rPr>
  </w:style>
  <w:style w:type="paragraph" w:styleId="Annotationsubject">
    <w:name w:val="annotation subject"/>
    <w:basedOn w:val="Annotationtext"/>
    <w:next w:val="Annotationtext"/>
    <w:link w:val="AssuntodocomentrioChar"/>
    <w:uiPriority w:val="99"/>
    <w:semiHidden/>
    <w:unhideWhenUsed/>
    <w:qFormat/>
    <w:rsid w:val="00430fdb"/>
    <w:pPr/>
    <w:rPr>
      <w:b/>
      <w:bCs/>
    </w:rPr>
  </w:style>
  <w:style w:type="paragraph" w:styleId="Nivel01" w:customStyle="1">
    <w:name w:val="Nivel 01"/>
    <w:basedOn w:val="Heading1"/>
    <w:next w:val="Normal"/>
    <w:link w:val="Nivel01Char"/>
    <w:qFormat/>
    <w:rsid w:val="001958d0"/>
    <w:pPr>
      <w:numPr>
        <w:ilvl w:val="0"/>
        <w:numId w:val="1"/>
      </w:numPr>
      <w:tabs>
        <w:tab w:val="clear" w:pos="708"/>
        <w:tab w:val="left" w:pos="567" w:leader="none"/>
      </w:tabs>
      <w:spacing w:before="240" w:after="0"/>
      <w:ind w:hanging="0" w:left="0"/>
      <w:jc w:val="both"/>
      <w:outlineLvl w:val="9"/>
    </w:pPr>
    <w:rPr>
      <w:rFonts w:ascii="Arial" w:hAnsi="Arial" w:cs="Arial"/>
      <w:color w:themeColor="accent1" w:themeShade="bf" w:val="auto"/>
      <w:sz w:val="20"/>
      <w:szCs w:val="20"/>
    </w:rPr>
  </w:style>
  <w:style w:type="paragraph" w:styleId="Nivel01Titulo" w:customStyle="1">
    <w:name w:val="Nivel_01_Titulo"/>
    <w:basedOn w:val="Nivel01"/>
    <w:link w:val="Nivel01TituloChar"/>
    <w:qFormat/>
    <w:rsid w:val="00e967ea"/>
    <w:pPr>
      <w:jc w:val="left"/>
    </w:pPr>
    <w:rPr>
      <w:rFonts w:cs="" w:cstheme="majorBidi"/>
      <w:color w:themeColor="text1" w:val="000000"/>
      <w:spacing w:val="5"/>
      <w:kern w:val="2"/>
      <w:sz w:val="52"/>
      <w:szCs w:val="52"/>
    </w:rPr>
  </w:style>
  <w:style w:type="paragraph" w:styleId="Title">
    <w:name w:val="Title"/>
    <w:basedOn w:val="Normal"/>
    <w:next w:val="Normal"/>
    <w:link w:val="TtuloChar"/>
    <w:qFormat/>
    <w:rsid w:val="007f77ad"/>
    <w:pPr>
      <w:pBdr>
        <w:bottom w:val="single" w:sz="8" w:space="4" w:color="4F81BD"/>
      </w:pBdr>
      <w:spacing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rsid w:val="00d30a43"/>
    <w:pPr>
      <w:spacing w:lineRule="auto" w:line="276"/>
      <w:ind w:hanging="357" w:left="357"/>
      <w:jc w:val="both"/>
      <w:outlineLvl w:val="9"/>
    </w:pPr>
    <w:rPr>
      <w:rFonts w:ascii="Arial" w:hAnsi="Arial" w:cs="Arial"/>
      <w:bCs w:val="false"/>
      <w:color w:themeColor="accent1" w:themeShade="bf" w:val="000000"/>
    </w:rPr>
  </w:style>
  <w:style w:type="paragraph" w:styleId="PargrafodaLista1" w:customStyle="1">
    <w:name w:val="Parágrafo da Lista1"/>
    <w:basedOn w:val="Normal"/>
    <w:qFormat/>
    <w:rsid w:val="00d30a43"/>
    <w:pPr>
      <w:ind w:hanging="0" w:left="720"/>
    </w:pPr>
    <w:rPr>
      <w:rFonts w:eastAsia="Times New Roman" w:cs="Ecofont_Spranq_eco_Sans"/>
    </w:rPr>
  </w:style>
  <w:style w:type="paragraph" w:styleId="Nivel2" w:customStyle="1">
    <w:name w:val="Nivel 2"/>
    <w:basedOn w:val="Normal"/>
    <w:link w:val="Nivel2Char"/>
    <w:qFormat/>
    <w:rsid w:val="001958d0"/>
    <w:pPr>
      <w:numPr>
        <w:ilvl w:val="0"/>
        <w:numId w:val="1"/>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next w:val="Nivel2"/>
    <w:qFormat/>
    <w:rsid w:val="003629e4"/>
    <w:pPr>
      <w:numPr>
        <w:ilvl w:val="0"/>
        <w:numId w:val="0"/>
      </w:numPr>
      <w:ind w:hanging="360" w:left="360"/>
    </w:pPr>
    <w:rPr>
      <w:b/>
    </w:rPr>
  </w:style>
  <w:style w:type="paragraph" w:styleId="Nivel3" w:customStyle="1">
    <w:name w:val="Nivel 3"/>
    <w:basedOn w:val="Normal"/>
    <w:link w:val="Nivel3Char"/>
    <w:qFormat/>
    <w:rsid w:val="001958d0"/>
    <w:pPr>
      <w:numPr>
        <w:ilvl w:val="0"/>
        <w:numId w:val="1"/>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link w:val="Nivel4Char"/>
    <w:qFormat/>
    <w:rsid w:val="001958d0"/>
    <w:pPr>
      <w:ind w:hanging="0" w:left="567"/>
    </w:pPr>
    <w:rPr>
      <w:color w:val="auto"/>
    </w:rPr>
  </w:style>
  <w:style w:type="paragraph" w:styleId="Nivel5" w:customStyle="1">
    <w:name w:val="Nivel 5"/>
    <w:basedOn w:val="Nivel4"/>
    <w:qFormat/>
    <w:rsid w:val="001958d0"/>
    <w:pPr>
      <w:ind w:hanging="0" w:left="851"/>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hanging="0" w:left="416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numPr>
        <w:ilvl w:val="0"/>
        <w:numId w:val="0"/>
      </w:numPr>
      <w:ind w:hanging="432" w:left="432"/>
    </w:pPr>
    <w:rPr>
      <w:rFonts w:eastAsia="Times New Roman"/>
      <w:i/>
      <w:color w:val="FF0000"/>
    </w:rPr>
  </w:style>
  <w:style w:type="paragraph" w:styleId="Nvel3Opcional" w:customStyle="1">
    <w:name w:val="Nível 3 Opcional"/>
    <w:basedOn w:val="Nivel3"/>
    <w:link w:val="Nvel3OpcionalChar"/>
    <w:qFormat/>
    <w:rsid w:val="00a831d9"/>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d14643"/>
    <w:pPr>
      <w:spacing w:lineRule="auto" w:line="259" w:before="60" w:after="60"/>
      <w:ind w:hanging="0" w:left="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qFormat/>
    <w:rsid w:val="00f83142"/>
    <w:pPr/>
    <w:rPr>
      <w:i/>
      <w:iCs/>
      <w:color w:val="FF0000"/>
    </w:rPr>
  </w:style>
  <w:style w:type="paragraph" w:styleId="Nvel3-R" w:customStyle="1">
    <w:name w:val="Nível 3-R"/>
    <w:basedOn w:val="Nivel3"/>
    <w:qFormat/>
    <w:rsid w:val="001958d0"/>
    <w:pPr/>
    <w:rPr>
      <w:i/>
      <w:iCs/>
      <w:color w:val="FF0000"/>
    </w:rPr>
  </w:style>
  <w:style w:type="paragraph" w:styleId="Nvel4-R" w:customStyle="1">
    <w:name w:val="Nível 4-R"/>
    <w:basedOn w:val="Nivel4"/>
    <w:qFormat/>
    <w:rsid w:val="00031dbe"/>
    <w:pPr>
      <w:ind w:hanging="648" w:left="2491"/>
    </w:pPr>
    <w:rPr>
      <w:i/>
      <w:iCs/>
      <w:color w:val="FF0000"/>
    </w:rPr>
  </w:style>
  <w:style w:type="paragraph" w:styleId="Nvel1-SemNum" w:customStyle="1">
    <w:name w:val="Nível 1-Sem Num"/>
    <w:basedOn w:val="Nivel01"/>
    <w:qFormat/>
    <w:rsid w:val="00e7273b"/>
    <w:pPr>
      <w:ind w:hanging="0" w:left="357"/>
      <w:outlineLvl w:val="1"/>
    </w:pPr>
    <w:rPr>
      <w:color w:themeColor="accent1" w:themeShade="bf" w:val="FF0000"/>
    </w:rPr>
  </w:style>
  <w:style w:type="paragraph" w:styleId="Citao2" w:customStyle="1">
    <w:name w:val="citação 2"/>
    <w:basedOn w:val="Quote"/>
    <w:qFormat/>
    <w:rsid w:val="00dc41dd"/>
    <w:pPr>
      <w:overflowPunct w:val="true"/>
    </w:pPr>
    <w:rPr>
      <w:szCs w:val="20"/>
    </w:rPr>
  </w:style>
  <w:style w:type="paragraph" w:styleId="Prembulo" w:customStyle="1">
    <w:name w:val="Preâmbulo"/>
    <w:basedOn w:val="Normal"/>
    <w:link w:val="PrembuloChar"/>
    <w:qFormat/>
    <w:rsid w:val="00bb19e4"/>
    <w:pPr>
      <w:spacing w:lineRule="auto" w:line="360" w:before="480" w:after="120"/>
      <w:ind w:hanging="0" w:left="4253" w:right="-17"/>
      <w:jc w:val="both"/>
    </w:pPr>
    <w:rPr>
      <w:rFonts w:ascii="Arial" w:hAnsi="Arial" w:eastAsia="Arial" w:cs="Arial"/>
      <w:bCs/>
      <w:sz w:val="20"/>
      <w:szCs w:val="20"/>
    </w:rPr>
  </w:style>
  <w:style w:type="paragraph" w:styleId="LO-normal">
    <w:name w:val="LO-normal"/>
    <w:qFormat/>
    <w:pPr>
      <w:widowControl/>
      <w:suppressAutoHyphens w:val="true"/>
      <w:bidi w:val="0"/>
      <w:spacing w:before="0" w:after="0"/>
      <w:jc w:val="left"/>
    </w:pPr>
    <w:rPr>
      <w:rFonts w:ascii="Arial" w:hAnsi="Arial" w:eastAsia="Arial" w:cs="Arial"/>
      <w:color w:val="auto"/>
      <w:kern w:val="0"/>
      <w:sz w:val="20"/>
      <w:szCs w:val="20"/>
      <w:lang w:val="pt-BR" w:eastAsia="zh-CN" w:bidi="hi-IN"/>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Ttulo1">
    <w:name w:val="Título1"/>
    <w:basedOn w:val="Normal"/>
    <w:next w:val="Subtitle"/>
    <w:qFormat/>
    <w:pPr>
      <w:suppressAutoHyphens w:val="true"/>
      <w:jc w:val="center"/>
    </w:pPr>
    <w:rPr>
      <w:b/>
      <w:szCs w:val="20"/>
    </w:rPr>
  </w:style>
  <w:style w:type="paragraph" w:styleId="Subtitle">
    <w:name w:val="Subtitle"/>
    <w:basedOn w:val="Normal"/>
    <w:next w:val="BodyText"/>
    <w:qFormat/>
    <w:pPr>
      <w:spacing w:before="0" w:after="60"/>
      <w:jc w:val="center"/>
    </w:pPr>
    <w:rPr>
      <w:rFonts w:ascii="Arial" w:hAnsi="Arial" w:cs="Arial"/>
    </w:rPr>
  </w:style>
  <w:style w:type="numbering" w:styleId="NoList" w:default="1">
    <w:name w:val="No List"/>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comments.xml.rels><?xml version="1.0" encoding="UTF-8"?>
<Relationships xmlns="http://schemas.openxmlformats.org/package/2006/relationships"><Relationship Id="rId1"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3" Type="http://schemas.openxmlformats.org/officeDocument/2006/relationships/hyperlink" Target="https://www.in.gov.br/en/web/dou/-/portaria-me-n-1.144-de-3-de-fevereiro-de-2021-302550048" TargetMode="External"/><Relationship Id="rId4" Type="http://schemas.openxmlformats.org/officeDocument/2006/relationships/hyperlink" Target="http://www.planalto.gov.br/ccivil_03/leis/lcp/lcp116.htm" TargetMode="External"/><Relationship Id="rId5" Type="http://schemas.openxmlformats.org/officeDocument/2006/relationships/hyperlink" Target="https://www.planalto.gov.br/ccivil_03/_ato2015-2018/2018/lei/l13709.htm" TargetMode="External"/><Relationship Id="rId6" Type="http://schemas.openxmlformats.org/officeDocument/2006/relationships/hyperlink" Target="https://www.planalto.gov.br/ccivil_03/leis/l8078compilado.htm" TargetMode="External"/><Relationship Id="rId7" Type="http://schemas.openxmlformats.org/officeDocument/2006/relationships/hyperlink" Target="https://www.planalto.gov.br/ccivil_03/leis/l8078compilado.htm" TargetMode="External"/>
</Relationship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yperlink" Target="https://www.planalto.gov.br/ccivil_03/leis/l8078compilado.htm" TargetMode="External"/><Relationship Id="rId4" Type="http://schemas.openxmlformats.org/officeDocument/2006/relationships/hyperlink" Target="https://www.planalto.gov.br/ccivil_03/_ato2015-2018/2018/lei/l13709.htm" TargetMode="External"/><Relationship Id="rId5" Type="http://schemas.openxmlformats.org/officeDocument/2006/relationships/hyperlink" Target="https://www.planalto.gov.br/ccivil_03/_ato2015-2018/2018/lei/l13709.htm" TargetMode="External"/><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8" Type="http://schemas.openxmlformats.org/officeDocument/2006/relationships/hyperlink" Target="https://www.planalto.gov.br/ccivil_03/_ato2011-2014/2013/lei/l12846.htm" TargetMode="External"/><Relationship Id="rId9"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8078compilado.htm"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comments" Target="comments.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Relationship Id="rId20" Type="http://schemas.openxmlformats.org/officeDocument/2006/relationships/customXml" Target="../customXml/item2.xml"/><Relationship Id="rId21" Type="http://schemas.openxmlformats.org/officeDocument/2006/relationships/customXml" Target="../customXml/item3.xml"/><Relationship Id="rId22"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2A8B92-2BE6-45F4-A7F5-0490ECFE5E01}"/>
</file>

<file path=customXml/itemProps2.xml><?xml version="1.0" encoding="utf-8"?>
<ds:datastoreItem xmlns:ds="http://schemas.openxmlformats.org/officeDocument/2006/customXml" ds:itemID="{692018DD-CD91-4DB8-9297-B61715C85DC2}"/>
</file>

<file path=customXml/itemProps3.xml><?xml version="1.0" encoding="utf-8"?>
<ds:datastoreItem xmlns:ds="http://schemas.openxmlformats.org/officeDocument/2006/customXml" ds:itemID="{50B3C33E-C218-45F7-9A65-EB4684C43E82}">
  <ds:schemaRefs>
    <ds:schemaRef ds:uri="http://schemas.openxmlformats.org/officeDocument/2006/bibliography"/>
  </ds:schemaRefs>
</ds:datastoreItem>
</file>

<file path=customXml/itemProps4.xml><?xml version="1.0" encoding="utf-8"?>
<ds:datastoreItem xmlns:ds="http://schemas.openxmlformats.org/officeDocument/2006/customXml" ds:itemID="{AA85AC61-5723-4F7D-8D46-C22F68ADEF98}"/>
</file>

<file path=docProps/app.xml><?xml version="1.0" encoding="utf-8"?>
<Properties xmlns="http://schemas.openxmlformats.org/officeDocument/2006/extended-properties" xmlns:vt="http://schemas.openxmlformats.org/officeDocument/2006/docPropsVTypes">
  <Template>Normal.dotm</Template>
  <TotalTime>412</TotalTime>
  <Application>LibreOffice/7.6.4.1$Windows_X86_64 LibreOffice_project/e19e193f88cd6c0525a17fb7a176ed8e6a3e2aa1</Application>
  <AppVersion>15.0000</AppVersion>
  <Pages>10</Pages>
  <Words>4345</Words>
  <Characters>24054</Characters>
  <CharactersWithSpaces>28105</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2023-05-20T12:26:00Z</dcterms:created>
  <dc:creator/>
  <dc:description/>
  <dc:language>pt-BR</dc:language>
  <cp:lastModifiedBy/>
  <dcterms:modified xsi:type="dcterms:W3CDTF">2025-10-28T12:13:14Z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