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color w:val="5b5b5f"/>
          <w:sz w:val="36"/>
          <w:szCs w:val="36"/>
          <w:rtl w:val="0"/>
        </w:rPr>
        <w:t xml:space="preserve">Aviso de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color w:val="405ca1"/>
          <w:sz w:val="56"/>
          <w:szCs w:val="56"/>
        </w:rPr>
      </w:pPr>
      <w:r w:rsidDel="00000000" w:rsidR="00000000" w:rsidRPr="00000000">
        <w:rPr>
          <w:color w:val="405ca1"/>
          <w:sz w:val="56"/>
          <w:szCs w:val="56"/>
          <w:rtl w:val="0"/>
        </w:rPr>
        <w:t xml:space="preserve">CONTRATAÇÃO</w:t>
      </w:r>
    </w:p>
    <w:p w:rsidR="00000000" w:rsidDel="00000000" w:rsidP="00000000" w:rsidRDefault="00000000" w:rsidRPr="00000000" w14:paraId="00000004">
      <w:pPr>
        <w:rPr>
          <w:color w:val="405ca1"/>
          <w:sz w:val="56"/>
          <w:szCs w:val="56"/>
        </w:rPr>
      </w:pPr>
      <w:r w:rsidDel="00000000" w:rsidR="00000000" w:rsidRPr="00000000">
        <w:rPr>
          <w:color w:val="405ca1"/>
          <w:sz w:val="56"/>
          <w:szCs w:val="56"/>
          <w:rtl w:val="0"/>
        </w:rPr>
        <w:t xml:space="preserve">DIRETA</w:t>
      </w:r>
    </w:p>
    <w:p w:rsidR="00000000" w:rsidDel="00000000" w:rsidP="00000000" w:rsidRDefault="00000000" w:rsidRPr="00000000" w14:paraId="00000005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00080/2025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CONTRATANTE (UASG)</w:t>
      </w:r>
    </w:p>
    <w:p w:rsidR="00000000" w:rsidDel="00000000" w:rsidP="00000000" w:rsidRDefault="00000000" w:rsidRPr="00000000" w14:paraId="00000008">
      <w:pPr>
        <w:rPr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160267</w:t>
      </w:r>
    </w:p>
    <w:p w:rsidR="00000000" w:rsidDel="00000000" w:rsidP="00000000" w:rsidRDefault="00000000" w:rsidRPr="00000000" w14:paraId="00000009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bCs w:val="1"/>
          <w:color w:val="5b5b5f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color w:val="595959"/>
          <w:sz w:val="28"/>
          <w:szCs w:val="28"/>
        </w:rPr>
      </w:pPr>
      <w:r w:rsidDel="00000000" w:rsidR="00000000" w:rsidRPr="00000000">
        <w:rPr>
          <w:color w:val="595959"/>
          <w:sz w:val="28"/>
          <w:szCs w:val="28"/>
          <w:rtl w:val="0"/>
        </w:rPr>
        <w:t xml:space="preserve">Fornecimento de energia elétrica</w:t>
      </w:r>
    </w:p>
    <w:p w:rsidR="00000000" w:rsidDel="00000000" w:rsidP="00000000" w:rsidRDefault="00000000" w:rsidRPr="00000000" w14:paraId="0000000C">
      <w:pPr>
        <w:rPr>
          <w:color w:val="5b5b5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VALOR TOTAL DA CONTRATAÇÃO</w:t>
      </w:r>
    </w:p>
    <w:p w:rsidR="00000000" w:rsidDel="00000000" w:rsidP="00000000" w:rsidRDefault="00000000" w:rsidRPr="00000000" w14:paraId="0000000E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b w:val="1"/>
          <w:bCs w:val="1"/>
          <w:color w:val="5b5b5f"/>
          <w:sz w:val="28"/>
          <w:szCs w:val="28"/>
          <w:rtl w:val="0"/>
        </w:rPr>
        <w:t xml:space="preserve">R$ 5.002,69</w:t>
      </w:r>
    </w:p>
    <w:p w:rsidR="00000000" w:rsidDel="00000000" w:rsidP="00000000" w:rsidRDefault="00000000" w:rsidRPr="00000000" w14:paraId="0000000F">
      <w:pPr>
        <w:rPr>
          <w:color w:val="5b5b5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DATA DA SESSÃO </w:t>
      </w:r>
    </w:p>
    <w:p w:rsidR="00000000" w:rsidDel="00000000" w:rsidP="00000000" w:rsidRDefault="00000000" w:rsidRPr="00000000" w14:paraId="00000011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De </w:t>
      </w:r>
      <w:r w:rsidDel="00000000" w:rsidR="00000000" w:rsidRPr="00000000">
        <w:rPr>
          <w:b w:val="1"/>
          <w:bCs w:val="1"/>
          <w:color w:val="5b5b5f"/>
          <w:sz w:val="28"/>
          <w:szCs w:val="28"/>
          <w:rtl w:val="0"/>
        </w:rPr>
        <w:t xml:space="preserve">01/12/2025</w:t>
      </w:r>
    </w:p>
    <w:p w:rsidR="00000000" w:rsidDel="00000000" w:rsidP="00000000" w:rsidRDefault="00000000" w:rsidRPr="00000000" w14:paraId="00000012">
      <w:pPr>
        <w:rPr>
          <w:color w:val="5b5b5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before="0"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CRITÉRIO DE JULGAMENTO:</w:t>
      </w:r>
    </w:p>
    <w:p w:rsidR="00000000" w:rsidDel="00000000" w:rsidP="00000000" w:rsidRDefault="00000000" w:rsidRPr="00000000" w14:paraId="00000014">
      <w:pPr>
        <w:spacing w:after="160" w:before="0" w:line="252.00000000000003" w:lineRule="auto"/>
        <w:rPr>
          <w:b w:val="1"/>
          <w:bCs w:val="1"/>
          <w:color w:val="595959"/>
          <w:sz w:val="32"/>
          <w:szCs w:val="32"/>
        </w:rPr>
      </w:pPr>
      <w:r w:rsidDel="00000000" w:rsidR="00000000" w:rsidRPr="00000000">
        <w:rPr>
          <w:b w:val="1"/>
          <w:bCs w:val="1"/>
          <w:color w:val="595959"/>
          <w:sz w:val="32"/>
          <w:szCs w:val="32"/>
          <w:rtl w:val="0"/>
        </w:rPr>
        <w:t xml:space="preserve">Inexigibilidade</w:t>
      </w:r>
    </w:p>
    <w:p w:rsidR="00000000" w:rsidDel="00000000" w:rsidP="00000000" w:rsidRDefault="00000000" w:rsidRPr="00000000" w14:paraId="00000015">
      <w:pPr>
        <w:spacing w:after="160" w:before="0"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PREFERÊNCIA ME/EPP/EQUIPARADAS</w:t>
        <w:br w:type="textWrapping"/>
      </w:r>
      <w:r w:rsidDel="00000000" w:rsidR="00000000" w:rsidRPr="00000000">
        <w:rPr>
          <w:b w:val="1"/>
          <w:bCs w:val="1"/>
          <w:color w:val="595959"/>
          <w:sz w:val="32"/>
          <w:szCs w:val="32"/>
          <w:rtl w:val="0"/>
        </w:rPr>
        <w:t xml:space="preserve">Inexigibilidade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"/>
        <w:jc w:val="center"/>
        <w:rPr>
          <w:rFonts w:ascii="Courier New" w:cs="Courier New" w:eastAsia="Courier New" w:hAnsi="Courier New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  <w:drawing>
          <wp:inline distB="0" distT="0" distL="0" distR="0">
            <wp:extent cx="707390" cy="715645"/>
            <wp:effectExtent b="0" l="0" r="0" t="0"/>
            <wp:docPr id="9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-2706" l="-2743" r="-2743" t="-2710"/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715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MINISTÉRIO DA DEFESA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EXÉRCITO BRASILEIRO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CML – 1ª DE – GUEs-9ª Bda Inf Mtz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2ºBATALHÃO DE INFANTARIA MOTORIZADO (ESCOLA)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(Terço do Rio de Janeiro – O Novo/1699) </w:t>
      </w:r>
    </w:p>
    <w:p w:rsidR="00000000" w:rsidDel="00000000" w:rsidP="00000000" w:rsidRDefault="00000000" w:rsidRPr="00000000" w14:paraId="00000024">
      <w:pPr>
        <w:jc w:val="center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REGIMENTO AVAÍ</w:t>
      </w:r>
    </w:p>
    <w:p w:rsidR="00000000" w:rsidDel="00000000" w:rsidP="00000000" w:rsidRDefault="00000000" w:rsidRPr="00000000" w14:paraId="00000025">
      <w:pPr>
        <w:jc w:val="center"/>
        <w:rPr>
          <w:b w:val="1"/>
          <w:bCs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AVISO DE CONTRATAÇÃO DIRETA  Nº </w:t>
      </w:r>
      <w:r w:rsidDel="00000000" w:rsidR="00000000" w:rsidRPr="00000000">
        <w:rPr>
          <w:b w:val="1"/>
          <w:bCs w:val="1"/>
          <w:rtl w:val="0"/>
        </w:rPr>
        <w:t xml:space="preserve">00080/20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2</w:t>
      </w:r>
      <w:r w:rsidDel="00000000" w:rsidR="00000000" w:rsidRPr="00000000">
        <w:rPr>
          <w:b w:val="1"/>
          <w:bCs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0" w:line="276" w:lineRule="auto"/>
        <w:ind w:right="-15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(Processo Administrativo n.°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12121"/>
          <w:sz w:val="21"/>
          <w:szCs w:val="21"/>
          <w:highlight w:val="white"/>
          <w:rtl w:val="0"/>
        </w:rPr>
        <w:t xml:space="preserve">64109.005882/2025-31</w:t>
      </w:r>
      <w:r w:rsidDel="00000000" w:rsidR="00000000" w:rsidRPr="00000000">
        <w:rPr>
          <w:b w:val="1"/>
          <w:bCs w:val="1"/>
          <w:rtl w:val="0"/>
        </w:rPr>
        <w:t xml:space="preserve">)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before="0" w:line="276" w:lineRule="auto"/>
        <w:ind w:right="-30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Torna-se público que o </w:t>
      </w:r>
      <w:r w:rsidDel="00000000" w:rsidR="00000000" w:rsidRPr="00000000">
        <w:rPr>
          <w:rtl w:val="0"/>
        </w:rPr>
        <w:t xml:space="preserve">2° Batalhão de Infantaria Motorizado (Escola)</w:t>
      </w:r>
      <w:r w:rsidDel="00000000" w:rsidR="00000000" w:rsidRPr="00000000">
        <w:rPr>
          <w:color w:val="000000"/>
          <w:rtl w:val="0"/>
        </w:rPr>
        <w:t xml:space="preserve">, por meio </w:t>
      </w:r>
      <w:r w:rsidDel="00000000" w:rsidR="00000000" w:rsidRPr="00000000">
        <w:rPr>
          <w:rtl w:val="0"/>
        </w:rPr>
        <w:t xml:space="preserve">da Seção de Aquisições, Licitações e Contratos (SALC)</w:t>
      </w:r>
      <w:r w:rsidDel="00000000" w:rsidR="00000000" w:rsidRPr="00000000">
        <w:rPr>
          <w:color w:val="000000"/>
          <w:rtl w:val="0"/>
        </w:rPr>
        <w:t xml:space="preserve">, realizará </w:t>
      </w:r>
      <w:r w:rsidDel="00000000" w:rsidR="00000000" w:rsidRPr="00000000">
        <w:rPr>
          <w:rtl w:val="0"/>
        </w:rPr>
        <w:t xml:space="preserve">Inexigibilidade de licitação</w:t>
      </w:r>
      <w:r w:rsidDel="00000000" w:rsidR="00000000" w:rsidRPr="00000000">
        <w:rPr>
          <w:color w:val="000000"/>
          <w:rtl w:val="0"/>
        </w:rPr>
        <w:t xml:space="preserve">, com critério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, </w:t>
      </w:r>
      <w:r w:rsidDel="00000000" w:rsidR="00000000" w:rsidRPr="00000000">
        <w:rPr>
          <w:color w:val="000000"/>
          <w:rtl w:val="0"/>
        </w:rPr>
        <w:t xml:space="preserve">na hipótese do </w:t>
      </w:r>
      <w:hyperlink r:id="rId8">
        <w:r w:rsidDel="00000000" w:rsidR="00000000" w:rsidRPr="00000000">
          <w:rPr>
            <w:color w:val="0000ff"/>
            <w:u w:val="single"/>
            <w:rtl w:val="0"/>
          </w:rPr>
          <w:t xml:space="preserve">art. 7</w:t>
        </w:r>
      </w:hyperlink>
      <w:r w:rsidDel="00000000" w:rsidR="00000000" w:rsidRPr="00000000">
        <w:rPr>
          <w:i w:val="1"/>
          <w:iCs w:val="1"/>
          <w:rtl w:val="0"/>
        </w:rPr>
        <w:t xml:space="preserve">4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, </w:t>
      </w:r>
      <w:r w:rsidDel="00000000" w:rsidR="00000000" w:rsidRPr="00000000">
        <w:rPr>
          <w:i w:val="1"/>
          <w:iCs w:val="1"/>
          <w:rtl w:val="0"/>
        </w:rPr>
        <w:t xml:space="preserve">caput,</w:t>
      </w:r>
      <w:r w:rsidDel="00000000" w:rsidR="00000000" w:rsidRPr="00000000">
        <w:rPr>
          <w:rtl w:val="0"/>
        </w:rPr>
        <w:t xml:space="preserve"> nos termos da </w:t>
      </w:r>
      <w:hyperlink r:id="rId9">
        <w:r w:rsidDel="00000000" w:rsidR="00000000" w:rsidRPr="00000000">
          <w:rPr>
            <w:color w:val="0000ff"/>
            <w:u w:val="single"/>
            <w:rtl w:val="0"/>
          </w:rPr>
          <w:t xml:space="preserve">Lei n.º 14.133, de 1º de abril de 2021</w:t>
        </w:r>
      </w:hyperlink>
      <w:r w:rsidDel="00000000" w:rsidR="00000000" w:rsidRPr="00000000">
        <w:rPr>
          <w:rtl w:val="0"/>
        </w:rPr>
        <w:t xml:space="preserve"> e demais normas aplicáveis</w:t>
      </w:r>
      <w:r w:rsidDel="00000000" w:rsidR="00000000" w:rsidRPr="00000000">
        <w:rPr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Data da sessão: 01/12/2025</w:t>
      </w:r>
    </w:p>
    <w:p w:rsidR="00000000" w:rsidDel="00000000" w:rsidP="00000000" w:rsidRDefault="00000000" w:rsidRPr="00000000" w14:paraId="0000002E">
      <w:pPr>
        <w:rPr>
          <w:color w:val="ff0000"/>
        </w:rPr>
      </w:pPr>
      <w:r w:rsidDel="00000000" w:rsidR="00000000" w:rsidRPr="00000000">
        <w:rPr>
          <w:b w:val="1"/>
          <w:bCs w:val="1"/>
          <w:rtl w:val="0"/>
        </w:rPr>
        <w:t xml:space="preserve">Critério de Julgamento:</w:t>
      </w:r>
      <w:r w:rsidDel="00000000" w:rsidR="00000000" w:rsidRPr="00000000">
        <w:rPr>
          <w:rtl w:val="0"/>
        </w:rPr>
        <w:t xml:space="preserve"> Inexigibilidade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ind w:right="-15" w:firstLine="0"/>
        <w:jc w:val="both"/>
        <w:rPr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ind w:right="-15" w:firstLine="0"/>
        <w:jc w:val="both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6" w:lineRule="auto"/>
        <w:ind w:left="360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 DA CONTRATAÇÃO DIRETA</w:t>
      </w:r>
    </w:p>
    <w:p w:rsidR="00000000" w:rsidDel="00000000" w:rsidP="00000000" w:rsidRDefault="00000000" w:rsidRPr="00000000" w14:paraId="00000033">
      <w:pPr>
        <w:jc w:val="both"/>
        <w:rPr/>
      </w:pPr>
      <w:r w:rsidDel="00000000" w:rsidR="00000000" w:rsidRPr="00000000">
        <w:rPr>
          <w:rtl w:val="0"/>
        </w:rPr>
        <w:t xml:space="preserve">O objeto do presente procedimento é o fornecimento de energia elétrica ao 2º BI Mtz (Es) por inexigibilidade conforme condições, estabelecidas neste Aviso de Contratação Direta e seus anexos.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6" w:lineRule="auto"/>
        <w:ind w:left="0" w:right="0" w:firstLine="0"/>
        <w:jc w:val="both"/>
        <w:rPr>
          <w:color w:val="000000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1"/>
          <w:numId w:val="1"/>
        </w:numPr>
        <w:spacing w:after="120" w:before="120" w:line="276" w:lineRule="auto"/>
        <w:ind w:left="425" w:firstLine="0"/>
        <w:jc w:val="both"/>
        <w:rPr/>
      </w:pPr>
      <w:r w:rsidDel="00000000" w:rsidR="00000000" w:rsidRPr="00000000">
        <w:rPr>
          <w:color w:val="000000"/>
          <w:rtl w:val="0"/>
        </w:rPr>
        <w:t xml:space="preserve">Integram este Aviso de Contratação Direta, para todos os fins e efeitos, os </w:t>
      </w:r>
      <w:r w:rsidDel="00000000" w:rsidR="00000000" w:rsidRPr="00000000">
        <w:rPr>
          <w:rtl w:val="0"/>
        </w:rPr>
        <w:t xml:space="preserve">seguintes anexos:</w:t>
      </w:r>
    </w:p>
    <w:p w:rsidR="00000000" w:rsidDel="00000000" w:rsidP="00000000" w:rsidRDefault="00000000" w:rsidRPr="00000000" w14:paraId="00000036">
      <w:pPr>
        <w:numPr>
          <w:ilvl w:val="2"/>
          <w:numId w:val="1"/>
        </w:numPr>
        <w:spacing w:after="120" w:before="120" w:line="276" w:lineRule="auto"/>
        <w:ind w:left="1224" w:hanging="504.00000000000006"/>
        <w:jc w:val="both"/>
        <w:rPr/>
      </w:pPr>
      <w:r w:rsidDel="00000000" w:rsidR="00000000" w:rsidRPr="00000000">
        <w:rPr>
          <w:rtl w:val="0"/>
        </w:rPr>
        <w:t xml:space="preserve">ANEXO I –  Requisição de fornecimento de energia elétrica.</w:t>
      </w:r>
    </w:p>
    <w:p w:rsidR="00000000" w:rsidDel="00000000" w:rsidP="00000000" w:rsidRDefault="00000000" w:rsidRPr="00000000" w14:paraId="00000037">
      <w:pPr>
        <w:spacing w:after="120" w:before="0" w:line="276" w:lineRule="auto"/>
        <w:ind w:right="-15" w:firstLine="0"/>
        <w:jc w:val="both"/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1440"/>
        </w:tabs>
        <w:spacing w:after="57" w:before="57" w:line="276" w:lineRule="auto"/>
        <w:ind w:left="2772" w:firstLine="0"/>
        <w:jc w:val="center"/>
        <w:rPr>
          <w:i w:val="1"/>
          <w:iCs w:val="1"/>
          <w:color w:val="ff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color w:val="00000a"/>
          <w:sz w:val="18"/>
          <w:szCs w:val="18"/>
        </w:rPr>
      </w:pPr>
      <w:r w:rsidDel="00000000" w:rsidR="00000000" w:rsidRPr="00000000">
        <w:rPr>
          <w:color w:val="000000"/>
          <w:sz w:val="18"/>
          <w:szCs w:val="18"/>
          <w:rtl w:val="0"/>
        </w:rPr>
        <w:t xml:space="preserve">Rio de Janeiro, RJ, </w:t>
      </w:r>
      <w:r w:rsidDel="00000000" w:rsidR="00000000" w:rsidRPr="00000000">
        <w:rPr>
          <w:sz w:val="18"/>
          <w:szCs w:val="18"/>
          <w:rtl w:val="0"/>
        </w:rPr>
        <w:t xml:space="preserve">01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 de </w:t>
      </w:r>
      <w:r w:rsidDel="00000000" w:rsidR="00000000" w:rsidRPr="00000000">
        <w:rPr>
          <w:sz w:val="18"/>
          <w:szCs w:val="18"/>
          <w:rtl w:val="0"/>
        </w:rPr>
        <w:t xml:space="preserve">dezembro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 de 202</w:t>
      </w:r>
      <w:r w:rsidDel="00000000" w:rsidR="00000000" w:rsidRPr="00000000">
        <w:rPr>
          <w:sz w:val="18"/>
          <w:szCs w:val="18"/>
          <w:rtl w:val="0"/>
        </w:rPr>
        <w:t xml:space="preserve">5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57" w:before="57" w:line="276" w:lineRule="auto"/>
        <w:jc w:val="center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57" w:before="57" w:line="276" w:lineRule="auto"/>
        <w:ind w:right="-15" w:firstLine="709"/>
        <w:jc w:val="both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57" w:before="57" w:line="276" w:lineRule="auto"/>
        <w:ind w:right="-15" w:firstLine="709"/>
        <w:jc w:val="both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before="120" w:line="276" w:lineRule="auto"/>
        <w:jc w:val="center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333333"/>
          <w:sz w:val="21"/>
          <w:szCs w:val="21"/>
          <w:highlight w:val="white"/>
          <w:rtl w:val="0"/>
        </w:rPr>
        <w:t xml:space="preserve">MAURILIO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LUCIO DA SILVA </w:t>
      </w:r>
      <w:r w:rsidDel="00000000" w:rsidR="00000000" w:rsidRPr="00000000">
        <w:rPr>
          <w:b w:val="1"/>
          <w:bCs w:val="1"/>
          <w:color w:val="333333"/>
          <w:sz w:val="21"/>
          <w:szCs w:val="21"/>
          <w:highlight w:val="white"/>
          <w:rtl w:val="0"/>
        </w:rPr>
        <w:t xml:space="preserve">JUNIOR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- Ten</w:t>
      </w:r>
      <w:r w:rsidDel="00000000" w:rsidR="00000000" w:rsidRPr="00000000">
        <w:rPr>
          <w:b w:val="1"/>
          <w:bCs w:val="1"/>
          <w:smallCaps w:val="1"/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Cel</w:t>
      </w:r>
    </w:p>
    <w:p w:rsidR="00000000" w:rsidDel="00000000" w:rsidP="00000000" w:rsidRDefault="00000000" w:rsidRPr="00000000" w14:paraId="0000003F">
      <w:pPr>
        <w:spacing w:after="0" w:lineRule="auto"/>
        <w:jc w:val="center"/>
        <w:rPr/>
      </w:pPr>
      <w:r w:rsidDel="00000000" w:rsidR="00000000" w:rsidRPr="00000000">
        <w:rPr>
          <w:color w:val="000000"/>
          <w:rtl w:val="0"/>
        </w:rPr>
        <w:t xml:space="preserve">Ordenador de Despesas do 2º BI Mtz (Es)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before="0" w:line="276" w:lineRule="auto"/>
        <w:ind w:left="709" w:firstLine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1"/>
        <w:bCs w:val="1"/>
      </w:rPr>
    </w:lvl>
    <w:lvl w:ilvl="1">
      <w:start w:val="1"/>
      <w:numFmt w:val="decimal"/>
      <w:lvlText w:val="%1.%2."/>
      <w:lvlJc w:val="left"/>
      <w:pPr>
        <w:ind w:left="716" w:hanging="432.00000000000034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.9999999999998"/>
      </w:pPr>
      <w:rPr/>
    </w:lvl>
    <w:lvl w:ilvl="4">
      <w:start w:val="1"/>
      <w:numFmt w:val="decimal"/>
      <w:lvlText w:val="%1.%2.%3.%4.%5."/>
      <w:lvlJc w:val="left"/>
      <w:pPr>
        <w:ind w:left="2232" w:hanging="792"/>
      </w:pPr>
      <w:rPr/>
    </w:lvl>
    <w:lvl w:ilvl="5">
      <w:start w:val="1"/>
      <w:numFmt w:val="decimal"/>
      <w:lvlText w:val="%1.%2.%3.%4.%5.%6."/>
      <w:lvlJc w:val="left"/>
      <w:pPr>
        <w:ind w:left="2736" w:hanging="935.9999999999995"/>
      </w:pPr>
      <w:rPr/>
    </w:lvl>
    <w:lvl w:ilvl="6">
      <w:start w:val="1"/>
      <w:numFmt w:val="decimal"/>
      <w:lvlText w:val="%1.%2.%3.%4.%5.%6.%7."/>
      <w:lvlJc w:val="left"/>
      <w:pPr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ind w:left="3744" w:hanging="1224.0000000000005"/>
      </w:pPr>
      <w:rPr/>
    </w:lvl>
    <w:lvl w:ilvl="8">
      <w:start w:val="1"/>
      <w:numFmt w:val="decimal"/>
      <w:lvlText w:val="%1.%2.%3.%4.%5.%6.%7.%8.%9."/>
      <w:lvlJc w:val="left"/>
      <w:pPr>
        <w:ind w:left="4320" w:hanging="144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120" w:line="276" w:lineRule="auto"/>
      <w:ind w:left="360" w:right="0" w:hanging="360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Ttulo1Char" w:customStyle="1">
    <w:name w:val="Título 1 Char"/>
    <w:basedOn w:val="DefaultParagraphFont"/>
    <w:link w:val="Ttulo1"/>
    <w:uiPriority w:val="9"/>
    <w:qFormat w:val="1"/>
    <w:rsid w:val="007839DB"/>
    <w:rPr>
      <w:rFonts w:ascii="Arial" w:cs="Arial" w:eastAsia="WenQuanYi Micro Hei" w:hAnsi="Arial"/>
      <w:b w:val="1"/>
      <w:sz w:val="20"/>
      <w:szCs w:val="24"/>
      <w:lang w:bidi="hi-IN" w:eastAsia="zh-CN"/>
    </w:rPr>
  </w:style>
  <w:style w:type="character" w:styleId="LinkdaInternet" w:customStyle="1">
    <w:name w:val="Link da Internet"/>
    <w:basedOn w:val="DefaultParagraphFont"/>
    <w:qFormat w:val="1"/>
    <w:rsid w:val="00100C34"/>
    <w:rPr>
      <w:color w:val="0000ff"/>
      <w:u w:val="single"/>
    </w:rPr>
  </w:style>
  <w:style w:type="character" w:styleId="TextodecomentrioChar" w:customStyle="1">
    <w:name w:val="Texto de comentário Char"/>
    <w:basedOn w:val="DefaultParagraphFont"/>
    <w:link w:val="Textodecomentrio"/>
    <w:semiHidden w:val="1"/>
    <w:qFormat w:val="1"/>
    <w:rsid w:val="007839DB"/>
    <w:rPr>
      <w:rFonts w:ascii="Arial" w:cs="Tahoma" w:eastAsia="Times New Roman" w:hAnsi="Arial"/>
      <w:sz w:val="20"/>
      <w:szCs w:val="20"/>
      <w:lang w:eastAsia="pt-BR"/>
    </w:rPr>
  </w:style>
  <w:style w:type="character" w:styleId="CitaoChar" w:customStyle="1">
    <w:name w:val="Citação Char"/>
    <w:basedOn w:val="DefaultParagraphFont"/>
    <w:link w:val="Citao"/>
    <w:qFormat w:val="1"/>
    <w:rsid w:val="007839DB"/>
    <w:rPr>
      <w:rFonts w:ascii="Arial" w:cs="Tahoma" w:eastAsia="Calibri" w:hAnsi="Arial"/>
      <w:i w:val="1"/>
      <w:iCs w:val="1"/>
      <w:color w:val="000000"/>
      <w:sz w:val="20"/>
      <w:szCs w:val="24"/>
      <w:shd w:fill="ffffcc" w:val="clear"/>
    </w:rPr>
  </w:style>
  <w:style w:type="character" w:styleId="Nivel01Char" w:customStyle="1">
    <w:name w:val="Nivel 01 Char"/>
    <w:basedOn w:val="Ttulo1Char"/>
    <w:link w:val="Nivel01"/>
    <w:qFormat w:val="1"/>
    <w:locked w:val="1"/>
    <w:rsid w:val="007839DB"/>
    <w:rPr>
      <w:rFonts w:ascii="Arial" w:cs="Times New Roman" w:eastAsia="WenQuanYi Micro Hei" w:hAnsi="Arial"/>
      <w:b w:val="0"/>
      <w:color w:val="000000"/>
      <w:sz w:val="20"/>
      <w:szCs w:val="20"/>
      <w:lang w:bidi="hi-IN" w:eastAsia="zh-CN"/>
    </w:rPr>
  </w:style>
  <w:style w:type="character" w:styleId="Nivel2Char" w:customStyle="1">
    <w:name w:val="Nivel 2 Char"/>
    <w:basedOn w:val="DefaultParagraphFont"/>
    <w:link w:val="Nivel2"/>
    <w:qFormat w:val="1"/>
    <w:locked w:val="1"/>
    <w:rsid w:val="007839DB"/>
    <w:rPr>
      <w:rFonts w:ascii="Ecofont_Spranq_eco_Sans" w:cs="Times New Roman" w:eastAsia="Arial Unicode MS" w:hAnsi="Ecofont_Spranq_eco_Sans"/>
      <w:sz w:val="20"/>
      <w:szCs w:val="20"/>
      <w:lang w:eastAsia="pt-BR"/>
    </w:rPr>
  </w:style>
  <w:style w:type="character" w:styleId="Annotationreference">
    <w:name w:val="annotation reference"/>
    <w:basedOn w:val="DefaultParagraphFont"/>
    <w:semiHidden w:val="1"/>
    <w:unhideWhenUsed w:val="1"/>
    <w:qFormat w:val="1"/>
    <w:rsid w:val="007839DB"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 w:val="1"/>
    <w:qFormat w:val="1"/>
    <w:rsid w:val="007839DB"/>
    <w:rPr>
      <w:rFonts w:ascii="Tahoma" w:cs="Tahoma" w:eastAsia="Times New Roman" w:hAnsi="Tahoma"/>
      <w:sz w:val="16"/>
      <w:szCs w:val="16"/>
      <w:lang w:eastAsia="pt-BR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4096C"/>
    <w:rPr>
      <w:rFonts w:ascii="Liberation Serif" w:cs="Lohit Devanagari" w:eastAsia="Times New Roman" w:hAnsi="Liberation Serif"/>
      <w:kern w:val="2"/>
      <w:sz w:val="24"/>
      <w:szCs w:val="24"/>
      <w:lang w:bidi="hi-IN" w:eastAsia="pt-BR"/>
    </w:rPr>
  </w:style>
  <w:style w:type="character" w:styleId="Strong">
    <w:name w:val="Strong"/>
    <w:basedOn w:val="DefaultParagraphFont"/>
    <w:uiPriority w:val="22"/>
    <w:qFormat w:val="1"/>
    <w:rsid w:val="00817349"/>
    <w:rPr>
      <w:b w:val="1"/>
      <w:bCs w:val="1"/>
    </w:rPr>
  </w:style>
  <w:style w:type="character" w:styleId="Vnculodendice">
    <w:name w:val="Vínculo de índice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ohit Devanagari" w:eastAsia="Noto Sans CJK SC" w:hAnsi="Liberation Sans"/>
      <w:sz w:val="28"/>
      <w:szCs w:val="28"/>
    </w:rPr>
  </w:style>
  <w:style w:type="paragraph" w:styleId="Corpodotexto">
    <w:name w:val="Body Text"/>
    <w:basedOn w:val="Normal"/>
    <w:link w:val="CorpodetextoChar"/>
    <w:uiPriority w:val="99"/>
    <w:semiHidden w:val="1"/>
    <w:unhideWhenUsed w:val="1"/>
    <w:rsid w:val="00E4096C"/>
    <w:pPr>
      <w:spacing w:afterAutospacing="1" w:beforeAutospacing="1"/>
    </w:pPr>
    <w:rPr>
      <w:rFonts w:ascii="Liberation Serif" w:cs="Lohit Devanagari" w:hAnsi="Liberation Serif"/>
      <w:kern w:val="2"/>
      <w:sz w:val="24"/>
      <w:lang w:bidi="hi-IN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ohit Devanagari"/>
    </w:rPr>
  </w:style>
  <w:style w:type="paragraph" w:styleId="Sumrio1">
    <w:name w:val="TOC 1"/>
    <w:basedOn w:val="Normal"/>
    <w:next w:val="Normal"/>
    <w:autoRedefine w:val="1"/>
    <w:uiPriority w:val="39"/>
    <w:unhideWhenUsed w:val="1"/>
    <w:rsid w:val="00E4096C"/>
    <w:pPr>
      <w:tabs>
        <w:tab w:val="clear" w:pos="708"/>
        <w:tab w:val="left" w:leader="none" w:pos="440"/>
        <w:tab w:val="right" w:leader="dot" w:pos="8494"/>
      </w:tabs>
      <w:spacing w:after="100" w:before="0"/>
    </w:pPr>
    <w:rPr/>
  </w:style>
  <w:style w:type="paragraph" w:styleId="Annotationtext">
    <w:name w:val="annotation text"/>
    <w:basedOn w:val="Normal"/>
    <w:link w:val="TextodecomentrioChar"/>
    <w:semiHidden w:val="1"/>
    <w:unhideWhenUsed w:val="1"/>
    <w:qFormat w:val="1"/>
    <w:rsid w:val="007839DB"/>
    <w:pPr/>
    <w:rPr>
      <w:szCs w:val="20"/>
    </w:rPr>
  </w:style>
  <w:style w:type="paragraph" w:styleId="ListParagraph">
    <w:name w:val="List Paragraph"/>
    <w:basedOn w:val="Normal"/>
    <w:uiPriority w:val="34"/>
    <w:qFormat w:val="1"/>
    <w:rsid w:val="007839DB"/>
    <w:pPr>
      <w:spacing w:after="0" w:before="0"/>
      <w:ind w:left="720" w:hanging="0"/>
      <w:contextualSpacing w:val="1"/>
    </w:pPr>
    <w:rPr/>
  </w:style>
  <w:style w:type="paragraph" w:styleId="Quote">
    <w:name w:val="Quote"/>
    <w:basedOn w:val="Normal"/>
    <w:next w:val="Normal"/>
    <w:link w:val="CitaoChar"/>
    <w:qFormat w:val="1"/>
    <w:rsid w:val="007839DB"/>
    <w:pPr>
      <w:pBdr>
        <w:top w:color="1f497d" w:space="1" w:sz="4" w:val="single"/>
        <w:left w:color="1f497d" w:space="4" w:sz="4" w:val="single"/>
        <w:bottom w:color="1f497d" w:space="1" w:sz="4" w:val="single"/>
        <w:right w:color="1f497d" w:space="4" w:sz="4" w:val="single"/>
      </w:pBdr>
      <w:shd w:color="auto" w:fill="ffffcc" w:val="clear"/>
      <w:spacing w:after="0" w:before="120"/>
      <w:jc w:val="both"/>
    </w:pPr>
    <w:rPr>
      <w:rFonts w:eastAsia="Calibri"/>
      <w:i w:val="1"/>
      <w:iCs w:val="1"/>
      <w:color w:val="000000"/>
      <w:lang w:eastAsia="en-US"/>
    </w:rPr>
  </w:style>
  <w:style w:type="paragraph" w:styleId="TOCHeading">
    <w:name w:val="TOC Heading"/>
    <w:basedOn w:val="Ttulo1"/>
    <w:next w:val="Normal"/>
    <w:uiPriority w:val="39"/>
    <w:semiHidden w:val="1"/>
    <w:unhideWhenUsed w:val="1"/>
    <w:qFormat w:val="1"/>
    <w:rsid w:val="007839DB"/>
    <w:pPr>
      <w:keepNext w:val="1"/>
      <w:keepLines w:val="1"/>
      <w:numPr>
        <w:ilvl w:val="0"/>
        <w:numId w:val="0"/>
      </w:numPr>
      <w:suppressAutoHyphens w:val="0"/>
      <w:spacing w:after="0" w:before="240" w:line="252" w:lineRule="auto"/>
      <w:ind w:firstLine="567"/>
      <w:jc w:val="left"/>
    </w:pPr>
    <w:rPr>
      <w:rFonts w:ascii="Cambria" w:cs="" w:eastAsia="" w:hAnsi="Cambria" w:asciiTheme="majorHAnsi" w:cstheme="majorBidi" w:eastAsiaTheme="majorEastAsia" w:hAnsiTheme="majorHAnsi"/>
      <w:b w:val="0"/>
      <w:color w:val="365f91" w:themeColor="accent1" w:themeShade="0000BF"/>
      <w:sz w:val="32"/>
      <w:szCs w:val="32"/>
      <w:lang w:bidi="ar-SA" w:eastAsia="pt-BR"/>
    </w:rPr>
  </w:style>
  <w:style w:type="paragraph" w:styleId="Nivel01" w:customStyle="1">
    <w:name w:val="Nivel 01"/>
    <w:basedOn w:val="Ttulo1"/>
    <w:next w:val="Normal"/>
    <w:link w:val="Nivel01Char"/>
    <w:qFormat w:val="1"/>
    <w:rsid w:val="007839DB"/>
    <w:pPr>
      <w:numPr>
        <w:ilvl w:val="0"/>
        <w:numId w:val="0"/>
      </w:numPr>
      <w:spacing w:after="120" w:before="480"/>
      <w:ind w:right="-15" w:hanging="0"/>
    </w:pPr>
    <w:rPr>
      <w:rFonts w:cs="Times New Roman"/>
      <w:b w:val="0"/>
      <w:color w:val="000000"/>
      <w:szCs w:val="20"/>
    </w:rPr>
  </w:style>
  <w:style w:type="paragraph" w:styleId="PADRO" w:customStyle="1">
    <w:name w:val="PADRÃO"/>
    <w:qFormat w:val="1"/>
    <w:rsid w:val="007839DB"/>
    <w:pPr>
      <w:keepNext w:val="1"/>
      <w:widowControl w:val="0"/>
      <w:shd w:color="auto" w:fill="ffffff" w:val="clear"/>
      <w:suppressAutoHyphens w:val="1"/>
      <w:bidi w:val="0"/>
      <w:spacing w:after="119" w:before="119" w:line="276" w:lineRule="auto"/>
      <w:ind w:firstLine="567"/>
      <w:jc w:val="both"/>
    </w:pPr>
    <w:rPr>
      <w:rFonts w:ascii="Ecofont_Spranq_eco_Sans" w:cs="Lohit Hindi" w:eastAsia="WenQuanYi Micro Hei" w:hAnsi="Ecofont_Spranq_eco_Sans"/>
      <w:color w:val="auto"/>
      <w:kern w:val="0"/>
      <w:sz w:val="20"/>
      <w:szCs w:val="24"/>
      <w:lang w:bidi="hi-IN" w:eastAsia="zh-CN" w:val="pt-BR"/>
    </w:rPr>
  </w:style>
  <w:style w:type="paragraph" w:styleId="Nivel2" w:customStyle="1">
    <w:name w:val="Nivel 2"/>
    <w:link w:val="Nivel2Char"/>
    <w:qFormat w:val="1"/>
    <w:rsid w:val="007839DB"/>
    <w:pPr>
      <w:widowControl w:val="1"/>
      <w:suppressAutoHyphens w:val="1"/>
      <w:bidi w:val="0"/>
      <w:spacing w:after="120" w:before="120" w:line="276" w:lineRule="auto"/>
      <w:jc w:val="both"/>
    </w:pPr>
    <w:rPr>
      <w:rFonts w:ascii="Ecofont_Spranq_eco_Sans" w:cs="Times New Roman" w:eastAsia="Arial Unicode MS" w:hAnsi="Ecofont_Spranq_eco_Sans"/>
      <w:color w:val="auto"/>
      <w:kern w:val="0"/>
      <w:sz w:val="20"/>
      <w:szCs w:val="20"/>
      <w:lang w:bidi="ar-SA" w:eastAsia="pt-BR" w:val="pt-BR"/>
    </w:rPr>
  </w:style>
  <w:style w:type="paragraph" w:styleId="Nvel3R" w:customStyle="1">
    <w:name w:val="Nível 3-R"/>
    <w:basedOn w:val="Normal"/>
    <w:qFormat w:val="1"/>
    <w:rsid w:val="007839DB"/>
    <w:pPr>
      <w:suppressAutoHyphens w:val="0"/>
      <w:spacing w:after="120" w:before="120" w:line="276" w:lineRule="auto"/>
      <w:ind w:left="284" w:hanging="0"/>
      <w:jc w:val="both"/>
    </w:pPr>
    <w:rPr>
      <w:rFonts w:cs="Arial" w:eastAsia="" w:eastAsiaTheme="minorEastAsia"/>
      <w:i w:val="1"/>
      <w:iCs w:val="1"/>
      <w:color w:val="ff0000"/>
      <w:szCs w:val="20"/>
    </w:rPr>
  </w:style>
  <w:style w:type="paragraph" w:styleId="Nvel4R" w:customStyle="1">
    <w:name w:val="Nível 4-R"/>
    <w:basedOn w:val="Normal"/>
    <w:qFormat w:val="1"/>
    <w:rsid w:val="007839DB"/>
    <w:pPr>
      <w:suppressAutoHyphens w:val="0"/>
      <w:spacing w:after="120" w:before="120" w:line="276" w:lineRule="auto"/>
      <w:ind w:left="567" w:hanging="0"/>
      <w:jc w:val="both"/>
    </w:pPr>
    <w:rPr>
      <w:rFonts w:cs="Arial" w:eastAsia="" w:eastAsiaTheme="minorEastAsia"/>
      <w:i w:val="1"/>
      <w:iCs w:val="1"/>
      <w:color w:val="ff0000"/>
      <w:szCs w:val="20"/>
    </w:rPr>
  </w:style>
  <w:style w:type="paragraph" w:styleId="BalloonText">
    <w:name w:val="Balloon Text"/>
    <w:basedOn w:val="Normal"/>
    <w:link w:val="TextodebaloChar"/>
    <w:uiPriority w:val="99"/>
    <w:semiHidden w:val="1"/>
    <w:unhideWhenUsed w:val="1"/>
    <w:qFormat w:val="1"/>
    <w:rsid w:val="007839DB"/>
    <w:pPr/>
    <w:rPr>
      <w:rFonts w:ascii="Tahoma" w:hAnsi="Tahoma"/>
      <w:sz w:val="16"/>
      <w:szCs w:val="16"/>
    </w:rPr>
  </w:style>
  <w:style w:type="paragraph" w:styleId="BOLETIM" w:customStyle="1">
    <w:name w:val="BOLETIM"/>
    <w:qFormat w:val="1"/>
    <w:rsid w:val="00E4096C"/>
    <w:pPr>
      <w:widowControl w:val="0"/>
      <w:suppressAutoHyphens w:val="1"/>
      <w:bidi w:val="0"/>
      <w:spacing w:after="0" w:before="120" w:line="100" w:lineRule="atLeast"/>
      <w:ind w:firstLine="1418"/>
      <w:jc w:val="both"/>
    </w:pPr>
    <w:rPr>
      <w:rFonts w:ascii="Courier New" w:cs="Times New Roman" w:eastAsia="Arial" w:hAnsi="Courier New"/>
      <w:color w:val="00000a"/>
      <w:kern w:val="0"/>
      <w:sz w:val="20"/>
      <w:szCs w:val="20"/>
      <w:lang w:bidi="ar-SA" w:eastAsia="zh-CN" w:val="pt-BR"/>
    </w:rPr>
  </w:style>
  <w:style w:type="paragraph" w:styleId="Normal1" w:customStyle="1">
    <w:name w:val="Normal1"/>
    <w:qFormat w:val="1"/>
    <w:rsid w:val="00E4096C"/>
    <w:pPr>
      <w:widowControl w:val="1"/>
      <w:suppressAutoHyphens w:val="1"/>
      <w:bidi w:val="0"/>
      <w:spacing w:after="0" w:before="0" w:line="240" w:lineRule="auto"/>
      <w:jc w:val="right"/>
    </w:pPr>
    <w:rPr>
      <w:rFonts w:ascii="DKNKFM+ArialNarrow;Arial Narrow" w:cs="DKNKFM+ArialNarrow;Arial Narrow" w:eastAsia="Arial" w:hAnsi="DKNKFM+ArialNarrow;Arial Narrow"/>
      <w:color w:val="000000"/>
      <w:kern w:val="0"/>
      <w:sz w:val="24"/>
      <w:szCs w:val="24"/>
      <w:lang w:bidi="ar-SA" w:eastAsia="zh-CN" w:val="pt-BR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://www.planalto.gov.br/ccivil_03/_ato2019-2022/2021/lei/L14133.htm#art75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0ZtgwhqCqILpX389BYA0mJXPKA==">CgMxLjAyCGguZ2pkZ3hzMgloLjMwajB6bGw4AHIhMU1RSjg3el9IbW1sUHByS2xvSGN5WlNXTXVQU1RIYVMy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2024-01-18T16:04:00Z</dcterms:created>
  <dc:creator>SALC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