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  <w:object w:dxaOrig="3776" w:dyaOrig="1646">
          <v:shape id="ole_rId2" style="width:80.5pt;height:53.55pt" o:ole="">
            <v:imagedata r:id="rId3" o:title=""/>
          </v:shape>
          <o:OLEObject Type="Embed" ProgID="" ShapeID="ole_rId2" DrawAspect="Content" ObjectID="_772400483" r:id="rId2"/>
        </w:object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4"/>
          <w:szCs w:val="24"/>
        </w:rPr>
      </w:pPr>
      <w:r>
        <w:rPr>
          <w:rFonts w:cs="Liberation Serif" w:ascii="Times New Roman" w:hAnsi="Times New Roman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MINISTÉRIO DA DEFESA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EXÉRCITO   BRASILEIRO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CMSE  -  2ª DE  -  CMDO 11ª BDA INF MEC</w:t>
      </w:r>
    </w:p>
    <w:p>
      <w:pPr>
        <w:pStyle w:val="Normal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37º BATALHÃO DE INFANTARIA MECANIZADO</w:t>
      </w:r>
    </w:p>
    <w:p>
      <w:pPr>
        <w:pStyle w:val="Ttulo3"/>
        <w:numPr>
          <w:ilvl w:val="0"/>
          <w:numId w:val="0"/>
        </w:numPr>
        <w:spacing w:lineRule="auto" w:line="276"/>
        <w:ind w:left="0" w:hanging="0"/>
        <w:rPr>
          <w:rFonts w:ascii="Times New Roman" w:hAnsi="Times New Roman" w:cs="Arial"/>
          <w:bCs/>
          <w:color w:val="000000"/>
          <w:sz w:val="20"/>
          <w:szCs w:val="20"/>
        </w:rPr>
      </w:pPr>
      <w:r>
        <w:rPr>
          <w:rFonts w:cs="Arial" w:ascii="Times New Roman" w:hAnsi="Times New Roman"/>
          <w:bCs/>
          <w:color w:val="000000"/>
          <w:sz w:val="20"/>
          <w:szCs w:val="20"/>
        </w:rPr>
        <w:t>BATALHÃO GENERAL SILVINO CASTOR DA NÓBREGA</w:t>
      </w:r>
    </w:p>
    <w:p>
      <w:pPr>
        <w:pStyle w:val="Ttulo11"/>
        <w:spacing w:before="0" w:after="0"/>
        <w:rPr>
          <w:rFonts w:cs="Arial"/>
          <w:b/>
          <w:b/>
          <w:bCs/>
          <w:i/>
          <w:i/>
          <w:iCs/>
          <w:color w:val="000000"/>
          <w:szCs w:val="20"/>
        </w:rPr>
      </w:pPr>
      <w:r>
        <w:rPr>
          <w:rFonts w:cs="Arial"/>
          <w:b/>
          <w:bCs/>
          <w:i/>
          <w:iCs/>
          <w:color w:val="000000"/>
          <w:szCs w:val="20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Arial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TERMO DE REFERÊNCIA da Contratação Direta 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co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m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 disputa Nº       /202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5</w:t>
      </w:r>
    </w:p>
    <w:p>
      <w:pPr>
        <w:pStyle w:val="Normal"/>
        <w:spacing w:lineRule="auto" w:line="276" w:before="0" w:after="120"/>
        <w:ind w:left="0" w:right="-15" w:hanging="0"/>
        <w:jc w:val="center"/>
        <w:rPr/>
      </w:pP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(Processo Administrativo nº </w:t>
      </w:r>
      <w:r>
        <w:rPr>
          <w:rFonts w:ascii="Times New Roman" w:hAnsi="Times New Roman"/>
          <w:b/>
          <w:bCs/>
        </w:rPr>
        <w:t>64088.000382/2025-06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)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1. Objeto: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Aquisição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de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material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>de limpeza e prod. de higienização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a fim de atender as necessidades do 37º Batalhão de Infantaria Mecanizado.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2. Especificação do objeto e quantidades: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tbl>
      <w:tblPr>
        <w:tblW w:w="9795" w:type="dxa"/>
        <w:jc w:val="left"/>
        <w:tblInd w:w="-499" w:type="dxa"/>
        <w:tblCellMar>
          <w:top w:w="0" w:type="dxa"/>
          <w:left w:w="58" w:type="dxa"/>
          <w:bottom w:w="0" w:type="dxa"/>
          <w:right w:w="108" w:type="dxa"/>
        </w:tblCellMar>
      </w:tblPr>
      <w:tblGrid>
        <w:gridCol w:w="690"/>
        <w:gridCol w:w="3071"/>
        <w:gridCol w:w="889"/>
        <w:gridCol w:w="1158"/>
        <w:gridCol w:w="882"/>
        <w:gridCol w:w="960"/>
        <w:gridCol w:w="1024"/>
        <w:gridCol w:w="1121"/>
      </w:tblGrid>
      <w:tr>
        <w:trPr/>
        <w:tc>
          <w:tcPr>
            <w:tcW w:w="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ITEM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i w:val="false"/>
                <w:iCs w:val="false"/>
                <w:color w:val="000000"/>
                <w:sz w:val="16"/>
                <w:szCs w:val="16"/>
              </w:rPr>
            </w:r>
          </w:p>
        </w:tc>
        <w:tc>
          <w:tcPr>
            <w:tcW w:w="307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DESCRIÇÃO/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CATMAT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88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PREÇO UNIDADE</w:t>
            </w:r>
          </w:p>
        </w:tc>
        <w:tc>
          <w:tcPr>
            <w:tcW w:w="10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LOCAL DE ENTREGA</w:t>
            </w:r>
          </w:p>
        </w:tc>
        <w:tc>
          <w:tcPr>
            <w:tcW w:w="11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PRAZO DE ENTREGA</w:t>
            </w:r>
          </w:p>
        </w:tc>
      </w:tr>
      <w:tr>
        <w:trPr>
          <w:trHeight w:val="707" w:hRule="atLeast"/>
        </w:trPr>
        <w:tc>
          <w:tcPr>
            <w:tcW w:w="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7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bidi w:val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  <w:t>DETERGENTE NEUTRO SIMILAR A MARCA YPÊ 500 ML.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>
            <w:pPr>
              <w:pStyle w:val="Normal"/>
              <w:widowControl w:val="false"/>
              <w:snapToGrid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6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u w:val="none"/>
                <w:em w:val="none"/>
              </w:rPr>
              <w:t>FRASCO 500 ML</w:t>
            </w:r>
          </w:p>
        </w:tc>
        <w:tc>
          <w:tcPr>
            <w:tcW w:w="88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186</w:t>
            </w:r>
          </w:p>
        </w:tc>
        <w:tc>
          <w:tcPr>
            <w:tcW w:w="9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3,25</w:t>
            </w:r>
          </w:p>
        </w:tc>
        <w:tc>
          <w:tcPr>
            <w:tcW w:w="10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37º Batalhão de Infantaria Mecanizado</w:t>
            </w:r>
          </w:p>
        </w:tc>
        <w:tc>
          <w:tcPr>
            <w:tcW w:w="11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Até 15 dias após recebimento do empenho</w:t>
            </w:r>
          </w:p>
        </w:tc>
      </w:tr>
    </w:tbl>
    <w:p>
      <w:pPr>
        <w:pStyle w:val="Normal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2.1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 CASO O ITEM APRESENTE DESCRIÇÃO DIFERENTE DAQUELA REGISTRADA NO SISTEMA, DEVERÁ SER CONSIDERADA A CONSTANTE DESTE DOCUMENTO, TENDO EM VISTA NÃO HAVER CATMAT DISPONÍVEL COM A DESCRIÇÃO EXATA DO ITEM PRETENDIDO.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3. JUSTIFICATIVAS E OBJETIVO DA AQUISIÇÃO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3.1.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Aquisição de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material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>de limpeza e prod. de higienização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,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faz-se necessária, em razão da necessidade de manutenção preventiva e corretiva. Está prevista no Plano de Contratação Anual da OM.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4. GARANTIA DO MATERIAL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4.1. Haverá garantia de todo o serviço contratado por parte da empresa que realizará o serviço.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5. FUNDAMENTO LEGAL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5.1. As contratações serão realizadas pelo sistema de Dispensa Eletrônica de Preços enquadra-se, como dispensa de licitação, pelo menor preço, nos termos do inciso II do Art. 75 da Lei n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º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14.133/2021 e Instrução Normativa SEGES/ME nº 67.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6. CONTRATAÇÃO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6.1. As contratações oriundas das dispensas eletrônicas serão formalizadas pela emissão de Nota de Empenho, a qual será encaminhada ao adjudicatário.</w:t>
        <w:br/>
        <w:t>6.2. As obrigações recíprocas entre a CONTRATADA e a CONTRATANTE correspondem ao</w:t>
        <w:br/>
        <w:t>estabelecido nas presentes Condições Geral da Contratação, seus anexos e neste Aviso de</w:t>
        <w:br/>
        <w:t>Dispensa Eletrônica, sem prejuízo das disposições legais vigentes.</w:t>
        <w:br/>
        <w:t>6.3. Em caso de manifestação de desistência do fornecedor, fica caracterizado o descumprimento total da obrigação assumida, consoante o estabelecido no 559 do art. 90 da Lei n° 14.133/21, sujeitando-o às penalidades legalmente estabelecidas.</w:t>
        <w:br/>
        <w:t>6.4. A anulação do procedimento licitatório por motivo de ilegalidade não gera obrigação de</w:t>
        <w:br/>
        <w:t>indenizar, ressalvado o disposto no parágrafo único do art. 148 da Lei n° 14.133/21.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7.RESCISÃO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7.1. Constituem motivos para a rescisão do contrato os casos previstos no art. 137 e incisos da Lei n 14.133/21e suas alterações, devendo haver o reconhecimento dos direitos da Administração.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8.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LOCAL DE ENTREGA 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8.1. Os materiais serão entregues no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 xml:space="preserve">37º Batalhão de Infantaria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Rua Major Matos Guedes, 675, CEP: 16401-900, no Município de Lins-SP.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9. DO PRAZO E DAS CONDIÇÕES DE ENTREGA DO MATERIAL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9.1. A CONTRATADA deverá realizar a entrega no endereço acima citado, no prazo máximo de 15 (trinta) dias corridos, contados a partir da retirada/recebimento da nota de empenho pela CONTRATADA;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9.2. O material será recebido provisoriamente no prazo de até 2 (dois) dias, pelo representante responsável pela compra do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e definitivamente após 5(cinco) dias.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9.3. Os bens poderão ser rejeitados, no todo ou em parte, quando em desacordo com as</w:t>
        <w:br/>
        <w:t>especificações constantes neste Termo de Referência e na proposta.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9.4. </w:t>
      </w:r>
      <w:r>
        <w:rPr>
          <w:rFonts w:cs="Liberation Serif" w:ascii="Times New Roman" w:hAnsi="Times New Roman"/>
          <w:i w:val="false"/>
          <w:iCs w:val="false"/>
          <w:color w:val="000000"/>
          <w:sz w:val="20"/>
          <w:szCs w:val="20"/>
        </w:rPr>
        <w:t>A empresa fornecedora será responsável em fornecer todos materiais e todas as ferramentas e equipamentos necessários para realizar a entrega do material, de acordo com as normas Brasileiras, e outras aplicáveis;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9.5. O recebimento provisório ou definitivo do objeto não exclui a responsabilidade da CONTRATADA pelos prejuízos resultantes da incorreta execução da contratação.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9.6. A CONTRATANTE poderá, ainda, cancelar a Nota de Empenho decorrente desta Dispensa Eletrônica, sem prejuízo das penalidades previstas nos subitens anteriores e de outras previstas em lei.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10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SANÇÕES ADMINISTRATIVAS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10.1 Pela inexecução total ou parcial das obrigações do contrato, a Administração poderá garantida a prévia defesa, aplicar à contratada, segundo a extensão da falta cometida, as</w:t>
        <w:br/>
        <w:t>seguintes sanções, previstas no artigo 104 da Lei nº 14.133/21, sem prejuízo da inscrição no</w:t>
        <w:br/>
        <w:t>Registro de Ocorrências do SICAF: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10.2. Multa, prevista conforme descrito no subitem deste item, nas hipóteses de inexecução do</w:t>
        <w:br/>
        <w:t>contrato, com ou sem prejuízo para o material;</w:t>
        <w:br/>
        <w:br/>
        <w:t>10.3. Suspensão temporária do direito de licitar e de contratar com este Órgão, por período</w:t>
        <w:br/>
        <w:t>de até 2 (dois) anos, nas hipóteses e nos termos da Lei nr 14.133/21;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10.4. Declaração de inidoneidade para licitar ou contratar com a Administração Pública, pelo</w:t>
        <w:br/>
        <w:t>prazo de até 2 (dois) anos, enquanto perdurarem os motivos determinantes da punição ou até que seja promovida a reabilitação perante a autoridade que aplicar a penalidade, nos termos do art. 156, inciso IV, da Lei nr 14.133/21.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10.5.A aplicação da sanção de Declaração de Inidoneidade impossibilitará o fornecedor ou</w:t>
        <w:br/>
        <w:t xml:space="preserve">interessado de participar de licitações e formalizar contratos com a Administração Pública conforme estabelece o § 2, art.40, da IN SLTI n2 02, de </w:t>
      </w:r>
      <w:bookmarkStart w:id="0" w:name="OBJ_PREFIX_DWT313_com_zimbra_date"/>
      <w:bookmarkStart w:id="1" w:name="OBJ_PREFIX_DWT311_com_zimbra_date"/>
      <w:bookmarkEnd w:id="0"/>
      <w:bookmarkEnd w:id="1"/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11/10/2010.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10.7. O atraso injustificado no cumprimento do objeto ou de prazos estipulados, sujeitará a</w:t>
        <w:br/>
        <w:t>contratada à multa de 0,25% (vinte e cinco centésimos por cento) ao dia, sobre o valor total</w:t>
        <w:br/>
        <w:t>do contrato ou sobre o valor correspondente à parte não executada, se for o caso.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10.8. A multa prevista no item anterior será aplicada até o limite de 10% (dez por cento), o</w:t>
        <w:br/>
        <w:t>que não impede, a critério da administração da OM, a aplicação das demais sanções a que se</w:t>
        <w:br/>
        <w:t>referem aos demais itens.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10.9. A multa referida no item 10.8 será cobrada administrativamente, enquanto que aquelas referidas no item 10, serão cobradas por compensação financeira dos</w:t>
        <w:br/>
        <w:t>créditos que a licitante estiver a receber e não impedem, em razão da extensão da falta</w:t>
        <w:br/>
        <w:t>cometida, a aplicação das demais sanções previstas no item 10.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10.10. Caso a CONTRATADA se recuse a receber a Nota de Empenho ou a assinar o contrato</w:t>
        <w:br/>
        <w:t>no prazo indicado, sem motivo justificado, caracterizar-se-á o descumprimento total da</w:t>
        <w:br/>
        <w:t xml:space="preserve">obrigação assumida. Na ocorrência da hipótese referida neste item, a administração anulará a Nota Empenho e aplicará à empresa, de 10% sobre o valor total estimado da aquisição. 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11.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FATURAMENTO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11.1.A nota fiscal e/ou fatura deverá se emitida em nome do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 - UASG 160471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conforme dados da Nota de Empenho, fazendo constar a descrição/quantidade   do material ou Serviço fornecido/valor unitário/valor total.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11.2.Caso a nota fiscal e/ou fatura contenha erro, o contratado se responsabilizará pela</w:t>
        <w:br/>
        <w:t>correção.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PAGAMENTO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12.1 O pagamento será efetuado mediante ordem bancária de pagamento, emitido pelo</w:t>
        <w:br/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- UG 160471, depois do recebimento definitivo do material e da apresentação da Nota Fiscal pela CONTRATADA, conforme discriminado nesta Dispensa Eletrônica, no prazo de até 30 (trinta) dias úteis após recebimento definitivo.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12.2.Nos casos de eventuais atrasos de pagamento, desde que a CONTRATADA não tenha</w:t>
        <w:br/>
        <w:t>concorrido, de alguma forma, para tanto, fica convencionado que a taxa de compensação</w:t>
        <w:br/>
        <w:t>financeira devida pela CONTRATANTE, entre a data do vencimento e o efetivo adimplemento</w:t>
        <w:br/>
        <w:t>da parcela, é calculada mediante a aplicação da seguinte fórmula: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EM = IxN x VP, sendo: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EM = Encargos moratórios;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N = Número de dias entre a data prevista para o pagamento e a do efetivo pagamento;</w:t>
        <w:br/>
        <w:t>VP Valor da parcela a ser paga.</w:t>
        <w:br/>
        <w:t>I = índice de compensação | = (6/100)/365 I=0,00016438</w:t>
        <w:br/>
        <w:t xml:space="preserve">financeira = ,00016438,(6/100)/365 I 0,00016438 </w:t>
      </w:r>
    </w:p>
    <w:p>
      <w:pPr>
        <w:sectPr>
          <w:footerReference w:type="default" r:id="rId4"/>
          <w:type w:val="nextPage"/>
          <w:pgSz w:w="11906" w:h="16838"/>
          <w:pgMar w:left="1701" w:right="1701" w:header="0" w:top="1417" w:footer="708" w:bottom="1417" w:gutter="0"/>
          <w:pgNumType w:fmt="decimal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  <w:bookmarkStart w:id="2" w:name="ms-outlook-mobile-signature"/>
      <w:bookmarkStart w:id="3" w:name="ms-outlook-mobile-signature"/>
      <w:bookmarkEnd w:id="3"/>
    </w:p>
    <w:p>
      <w:pPr>
        <w:sectPr>
          <w:type w:val="continuous"/>
          <w:pgSz w:w="11906" w:h="16838"/>
          <w:pgMar w:left="1701" w:right="1701" w:header="0" w:top="1417" w:footer="708" w:bottom="1417" w:gutter="0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Assim apurado: I = (TX)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TX = Percentual da taxa anual = 6%.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13. DAS OBRIGAÇÕES DA CONTRATADA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13.1.deverá cumprir todas as obrigações constantes neste documento/legislações correlatas, e na sua proposta, assumindo como exclusivamente seus os riscos e as despesas decorrentes da boa e perfeita execução do objeto e, ainda:</w:t>
        <w:br/>
        <w:br/>
        <w:t>13.2. Efetuar a entrega do objeto em perfeitas condições, conforme especificações, prazo e</w:t>
        <w:br/>
        <w:t>locais constantes deste documento, acompanhado da respectiva nota fiscal, na qual constarão</w:t>
        <w:br/>
        <w:t>as indicações referentes a: número da nota de empenho, marca, fabricante, modelo, e prazo</w:t>
        <w:br/>
        <w:t>de garantia do serviço e dos materiais empregados;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13.3. O objeto deve estar acompanhado do manual do usuário, com uma versão em português, e da relação da rede de assistência técnica autorizada, responsabilizar-se pelos vícios e danos decorrentes do objeto, de acordo com os artigos 12, 13 e 17a 27 do Código de Defesa do Consumidor (Lei nº 8.078 de 1990);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13.4.Substituir, reparar ou corrigir, às suas expensas, no prazo de 10 (dez) dias, o objeto com avarias ou defeitos;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13.5.Comunicar à CONTRATANTE, no prazo máximo de 24 (vinte e quatro) horas que antecede a data da entrega, os motivos que impossibilitem o cumprimento do prazo previsto, com a devida comprovação;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13.6.Manter, durante toda a execução do contrato, em compatibilidade com as obrigações assumidas, todas as condições de habilitação e qualificação exigidas na licitação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14.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DAS OBRIGAÇÕES DA CONTRATANTE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14.1.Encaminhar a Nota de Empenho para a CONTRATADA, podendo para isso utilizar</w:t>
        <w:br/>
        <w:t>mensagem via e-mail.</w:t>
        <w:br/>
        <w:t>14.2.Receber o objeto no prazo e condições estabelecidas neste termo e seus anexos;</w:t>
        <w:br/>
        <w:t>14.3. Verificar minuciosamente, no prazo fixado, a conformidade dos bens recebidos</w:t>
        <w:br/>
        <w:t>provisoriamente com as especificações constantes deste Termo e da proposta, para fins de</w:t>
        <w:br/>
        <w:t>aceitação e recebimento definitivo;</w:t>
        <w:br/>
        <w:t>14.4. Comunicar à CONTRATADA, por escrito, sobre imperfeições, falhas ou irregularidades</w:t>
        <w:br/>
        <w:t>verificadas no objeto fornecido, para que seja substituído, reparado ou corrigido;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14.5. Acompanhar e fiscalizar o cumprimento das obrigações da CONTRATADA, através de</w:t>
        <w:br/>
        <w:t>comissão/servidor especialmente designado;</w:t>
        <w:br/>
        <w:t>14.6. Efetuar o pagamento à CONTRATADA no valor correspondente ao fornecimento do</w:t>
        <w:br/>
        <w:t>objeto, no prazo e forma estabelecidos no Edital e seus anexos;</w:t>
        <w:br/>
        <w:t>14.7. A Administração não responderá por quaisquer compromissos assumidos pela</w:t>
        <w:br/>
        <w:t>CONTRATADA com terceiros, ainda que vinculados à execução do presente Termo de</w:t>
        <w:br/>
        <w:t>Contrato, bem como por qualquer dano causado a terceiros em decorrência de ato da</w:t>
        <w:br/>
        <w:t>CONTRATADA, de seus empregados, prepostos ou subordinados.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15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DOTAÇÃO ORÇAMENTÁRIA</w:t>
      </w:r>
    </w:p>
    <w:tbl>
      <w:tblPr>
        <w:tblW w:w="8505" w:type="dxa"/>
        <w:jc w:val="left"/>
        <w:tblInd w:w="0" w:type="dxa"/>
        <w:tblCellMar>
          <w:top w:w="55" w:type="dxa"/>
          <w:left w:w="22" w:type="dxa"/>
          <w:bottom w:w="55" w:type="dxa"/>
          <w:right w:w="55" w:type="dxa"/>
        </w:tblCellMar>
      </w:tblPr>
      <w:tblGrid>
        <w:gridCol w:w="961"/>
        <w:gridCol w:w="1080"/>
        <w:gridCol w:w="1650"/>
        <w:gridCol w:w="1530"/>
        <w:gridCol w:w="1694"/>
        <w:gridCol w:w="1590"/>
      </w:tblGrid>
      <w:tr>
        <w:trPr/>
        <w:tc>
          <w:tcPr>
            <w:tcW w:w="96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GESTÃO</w:t>
            </w:r>
          </w:p>
        </w:tc>
        <w:tc>
          <w:tcPr>
            <w:tcW w:w="108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PTRES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FONTE DE RECURSOS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NATUREZA DA DESPESA</w:t>
            </w:r>
          </w:p>
        </w:tc>
        <w:tc>
          <w:tcPr>
            <w:tcW w:w="169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NC</w:t>
            </w:r>
          </w:p>
        </w:tc>
        <w:tc>
          <w:tcPr>
            <w:tcW w:w="159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PLANO INTERNO</w:t>
            </w:r>
          </w:p>
        </w:tc>
      </w:tr>
      <w:tr>
        <w:trPr>
          <w:trHeight w:val="404" w:hRule="atLeast"/>
        </w:trPr>
        <w:tc>
          <w:tcPr>
            <w:tcW w:w="96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08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171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60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000000000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33.90.30</w:t>
            </w:r>
          </w:p>
        </w:tc>
        <w:tc>
          <w:tcPr>
            <w:tcW w:w="169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NormalWeb"/>
              <w:spacing w:before="0" w:after="142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202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4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NC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001155</w:t>
            </w:r>
          </w:p>
        </w:tc>
        <w:tc>
          <w:tcPr>
            <w:tcW w:w="159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I3DAFUNADOM</w:t>
            </w:r>
          </w:p>
        </w:tc>
      </w:tr>
    </w:tbl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16. CUSTO ESTIMADO DA AQUISIÇÃO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16.1. Conforme o parágrafo 4 do Art. 70 da Instrução Normativa ne 65/2021, a estimativa</w:t>
        <w:br/>
        <w:t>de preços poderá ser realizada concomitante à seleção da proposta economicidade mais</w:t>
        <w:br/>
        <w:t>vantajosa dos licitantes.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17. INFORMAÇÕES E CASOS OMISSOS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17.1. Informações complementares poderão ser obtidas no órgão contratante, a partir da</w:t>
        <w:br/>
        <w:t>divulgação do Pedido de Cotação Eletrônica de Preços, pelo telefone (1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) 3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273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-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2678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ou pelo</w:t>
        <w:br/>
        <w:t>e-mail, dispensa_37bil@hotmail.com. e os casos omissos pela Seção de Aquisição, Licitação e Contratos do 37º Batalhão de Infantaria Mecanizado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.</w:t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Lins-SP,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de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janeiro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de 202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5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/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   </w:t>
      </w:r>
      <w:r>
        <w:rPr>
          <w:rFonts w:cs="Liberation Serif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>WAGNER PERES LEITE</w:t>
      </w:r>
      <w:r>
        <w:rPr>
          <w:rFonts w:cs="Liberation Serif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 xml:space="preserve"> - Ten Cel</w:t>
      </w:r>
      <w:r>
        <w:rPr>
          <w:rFonts w:cs="Liberation Serif"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Ordenador de Despesas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do </w:t>
      </w: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  <w:t>37º Batalhão de Infantaria M</w:t>
      </w: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  <w:t>ecanizado</w:t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sz w:val="20"/>
          <w:szCs w:val="20"/>
        </w:rPr>
      </w:r>
    </w:p>
    <w:sectPr>
      <w:type w:val="continuous"/>
      <w:pgSz w:w="11906" w:h="16838"/>
      <w:pgMar w:left="1701" w:right="1701" w:header="0" w:top="1417" w:footer="708" w:bottom="1417" w:gutter="0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Ecofont_Spranq_eco_Sans">
    <w:altName w:val="Times New Roman"/>
    <w:charset w:val="00"/>
    <w:family w:val="roman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sz w:val="12"/>
        <w:szCs w:val="12"/>
      </w:rPr>
    </w:pPr>
    <w:r>
      <w:rPr>
        <w:sz w:val="12"/>
        <w:szCs w:val="12"/>
      </w:rPr>
      <w:t>Câmara Nacional de Modelos de Licitações e Contratos – CNMLC/CGU/AGU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Aviso de Dispensa Eletrônica – Lei nº 14.133/21 e IN SEGES/ME nº 67/2021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Versão: Agosto/2021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ind w:left="0" w:hanging="0"/>
      </w:pPr>
      <w:rPr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Arial" w:hAnsi="Arial" w:eastAsia="Times New Roman" w:cs="Tahoma"/>
      <w:color w:val="00000A"/>
      <w:sz w:val="20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240" w:after="0"/>
      <w:outlineLvl w:val="0"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>
      <w:sz w:val="20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WW8Num2z2">
    <w:name w:val="WW8Num2z2"/>
    <w:qFormat/>
    <w:rPr>
      <w:sz w:val="20"/>
    </w:rPr>
  </w:style>
  <w:style w:type="character" w:styleId="Fontepargpadro1">
    <w:name w:val="Fonte parág. padrão1"/>
    <w:qFormat/>
    <w:rPr/>
  </w:style>
  <w:style w:type="character" w:styleId="CitaoChar">
    <w:name w:val="Citação Char"/>
    <w:qFormat/>
    <w:rPr>
      <w:rFonts w:ascii="Arial" w:hAnsi="Arial" w:eastAsia="Calibri" w:cs="Tahoma"/>
      <w:i/>
      <w:iCs/>
      <w:color w:val="000000"/>
      <w:sz w:val="20"/>
      <w:szCs w:val="24"/>
      <w:highlight w:val="yellow"/>
    </w:rPr>
  </w:style>
  <w:style w:type="character" w:styleId="Nivel01Char">
    <w:name w:val="Nivel 01 Char"/>
    <w:qFormat/>
    <w:rPr>
      <w:rFonts w:ascii="Arial" w:hAnsi="Arial" w:eastAsia="Calibri Light" w:cs="Times New Roman"/>
      <w:b/>
      <w:bCs/>
      <w:color w:val="000000"/>
      <w:sz w:val="20"/>
      <w:szCs w:val="20"/>
    </w:rPr>
  </w:style>
  <w:style w:type="character" w:styleId="Ttulo1Char">
    <w:name w:val="Título 1 Char"/>
    <w:qFormat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itao2Char">
    <w:name w:val="citação 2 Char"/>
    <w:qFormat/>
    <w:rPr>
      <w:rFonts w:ascii="Arial" w:hAnsi="Arial" w:eastAsia="Calibri" w:cs="Tahoma"/>
      <w:i/>
      <w:iCs/>
      <w:color w:val="000000"/>
      <w:sz w:val="20"/>
      <w:szCs w:val="20"/>
      <w:highlight w:val="yellow"/>
    </w:rPr>
  </w:style>
  <w:style w:type="character" w:styleId="QuoteChar">
    <w:name w:val="Quote Char"/>
    <w:qFormat/>
    <w:rPr>
      <w:rFonts w:ascii="Ecofont_Spranq_eco_Sans;Times New Roman" w:hAnsi="Ecofont_Spranq_eco_Sans;Times New Roman" w:eastAsia="Calibri" w:cs="Tahoma"/>
      <w:i/>
      <w:iCs/>
      <w:color w:val="000000"/>
      <w:highlight w:val="yellow"/>
    </w:rPr>
  </w:style>
  <w:style w:type="character" w:styleId="Refdecomentrio1">
    <w:name w:val="Ref. de comentário1"/>
    <w:qFormat/>
    <w:rPr>
      <w:sz w:val="16"/>
      <w:szCs w:val="16"/>
    </w:rPr>
  </w:style>
  <w:style w:type="character" w:styleId="TextodecomentrioChar">
    <w:name w:val="Texto de comentário Char"/>
    <w:qFormat/>
    <w:rPr>
      <w:rFonts w:ascii="Arial" w:hAnsi="Arial" w:eastAsia="Times New Roman" w:cs="Tahoma"/>
      <w:sz w:val="20"/>
      <w:szCs w:val="20"/>
    </w:rPr>
  </w:style>
  <w:style w:type="character" w:styleId="AssuntodocomentrioChar">
    <w:name w:val="Assunto do comentário Char"/>
    <w:qFormat/>
    <w:rPr>
      <w:rFonts w:ascii="Arial" w:hAnsi="Arial" w:eastAsia="Times New Roman" w:cs="Tahoma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</w:rPr>
  </w:style>
  <w:style w:type="character" w:styleId="Nivel4Char">
    <w:name w:val="Nivel 4 Char"/>
    <w:qFormat/>
    <w:rPr>
      <w:rFonts w:ascii="Ecofont_Spranq_eco_Sans;Times New Roman" w:hAnsi="Ecofont_Spranq_eco_Sans;Times New Roman" w:eastAsia="Arial Unicode MS" w:cs="Arial"/>
      <w:sz w:val="20"/>
      <w:szCs w:val="20"/>
    </w:rPr>
  </w:style>
  <w:style w:type="character" w:styleId="TextodebaloChar">
    <w:name w:val="Texto de balão Char"/>
    <w:qFormat/>
    <w:rPr>
      <w:rFonts w:ascii="Segoe UI" w:hAnsi="Segoe UI" w:eastAsia="Times New Roman" w:cs="Segoe UI"/>
      <w:sz w:val="18"/>
      <w:szCs w:val="18"/>
    </w:rPr>
  </w:style>
  <w:style w:type="character" w:styleId="CabealhoChar">
    <w:name w:val="Cabeçalho Char"/>
    <w:qFormat/>
    <w:rPr>
      <w:rFonts w:ascii="Arial" w:hAnsi="Arial" w:eastAsia="Times New Roman" w:cs="Tahoma"/>
      <w:sz w:val="20"/>
      <w:szCs w:val="24"/>
    </w:rPr>
  </w:style>
  <w:style w:type="character" w:styleId="RodapChar">
    <w:name w:val="Rodapé Char"/>
    <w:qFormat/>
    <w:rPr>
      <w:rFonts w:ascii="Arial" w:hAnsi="Arial" w:eastAsia="Times New Roman" w:cs="Tahoma"/>
      <w:sz w:val="20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;Times New Roma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n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ohit Devanagari;Times New Roman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;Times New Roman"/>
      <w:sz w:val="28"/>
      <w:szCs w:val="28"/>
    </w:rPr>
  </w:style>
  <w:style w:type="paragraph" w:styleId="Citao">
    <w:name w:val="Citação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eastAsia="Calibri"/>
      <w:i/>
      <w:iCs/>
      <w:color w:val="000000"/>
    </w:rPr>
  </w:style>
  <w:style w:type="paragraph" w:styleId="Nivel01">
    <w:name w:val="Nivel 01"/>
    <w:basedOn w:val="Ttulo1"/>
    <w:next w:val="Normal"/>
    <w:qFormat/>
    <w:pPr>
      <w:spacing w:lineRule="auto" w:line="276" w:before="480" w:after="120"/>
      <w:ind w:left="0" w:right="-15" w:hanging="0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paragraph" w:styleId="PADRO">
    <w:name w:val="PADRÃO"/>
    <w:qFormat/>
    <w:pPr>
      <w:keepNext w:val="true"/>
      <w:widowControl w:val="false"/>
      <w:shd w:fill="FFFFFF" w:val="clear"/>
      <w:suppressAutoHyphens w:val="true"/>
      <w:kinsoku w:val="true"/>
      <w:overflowPunct w:val="true"/>
      <w:autoSpaceDE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;Times New Roman" w:hAnsi="Ecofont_Spranq_eco_Sans;Times New Roman" w:eastAsia="WenQuanYi Micro Hei" w:cs="Lohit Hindi"/>
      <w:color w:val="00000A"/>
      <w:sz w:val="20"/>
      <w:szCs w:val="24"/>
      <w:lang w:val="pt-BR" w:eastAsia="zh-CN" w:bidi="hi-IN"/>
    </w:rPr>
  </w:style>
  <w:style w:type="paragraph" w:styleId="PargrafodaLista">
    <w:name w:val="Parágrafo da Lista"/>
    <w:basedOn w:val="Normal"/>
    <w:qFormat/>
    <w:pPr>
      <w:spacing w:before="0" w:after="0"/>
      <w:ind w:left="720" w:right="0" w:hanging="0"/>
    </w:pPr>
    <w:rPr/>
  </w:style>
  <w:style w:type="paragraph" w:styleId="Citao2">
    <w:name w:val="citação 2"/>
    <w:basedOn w:val="Citao"/>
    <w:qFormat/>
    <w:pPr>
      <w:shd w:fill="FFFFCC" w:val="clear"/>
    </w:pPr>
    <w:rPr>
      <w:szCs w:val="20"/>
    </w:rPr>
  </w:style>
  <w:style w:type="paragraph" w:styleId="Citao1">
    <w:name w:val="Citação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ascii="Ecofont_Spranq_eco_Sans;Times New Roman" w:hAnsi="Ecofont_Spranq_eco_Sans;Times New Roman" w:eastAsia="Calibri" w:cs="Ecofont_Spranq_eco_Sans;Times New Roman"/>
      <w:i/>
      <w:iCs/>
      <w:color w:val="000000"/>
      <w:sz w:val="22"/>
      <w:szCs w:val="22"/>
    </w:rPr>
  </w:style>
  <w:style w:type="paragraph" w:styleId="Textodecomentrio1">
    <w:name w:val="Texto de comentário1"/>
    <w:basedOn w:val="Normal"/>
    <w:qFormat/>
    <w:pPr/>
    <w:rPr>
      <w:szCs w:val="20"/>
    </w:rPr>
  </w:style>
  <w:style w:type="paragraph" w:styleId="Assuntodocomentrio">
    <w:name w:val="Assunto do comentário"/>
    <w:basedOn w:val="Textodecomentrio1"/>
    <w:qFormat/>
    <w:pPr/>
    <w:rPr>
      <w:b/>
      <w:bCs/>
    </w:rPr>
  </w:style>
  <w:style w:type="paragraph" w:styleId="Nivel1">
    <w:name w:val="Nivel1"/>
    <w:basedOn w:val="Ttulo1"/>
    <w:qFormat/>
    <w:pPr>
      <w:spacing w:lineRule="auto" w:line="276" w:before="480" w:after="0"/>
      <w:ind w:left="644" w:right="0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Nivel2">
    <w:name w:val="Nivel 2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120" w:after="120"/>
      <w:jc w:val="both"/>
    </w:pPr>
    <w:rPr>
      <w:rFonts w:ascii="Ecofont_Spranq_eco_Sans;Times New Roman" w:hAnsi="Ecofont_Spranq_eco_Sans;Times New Roman" w:eastAsia="Arial Unicode MS" w:cs="Ecofont_Spranq_eco_Sans;Times New Roman"/>
      <w:color w:val="00000A"/>
      <w:sz w:val="20"/>
      <w:szCs w:val="20"/>
      <w:lang w:val="pt-BR" w:eastAsia="zh-CN" w:bidi="ar-SA"/>
    </w:rPr>
  </w:style>
  <w:style w:type="paragraph" w:styleId="Nivel11">
    <w:name w:val="Nivel 1"/>
    <w:basedOn w:val="Nivel2"/>
    <w:qFormat/>
    <w:pPr/>
    <w:rPr>
      <w:rFonts w:cs="Arial"/>
      <w:b/>
    </w:rPr>
  </w:style>
  <w:style w:type="paragraph" w:styleId="Nivel3">
    <w:name w:val="Nivel 3"/>
    <w:basedOn w:val="Nivel2"/>
    <w:qFormat/>
    <w:pPr/>
    <w:rPr>
      <w:rFonts w:cs="Arial"/>
      <w:color w:val="000000"/>
    </w:rPr>
  </w:style>
  <w:style w:type="paragraph" w:styleId="Nivel4">
    <w:name w:val="Nivel 4"/>
    <w:basedOn w:val="Nivel3"/>
    <w:qFormat/>
    <w:pPr/>
    <w:rPr>
      <w:color w:val="00000A"/>
    </w:rPr>
  </w:style>
  <w:style w:type="paragraph" w:styleId="Nivel5">
    <w:name w:val="Nivel 5"/>
    <w:basedOn w:val="Nivel4"/>
    <w:qFormat/>
    <w:pPr/>
    <w:rPr/>
  </w:style>
  <w:style w:type="paragraph" w:styleId="Textodebalo">
    <w:name w:val="Texto de balão"/>
    <w:basedOn w:val="Normal"/>
    <w:qFormat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paragraph" w:styleId="Ttulo1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Micro Hei" w:cs="Lohit Hindi"/>
      <w:sz w:val="28"/>
      <w:szCs w:val="28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emEspaamento">
    <w:name w:val="Sem Espaçamento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pt-BR" w:eastAsia="zh-CN" w:bidi="ar-SA"/>
    </w:rPr>
  </w:style>
  <w:style w:type="paragraph" w:styleId="Tabelanormal1">
    <w:name w:val="Tabela normal1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Times New Roman" w:hAnsi="Times New Roman" w:eastAsia="Droid Sans Fallback" w:cs="Lohit Hindi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qFormat/>
    <w:pPr>
      <w:suppressAutoHyphens w:val="false"/>
      <w:spacing w:lineRule="auto" w:line="276" w:before="280" w:after="142"/>
    </w:pPr>
    <w:rPr>
      <w:rFonts w:ascii="Times New Roman" w:hAnsi="Times New Roman" w:cs="Times New Roman"/>
      <w:color w:val="000000"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251</TotalTime>
  <Application>LibreOffice/6.4.3.2$Windows_X86_64 LibreOffice_project/747b5d0ebf89f41c860ec2a39efd7cb15b54f2d8</Application>
  <Pages>4</Pages>
  <Words>1706</Words>
  <CharactersWithSpaces>11148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2023-09-01T08:32:00Z</dcterms:created>
  <dc:creator>Hugo Sales</dc:creator>
  <dc:description/>
  <dc:language>pt-BR</dc:language>
  <cp:lastModifiedBy/>
  <cp:lastPrinted>2024-12-20T11:28:48Z</cp:lastPrinted>
  <dcterms:modified xsi:type="dcterms:W3CDTF">2025-01-21T10:39:33Z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