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tabs>
          <w:tab w:val="clear" w:pos="708"/>
          <w:tab w:val="left" w:pos="3435" w:leader="none"/>
        </w:tabs>
        <w:spacing w:lineRule="auto" w:line="276" w:before="120" w:after="120"/>
        <w:jc w:val="center"/>
        <w:rPr>
          <w:b/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ANEXO R – Procedimentos sujeitos a parecer de Comissão de Ética Médica e de serviço de auditoria médica de OMS e Procedimentos médico-hospitalares e odontológicos não cobertos (ZM2) nem financiados (ZM1)</w:t>
      </w:r>
    </w:p>
    <w:p>
      <w:pPr>
        <w:pStyle w:val="Normal"/>
        <w:widowControl w:val="false"/>
        <w:spacing w:before="120" w:after="120"/>
        <w:jc w:val="center"/>
        <w:rPr/>
      </w:pPr>
      <w:r>
        <w:rPr/>
        <w:drawing>
          <wp:inline distT="0" distB="0" distL="0" distR="0">
            <wp:extent cx="899795" cy="899795"/>
            <wp:effectExtent l="0" t="0" r="0" b="0"/>
            <wp:docPr id="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0"/>
          <w:szCs w:val="20"/>
        </w:rPr>
      </w:pPr>
      <w:r>
        <w:rPr>
          <w:rFonts w:cs="Times New Roman"/>
          <w:b/>
          <w:bCs/>
          <w:color w:val="000000"/>
          <w:sz w:val="20"/>
          <w:szCs w:val="20"/>
        </w:rPr>
        <w:t>MINISTÉRIO DA DEFESA</w:t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0"/>
          <w:szCs w:val="20"/>
        </w:rPr>
      </w:pPr>
      <w:r>
        <w:rPr>
          <w:rFonts w:cs="Times New Roman"/>
          <w:b/>
          <w:bCs/>
          <w:color w:val="000000"/>
          <w:sz w:val="20"/>
          <w:szCs w:val="20"/>
        </w:rPr>
        <w:t>EXÉRCITO BRASILEIRO</w:t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7º REGIMENTO DE CAVALARIA MECANIZADO</w:t>
      </w:r>
    </w:p>
    <w:p>
      <w:pPr>
        <w:pStyle w:val="Normal"/>
        <w:widowControl w:val="false"/>
        <w:spacing w:lineRule="auto" w:line="240" w:before="0" w:after="0"/>
        <w:jc w:val="center"/>
        <w:rPr>
          <w:b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  <w:shd w:fill="FFFFFF" w:val="clear"/>
        </w:rPr>
        <w:t>REGIMENTO BRIGADEIRO VASCO ALVES PEREIRA</w:t>
      </w:r>
    </w:p>
    <w:p>
      <w:pPr>
        <w:pStyle w:val="Normal"/>
        <w:widowControl w:val="false"/>
        <w:spacing w:before="120" w:after="12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numPr>
          <w:ilvl w:val="1"/>
          <w:numId w:val="1"/>
        </w:numPr>
        <w:suppressAutoHyphens w:val="false"/>
        <w:spacing w:lineRule="auto" w:line="276" w:before="120" w:after="120"/>
        <w:ind w:left="0" w:right="0" w:hanging="432"/>
        <w:jc w:val="both"/>
        <w:rPr>
          <w:sz w:val="20"/>
          <w:szCs w:val="20"/>
        </w:rPr>
      </w:pPr>
      <w:r>
        <w:rPr>
          <w:sz w:val="20"/>
          <w:szCs w:val="20"/>
        </w:rPr>
        <w:t>Os procedimentos sujeitos a parecer de Comissão Ética Médica e de serviço de auditoria médica de OMS são os a seguir enumerados:</w:t>
      </w:r>
    </w:p>
    <w:p>
      <w:pPr>
        <w:pStyle w:val="Normal"/>
        <w:widowControl w:val="false"/>
        <w:numPr>
          <w:ilvl w:val="2"/>
          <w:numId w:val="1"/>
        </w:numPr>
        <w:suppressAutoHyphens w:val="false"/>
        <w:spacing w:lineRule="auto" w:line="276" w:before="120" w:after="120"/>
        <w:ind w:left="709" w:right="0" w:hanging="504"/>
        <w:jc w:val="both"/>
        <w:rPr>
          <w:sz w:val="20"/>
          <w:szCs w:val="20"/>
        </w:rPr>
      </w:pPr>
      <w:r>
        <w:rPr>
          <w:sz w:val="20"/>
          <w:szCs w:val="20"/>
        </w:rPr>
        <w:t>Por parte do SAMMED/FuSEx, nos termos da Portaria nº DGP-48/2008 (IR 30-38):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Cirurgia de lipoaspiração;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Cirurgia corretiva nasal;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Cirurgia corretiva de mama;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Cirurgias plásticas corretivas em geral;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Cirurgia eletiva para colocação de próteses corretivas não odontológicas;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Cirurgia corretiva de desvios da visão;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Cirurgia de transplantes de órgãos;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Colocação eletiva de próteses não odontológicas;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Gastroplastia;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Cirurgia de recanalização de laqueadura tubária;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Terapia fotodinâmica para pacientes com degeneração muscular (utilizando-se </w:t>
      </w:r>
      <w:r>
        <w:rPr>
          <w:i/>
          <w:sz w:val="20"/>
          <w:szCs w:val="20"/>
        </w:rPr>
        <w:t>"Visudyne"</w:t>
      </w:r>
      <w:r>
        <w:rPr>
          <w:sz w:val="20"/>
          <w:szCs w:val="20"/>
        </w:rPr>
        <w:t>);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Tratamento de apneia do sono com aparelho CPAP (</w:t>
      </w:r>
      <w:r>
        <w:rPr>
          <w:i/>
          <w:sz w:val="20"/>
          <w:szCs w:val="20"/>
        </w:rPr>
        <w:t>"Continuous Positive Airway Pressure"</w:t>
      </w:r>
      <w:r>
        <w:rPr>
          <w:sz w:val="20"/>
          <w:szCs w:val="20"/>
        </w:rPr>
        <w:t>);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Outros procedimentos e tratamentos, a critério do Chefe DGP, ouvidas a DAP e a DSau;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Tratamento e manutenção ortodônticos, acima de 16 (dezesseis) anos, nos casos de discrepância ósseo-dentária no arco inferior ou superior, igual ou superior a oito milímetros (falta do espaço ou apinhamento dental); sobre mordida (</w:t>
      </w:r>
      <w:r>
        <w:rPr>
          <w:i/>
          <w:sz w:val="20"/>
          <w:szCs w:val="20"/>
        </w:rPr>
        <w:t>over-bite</w:t>
      </w:r>
      <w:r>
        <w:rPr>
          <w:sz w:val="20"/>
          <w:szCs w:val="20"/>
        </w:rPr>
        <w:t>) exagerada, nos casos em que houver interferência dos dentes anteriores na mucosa do maxilar superior; transpasse horizontal (</w:t>
      </w:r>
      <w:r>
        <w:rPr>
          <w:i/>
          <w:sz w:val="20"/>
          <w:szCs w:val="20"/>
        </w:rPr>
        <w:t>over jet</w:t>
      </w:r>
      <w:r>
        <w:rPr>
          <w:sz w:val="20"/>
          <w:szCs w:val="20"/>
        </w:rPr>
        <w:t>) no arco superior em relação ao arco inferior, igual ou superior a dez milímetros; e mordida cruzada anterior; e,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Implantodontia.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Quanto aos subitens</w:t>
      </w:r>
      <w:r>
        <w:rPr>
          <w:sz w:val="20"/>
          <w:szCs w:val="20"/>
          <w:shd w:fill="FFFFFF" w:val="clear"/>
        </w:rPr>
        <w:t xml:space="preserve"> 1.1.1.14 e 1.1.1.15 o</w:t>
      </w:r>
      <w:r>
        <w:rPr>
          <w:sz w:val="20"/>
          <w:szCs w:val="20"/>
        </w:rPr>
        <w:t xml:space="preserve"> parecer será proferido por comissão nomeada pela OMS e formada por, no mínimo, três odontólogos, cuja manifestação dependerá de homologação do Dir OMS.</w:t>
      </w:r>
    </w:p>
    <w:p>
      <w:pPr>
        <w:pStyle w:val="Normal"/>
        <w:widowControl w:val="false"/>
        <w:numPr>
          <w:ilvl w:val="2"/>
          <w:numId w:val="1"/>
        </w:numPr>
        <w:suppressAutoHyphens w:val="false"/>
        <w:spacing w:lineRule="auto" w:line="276" w:before="120" w:after="120"/>
        <w:ind w:left="709" w:right="0" w:hanging="504"/>
        <w:jc w:val="both"/>
        <w:rPr>
          <w:sz w:val="20"/>
          <w:szCs w:val="20"/>
        </w:rPr>
      </w:pPr>
      <w:r>
        <w:rPr>
          <w:sz w:val="20"/>
          <w:szCs w:val="20"/>
        </w:rPr>
        <w:t>Por parte do PASS, conforme a Portaria nº DGP-117/2008 (IR 30-57):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Cirurgia de lipoaspiração;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Cirurgia corretiva nasal;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Cirurgia corretiva de mama;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Cirurgias plásticas corretivas em geral;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Cirurgia eletiva para colocação de próteses corretivas não odontológicas;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Cirurgia corretiva de desvios da visão;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Cirurgia de transplante de córnea e rins (considerando o acompanhamento clínico ambulatorial no período de internação do receptor e do doador e o pós-transplante);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Colocação eletiva de próteses não odontológicas;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Gastroplastia;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Cirurgia de recanalização de laqueadura tubária;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Terapia fotodinâmica para pacientes com degeneração muscular (utilizando-se "Visudyne");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Procedimentos constantes na RN nº 167/2008, da ANS, e não constantes da Tabela da Associação Médica Brasileira/92 ou do Anexo “C” da Portaria nº DGP-117/2008 (IR 30-57); e,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Outros procedimentos e tratamentos, a critério do Chefe DGP, ouvidas a DAP e a DSau.</w:t>
      </w:r>
    </w:p>
    <w:p>
      <w:pPr>
        <w:pStyle w:val="Normal"/>
        <w:widowControl w:val="false"/>
        <w:numPr>
          <w:ilvl w:val="1"/>
          <w:numId w:val="1"/>
        </w:numPr>
        <w:suppressAutoHyphens w:val="false"/>
        <w:spacing w:lineRule="auto" w:line="276" w:before="120" w:after="120"/>
        <w:ind w:left="0" w:right="0" w:hanging="432"/>
        <w:jc w:val="both"/>
        <w:rPr>
          <w:sz w:val="20"/>
          <w:szCs w:val="20"/>
        </w:rPr>
      </w:pPr>
      <w:r>
        <w:rPr>
          <w:sz w:val="20"/>
          <w:szCs w:val="20"/>
        </w:rPr>
        <w:t>Os procedimentos médico-hospitalares e odontológicos não cobertos (ZM2) nem financiados (ZM1), sendo vedada a implantação das despesas, são os a seguir enumerados:</w:t>
      </w:r>
    </w:p>
    <w:p>
      <w:pPr>
        <w:pStyle w:val="Normal"/>
        <w:widowControl w:val="false"/>
        <w:numPr>
          <w:ilvl w:val="2"/>
          <w:numId w:val="1"/>
        </w:numPr>
        <w:suppressAutoHyphens w:val="false"/>
        <w:spacing w:lineRule="auto" w:line="276" w:before="120" w:after="120"/>
        <w:ind w:left="709" w:right="0" w:hanging="504"/>
        <w:jc w:val="both"/>
        <w:rPr>
          <w:sz w:val="20"/>
          <w:szCs w:val="20"/>
        </w:rPr>
      </w:pPr>
      <w:r>
        <w:rPr>
          <w:sz w:val="20"/>
          <w:szCs w:val="20"/>
        </w:rPr>
        <w:t>Por parte do SAMMED/FuSEx, nos termos da Portaria nº DGP-48/2008 (IR 30-38):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Procedimento de natureza estética, inclusive cirurgia plástica estética de embelezamento;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Aquisição de artigos por importação, quando houver similares nacionais que atendam às especificações do tratamento;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Aquisição de óculos e artigos correlatos;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Hospitalização que objetive, especificamente, os seguintes tratamentos:</w:t>
      </w:r>
    </w:p>
    <w:p>
      <w:pPr>
        <w:pStyle w:val="Normal"/>
        <w:widowControl w:val="false"/>
        <w:numPr>
          <w:ilvl w:val="4"/>
          <w:numId w:val="1"/>
        </w:numPr>
        <w:suppressAutoHyphens w:val="false"/>
        <w:spacing w:lineRule="auto" w:line="276" w:before="120" w:after="120"/>
        <w:ind w:left="2835" w:right="0" w:hanging="792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shd w:fill="FFFFFF" w:val="clear"/>
        </w:rPr>
        <w:t>Gerontológico, enquanto o Exército não dispuser de um centro gerontológico em pleno funcionamento; e,</w:t>
      </w:r>
    </w:p>
    <w:p>
      <w:pPr>
        <w:pStyle w:val="Normal"/>
        <w:widowControl w:val="false"/>
        <w:numPr>
          <w:ilvl w:val="4"/>
          <w:numId w:val="1"/>
        </w:numPr>
        <w:suppressAutoHyphens w:val="false"/>
        <w:spacing w:lineRule="auto" w:line="276" w:before="120" w:after="120"/>
        <w:ind w:left="2835" w:right="0" w:hanging="792"/>
        <w:jc w:val="both"/>
        <w:rPr>
          <w:sz w:val="20"/>
          <w:szCs w:val="20"/>
        </w:rPr>
      </w:pPr>
      <w:r>
        <w:rPr>
          <w:sz w:val="20"/>
          <w:szCs w:val="20"/>
        </w:rPr>
        <w:t>De portadores de necessidades educativas especiais, exceto quando acometidos por patologias comuns à população em geral.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Tratamento médico ou odontológico cuja eficiência não seja reconhecida pelos conselhos federais de medicina e odontologia;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Tratamento e manutenção ortodônticos, acima de 16 (dezesseis) anos, exceto nos casos com parecer favorável da comissão referida no subitem 7.7.1.16, nas hipóteses do subitem 7.7.1.14;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Implantodontia, exceto nos casos com parecer favorável da comissão referida no subitem 7.7.1.16;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Elemento odontológico a ser implantado e material para enxertia;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Procedimento e componente odontológico realizado em laboratórios ortodônticos ou de próteses odontológicas (exemplo: prótese e aparelho ortodôntico), exceto em OMS;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Implante hormonal;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Teste de DNA;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Tratamentos de infertilidade, fecundação e fertilização;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No que diz respeito à assistência domiciliar:</w:t>
      </w:r>
    </w:p>
    <w:p>
      <w:pPr>
        <w:pStyle w:val="Normal"/>
        <w:widowControl w:val="false"/>
        <w:numPr>
          <w:ilvl w:val="4"/>
          <w:numId w:val="1"/>
        </w:numPr>
        <w:suppressAutoHyphens w:val="false"/>
        <w:spacing w:lineRule="auto" w:line="276" w:before="120" w:after="120"/>
        <w:ind w:left="2835" w:right="0" w:hanging="792"/>
        <w:jc w:val="both"/>
        <w:rPr>
          <w:sz w:val="20"/>
          <w:szCs w:val="20"/>
        </w:rPr>
      </w:pPr>
      <w:r>
        <w:rPr>
          <w:sz w:val="20"/>
          <w:szCs w:val="20"/>
        </w:rPr>
        <w:t>Despesas decorrentes da utilização por parte do paciente de medicamentos de tratamento prolongado ou para doenças crônicas, nos termos da Portaria nº DGP-281/2007 (IR 30-56), cuja natureza não tenha relação específica com o atendimento de caráter médico-domiciliar;</w:t>
      </w:r>
    </w:p>
    <w:p>
      <w:pPr>
        <w:pStyle w:val="Normal"/>
        <w:widowControl w:val="false"/>
        <w:numPr>
          <w:ilvl w:val="4"/>
          <w:numId w:val="1"/>
        </w:numPr>
        <w:suppressAutoHyphens w:val="false"/>
        <w:spacing w:lineRule="auto" w:line="276" w:before="120" w:after="120"/>
        <w:ind w:left="2835" w:right="0" w:hanging="792"/>
        <w:jc w:val="both"/>
        <w:rPr>
          <w:sz w:val="20"/>
          <w:szCs w:val="20"/>
        </w:rPr>
      </w:pPr>
      <w:r>
        <w:rPr>
          <w:sz w:val="20"/>
          <w:szCs w:val="20"/>
        </w:rPr>
        <w:t>Tratamentos de natureza geriátrica ou gerontológica; e,</w:t>
      </w:r>
    </w:p>
    <w:p>
      <w:pPr>
        <w:pStyle w:val="Normal"/>
        <w:widowControl w:val="false"/>
        <w:numPr>
          <w:ilvl w:val="4"/>
          <w:numId w:val="1"/>
        </w:numPr>
        <w:suppressAutoHyphens w:val="false"/>
        <w:spacing w:lineRule="auto" w:line="276" w:before="120" w:after="120"/>
        <w:ind w:left="2835" w:right="0" w:hanging="792"/>
        <w:jc w:val="both"/>
        <w:rPr>
          <w:sz w:val="20"/>
          <w:szCs w:val="20"/>
        </w:rPr>
      </w:pPr>
      <w:r>
        <w:rPr>
          <w:sz w:val="20"/>
          <w:szCs w:val="20"/>
        </w:rPr>
        <w:t>Beneficiários que estejam recebendo auxílio-invalidez.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Outros, a critério do Chefe DGP, ouvidas a DAP e a DSau.</w:t>
      </w:r>
    </w:p>
    <w:p>
      <w:pPr>
        <w:pStyle w:val="Normal"/>
        <w:widowControl w:val="false"/>
        <w:numPr>
          <w:ilvl w:val="2"/>
          <w:numId w:val="1"/>
        </w:numPr>
        <w:suppressAutoHyphens w:val="false"/>
        <w:spacing w:lineRule="auto" w:line="276" w:before="120" w:after="120"/>
        <w:ind w:left="709" w:right="0" w:hanging="504"/>
        <w:jc w:val="both"/>
        <w:rPr>
          <w:sz w:val="20"/>
          <w:szCs w:val="20"/>
        </w:rPr>
      </w:pPr>
      <w:r>
        <w:rPr>
          <w:sz w:val="20"/>
          <w:szCs w:val="20"/>
        </w:rPr>
        <w:t>Por parte do PASS, conforme a Portaria nº DGP-117/2008 (IR 30-57):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Atendimentos ambulatoriais, internações hospitalares e atendimentos obstétricos </w:t>
      </w:r>
      <w:r>
        <w:rPr>
          <w:b/>
          <w:sz w:val="20"/>
          <w:szCs w:val="20"/>
        </w:rPr>
        <w:t>não</w:t>
      </w:r>
      <w:r>
        <w:rPr>
          <w:sz w:val="20"/>
          <w:szCs w:val="20"/>
        </w:rPr>
        <w:t xml:space="preserve"> previstos no rol de Procedimentos Básicos da Resolução CONSU n° 12, da Agência Nacional de Saúde Suplementar (ANS), de 4 de novembro de 1998, e na Resolução Normativa n° 167, da ANS, de 9 de janeiro de 2008;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Atendimentos básicos fisioterápicos e farmacêuticos, bem como psicológicos, </w:t>
      </w:r>
      <w:r>
        <w:rPr>
          <w:b/>
          <w:sz w:val="20"/>
          <w:szCs w:val="20"/>
        </w:rPr>
        <w:t>não</w:t>
      </w:r>
      <w:r>
        <w:rPr>
          <w:sz w:val="20"/>
          <w:szCs w:val="20"/>
        </w:rPr>
        <w:t xml:space="preserve"> previstos na Resolução CONSU n° 11, da Agência Nacional de Saúde Suplementar (ANS), de 4 de novembro de 1998;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Atendimentos odontológicos </w:t>
      </w:r>
      <w:r>
        <w:rPr>
          <w:b/>
          <w:sz w:val="20"/>
          <w:szCs w:val="20"/>
        </w:rPr>
        <w:t>não</w:t>
      </w:r>
      <w:r>
        <w:rPr>
          <w:sz w:val="20"/>
          <w:szCs w:val="20"/>
        </w:rPr>
        <w:t xml:space="preserve"> constantes da Resolução Normativa n° 154, da Agência Nacional de Saúde Suplementar, de 5 de junho de 2007 - Atualiza o Rol de Procedimentos Odontológicos e dá outras providências;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Tratamento médico ou odontológico cuja eficiência </w:t>
      </w:r>
      <w:r>
        <w:rPr>
          <w:b/>
          <w:sz w:val="20"/>
          <w:szCs w:val="20"/>
        </w:rPr>
        <w:t>não</w:t>
      </w:r>
      <w:r>
        <w:rPr>
          <w:sz w:val="20"/>
          <w:szCs w:val="20"/>
        </w:rPr>
        <w:t xml:space="preserve"> seja reconhecida pelos conselhos federais de medicina e odontologia ou tratamento clínico ou cirúrgico experimental;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Especialidades médicas não reconhecidas pelo Conselho Federal de Medicina;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Atendimentos prestados antes do início do período de vigência ou do cumprimento de carências;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Procedimentos clínicos ou cirúrgicos para fins estéticos, inclusive cirurgia plástica estética, órteses e próteses para o mesmo fim;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Inseminação artificial;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Tratamento de rejuvenescimento ou de emagrecimento com finalidade estética;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Tratamentos em centros de saúde pela água (SPA), clínicas de repouso, estâncias hidrominerais, casas sociais e clínicas de idosos;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Fornecimento de medicamentos nacionais ou nacionalizados, exceto durante a internação hospitalar do beneficiário;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Aquisição de artigos por importação;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Fornecimento de medicamentos importados não nacionalizados;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Fornecimento de órteses, próteses e seus acessórios não ligados ao ato e técnica cirúrgica indicados;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Órtese ou prótese não odontológica acima do valor máximo estabelecido por parte do DGP;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Tratamentos ilícitos ou antiéticos, assim definidos sob o aspecto médico, ou não reconhecidos pelas autoridades competentes;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Em caso de cataclismos, guerras e comoções internas, quando declarados pela autoridade competente;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Aplicação de vacinas preventivas;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Necropsias, medicina ortomolecular e mineralograma do cabelo;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Aquisição de óculos e artigos correlatos;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Aparelhos ortopédicos;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Aluguel de equipamentos hospitalares e similares;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Procedimentos, exames ou tratamentos realizados no exterior;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Despesas hospitalares extraordinárias tais como telefonemas, uso de televisão, alimentação não prevista no tratamento, lavagem de roupas e indenização de danos;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Enfermagem em caráter particular;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Estadia de paciente ou acompanhante em hotel, pensão ou similares;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Avaliações pedagógicas;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Orientações vocacionais;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Psicoterapia com objetivos profissionais;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Diárias hospitalares com a parturiente em condições de alta quando da manutenção da internação do recém nascido patológico;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Colocação de idosos em asilos;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Tratamento e manutenção ortodônticos;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Tratamentos de implantodontia;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Elemento odontológico a ser implantado e material para enxertia;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Próteses odontológicas de qualquer tipo;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Procedimento e componente odontológico realizado em laboratórios ortodônticos ou de próteses odontológicas (exemplo: prótese e aparelho ortodôntico);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Transplantes ósseos e implantes odontológicos;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Restaurações utilizando porcelana;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Restaurações utilizando resina fotopolimerizável em dentes posteriores somente para fins estéticos;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Hospitalização que objetive, especificamente, os seguintes tratamentos:</w:t>
      </w:r>
    </w:p>
    <w:p>
      <w:pPr>
        <w:pStyle w:val="Normal"/>
        <w:widowControl w:val="false"/>
        <w:numPr>
          <w:ilvl w:val="4"/>
          <w:numId w:val="1"/>
        </w:numPr>
        <w:suppressAutoHyphens w:val="false"/>
        <w:spacing w:lineRule="auto" w:line="276" w:before="120" w:after="120"/>
        <w:ind w:left="2835" w:right="0" w:hanging="792"/>
        <w:jc w:val="both"/>
        <w:rPr>
          <w:sz w:val="20"/>
          <w:szCs w:val="20"/>
        </w:rPr>
      </w:pPr>
      <w:r>
        <w:rPr>
          <w:sz w:val="20"/>
          <w:szCs w:val="20"/>
        </w:rPr>
        <w:t>Gerontológico, enquanto o Exército não dispuser de um centro gerontológico em pleno funcionamento;</w:t>
      </w:r>
    </w:p>
    <w:p>
      <w:pPr>
        <w:pStyle w:val="Normal"/>
        <w:widowControl w:val="false"/>
        <w:numPr>
          <w:ilvl w:val="4"/>
          <w:numId w:val="1"/>
        </w:numPr>
        <w:suppressAutoHyphens w:val="false"/>
        <w:spacing w:lineRule="auto" w:line="276" w:before="120" w:after="120"/>
        <w:ind w:left="2835" w:right="0" w:hanging="792"/>
        <w:jc w:val="both"/>
        <w:rPr>
          <w:sz w:val="20"/>
          <w:szCs w:val="20"/>
        </w:rPr>
      </w:pPr>
      <w:r>
        <w:rPr>
          <w:sz w:val="20"/>
          <w:szCs w:val="20"/>
        </w:rPr>
        <w:t>De portadores de necessidades educativas especiais, exceto quando acometidos por patologias comuns à população em geral;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Implante hormonal;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Teste de DNA;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Tratamentos de infertilidade, fecundação e fertilização;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Transplantes de órgãos, exceto o constante no inciso XIV, do § 2º, do art. 15 da Portaria nº DGP-117/2008 (IR 30-57);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w:rPr>
          <w:sz w:val="20"/>
          <w:szCs w:val="20"/>
        </w:rPr>
        <w:t>No que diz respeito à assistência domiciliar:</w:t>
      </w:r>
    </w:p>
    <w:p>
      <w:pPr>
        <w:pStyle w:val="Normal"/>
        <w:widowControl w:val="false"/>
        <w:numPr>
          <w:ilvl w:val="4"/>
          <w:numId w:val="1"/>
        </w:numPr>
        <w:suppressAutoHyphens w:val="false"/>
        <w:spacing w:lineRule="auto" w:line="276" w:before="120" w:after="120"/>
        <w:ind w:left="2835" w:right="0" w:hanging="792"/>
        <w:jc w:val="both"/>
        <w:rPr>
          <w:sz w:val="20"/>
          <w:szCs w:val="20"/>
        </w:rPr>
      </w:pPr>
      <w:r>
        <w:rPr>
          <w:sz w:val="20"/>
          <w:szCs w:val="20"/>
        </w:rPr>
        <w:t>Despesas decorrentes da utilização por parte do paciente de medicamentos de tratamento prolongado ou para doenças crônicas, nos termos da Portaria nº DGP-281/2007 (IR 30-56), cuja natureza não tenha relação específica com o atendimento de caráter médico-domiciliar;</w:t>
      </w:r>
    </w:p>
    <w:p>
      <w:pPr>
        <w:pStyle w:val="Normal"/>
        <w:widowControl w:val="false"/>
        <w:numPr>
          <w:ilvl w:val="4"/>
          <w:numId w:val="1"/>
        </w:numPr>
        <w:suppressAutoHyphens w:val="false"/>
        <w:spacing w:lineRule="auto" w:line="276" w:before="120" w:after="120"/>
        <w:ind w:left="2835" w:right="0" w:hanging="792"/>
        <w:jc w:val="both"/>
        <w:rPr>
          <w:sz w:val="20"/>
          <w:szCs w:val="20"/>
        </w:rPr>
      </w:pPr>
      <w:r>
        <w:rPr>
          <w:sz w:val="20"/>
          <w:szCs w:val="20"/>
        </w:rPr>
        <w:t>Tratamentos de natureza geriátrica ou gerontológica; e,</w:t>
      </w:r>
    </w:p>
    <w:p>
      <w:pPr>
        <w:pStyle w:val="Normal"/>
        <w:widowControl w:val="false"/>
        <w:numPr>
          <w:ilvl w:val="4"/>
          <w:numId w:val="1"/>
        </w:numPr>
        <w:suppressAutoHyphens w:val="false"/>
        <w:spacing w:lineRule="auto" w:line="276" w:before="120" w:after="120"/>
        <w:ind w:left="2835" w:right="0" w:hanging="792"/>
        <w:jc w:val="both"/>
        <w:rPr>
          <w:sz w:val="20"/>
          <w:szCs w:val="20"/>
        </w:rPr>
      </w:pPr>
      <w:r>
        <w:rPr>
          <w:sz w:val="20"/>
          <w:szCs w:val="20"/>
        </w:rPr>
        <w:t>Beneficiários que estejam recebendo Auxílio-Invalidez.</w:t>
      </w:r>
    </w:p>
    <w:p>
      <w:pPr>
        <w:pStyle w:val="Normal"/>
        <w:widowControl w:val="false"/>
        <w:numPr>
          <w:ilvl w:val="3"/>
          <w:numId w:val="1"/>
        </w:numPr>
        <w:suppressAutoHyphens w:val="false"/>
        <w:spacing w:lineRule="auto" w:line="276" w:before="120" w:after="120"/>
        <w:ind w:left="1418" w:right="0" w:hanging="648"/>
        <w:jc w:val="both"/>
        <w:rPr>
          <w:sz w:val="20"/>
          <w:szCs w:val="20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16510" cy="16510"/>
                <wp:effectExtent l="0" t="0" r="0" b="0"/>
                <wp:wrapSquare wrapText="bothSides"/>
                <wp:docPr id="2" name="Figur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0" cy="15840"/>
                        </a:xfrm>
                        <a:prstGeom prst="rect">
                          <a:avLst/>
                        </a:prstGeom>
                        <a:noFill/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Rodap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igura1" fillcolor="white" stroked="t" style="position:absolute;margin-left:0.05pt;margin-top:0.05pt;width:1.2pt;height:1.2pt">
                <w10:wrap type="none"/>
                <v:fill o:detectmouseclick="t" type="solid" color2="black" opacity="0"/>
                <v:stroke color="black" weight="720" joinstyle="round" endcap="flat"/>
                <v:textbox>
                  <w:txbxContent>
                    <w:p>
                      <w:pPr>
                        <w:pStyle w:val="Rodap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0"/>
          <w:szCs w:val="20"/>
        </w:rPr>
        <w:t>Outros, a critério do Chefe DGP, ouvidas a DAP e a DSau.</w:t>
      </w:r>
    </w:p>
    <w:sectPr>
      <w:footerReference w:type="default" r:id="rId3"/>
      <w:type w:val="nextPage"/>
      <w:pgSz w:w="12240" w:h="15840"/>
      <w:pgMar w:left="1134" w:right="851" w:header="0" w:top="1134" w:footer="720" w:bottom="1134" w:gutter="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tarSymbol">
    <w:altName w:val="Arial Unicode MS"/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t-BR" w:eastAsia="ar-SA" w:bidi="ar-SA"/>
    </w:rPr>
  </w:style>
  <w:style w:type="paragraph" w:styleId="Ttulo1">
    <w:name w:val="Heading 1"/>
    <w:basedOn w:val="Normal"/>
    <w:next w:val="Normal"/>
    <w:qFormat/>
    <w:pPr>
      <w:keepNext w:val="true"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20"/>
      <w:u w:val="single"/>
    </w:rPr>
  </w:style>
  <w:style w:type="paragraph" w:styleId="Ttulo3">
    <w:name w:val="Heading 3"/>
    <w:basedOn w:val="Normal"/>
    <w:next w:val="Normal"/>
    <w:qFormat/>
    <w:pPr>
      <w:keepNext w:val="true"/>
      <w:jc w:val="center"/>
      <w:outlineLvl w:val="2"/>
    </w:pPr>
    <w:rPr>
      <w:b/>
      <w:bCs/>
      <w:u w:val="single"/>
    </w:rPr>
  </w:style>
  <w:style w:type="paragraph" w:styleId="Ttulo4">
    <w:name w:val="Heading 4"/>
    <w:basedOn w:val="Normal"/>
    <w:next w:val="Normal"/>
    <w:qFormat/>
    <w:pPr>
      <w:keepNext w:val="true"/>
      <w:ind w:left="2880" w:right="0" w:hanging="360"/>
      <w:jc w:val="center"/>
      <w:outlineLvl w:val="3"/>
    </w:pPr>
    <w:rPr>
      <w:rFonts w:ascii="Arial" w:hAnsi="Arial"/>
      <w:szCs w:val="20"/>
    </w:rPr>
  </w:style>
  <w:style w:type="paragraph" w:styleId="Ttulo5">
    <w:name w:val="Heading 5"/>
    <w:basedOn w:val="Normal"/>
    <w:next w:val="Normal"/>
    <w:qFormat/>
    <w:pPr>
      <w:keepNext w:val="true"/>
      <w:jc w:val="center"/>
      <w:outlineLvl w:val="4"/>
    </w:pPr>
    <w:rPr>
      <w:b/>
      <w:bCs/>
      <w:spacing w:val="-26"/>
      <w:sz w:val="20"/>
    </w:rPr>
  </w:style>
  <w:style w:type="paragraph" w:styleId="Ttulo6">
    <w:name w:val="Heading 6"/>
    <w:basedOn w:val="Normal"/>
    <w:next w:val="Normal"/>
    <w:qFormat/>
    <w:pPr>
      <w:keepNext w:val="true"/>
      <w:jc w:val="center"/>
      <w:outlineLvl w:val="5"/>
    </w:pPr>
    <w:rPr>
      <w:b/>
      <w:bCs/>
      <w:color w:val="800000"/>
    </w:rPr>
  </w:style>
  <w:style w:type="paragraph" w:styleId="Ttulo7">
    <w:name w:val="Heading 7"/>
    <w:basedOn w:val="Normal"/>
    <w:next w:val="Normal"/>
    <w:qFormat/>
    <w:pPr>
      <w:keepNext w:val="true"/>
      <w:widowControl w:val="false"/>
      <w:jc w:val="center"/>
      <w:outlineLvl w:val="6"/>
    </w:pPr>
    <w:rPr>
      <w:b/>
      <w:sz w:val="20"/>
      <w:szCs w:val="20"/>
    </w:rPr>
  </w:style>
  <w:style w:type="paragraph" w:styleId="Ttulo8">
    <w:name w:val="Heading 8"/>
    <w:basedOn w:val="Normal"/>
    <w:next w:val="Normal"/>
    <w:qFormat/>
    <w:pPr>
      <w:keepNext w:val="true"/>
      <w:jc w:val="center"/>
      <w:outlineLvl w:val="7"/>
    </w:pPr>
    <w:rPr>
      <w:b/>
      <w:bCs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StarSymbol" w:hAnsi="StarSymbol"/>
    </w:rPr>
  </w:style>
  <w:style w:type="character" w:styleId="WW8Num3z0" w:customStyle="1">
    <w:name w:val="WW8Num3z0"/>
    <w:qFormat/>
    <w:rPr>
      <w:rFonts w:ascii="StarSymbol" w:hAnsi="StarSymbol" w:cs="Arial Narrow"/>
      <w:sz w:val="18"/>
      <w:szCs w:val="18"/>
    </w:rPr>
  </w:style>
  <w:style w:type="character" w:styleId="WW8Num6z0" w:customStyle="1">
    <w:name w:val="WW8Num6z0"/>
    <w:qFormat/>
    <w:rPr>
      <w:rFonts w:eastAsia="Times New Roman"/>
    </w:rPr>
  </w:style>
  <w:style w:type="character" w:styleId="WW8Num12z0" w:customStyle="1">
    <w:name w:val="WW8Num12z0"/>
    <w:qFormat/>
    <w:rPr>
      <w:rFonts w:eastAsia="Times New Roman"/>
    </w:rPr>
  </w:style>
  <w:style w:type="character" w:styleId="WW8Num14z0" w:customStyle="1">
    <w:name w:val="WW8Num14z0"/>
    <w:qFormat/>
    <w:rPr>
      <w:rFonts w:eastAsia="Times New Roman"/>
    </w:rPr>
  </w:style>
  <w:style w:type="character" w:styleId="WW8Num17z0" w:customStyle="1">
    <w:name w:val="WW8Num17z0"/>
    <w:qFormat/>
    <w:rPr>
      <w:rFonts w:eastAsia="Times New Roman"/>
    </w:rPr>
  </w:style>
  <w:style w:type="character" w:styleId="WW8Num18z0" w:customStyle="1">
    <w:name w:val="WW8Num18z0"/>
    <w:qFormat/>
    <w:rPr>
      <w:rFonts w:eastAsia="Times New Roman"/>
    </w:rPr>
  </w:style>
  <w:style w:type="character" w:styleId="WW8Num20z0" w:customStyle="1">
    <w:name w:val="WW8Num20z0"/>
    <w:qFormat/>
    <w:rPr>
      <w:rFonts w:eastAsia="Times New Roman"/>
    </w:rPr>
  </w:style>
  <w:style w:type="character" w:styleId="WW8Num21z0" w:customStyle="1">
    <w:name w:val="WW8Num21z0"/>
    <w:qFormat/>
    <w:rPr>
      <w:rFonts w:ascii="Symbol" w:hAnsi="Symbol"/>
    </w:rPr>
  </w:style>
  <w:style w:type="character" w:styleId="WW8Num21z1" w:customStyle="1">
    <w:name w:val="WW8Num21z1"/>
    <w:qFormat/>
    <w:rPr>
      <w:rFonts w:ascii="Courier New" w:hAnsi="Courier New"/>
    </w:rPr>
  </w:style>
  <w:style w:type="character" w:styleId="WW8Num21z2" w:customStyle="1">
    <w:name w:val="WW8Num21z2"/>
    <w:qFormat/>
    <w:rPr>
      <w:rFonts w:ascii="Wingdings" w:hAnsi="Wingdings"/>
    </w:rPr>
  </w:style>
  <w:style w:type="character" w:styleId="WW8Num22z0" w:customStyle="1">
    <w:name w:val="WW8Num22z0"/>
    <w:qFormat/>
    <w:rPr>
      <w:rFonts w:eastAsia="Times New Roman"/>
    </w:rPr>
  </w:style>
  <w:style w:type="character" w:styleId="WW8Num23z1" w:customStyle="1">
    <w:name w:val="WW8Num23z1"/>
    <w:qFormat/>
    <w:rPr>
      <w:rFonts w:ascii="Times New Roman" w:hAnsi="Times New Roman" w:eastAsia="Times New Roman" w:cs="Times New Roman"/>
    </w:rPr>
  </w:style>
  <w:style w:type="character" w:styleId="WW8Num28z0" w:customStyle="1">
    <w:name w:val="WW8Num28z0"/>
    <w:qFormat/>
    <w:rPr>
      <w:rFonts w:ascii="Symbol" w:hAnsi="Symbol"/>
    </w:rPr>
  </w:style>
  <w:style w:type="character" w:styleId="WW8Num28z1" w:customStyle="1">
    <w:name w:val="WW8Num28z1"/>
    <w:qFormat/>
    <w:rPr>
      <w:rFonts w:ascii="Courier New" w:hAnsi="Courier New"/>
    </w:rPr>
  </w:style>
  <w:style w:type="character" w:styleId="WW8Num28z2" w:customStyle="1">
    <w:name w:val="WW8Num28z2"/>
    <w:qFormat/>
    <w:rPr>
      <w:rFonts w:ascii="Wingdings" w:hAnsi="Wingdings"/>
    </w:rPr>
  </w:style>
  <w:style w:type="character" w:styleId="WW8Num34z0" w:customStyle="1">
    <w:name w:val="WW8Num34z0"/>
    <w:qFormat/>
    <w:rPr>
      <w:rFonts w:ascii="Wingdings" w:hAnsi="Wingdings"/>
    </w:rPr>
  </w:style>
  <w:style w:type="character" w:styleId="WW8Num34z3" w:customStyle="1">
    <w:name w:val="WW8Num34z3"/>
    <w:qFormat/>
    <w:rPr>
      <w:rFonts w:ascii="Symbol" w:hAnsi="Symbol"/>
    </w:rPr>
  </w:style>
  <w:style w:type="character" w:styleId="WW8Num35z0" w:customStyle="1">
    <w:name w:val="WW8Num35z0"/>
    <w:qFormat/>
    <w:rPr>
      <w:rFonts w:ascii="Symbol" w:hAnsi="Symbol"/>
    </w:rPr>
  </w:style>
  <w:style w:type="character" w:styleId="WW8Num35z1" w:customStyle="1">
    <w:name w:val="WW8Num35z1"/>
    <w:qFormat/>
    <w:rPr>
      <w:rFonts w:ascii="Courier New" w:hAnsi="Courier New"/>
    </w:rPr>
  </w:style>
  <w:style w:type="character" w:styleId="WW8Num35z2" w:customStyle="1">
    <w:name w:val="WW8Num35z2"/>
    <w:qFormat/>
    <w:rPr>
      <w:rFonts w:ascii="Wingdings" w:hAnsi="Wingdings"/>
    </w:rPr>
  </w:style>
  <w:style w:type="character" w:styleId="WW8Num36z0" w:customStyle="1">
    <w:name w:val="WW8Num36z0"/>
    <w:qFormat/>
    <w:rPr>
      <w:rFonts w:eastAsia="Times New Roman"/>
    </w:rPr>
  </w:style>
  <w:style w:type="character" w:styleId="WW8Num38z0" w:customStyle="1">
    <w:name w:val="WW8Num38z0"/>
    <w:qFormat/>
    <w:rPr>
      <w:rFonts w:eastAsia="Times New Roman"/>
    </w:rPr>
  </w:style>
  <w:style w:type="character" w:styleId="WW8Num42z0" w:customStyle="1">
    <w:name w:val="WW8Num42z0"/>
    <w:qFormat/>
    <w:rPr>
      <w:rFonts w:eastAsia="Times New Roman"/>
    </w:rPr>
  </w:style>
  <w:style w:type="character" w:styleId="WW8Num43z0" w:customStyle="1">
    <w:name w:val="WW8Num43z0"/>
    <w:qFormat/>
    <w:rPr>
      <w:rFonts w:eastAsia="Times New Roman"/>
    </w:rPr>
  </w:style>
  <w:style w:type="character" w:styleId="Pagenumber">
    <w:name w:val="page number"/>
    <w:basedOn w:val="DefaultParagraphFont"/>
    <w:qFormat/>
    <w:rPr/>
  </w:style>
  <w:style w:type="character" w:styleId="RodapChar" w:customStyle="1">
    <w:name w:val="Rodapé Char"/>
    <w:uiPriority w:val="99"/>
    <w:qFormat/>
    <w:rsid w:val="00a82884"/>
    <w:rPr>
      <w:sz w:val="24"/>
      <w:szCs w:val="24"/>
      <w:lang w:eastAsia="ar-SA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88"/>
      <w:jc w:val="both"/>
    </w:pPr>
    <w:rPr/>
  </w:style>
  <w:style w:type="paragraph" w:styleId="Lista">
    <w:name w:val="List"/>
    <w:basedOn w:val="Corpodotexto"/>
    <w:pPr>
      <w:spacing w:before="0" w:after="120"/>
      <w:jc w:val="left"/>
    </w:pPr>
    <w:rPr>
      <w:rFonts w:cs="FreeSans"/>
      <w:sz w:val="20"/>
      <w:szCs w:val="20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Wingdings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Arial" w:hAnsi="Arial" w:eastAsia="Tahoma" w:cs="Wingding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Wingdings"/>
      <w:i/>
      <w:iCs/>
    </w:rPr>
  </w:style>
  <w:style w:type="paragraph" w:styleId="Font5" w:customStyle="1">
    <w:name w:val="font5"/>
    <w:basedOn w:val="Normal"/>
    <w:qFormat/>
    <w:pPr>
      <w:spacing w:before="280" w:after="280"/>
    </w:pPr>
    <w:rPr>
      <w:rFonts w:ascii="Tahoma" w:hAnsi="Tahoma" w:eastAsia="Arial Unicode MS" w:cs="Wingdings"/>
      <w:b/>
      <w:bCs/>
      <w:color w:val="000000"/>
      <w:sz w:val="16"/>
      <w:szCs w:val="16"/>
    </w:rPr>
  </w:style>
  <w:style w:type="paragraph" w:styleId="Xl24" w:customStyle="1">
    <w:name w:val="xl24"/>
    <w:basedOn w:val="Normal"/>
    <w:qFormat/>
    <w:pPr>
      <w:spacing w:before="280" w:after="280"/>
      <w:textAlignment w:val="top"/>
    </w:pPr>
    <w:rPr>
      <w:rFonts w:eastAsia="Arial Unicode MS"/>
      <w:b/>
      <w:bCs/>
    </w:rPr>
  </w:style>
  <w:style w:type="paragraph" w:styleId="Xl25" w:customStyle="1">
    <w:name w:val="xl25"/>
    <w:basedOn w:val="Normal"/>
    <w:qFormat/>
    <w:pPr>
      <w:spacing w:before="280" w:after="280"/>
      <w:textAlignment w:val="top"/>
    </w:pPr>
    <w:rPr>
      <w:rFonts w:eastAsia="Arial Unicode MS"/>
    </w:rPr>
  </w:style>
  <w:style w:type="paragraph" w:styleId="Xl26" w:customStyle="1">
    <w:name w:val="xl26"/>
    <w:basedOn w:val="Normal"/>
    <w:qFormat/>
    <w:pPr>
      <w:spacing w:before="280" w:after="280"/>
      <w:textAlignment w:val="top"/>
    </w:pPr>
    <w:rPr>
      <w:rFonts w:eastAsia="Arial Unicode MS"/>
      <w:color w:val="FF0000"/>
    </w:rPr>
  </w:style>
  <w:style w:type="paragraph" w:styleId="BodyText2">
    <w:name w:val="Body Text 2"/>
    <w:basedOn w:val="Normal"/>
    <w:qFormat/>
    <w:pPr>
      <w:jc w:val="center"/>
    </w:pPr>
    <w:rPr>
      <w:bCs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link w:val="RodapChar"/>
    <w:uiPriority w:val="99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rpodetextorecuado">
    <w:name w:val="Corpo de texto recuado"/>
    <w:basedOn w:val="Normal"/>
    <w:qFormat/>
    <w:pPr>
      <w:ind w:left="0" w:right="0" w:firstLine="708"/>
      <w:jc w:val="both"/>
    </w:pPr>
    <w:rPr/>
  </w:style>
  <w:style w:type="paragraph" w:styleId="Contedodatabela" w:customStyle="1">
    <w:name w:val="Conteúdo da tabela"/>
    <w:basedOn w:val="Normal"/>
    <w:qFormat/>
    <w:pPr>
      <w:suppressLineNumbers/>
    </w:pPr>
    <w:rPr>
      <w:sz w:val="20"/>
      <w:szCs w:val="20"/>
    </w:rPr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styleId="BodyTextIndent2">
    <w:name w:val="Body Text Indent 2"/>
    <w:basedOn w:val="Normal"/>
    <w:qFormat/>
    <w:pPr>
      <w:ind w:left="0" w:right="0" w:firstLine="360"/>
      <w:jc w:val="both"/>
    </w:pPr>
    <w:rPr/>
  </w:style>
  <w:style w:type="paragraph" w:styleId="BodyTextIndent3">
    <w:name w:val="Body Text Indent 3"/>
    <w:basedOn w:val="Normal"/>
    <w:qFormat/>
    <w:pPr>
      <w:ind w:left="0" w:right="0" w:firstLine="1418"/>
      <w:jc w:val="both"/>
    </w:pPr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1a196d"/>
    <w:pPr>
      <w:suppressAutoHyphens w:val="false"/>
      <w:spacing w:lineRule="auto" w:line="276" w:before="0" w:after="200"/>
      <w:ind w:left="720" w:right="0" w:hanging="0"/>
      <w:contextualSpacing/>
    </w:pPr>
    <w:rPr>
      <w:rFonts w:ascii="Calibri" w:hAnsi="Calibri"/>
      <w:sz w:val="22"/>
      <w:szCs w:val="22"/>
      <w:lang w:eastAsia="pt-BR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<Relationship Id="rId10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A08D7DBFEB39F4993BAF4471592047B" ma:contentTypeVersion="0" ma:contentTypeDescription="Crie um novo documento." ma:contentTypeScope="" ma:versionID="98f0eba75b33292d8b823422c62102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74c6ccb71ee63fbc30cff3237551ec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D960F9-0E6D-4D92-9E07-E988BF2588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FAA30C-4EA3-41AD-BE42-65EBAF27A649}"/>
</file>

<file path=customXml/itemProps3.xml><?xml version="1.0" encoding="utf-8"?>
<ds:datastoreItem xmlns:ds="http://schemas.openxmlformats.org/officeDocument/2006/customXml" ds:itemID="{218FE8CA-81EC-485D-8C97-E412A9207B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LibreOffice/6.4.7.2$Linux_X86_64 LibreOffice_project/40$Build-2</Application>
  <Pages>5</Pages>
  <Words>1349</Words>
  <Characters>8807</Characters>
  <CharactersWithSpaces>9942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2019-06-06T13:31:00Z</dcterms:created>
  <dc:creator>AGU</dc:creator>
  <dc:description/>
  <dc:language>pt-BR</dc:language>
  <cp:lastModifiedBy/>
  <cp:lastPrinted>2019-06-12T19:29:00Z</cp:lastPrinted>
  <dcterms:modified xsi:type="dcterms:W3CDTF">2024-11-09T22:47:31Z</dcterms:modified>
  <cp:revision>8</cp:revision>
  <dc:subject/>
  <dc:title>INSTRUÇÕES GERAIS</dc:title>
</cp:coreProperties>
</file>