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png" ContentType="image/png"/>
  <Override PartName="/word/media/image2.png" ContentType="image/png"/>
  <Override PartName="/word/styles.xml" ContentType="application/vnd.openxmlformats-officedocument.wordprocessingml.styles+xml"/>
  <Override PartName="/word/header1.xml" ContentType="application/vnd.openxmlformats-officedocument.wordprocessingml.header+xml"/>
  <Override PartName="/word/theme/theme1.xml" ContentType="application/vnd.openxmlformats-officedocument.theme+xml"/>
  <Override PartName="/word/footer1.xml" ContentType="application/vnd.openxmlformats-officedocument.wordprocessingml.footer+xml"/>
  <Override PartName="/word/settings.xml" ContentType="application/vnd.openxmlformats-officedocument.wordprocessingml.settings+xml"/>
  <Override PartName="/word/numbering.xml" ContentType="application/vnd.openxmlformats-officedocument.wordprocessingml.numbering+xml"/>
  <Override PartName="/word/fontTable.xml" ContentType="application/vnd.openxmlformats-officedocument.wordprocessingml.fontTable+xml"/>
  <Override PartName="/_rels/.rels" ContentType="application/vnd.openxmlformats-package.relationships+xml"/>
  <Override PartName="/customXml/item1.xml" ContentType="application/xml"/>
  <Override PartName="/customXml/itemProps1.xml" ContentType="application/vnd.openxmlformats-officedocument.customXmlProperties+xml"/>
  <Override PartName="/customXml/item2.xml" ContentType="application/xml"/>
  <Override PartName="/customXml/_rels/item4.xml.rels" ContentType="application/vnd.openxmlformats-package.relationships+xml"/>
  <Override PartName="/customXml/_rels/item3.xml.rels" ContentType="application/vnd.openxmlformats-package.relationships+xml"/>
  <Override PartName="/customXml/_rels/item2.xml.rels" ContentType="application/vnd.openxmlformats-package.relationships+xml"/>
  <Override PartName="/customXml/_rels/item1.xml.rels" ContentType="application/vnd.openxmlformats-package.relationships+xml"/>
  <Override PartName="/customXml/itemProps2.xml" ContentType="application/vnd.openxmlformats-officedocument.customXmlProperties+xml"/>
  <Override PartName="/customXml/item3.xml" ContentType="application/xml"/>
  <Override PartName="/customXml/itemProps3.xml" ContentType="application/vnd.openxmlformats-officedocument.customXmlProperties+xml"/>
  <Override PartName="/customXml/item4.xml" ContentType="application/xml"/>
  <Override PartName="/customXml/itemProps4.xml" ContentType="application/vnd.openxmlformats-officedocument.customXml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spacing w:before="120" w:after="120"/>
        <w:jc w:val="center"/>
        <w:rPr>
          <w:rFonts w:ascii="Times New Roman" w:hAnsi="Times New Roman" w:cs="Times New Roman"/>
          <w:sz w:val="20"/>
          <w:szCs w:val="20"/>
        </w:rPr>
      </w:pPr>
      <w:r>
        <w:rPr>
          <w:rFonts w:cs="Times New Roman" w:ascii="Times New Roman" w:hAnsi="Times New Roman"/>
          <w:sz w:val="20"/>
          <w:szCs w:val="20"/>
        </w:rPr>
        <w:t>ANEXO E – MINUTA DE TERMO DE CONTRATO PARA LABORATÓRIOS DE ANÁLISES CLÍNICAS E CITOPATOLOGIA</w:t>
      </w:r>
    </w:p>
    <w:p>
      <w:pPr>
        <w:pStyle w:val="Normal"/>
        <w:widowControl w:val="false"/>
        <w:spacing w:before="120" w:after="120"/>
        <w:jc w:val="center"/>
        <w:rPr>
          <w:rFonts w:ascii="Times New Roman" w:hAnsi="Times New Roman" w:cs="Times New Roman"/>
          <w:sz w:val="20"/>
          <w:szCs w:val="20"/>
        </w:rPr>
      </w:pPr>
      <w:r>
        <w:rPr>
          <w:rFonts w:cs="Times New Roman" w:ascii="Times New Roman" w:hAnsi="Times New Roman"/>
          <w:sz w:val="20"/>
          <w:szCs w:val="20"/>
        </w:rPr>
      </w:r>
    </w:p>
    <w:p>
      <w:pPr>
        <w:pStyle w:val="Normal"/>
        <w:widowControl w:val="false"/>
        <w:spacing w:before="120" w:after="120"/>
        <w:jc w:val="center"/>
        <w:rPr>
          <w:rFonts w:ascii="Times New Roman" w:hAnsi="Times New Roman" w:cs="Times New Roman"/>
          <w:sz w:val="20"/>
          <w:szCs w:val="20"/>
        </w:rPr>
      </w:pPr>
      <w:r>
        <w:rPr/>
        <w:drawing>
          <wp:inline distT="0" distB="0" distL="0" distR="0">
            <wp:extent cx="899795" cy="899795"/>
            <wp:effectExtent l="0" t="0" r="0" b="0"/>
            <wp:docPr id="1" name="Pictur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descr=""/>
                    <pic:cNvPicPr>
                      <a:picLocks noChangeAspect="1" noChangeArrowheads="1"/>
                    </pic:cNvPicPr>
                  </pic:nvPicPr>
                  <pic:blipFill>
                    <a:blip r:embed="rId2"/>
                    <a:stretch>
                      <a:fillRect/>
                    </a:stretch>
                  </pic:blipFill>
                  <pic:spPr bwMode="auto">
                    <a:xfrm>
                      <a:off x="0" y="0"/>
                      <a:ext cx="899795" cy="899795"/>
                    </a:xfrm>
                    <a:prstGeom prst="rect">
                      <a:avLst/>
                    </a:prstGeom>
                  </pic:spPr>
                </pic:pic>
              </a:graphicData>
            </a:graphic>
          </wp:inline>
        </w:drawing>
      </w:r>
    </w:p>
    <w:p>
      <w:pPr>
        <w:pStyle w:val="Normal"/>
        <w:spacing w:lineRule="auto" w:line="240" w:before="0" w:after="0"/>
        <w:jc w:val="center"/>
        <w:rPr>
          <w:rFonts w:ascii="Times New Roman" w:hAnsi="Times New Roman"/>
          <w:b/>
          <w:b/>
          <w:bCs/>
          <w:sz w:val="20"/>
          <w:szCs w:val="20"/>
        </w:rPr>
      </w:pPr>
      <w:r>
        <w:rPr>
          <w:rFonts w:cs="Times New Roman" w:ascii="Times New Roman" w:hAnsi="Times New Roman"/>
          <w:b/>
          <w:bCs/>
          <w:color w:val="000000"/>
          <w:sz w:val="20"/>
          <w:szCs w:val="20"/>
        </w:rPr>
        <w:t>MINISTÉRIO DA DEFESA</w:t>
      </w:r>
    </w:p>
    <w:p>
      <w:pPr>
        <w:pStyle w:val="Normal"/>
        <w:spacing w:lineRule="auto" w:line="240" w:before="0" w:after="0"/>
        <w:jc w:val="center"/>
        <w:rPr>
          <w:rFonts w:ascii="Times New Roman" w:hAnsi="Times New Roman"/>
          <w:b/>
          <w:b/>
          <w:bCs/>
          <w:sz w:val="20"/>
          <w:szCs w:val="20"/>
        </w:rPr>
      </w:pPr>
      <w:r>
        <w:rPr>
          <w:rFonts w:cs="Times New Roman" w:ascii="Times New Roman" w:hAnsi="Times New Roman"/>
          <w:b/>
          <w:bCs/>
          <w:color w:val="000000"/>
          <w:sz w:val="20"/>
          <w:szCs w:val="20"/>
        </w:rPr>
        <w:t>EXÉRCITO BRASILEIRO</w:t>
      </w:r>
    </w:p>
    <w:p>
      <w:pPr>
        <w:pStyle w:val="Normal"/>
        <w:spacing w:lineRule="auto" w:line="240" w:before="0" w:after="0"/>
        <w:jc w:val="center"/>
        <w:rPr>
          <w:rFonts w:ascii="Times New Roman" w:hAnsi="Times New Roman"/>
          <w:b/>
          <w:b/>
          <w:bCs/>
          <w:sz w:val="20"/>
          <w:szCs w:val="20"/>
        </w:rPr>
      </w:pPr>
      <w:r>
        <w:rPr>
          <w:rFonts w:cs="Times New Roman" w:ascii="Times New Roman" w:hAnsi="Times New Roman"/>
          <w:b/>
          <w:bCs/>
          <w:sz w:val="20"/>
          <w:szCs w:val="20"/>
        </w:rPr>
        <w:t>7º REGIMENTO DE CAVALARIA MECANIZADO</w:t>
      </w:r>
    </w:p>
    <w:p>
      <w:pPr>
        <w:pStyle w:val="Normal"/>
        <w:widowControl w:val="false"/>
        <w:spacing w:lineRule="auto" w:line="240" w:before="0" w:after="0"/>
        <w:jc w:val="center"/>
        <w:rPr>
          <w:rFonts w:ascii="Times New Roman" w:hAnsi="Times New Roman"/>
          <w:b/>
          <w:b/>
          <w:bCs/>
          <w:sz w:val="20"/>
          <w:szCs w:val="20"/>
        </w:rPr>
      </w:pPr>
      <w:bookmarkStart w:id="0" w:name="__DdeLink__7762_1503489020"/>
      <w:bookmarkEnd w:id="0"/>
      <w:r>
        <w:rPr>
          <w:rFonts w:cs="Times New Roman" w:ascii="Times New Roman" w:hAnsi="Times New Roman"/>
          <w:b/>
          <w:bCs/>
          <w:sz w:val="20"/>
          <w:szCs w:val="20"/>
          <w:shd w:fill="FFFFFF" w:val="clear"/>
        </w:rPr>
        <w:t>REGIMENTO BRIGADEIRO VASCO ALVES PEREIRA</w:t>
      </w:r>
    </w:p>
    <w:p>
      <w:pPr>
        <w:pStyle w:val="Normal"/>
        <w:widowControl w:val="false"/>
        <w:spacing w:lineRule="auto" w:line="240" w:before="0" w:after="0"/>
        <w:jc w:val="center"/>
        <w:rPr>
          <w:rFonts w:ascii="Times New Roman" w:hAnsi="Times New Roman"/>
          <w:b/>
          <w:b/>
          <w:bCs/>
          <w:sz w:val="20"/>
          <w:szCs w:val="20"/>
        </w:rPr>
      </w:pPr>
      <w:r>
        <w:rPr>
          <w:rFonts w:ascii="Times New Roman" w:hAnsi="Times New Roman"/>
          <w:b/>
          <w:bCs/>
          <w:sz w:val="20"/>
          <w:szCs w:val="20"/>
        </w:rPr>
      </w:r>
    </w:p>
    <w:p>
      <w:pPr>
        <w:pStyle w:val="Normal"/>
        <w:widowControl w:val="false"/>
        <w:spacing w:before="120" w:after="120"/>
        <w:jc w:val="both"/>
        <w:rPr>
          <w:rFonts w:ascii="Times New Roman" w:hAnsi="Times New Roman" w:cs="Times New Roman"/>
          <w:sz w:val="20"/>
          <w:szCs w:val="20"/>
        </w:rPr>
      </w:pPr>
      <w:r>
        <w:rPr>
          <w:rFonts w:cs="Times New Roman" w:ascii="Times New Roman" w:hAnsi="Times New Roman"/>
          <w:sz w:val="20"/>
          <w:szCs w:val="20"/>
        </w:rPr>
      </w:r>
    </w:p>
    <w:p>
      <w:pPr>
        <w:pStyle w:val="Normal"/>
        <w:widowControl w:val="false"/>
        <w:spacing w:before="120" w:after="120"/>
        <w:ind w:left="3686" w:right="0" w:hanging="0"/>
        <w:jc w:val="both"/>
        <w:rPr>
          <w:rFonts w:ascii="Times New Roman" w:hAnsi="Times New Roman" w:eastAsia="" w:cs="Times New Roman"/>
          <w:sz w:val="20"/>
          <w:szCs w:val="20"/>
          <w:highlight w:val="white"/>
        </w:rPr>
      </w:pPr>
      <w:r>
        <w:rPr>
          <w:rFonts w:cs="Times New Roman" w:ascii="Times New Roman" w:hAnsi="Times New Roman"/>
          <w:sz w:val="20"/>
          <w:szCs w:val="20"/>
        </w:rPr>
        <w:t xml:space="preserve">CONTRATANTE: </w:t>
      </w:r>
      <w:r>
        <w:rPr>
          <w:rFonts w:cs="Times New Roman" w:ascii="Times New Roman" w:hAnsi="Times New Roman"/>
          <w:sz w:val="20"/>
          <w:szCs w:val="20"/>
          <w:shd w:fill="FFFFFF" w:val="clear"/>
        </w:rPr>
        <w:t xml:space="preserve">UNIÃO / MINISTÉRIO DA DEFESA/EXÉRCITO BRASILEIRO / </w:t>
      </w:r>
      <w:r>
        <w:rPr>
          <w:rFonts w:eastAsia="" w:cs="Times New Roman" w:ascii="Times New Roman" w:hAnsi="Times New Roman"/>
          <w:sz w:val="20"/>
          <w:szCs w:val="20"/>
          <w:shd w:fill="FFFFFF" w:val="clear"/>
        </w:rPr>
        <w:t>COMANDO DA 3ª REGIÃO MILITAR / 7º REGIMENTO DE CAVALARIA MECANIZADO</w:t>
      </w:r>
    </w:p>
    <w:p>
      <w:pPr>
        <w:pStyle w:val="Normal"/>
        <w:widowControl w:val="false"/>
        <w:spacing w:before="120" w:after="120"/>
        <w:ind w:left="3686" w:right="0" w:hanging="0"/>
        <w:jc w:val="both"/>
        <w:rPr>
          <w:rFonts w:ascii="Times New Roman" w:hAnsi="Times New Roman" w:cs="Times New Roman"/>
          <w:sz w:val="20"/>
          <w:szCs w:val="20"/>
          <w:highlight w:val="white"/>
        </w:rPr>
      </w:pPr>
      <w:r>
        <w:rPr>
          <w:rFonts w:cs="Times New Roman" w:ascii="Times New Roman" w:hAnsi="Times New Roman"/>
          <w:sz w:val="20"/>
          <w:szCs w:val="20"/>
          <w:shd w:fill="FFFFFF" w:val="clear"/>
        </w:rPr>
        <w:t>CONTRATADO: Laboratório de Análises Clínicas.</w:t>
      </w:r>
    </w:p>
    <w:p>
      <w:pPr>
        <w:pStyle w:val="Normal"/>
        <w:widowControl w:val="false"/>
        <w:tabs>
          <w:tab w:val="clear" w:pos="680"/>
          <w:tab w:val="left" w:pos="6640" w:leader="none"/>
          <w:tab w:val="left" w:pos="7800" w:leader="none"/>
          <w:tab w:val="left" w:pos="8280" w:leader="none"/>
          <w:tab w:val="left" w:pos="9340" w:leader="none"/>
          <w:tab w:val="left" w:pos="9800" w:leader="none"/>
        </w:tabs>
        <w:spacing w:before="120" w:after="120"/>
        <w:ind w:left="3686" w:right="0" w:hanging="0"/>
        <w:jc w:val="both"/>
        <w:rPr>
          <w:rFonts w:ascii="Times New Roman" w:hAnsi="Times New Roman" w:cs="Times New Roman"/>
          <w:sz w:val="20"/>
          <w:szCs w:val="20"/>
        </w:rPr>
      </w:pPr>
      <w:r>
        <w:rPr>
          <w:rFonts w:cs="Times New Roman" w:ascii="Times New Roman" w:hAnsi="Times New Roman"/>
          <w:sz w:val="20"/>
          <w:szCs w:val="20"/>
        </w:rPr>
        <w:t>OBJETO: Prestação de serviços laboratoriais.</w:t>
      </w:r>
    </w:p>
    <w:p>
      <w:pPr>
        <w:pStyle w:val="Normal"/>
        <w:widowControl w:val="false"/>
        <w:spacing w:before="120" w:after="120"/>
        <w:ind w:left="3686" w:right="0" w:hanging="0"/>
        <w:jc w:val="both"/>
        <w:rPr>
          <w:rFonts w:ascii="Times New Roman" w:hAnsi="Times New Roman" w:cs="Times New Roman"/>
          <w:sz w:val="20"/>
          <w:szCs w:val="20"/>
        </w:rPr>
      </w:pPr>
      <w:r>
        <w:rPr>
          <w:rFonts w:cs="Times New Roman" w:ascii="Times New Roman" w:hAnsi="Times New Roman"/>
          <w:sz w:val="20"/>
          <w:szCs w:val="20"/>
        </w:rPr>
        <w:t>NATUREZA: Ostensiva.</w:t>
      </w:r>
    </w:p>
    <w:p>
      <w:pPr>
        <w:pStyle w:val="Normal"/>
        <w:widowControl w:val="false"/>
        <w:spacing w:before="120" w:after="120"/>
        <w:ind w:left="3686" w:right="0" w:hanging="0"/>
        <w:jc w:val="both"/>
        <w:rPr>
          <w:rFonts w:ascii="Times New Roman" w:hAnsi="Times New Roman" w:cs="Times New Roman"/>
          <w:sz w:val="20"/>
          <w:szCs w:val="20"/>
        </w:rPr>
      </w:pPr>
      <w:r>
        <w:rPr>
          <w:rFonts w:cs="Times New Roman" w:ascii="Times New Roman" w:hAnsi="Times New Roman"/>
          <w:sz w:val="20"/>
          <w:szCs w:val="20"/>
        </w:rPr>
        <w:t xml:space="preserve">VIGÊNCIA: </w:t>
      </w:r>
    </w:p>
    <w:p>
      <w:pPr>
        <w:pStyle w:val="Normal"/>
        <w:widowControl w:val="false"/>
        <w:spacing w:before="120" w:after="120"/>
        <w:ind w:left="3686" w:right="0" w:hanging="0"/>
        <w:jc w:val="both"/>
        <w:rPr>
          <w:rFonts w:ascii="Times New Roman" w:hAnsi="Times New Roman" w:cs="Times New Roman"/>
          <w:sz w:val="20"/>
          <w:szCs w:val="20"/>
        </w:rPr>
      </w:pPr>
      <w:r>
        <w:rPr>
          <w:rFonts w:cs="Times New Roman" w:ascii="Times New Roman" w:hAnsi="Times New Roman"/>
          <w:sz w:val="20"/>
          <w:szCs w:val="20"/>
        </w:rPr>
        <w:t xml:space="preserve">VALOR ESTIMADO: </w:t>
      </w:r>
    </w:p>
    <w:p>
      <w:pPr>
        <w:pStyle w:val="Normal"/>
        <w:widowControl w:val="false"/>
        <w:spacing w:before="120" w:after="120"/>
        <w:ind w:left="3686" w:right="0" w:hanging="0"/>
        <w:jc w:val="both"/>
        <w:rPr>
          <w:rFonts w:ascii="Times New Roman" w:hAnsi="Times New Roman" w:cs="Times New Roman"/>
          <w:sz w:val="20"/>
          <w:szCs w:val="20"/>
        </w:rPr>
      </w:pPr>
      <w:r>
        <w:rPr>
          <w:rFonts w:cs="Times New Roman" w:ascii="Times New Roman" w:hAnsi="Times New Roman"/>
          <w:sz w:val="20"/>
          <w:szCs w:val="20"/>
        </w:rPr>
        <w:t>REGIME DE EXECUÇÂO: indireta, empreitada por preço unitário.</w:t>
      </w:r>
    </w:p>
    <w:p>
      <w:pPr>
        <w:pStyle w:val="Normal"/>
        <w:widowControl w:val="false"/>
        <w:spacing w:before="120" w:after="120"/>
        <w:ind w:left="3686" w:right="0" w:hanging="0"/>
        <w:jc w:val="both"/>
        <w:rPr>
          <w:rFonts w:ascii="Times New Roman" w:hAnsi="Times New Roman" w:cs="Times New Roman"/>
          <w:sz w:val="20"/>
          <w:szCs w:val="20"/>
        </w:rPr>
      </w:pPr>
      <w:r>
        <w:rPr>
          <w:rFonts w:cs="Times New Roman" w:ascii="Times New Roman" w:hAnsi="Times New Roman"/>
          <w:sz w:val="20"/>
          <w:szCs w:val="20"/>
        </w:rPr>
        <w:t xml:space="preserve">PROCESSO Nº: </w:t>
      </w:r>
    </w:p>
    <w:p>
      <w:pPr>
        <w:pStyle w:val="Normal"/>
        <w:widowControl w:val="false"/>
        <w:spacing w:before="120" w:after="120"/>
        <w:ind w:left="3686" w:right="0" w:hanging="0"/>
        <w:jc w:val="both"/>
        <w:rPr>
          <w:rFonts w:ascii="Times New Roman" w:hAnsi="Times New Roman" w:cs="Times New Roman"/>
          <w:sz w:val="20"/>
          <w:szCs w:val="20"/>
        </w:rPr>
      </w:pPr>
      <w:r>
        <w:rPr>
          <w:rFonts w:cs="Times New Roman" w:ascii="Times New Roman" w:hAnsi="Times New Roman"/>
          <w:sz w:val="20"/>
          <w:szCs w:val="20"/>
        </w:rPr>
        <w:t xml:space="preserve">CONTRATO Nr____: </w:t>
      </w:r>
    </w:p>
    <w:p>
      <w:pPr>
        <w:pStyle w:val="Normal"/>
        <w:widowControl w:val="false"/>
        <w:spacing w:before="120" w:after="120"/>
        <w:ind w:left="3686" w:right="0" w:hanging="0"/>
        <w:jc w:val="both"/>
        <w:rPr>
          <w:rFonts w:ascii="Times New Roman" w:hAnsi="Times New Roman" w:cs="Times New Roman"/>
          <w:sz w:val="20"/>
          <w:szCs w:val="20"/>
        </w:rPr>
      </w:pPr>
      <w:r>
        <w:rPr>
          <w:rFonts w:cs="Times New Roman" w:ascii="Times New Roman" w:hAnsi="Times New Roman"/>
          <w:sz w:val="20"/>
          <w:szCs w:val="20"/>
        </w:rPr>
      </w:r>
    </w:p>
    <w:p>
      <w:pPr>
        <w:pStyle w:val="Normal"/>
        <w:widowControl w:val="false"/>
        <w:spacing w:before="120" w:after="120"/>
        <w:jc w:val="both"/>
        <w:rPr>
          <w:rFonts w:ascii="Times New Roman" w:hAnsi="Times New Roman" w:cs="Times New Roman"/>
          <w:sz w:val="20"/>
          <w:szCs w:val="20"/>
        </w:rPr>
      </w:pPr>
      <w:r>
        <w:rPr>
          <w:rFonts w:cs="Times New Roman" w:ascii="Times New Roman" w:hAnsi="Times New Roman"/>
          <w:sz w:val="20"/>
          <w:szCs w:val="20"/>
        </w:rPr>
        <w:t>A União, por intermédio do COMANDO DO EX</w:t>
      </w:r>
      <w:r>
        <w:rPr>
          <w:rFonts w:eastAsia="" w:cs="Times New Roman" w:ascii="Times New Roman" w:hAnsi="Times New Roman"/>
          <w:sz w:val="20"/>
          <w:szCs w:val="20"/>
          <w:lang w:eastAsia="pt-BR"/>
        </w:rPr>
        <w:t>ÉRCITO</w:t>
      </w:r>
      <w:r>
        <w:rPr>
          <w:rFonts w:cs="Times New Roman" w:ascii="Times New Roman" w:hAnsi="Times New Roman"/>
          <w:sz w:val="20"/>
          <w:szCs w:val="20"/>
        </w:rPr>
        <w:t>, cuja compet</w:t>
      </w:r>
      <w:r>
        <w:rPr>
          <w:rFonts w:eastAsia="" w:cs="Times New Roman" w:ascii="Times New Roman" w:hAnsi="Times New Roman"/>
          <w:sz w:val="20"/>
          <w:szCs w:val="20"/>
          <w:lang w:eastAsia="pt-BR"/>
        </w:rPr>
        <w:t xml:space="preserve">ência nos termos da Portaria nº 1700 Cmt-Ex, de 08 de dezembro de 2017 (delegação de competências), foi delegada ao Chefe do Departamento Geral de Pessoal (DGP), com subdelegação aos Comandantes de Região Militar, por meio da Portaria nº 192-DGP, de 1º de outubro de 2015, e de acordo com a subdelegação de competência do Comandante da Terceira Região Militar publicada no Boletim Regional nº 18, de 30 de abril de 2008, o </w:t>
      </w:r>
      <w:r>
        <w:rPr>
          <w:rFonts w:eastAsia="" w:cs="Times New Roman" w:ascii="Times New Roman" w:hAnsi="Times New Roman"/>
          <w:color w:val="000000"/>
          <w:sz w:val="20"/>
          <w:szCs w:val="20"/>
          <w:lang w:eastAsia="pt-BR"/>
        </w:rPr>
        <w:t>7º Regimento de Cavalaria Mecanizado, com sede na alameda Ângelo Irulegui Cunha, s/no, CEP: 97573-850, na cidade de Sant’Ana do Livramento – RS, inscrito(a) no CNPJ sob o no 09.551.850/0001-52, neste ato representado pelo Comandante, Tenente Coronel Luciano da Costa Dutra, nomeado pela Portaria do Comandante do Exército no 743, de 07 de junho de 2023, publicada no DOU, de 12 de junho de 2023, portador da Matrícula Funcional no 021647654-4,</w:t>
      </w:r>
      <w:r>
        <w:rPr>
          <w:rFonts w:cs="Times New Roman" w:ascii="Times New Roman" w:hAnsi="Times New Roman"/>
          <w:color w:val="000000"/>
          <w:sz w:val="20"/>
          <w:szCs w:val="20"/>
        </w:rPr>
        <w:t xml:space="preserve"> residente e domiciliado nesta cidade, doravan</w:t>
      </w:r>
      <w:r>
        <w:rPr>
          <w:rFonts w:cs="Times New Roman" w:ascii="Times New Roman" w:hAnsi="Times New Roman"/>
          <w:sz w:val="20"/>
          <w:szCs w:val="20"/>
        </w:rPr>
        <w:t xml:space="preserve">te denominado CONTRATANTE, e de outro lado a </w:t>
      </w:r>
      <w:r>
        <w:rPr>
          <w:rFonts w:eastAsia="" w:cs="Times New Roman" w:ascii="Times New Roman" w:hAnsi="Times New Roman"/>
          <w:sz w:val="20"/>
          <w:szCs w:val="20"/>
          <w:shd w:fill="FFFFFF" w:val="clear"/>
        </w:rPr>
        <w:t xml:space="preserve">Organização Civil de Saúde ___________________________, inscrita no CNPJ sob o n° ______________, estabelecida à Rua ________________________, Bairro ______________________, neste ato representada pelo Sr. Diretor Administrativo, portador da cédula de identidade nº _________________expedida pela Secretaria de Segurança Pública, inscrito no CPF sob o n° _______________, </w:t>
      </w:r>
      <w:r>
        <w:rPr>
          <w:rFonts w:cs="Times New Roman" w:ascii="Times New Roman" w:hAnsi="Times New Roman"/>
          <w:sz w:val="20"/>
          <w:szCs w:val="20"/>
        </w:rPr>
        <w:t>residente e domiciliado nesta cidade, doravante denominado CONTRATADO, têm entre si justo e contratado, nos termos da seguinte legislação infraconstitucional constante do Edital de Credenciamento, que integram o presente Termo de Contrato, que será regido pelas seguintes cláusulas e condições estipuladas:</w:t>
      </w:r>
    </w:p>
    <w:p>
      <w:pPr>
        <w:pStyle w:val="Normal"/>
        <w:widowControl w:val="false"/>
        <w:tabs>
          <w:tab w:val="clear" w:pos="680"/>
          <w:tab w:val="left" w:pos="3795" w:leader="none"/>
        </w:tabs>
        <w:spacing w:before="240" w:after="240"/>
        <w:jc w:val="both"/>
        <w:rPr>
          <w:rFonts w:ascii="Times New Roman" w:hAnsi="Times New Roman" w:cs="Times New Roman"/>
          <w:b/>
          <w:b/>
          <w:sz w:val="20"/>
          <w:szCs w:val="20"/>
          <w:u w:val="single"/>
        </w:rPr>
      </w:pPr>
      <w:r>
        <w:rPr>
          <w:rFonts w:cs="Times New Roman" w:ascii="Times New Roman" w:hAnsi="Times New Roman"/>
          <w:b/>
          <w:sz w:val="20"/>
          <w:szCs w:val="20"/>
          <w:u w:val="single"/>
        </w:rPr>
        <w:t>CLÁUSULA PRIMEIRA - Do objeto.</w:t>
      </w:r>
    </w:p>
    <w:p>
      <w:pPr>
        <w:pStyle w:val="ListParagraph"/>
        <w:widowControl w:val="false"/>
        <w:numPr>
          <w:ilvl w:val="0"/>
          <w:numId w:val="1"/>
        </w:numPr>
        <w:spacing w:before="120" w:after="120"/>
        <w:ind w:left="0" w:right="0" w:hanging="360"/>
        <w:contextualSpacing/>
        <w:jc w:val="both"/>
        <w:rPr>
          <w:rFonts w:ascii="Times New Roman" w:hAnsi="Times New Roman" w:cs="Times New Roman"/>
          <w:color w:val="000000"/>
          <w:sz w:val="20"/>
          <w:szCs w:val="20"/>
          <w:highlight w:val="white"/>
        </w:rPr>
      </w:pPr>
      <w:r>
        <w:rPr>
          <w:rFonts w:cs="Times New Roman" w:ascii="Times New Roman" w:hAnsi="Times New Roman"/>
          <w:sz w:val="20"/>
          <w:szCs w:val="20"/>
        </w:rPr>
        <w:t xml:space="preserve">A finalidade deste Contrato é garantir aos militares da ativa, da reserva ou reformados, pensionistas e seus dependentes e Servidores Civis do Exército Brasileiro (ativos e inativos) e dependentes diretos e indiretos, nas condições especificadas neste instrumento e no edital, por intermédio </w:t>
      </w:r>
      <w:r>
        <w:rPr>
          <w:rFonts w:cs="Times New Roman" w:ascii="Times New Roman" w:hAnsi="Times New Roman"/>
          <w:color w:val="000000"/>
          <w:sz w:val="20"/>
          <w:szCs w:val="20"/>
          <w:shd w:fill="FFFFFF" w:val="clear"/>
        </w:rPr>
        <w:t>de Laboratório de Análises Clínicas e/ou Citopatologia e Anatomia Patológica, a prestação de serviços laboratoriais.</w:t>
      </w:r>
    </w:p>
    <w:p>
      <w:pPr>
        <w:pStyle w:val="ListParagraph"/>
        <w:widowControl w:val="false"/>
        <w:numPr>
          <w:ilvl w:val="1"/>
          <w:numId w:val="1"/>
        </w:numPr>
        <w:spacing w:before="120" w:after="120"/>
        <w:ind w:left="680" w:right="0" w:hanging="432"/>
        <w:contextualSpacing/>
        <w:jc w:val="both"/>
        <w:rPr>
          <w:rFonts w:ascii="Times New Roman" w:hAnsi="Times New Roman" w:cs="Times New Roman"/>
          <w:sz w:val="20"/>
          <w:szCs w:val="20"/>
        </w:rPr>
      </w:pPr>
      <w:r>
        <w:rPr>
          <w:rFonts w:cs="Times New Roman" w:ascii="Times New Roman" w:hAnsi="Times New Roman"/>
          <w:sz w:val="20"/>
          <w:szCs w:val="20"/>
        </w:rPr>
        <w:t xml:space="preserve">O objeto contratual abrange os procedimentos previstos no anexo </w:t>
      </w:r>
      <w:r>
        <w:rPr>
          <w:rFonts w:cs="Times New Roman" w:ascii="Times New Roman" w:hAnsi="Times New Roman"/>
          <w:sz w:val="20"/>
          <w:szCs w:val="20"/>
          <w:shd w:fill="FFFFFF" w:val="clear"/>
        </w:rPr>
        <w:t>I</w:t>
      </w:r>
      <w:r>
        <w:rPr>
          <w:rFonts w:cs="Times New Roman" w:ascii="Times New Roman" w:hAnsi="Times New Roman"/>
          <w:sz w:val="20"/>
          <w:szCs w:val="20"/>
        </w:rPr>
        <w:t xml:space="preserve"> deste contrato;</w:t>
      </w:r>
    </w:p>
    <w:p>
      <w:pPr>
        <w:pStyle w:val="Normal"/>
        <w:widowControl w:val="false"/>
        <w:spacing w:before="240" w:after="240"/>
        <w:jc w:val="both"/>
        <w:rPr>
          <w:rFonts w:ascii="Times New Roman" w:hAnsi="Times New Roman" w:cs="Times New Roman"/>
          <w:b/>
          <w:b/>
          <w:sz w:val="20"/>
          <w:szCs w:val="20"/>
          <w:u w:val="single"/>
        </w:rPr>
      </w:pPr>
      <w:r>
        <w:rPr>
          <w:rFonts w:cs="Times New Roman" w:ascii="Times New Roman" w:hAnsi="Times New Roman"/>
          <w:b/>
          <w:sz w:val="20"/>
          <w:szCs w:val="20"/>
          <w:u w:val="single"/>
        </w:rPr>
        <w:t>CLÁUSULA SEGUNDA - Da vinculação ao edital.</w:t>
      </w:r>
    </w:p>
    <w:p>
      <w:pPr>
        <w:pStyle w:val="ListParagraph"/>
        <w:widowControl w:val="false"/>
        <w:numPr>
          <w:ilvl w:val="0"/>
          <w:numId w:val="1"/>
        </w:numPr>
        <w:spacing w:before="120" w:after="120"/>
        <w:ind w:left="0" w:right="0" w:hanging="360"/>
        <w:contextualSpacing/>
        <w:jc w:val="both"/>
        <w:rPr>
          <w:rFonts w:ascii="Times New Roman" w:hAnsi="Times New Roman" w:cs="Times New Roman"/>
          <w:sz w:val="20"/>
          <w:szCs w:val="20"/>
        </w:rPr>
      </w:pPr>
      <w:r>
        <w:rPr>
          <w:rFonts w:cs="Times New Roman" w:ascii="Times New Roman" w:hAnsi="Times New Roman"/>
          <w:sz w:val="20"/>
          <w:szCs w:val="20"/>
        </w:rPr>
        <w:t>Este instrumento está vinculado ao Edital de Credenciamento do 7º Regimento de Cavalaria Mecanizad</w:t>
      </w:r>
      <w:r>
        <w:rPr>
          <w:rFonts w:cs="Times New Roman" w:ascii="Times New Roman" w:hAnsi="Times New Roman"/>
          <w:sz w:val="20"/>
          <w:szCs w:val="20"/>
          <w:shd w:fill="FFFFFF" w:val="clear"/>
        </w:rPr>
        <w:t>o</w:t>
      </w:r>
      <w:r>
        <w:rPr>
          <w:rFonts w:cs="Times New Roman" w:ascii="Times New Roman" w:hAnsi="Times New Roman"/>
          <w:sz w:val="20"/>
          <w:szCs w:val="20"/>
        </w:rPr>
        <w:t>,</w:t>
      </w:r>
      <w:r>
        <w:rPr>
          <w:rFonts w:cs="Times New Roman" w:ascii="Times New Roman" w:hAnsi="Times New Roman"/>
          <w:sz w:val="20"/>
          <w:szCs w:val="20"/>
          <w:shd w:fill="FFFFFF" w:val="clear"/>
        </w:rPr>
        <w:t xml:space="preserve"> de ______ de ____ d</w:t>
      </w:r>
      <w:r>
        <w:rPr>
          <w:rFonts w:cs="Times New Roman" w:ascii="Times New Roman" w:hAnsi="Times New Roman"/>
          <w:sz w:val="20"/>
          <w:szCs w:val="20"/>
        </w:rPr>
        <w:t>e 20__, do qual é parte integrante, bem como seus anexos.</w:t>
      </w:r>
    </w:p>
    <w:p>
      <w:pPr>
        <w:pStyle w:val="Normal"/>
        <w:widowControl w:val="false"/>
        <w:spacing w:before="240" w:after="240"/>
        <w:jc w:val="both"/>
        <w:rPr>
          <w:rFonts w:ascii="Times New Roman" w:hAnsi="Times New Roman" w:cs="Times New Roman"/>
          <w:b/>
          <w:b/>
          <w:sz w:val="20"/>
          <w:szCs w:val="20"/>
          <w:u w:val="single"/>
        </w:rPr>
      </w:pPr>
      <w:r>
        <w:rPr>
          <w:rFonts w:cs="Times New Roman" w:ascii="Times New Roman" w:hAnsi="Times New Roman"/>
          <w:b/>
          <w:sz w:val="20"/>
          <w:szCs w:val="20"/>
          <w:u w:val="single"/>
        </w:rPr>
        <w:t>CLÁUSULA TERCEIRA – Do fundamento legal.</w:t>
      </w:r>
    </w:p>
    <w:p>
      <w:pPr>
        <w:pStyle w:val="ListParagraph"/>
        <w:widowControl w:val="false"/>
        <w:numPr>
          <w:ilvl w:val="0"/>
          <w:numId w:val="1"/>
        </w:numPr>
        <w:spacing w:before="120" w:after="120"/>
        <w:ind w:left="0" w:right="0" w:hanging="360"/>
        <w:contextualSpacing/>
        <w:jc w:val="both"/>
        <w:rPr>
          <w:rFonts w:ascii="Times New Roman" w:hAnsi="Times New Roman" w:cs="Times New Roman"/>
          <w:sz w:val="20"/>
          <w:szCs w:val="20"/>
        </w:rPr>
      </w:pPr>
      <w:r>
        <w:rPr>
          <w:rFonts w:cs="Times New Roman" w:ascii="Times New Roman" w:hAnsi="Times New Roman"/>
          <w:sz w:val="20"/>
          <w:szCs w:val="20"/>
        </w:rPr>
        <w:t xml:space="preserve">A presente contratação fundamenta-se nos artigos 74, </w:t>
      </w:r>
      <w:r>
        <w:rPr>
          <w:rFonts w:cs="Times New Roman" w:ascii="Times New Roman" w:hAnsi="Times New Roman"/>
          <w:i/>
          <w:sz w:val="20"/>
          <w:szCs w:val="20"/>
        </w:rPr>
        <w:t>caput</w:t>
      </w:r>
      <w:r>
        <w:rPr>
          <w:rFonts w:cs="Times New Roman" w:ascii="Times New Roman" w:hAnsi="Times New Roman"/>
          <w:sz w:val="20"/>
          <w:szCs w:val="20"/>
        </w:rPr>
        <w:t xml:space="preserve"> e 79 da Lei nº 14.133, de 1º de abril de 2021.</w:t>
      </w:r>
    </w:p>
    <w:p>
      <w:pPr>
        <w:pStyle w:val="Normal"/>
        <w:widowControl w:val="false"/>
        <w:spacing w:before="240" w:after="240"/>
        <w:jc w:val="both"/>
        <w:rPr>
          <w:rFonts w:ascii="Times New Roman" w:hAnsi="Times New Roman" w:cs="Times New Roman"/>
          <w:b/>
          <w:b/>
          <w:sz w:val="20"/>
          <w:szCs w:val="20"/>
          <w:u w:val="single"/>
        </w:rPr>
      </w:pPr>
      <w:r>
        <w:rPr>
          <w:rFonts w:cs="Times New Roman" w:ascii="Times New Roman" w:hAnsi="Times New Roman"/>
          <w:b/>
          <w:sz w:val="20"/>
          <w:szCs w:val="20"/>
          <w:u w:val="single"/>
        </w:rPr>
        <w:t>CLÁUSULA QUARTA - Do regime de execução.</w:t>
      </w:r>
    </w:p>
    <w:p>
      <w:pPr>
        <w:pStyle w:val="ListParagraph"/>
        <w:widowControl w:val="false"/>
        <w:numPr>
          <w:ilvl w:val="0"/>
          <w:numId w:val="1"/>
        </w:numPr>
        <w:spacing w:before="120" w:after="120"/>
        <w:ind w:left="0" w:right="0" w:hanging="360"/>
        <w:contextualSpacing/>
        <w:jc w:val="both"/>
        <w:rPr>
          <w:rFonts w:ascii="Times New Roman" w:hAnsi="Times New Roman" w:cs="Times New Roman"/>
          <w:sz w:val="20"/>
          <w:szCs w:val="20"/>
        </w:rPr>
      </w:pPr>
      <w:r>
        <w:rPr>
          <w:rFonts w:cs="Times New Roman" w:ascii="Times New Roman" w:hAnsi="Times New Roman"/>
          <w:sz w:val="20"/>
          <w:szCs w:val="20"/>
        </w:rPr>
        <w:t>Os serviços e o fornecimento agregado serão remunerados, conforme a Seção 8 “DO PREÇO E CONDIÇÕES DE PAGAMENTO” constante do edital de credenciamento.</w:t>
      </w:r>
    </w:p>
    <w:p>
      <w:pPr>
        <w:pStyle w:val="ListParagraph"/>
        <w:widowControl w:val="false"/>
        <w:numPr>
          <w:ilvl w:val="0"/>
          <w:numId w:val="1"/>
        </w:numPr>
        <w:spacing w:before="120" w:after="120"/>
        <w:ind w:left="0" w:right="0" w:hanging="360"/>
        <w:contextualSpacing/>
        <w:jc w:val="both"/>
        <w:rPr>
          <w:rFonts w:ascii="Times New Roman" w:hAnsi="Times New Roman" w:cs="Times New Roman"/>
          <w:sz w:val="20"/>
          <w:szCs w:val="20"/>
        </w:rPr>
      </w:pPr>
      <w:r>
        <w:rPr>
          <w:rFonts w:cs="Times New Roman" w:ascii="Times New Roman" w:hAnsi="Times New Roman"/>
          <w:sz w:val="20"/>
          <w:szCs w:val="20"/>
        </w:rPr>
        <w:t>Para atendimentos ambulatoriais e/ou procedimentos eletivos, a apresentação do paciente nas instalações do CONTRATADO correrá por conta do beneficiário.</w:t>
      </w:r>
    </w:p>
    <w:p>
      <w:pPr>
        <w:pStyle w:val="ListParagraph"/>
        <w:widowControl w:val="false"/>
        <w:numPr>
          <w:ilvl w:val="0"/>
          <w:numId w:val="1"/>
        </w:numPr>
        <w:spacing w:before="120" w:after="120"/>
        <w:ind w:left="0" w:right="0" w:hanging="360"/>
        <w:contextualSpacing/>
        <w:jc w:val="both"/>
        <w:rPr>
          <w:rFonts w:ascii="Times New Roman" w:hAnsi="Times New Roman" w:cs="Times New Roman"/>
          <w:sz w:val="20"/>
          <w:szCs w:val="20"/>
        </w:rPr>
      </w:pPr>
      <w:r>
        <w:rPr>
          <w:rFonts w:cs="Times New Roman" w:ascii="Times New Roman" w:hAnsi="Times New Roman"/>
          <w:sz w:val="20"/>
          <w:szCs w:val="20"/>
        </w:rPr>
        <w:t>A execução e o controle do presente instrumento serão avaliados pelo CONTRATANTE, mediante supervisão direta ou indireta no local onde realiza os exames.</w:t>
      </w:r>
    </w:p>
    <w:p>
      <w:pPr>
        <w:pStyle w:val="ListParagraph"/>
        <w:widowControl w:val="false"/>
        <w:numPr>
          <w:ilvl w:val="0"/>
          <w:numId w:val="1"/>
        </w:numPr>
        <w:spacing w:before="120" w:after="120"/>
        <w:ind w:left="0" w:right="0" w:hanging="360"/>
        <w:contextualSpacing/>
        <w:jc w:val="both"/>
        <w:rPr>
          <w:rFonts w:ascii="Times New Roman" w:hAnsi="Times New Roman" w:cs="Times New Roman"/>
          <w:sz w:val="20"/>
          <w:szCs w:val="20"/>
        </w:rPr>
      </w:pPr>
      <w:r>
        <w:rPr>
          <w:rFonts w:cs="Times New Roman" w:ascii="Times New Roman" w:hAnsi="Times New Roman"/>
          <w:sz w:val="20"/>
          <w:szCs w:val="20"/>
        </w:rPr>
        <w:t>A marcação e realização de exames e quaisquer outros procedimentos devem ser feitos de forma a atender às necessidades dos usuários do Fator de Custo, FuSEx e PASS, privilegiando os casos de emergência ou urgência, assim como as pessoas com mais de sessenta e cinco anos de idade, as gestantes, as lactantes, os lactentes e as crianças de até cinco anos de idade.</w:t>
      </w:r>
    </w:p>
    <w:p>
      <w:pPr>
        <w:pStyle w:val="ListParagraph"/>
        <w:widowControl w:val="false"/>
        <w:numPr>
          <w:ilvl w:val="0"/>
          <w:numId w:val="1"/>
        </w:numPr>
        <w:spacing w:before="120" w:after="120"/>
        <w:ind w:left="0" w:right="0" w:hanging="360"/>
        <w:contextualSpacing/>
        <w:jc w:val="both"/>
        <w:rPr>
          <w:rFonts w:ascii="Times New Roman" w:hAnsi="Times New Roman" w:cs="Times New Roman"/>
          <w:sz w:val="20"/>
          <w:szCs w:val="20"/>
        </w:rPr>
      </w:pPr>
      <w:r>
        <w:rPr>
          <w:rFonts w:cs="Times New Roman" w:ascii="Times New Roman" w:hAnsi="Times New Roman"/>
          <w:sz w:val="20"/>
          <w:szCs w:val="20"/>
        </w:rPr>
        <w:t>Os exames não cobertos pelo sistema FuSEx/SAMMED/PASS, conforme o Anexo “R” do edital, não se incluem na presente contratação.</w:t>
      </w:r>
    </w:p>
    <w:p>
      <w:pPr>
        <w:pStyle w:val="ListParagraph"/>
        <w:widowControl w:val="false"/>
        <w:numPr>
          <w:ilvl w:val="1"/>
          <w:numId w:val="1"/>
        </w:numPr>
        <w:spacing w:before="120" w:after="120"/>
        <w:ind w:left="680" w:right="0" w:hanging="432"/>
        <w:contextualSpacing/>
        <w:jc w:val="both"/>
        <w:rPr>
          <w:rFonts w:ascii="Times New Roman" w:hAnsi="Times New Roman" w:cs="Times New Roman"/>
          <w:sz w:val="20"/>
          <w:szCs w:val="20"/>
        </w:rPr>
      </w:pPr>
      <w:r>
        <w:rPr>
          <w:rFonts w:cs="Times New Roman" w:ascii="Times New Roman" w:hAnsi="Times New Roman"/>
          <w:sz w:val="20"/>
          <w:szCs w:val="20"/>
        </w:rPr>
        <w:t>Caso solicitado, o CONTRATADO obriga-se a advertir o paciente ou seu responsável de que suportará os pagamentos decorrentes do exame.</w:t>
      </w:r>
    </w:p>
    <w:p>
      <w:pPr>
        <w:pStyle w:val="ListParagraph"/>
        <w:widowControl w:val="false"/>
        <w:numPr>
          <w:ilvl w:val="0"/>
          <w:numId w:val="1"/>
        </w:numPr>
        <w:spacing w:before="120" w:after="120"/>
        <w:ind w:left="0" w:right="0" w:hanging="360"/>
        <w:contextualSpacing/>
        <w:jc w:val="both"/>
        <w:rPr>
          <w:rFonts w:ascii="Times New Roman" w:hAnsi="Times New Roman" w:cs="Times New Roman"/>
          <w:sz w:val="20"/>
          <w:szCs w:val="20"/>
        </w:rPr>
      </w:pPr>
      <w:r>
        <w:rPr>
          <w:rFonts w:cs="Times New Roman" w:ascii="Times New Roman" w:hAnsi="Times New Roman"/>
          <w:sz w:val="20"/>
          <w:szCs w:val="20"/>
          <w:shd w:fill="FFFFFF" w:val="clear"/>
        </w:rPr>
        <w:t>A execução deste contrato deverá ser acompanhada e fiscalizada por um representante do CONTRATANTE, designado em Boletim Interno do 7º Regimento de Cavalaria Mecanizado.</w:t>
      </w:r>
      <w:r>
        <w:rPr>
          <w:rFonts w:cs="Times New Roman" w:ascii="Times New Roman" w:hAnsi="Times New Roman"/>
          <w:sz w:val="20"/>
          <w:szCs w:val="20"/>
        </w:rPr>
        <w:t xml:space="preserve"> O CONTRATADO manterá um preposto, aceito por parte da Administração, no local do serviço, para representá-lo.</w:t>
      </w:r>
    </w:p>
    <w:p>
      <w:pPr>
        <w:pStyle w:val="ListParagraph"/>
        <w:widowControl w:val="false"/>
        <w:numPr>
          <w:ilvl w:val="0"/>
          <w:numId w:val="1"/>
        </w:numPr>
        <w:spacing w:before="120" w:after="120"/>
        <w:ind w:left="0" w:right="0" w:hanging="360"/>
        <w:contextualSpacing/>
        <w:jc w:val="both"/>
        <w:rPr>
          <w:rFonts w:ascii="Times New Roman" w:hAnsi="Times New Roman" w:cs="Times New Roman"/>
          <w:sz w:val="20"/>
          <w:szCs w:val="20"/>
        </w:rPr>
      </w:pPr>
      <w:r>
        <w:rPr>
          <w:rFonts w:cs="Times New Roman" w:ascii="Times New Roman" w:hAnsi="Times New Roman"/>
          <w:sz w:val="20"/>
          <w:szCs w:val="20"/>
        </w:rPr>
        <w:t>O Serviço de Auditoria do 7</w:t>
      </w:r>
      <w:r>
        <w:rPr>
          <w:rFonts w:cs="Times New Roman" w:ascii="Times New Roman" w:hAnsi="Times New Roman"/>
          <w:sz w:val="20"/>
          <w:szCs w:val="20"/>
          <w:shd w:fill="FFFFFF" w:val="clear"/>
        </w:rPr>
        <w:t>º Regimento de Cavalaria Mecanizado</w:t>
      </w:r>
      <w:r>
        <w:rPr>
          <w:rFonts w:cs="Times New Roman" w:ascii="Times New Roman" w:hAnsi="Times New Roman"/>
          <w:sz w:val="20"/>
          <w:szCs w:val="20"/>
        </w:rPr>
        <w:t xml:space="preserve"> possuirá o poder de vistoriar, de forma irrestrita, toda a documentação nosológica do beneficiário, bem como a documentação contábil e fiscal pertinente a este contrato.</w:t>
      </w:r>
    </w:p>
    <w:p>
      <w:pPr>
        <w:pStyle w:val="Normal"/>
        <w:widowControl w:val="false"/>
        <w:spacing w:before="240" w:after="240"/>
        <w:jc w:val="both"/>
        <w:rPr>
          <w:rFonts w:ascii="Times New Roman" w:hAnsi="Times New Roman" w:cs="Times New Roman"/>
          <w:b/>
          <w:b/>
          <w:sz w:val="20"/>
          <w:szCs w:val="20"/>
          <w:u w:val="single"/>
        </w:rPr>
      </w:pPr>
      <w:r>
        <w:rPr>
          <w:rFonts w:cs="Times New Roman" w:ascii="Times New Roman" w:hAnsi="Times New Roman"/>
          <w:b/>
          <w:sz w:val="20"/>
          <w:szCs w:val="20"/>
          <w:u w:val="single"/>
        </w:rPr>
        <w:t>CLÁUSULA QUINTA - Dos preços e das condições de pagamento.</w:t>
      </w:r>
    </w:p>
    <w:p>
      <w:pPr>
        <w:pStyle w:val="ListParagraph"/>
        <w:widowControl w:val="false"/>
        <w:numPr>
          <w:ilvl w:val="0"/>
          <w:numId w:val="1"/>
        </w:numPr>
        <w:spacing w:before="120" w:after="120"/>
        <w:ind w:left="0" w:right="0" w:hanging="360"/>
        <w:contextualSpacing/>
        <w:jc w:val="both"/>
        <w:rPr>
          <w:rFonts w:ascii="Times New Roman" w:hAnsi="Times New Roman" w:cs="Times New Roman"/>
          <w:bCs/>
          <w:sz w:val="20"/>
          <w:szCs w:val="20"/>
        </w:rPr>
      </w:pPr>
      <w:r>
        <w:rPr>
          <w:rFonts w:cs="Times New Roman" w:ascii="Times New Roman" w:hAnsi="Times New Roman"/>
          <w:sz w:val="20"/>
          <w:szCs w:val="20"/>
        </w:rPr>
        <w:t>Os serviços e o fornecimento agregado serão remunerados, conforme o item 8 “</w:t>
      </w:r>
      <w:r>
        <w:rPr>
          <w:rFonts w:cs="Times New Roman" w:ascii="Times New Roman" w:hAnsi="Times New Roman"/>
          <w:bCs/>
          <w:sz w:val="20"/>
          <w:szCs w:val="20"/>
        </w:rPr>
        <w:t>DO PREÇO E CONDIÇÕES DE PAGAMENTO” constante do edital de credenciamento.</w:t>
      </w:r>
    </w:p>
    <w:p>
      <w:pPr>
        <w:pStyle w:val="ListParagraph"/>
        <w:widowControl w:val="false"/>
        <w:numPr>
          <w:ilvl w:val="0"/>
          <w:numId w:val="1"/>
        </w:numPr>
        <w:spacing w:before="120" w:after="120"/>
        <w:ind w:left="0" w:right="0" w:hanging="360"/>
        <w:contextualSpacing/>
        <w:jc w:val="both"/>
        <w:rPr>
          <w:rFonts w:ascii="Times New Roman" w:hAnsi="Times New Roman" w:cs="Times New Roman"/>
          <w:sz w:val="20"/>
          <w:szCs w:val="20"/>
        </w:rPr>
      </w:pPr>
      <w:r>
        <w:rPr>
          <w:rFonts w:cs="Times New Roman" w:ascii="Times New Roman" w:hAnsi="Times New Roman"/>
          <w:sz w:val="20"/>
          <w:szCs w:val="20"/>
        </w:rPr>
        <w:t>Registrem-se abaixo regras de contraprestação específicas a este tipo de contrato:</w:t>
      </w:r>
    </w:p>
    <w:p>
      <w:pPr>
        <w:pStyle w:val="ListParagraph"/>
        <w:widowControl w:val="false"/>
        <w:numPr>
          <w:ilvl w:val="0"/>
          <w:numId w:val="1"/>
        </w:numPr>
        <w:spacing w:before="120" w:after="120"/>
        <w:ind w:left="0" w:right="0" w:hanging="360"/>
        <w:contextualSpacing/>
        <w:jc w:val="both"/>
        <w:rPr>
          <w:rFonts w:ascii="Times New Roman" w:hAnsi="Times New Roman" w:cs="Times New Roman"/>
          <w:color w:val="00000A"/>
          <w:sz w:val="20"/>
          <w:szCs w:val="20"/>
        </w:rPr>
      </w:pPr>
      <w:r>
        <w:rPr>
          <w:rFonts w:cs="Times New Roman" w:ascii="Times New Roman" w:hAnsi="Times New Roman"/>
          <w:color w:val="00000A"/>
          <w:sz w:val="20"/>
          <w:szCs w:val="20"/>
        </w:rPr>
        <w:t>Os serviços serão remunerados com base nos valores constantes na Lista Referencial dos Exames Laboratoriais, Anexo ao Edital.</w:t>
      </w:r>
    </w:p>
    <w:p>
      <w:pPr>
        <w:pStyle w:val="ListParagraph"/>
        <w:widowControl w:val="false"/>
        <w:spacing w:before="120" w:after="120"/>
        <w:ind w:left="851" w:right="0" w:hanging="0"/>
        <w:contextualSpacing/>
        <w:jc w:val="both"/>
        <w:rPr>
          <w:rFonts w:ascii="Times New Roman" w:hAnsi="Times New Roman" w:cs="Times New Roman"/>
          <w:color w:val="00000A"/>
          <w:sz w:val="20"/>
          <w:szCs w:val="20"/>
        </w:rPr>
      </w:pPr>
      <w:r>
        <w:rPr>
          <w:rFonts w:cs="Times New Roman" w:ascii="Times New Roman" w:hAnsi="Times New Roman"/>
          <w:color w:val="00000A"/>
          <w:sz w:val="20"/>
          <w:szCs w:val="20"/>
        </w:rPr>
        <w:t>13.1 No caso de exames que não constem na tabela referenciada:</w:t>
      </w:r>
    </w:p>
    <w:p>
      <w:pPr>
        <w:pStyle w:val="ListParagraph"/>
        <w:widowControl w:val="false"/>
        <w:spacing w:before="120" w:after="120"/>
        <w:ind w:left="1276" w:right="0" w:hanging="0"/>
        <w:contextualSpacing/>
        <w:jc w:val="both"/>
        <w:rPr>
          <w:rFonts w:ascii="Times New Roman" w:hAnsi="Times New Roman" w:cs="Times New Roman"/>
          <w:color w:val="00000A"/>
          <w:sz w:val="20"/>
          <w:szCs w:val="20"/>
        </w:rPr>
      </w:pPr>
      <w:r>
        <w:rPr>
          <w:rFonts w:cs="Times New Roman" w:ascii="Times New Roman" w:hAnsi="Times New Roman"/>
          <w:color w:val="00000A"/>
          <w:sz w:val="20"/>
          <w:szCs w:val="20"/>
        </w:rPr>
        <w:t>13.1.1 A CONTRATANTE deverá realizar o levantamento dos valores praticados no mercado, optando pelo orçamento de menor preço.</w:t>
      </w:r>
    </w:p>
    <w:p>
      <w:pPr>
        <w:pStyle w:val="ListParagraph"/>
        <w:widowControl w:val="false"/>
        <w:spacing w:before="120" w:after="120"/>
        <w:ind w:left="1276" w:right="0" w:hanging="0"/>
        <w:contextualSpacing/>
        <w:jc w:val="both"/>
        <w:rPr>
          <w:rFonts w:ascii="Times New Roman" w:hAnsi="Times New Roman" w:cs="Times New Roman"/>
          <w:color w:val="00000A"/>
          <w:sz w:val="20"/>
          <w:szCs w:val="20"/>
        </w:rPr>
      </w:pPr>
      <w:r>
        <w:rPr>
          <w:rFonts w:cs="Times New Roman" w:ascii="Times New Roman" w:hAnsi="Times New Roman"/>
          <w:color w:val="00000A"/>
          <w:sz w:val="20"/>
          <w:szCs w:val="20"/>
        </w:rPr>
        <w:t xml:space="preserve">13.1.2 O CONTRATANTE realizará a aferição das faturas, especialmente quanto à adequação do custo ao preço de mercado, por meio de seu Serviço de Auditoria Médica, conforme procedimento previsto neste contrato. </w:t>
      </w:r>
    </w:p>
    <w:p>
      <w:pPr>
        <w:pStyle w:val="ListParagraph"/>
        <w:widowControl w:val="false"/>
        <w:numPr>
          <w:ilvl w:val="0"/>
          <w:numId w:val="1"/>
        </w:numPr>
        <w:spacing w:before="120" w:after="120"/>
        <w:ind w:left="0" w:right="0" w:hanging="360"/>
        <w:contextualSpacing/>
        <w:jc w:val="both"/>
        <w:rPr>
          <w:rFonts w:ascii="Times New Roman" w:hAnsi="Times New Roman" w:cs="Times New Roman"/>
          <w:color w:val="00000A"/>
          <w:sz w:val="20"/>
          <w:szCs w:val="20"/>
        </w:rPr>
      </w:pPr>
      <w:r>
        <w:rPr>
          <w:rFonts w:cs="Times New Roman" w:ascii="Times New Roman" w:hAnsi="Times New Roman"/>
          <w:color w:val="00000A"/>
          <w:sz w:val="20"/>
          <w:szCs w:val="20"/>
        </w:rPr>
        <w:t>Deverá constar na nota fiscal, referente ao item 13.1.1 averbação com referência ao nome do paciente, nome do farmacêutico responsável e a data da realização o ato laboratorial.</w:t>
      </w:r>
    </w:p>
    <w:p>
      <w:pPr>
        <w:pStyle w:val="ListParagraph"/>
        <w:widowControl w:val="false"/>
        <w:numPr>
          <w:ilvl w:val="0"/>
          <w:numId w:val="1"/>
        </w:numPr>
        <w:spacing w:before="120" w:after="120"/>
        <w:ind w:left="0" w:right="0" w:hanging="360"/>
        <w:contextualSpacing/>
        <w:jc w:val="both"/>
        <w:rPr>
          <w:rFonts w:ascii="Times New Roman" w:hAnsi="Times New Roman" w:cs="Times New Roman"/>
          <w:sz w:val="20"/>
          <w:szCs w:val="20"/>
        </w:rPr>
      </w:pPr>
      <w:r>
        <w:rPr>
          <w:rFonts w:cs="Times New Roman" w:ascii="Times New Roman" w:hAnsi="Times New Roman"/>
          <w:sz w:val="20"/>
          <w:szCs w:val="20"/>
        </w:rPr>
        <w:t>O CONTRATANTE somente indenizará as contas apresentadas, quando o usuário tenha sido encaminhando por parte da Uat</w:t>
      </w:r>
      <w:r>
        <w:rPr>
          <w:rFonts w:cs="Times New Roman" w:ascii="Times New Roman" w:hAnsi="Times New Roman"/>
          <w:sz w:val="20"/>
          <w:szCs w:val="20"/>
          <w:shd w:fill="FFFFFF" w:val="clear"/>
        </w:rPr>
        <w:t xml:space="preserve"> da Guarnição de Sant’Ana do Livramento</w:t>
      </w:r>
      <w:r>
        <w:rPr>
          <w:rFonts w:eastAsia="" w:cs="Times New Roman" w:ascii="Times New Roman" w:hAnsi="Times New Roman"/>
          <w:sz w:val="20"/>
          <w:szCs w:val="20"/>
          <w:shd w:fill="FFFFFF" w:val="clear"/>
          <w:lang w:eastAsia="pt-BR"/>
        </w:rPr>
        <w:t>/RS</w:t>
      </w:r>
      <w:r>
        <w:rPr>
          <w:rFonts w:cs="Times New Roman" w:ascii="Times New Roman" w:hAnsi="Times New Roman"/>
          <w:sz w:val="20"/>
          <w:szCs w:val="20"/>
          <w:shd w:fill="FFFFFF" w:val="clear"/>
        </w:rPr>
        <w:t xml:space="preserve">, </w:t>
      </w:r>
      <w:r>
        <w:rPr>
          <w:rFonts w:cs="Times New Roman" w:ascii="Times New Roman" w:hAnsi="Times New Roman"/>
          <w:sz w:val="20"/>
          <w:szCs w:val="20"/>
        </w:rPr>
        <w:t>acompanhado da Guia de Encaminhamento, com a assinatura do beneficiário ou de seu responsável que comprove a prestação do serviço.</w:t>
      </w:r>
    </w:p>
    <w:p>
      <w:pPr>
        <w:pStyle w:val="ListParagraph"/>
        <w:widowControl w:val="false"/>
        <w:numPr>
          <w:ilvl w:val="0"/>
          <w:numId w:val="1"/>
        </w:numPr>
        <w:spacing w:before="120" w:after="120"/>
        <w:ind w:left="0" w:right="0" w:hanging="360"/>
        <w:contextualSpacing/>
        <w:rPr>
          <w:rFonts w:ascii="Times New Roman" w:hAnsi="Times New Roman" w:cs="Times New Roman"/>
          <w:sz w:val="20"/>
          <w:szCs w:val="20"/>
        </w:rPr>
      </w:pPr>
      <w:r>
        <w:rPr>
          <w:rFonts w:cs="Times New Roman" w:ascii="Times New Roman" w:hAnsi="Times New Roman"/>
          <w:sz w:val="20"/>
          <w:szCs w:val="20"/>
        </w:rPr>
        <w:t>Procedimentos não especificados na(s) Guia(s) de Encaminhamento e os não cobertos não serão ressarcidos por parte do CONTRATANTE.</w:t>
      </w:r>
    </w:p>
    <w:p>
      <w:pPr>
        <w:pStyle w:val="ListParagraph"/>
        <w:widowControl w:val="false"/>
        <w:numPr>
          <w:ilvl w:val="0"/>
          <w:numId w:val="1"/>
        </w:numPr>
        <w:spacing w:before="120" w:after="120"/>
        <w:ind w:left="0" w:right="0" w:hanging="360"/>
        <w:contextualSpacing/>
        <w:jc w:val="both"/>
        <w:rPr>
          <w:rFonts w:ascii="Times New Roman" w:hAnsi="Times New Roman" w:cs="Times New Roman"/>
          <w:sz w:val="20"/>
          <w:szCs w:val="20"/>
        </w:rPr>
      </w:pPr>
      <w:r>
        <w:rPr>
          <w:rFonts w:cs="Times New Roman" w:ascii="Times New Roman" w:hAnsi="Times New Roman"/>
          <w:sz w:val="20"/>
          <w:szCs w:val="20"/>
        </w:rPr>
        <w:t>Os valores vigentes na data de atendimento serão os considerados para a quitação das faturas.</w:t>
      </w:r>
    </w:p>
    <w:p>
      <w:pPr>
        <w:pStyle w:val="ListParagraph"/>
        <w:widowControl w:val="false"/>
        <w:numPr>
          <w:ilvl w:val="0"/>
          <w:numId w:val="1"/>
        </w:numPr>
        <w:spacing w:before="120" w:after="120"/>
        <w:ind w:left="0" w:right="0" w:hanging="360"/>
        <w:contextualSpacing/>
        <w:jc w:val="both"/>
        <w:rPr>
          <w:rFonts w:ascii="Times New Roman" w:hAnsi="Times New Roman" w:cs="Times New Roman"/>
          <w:color w:val="000000"/>
          <w:sz w:val="20"/>
          <w:szCs w:val="20"/>
          <w:highlight w:val="white"/>
        </w:rPr>
      </w:pPr>
      <w:r>
        <w:rPr>
          <w:rFonts w:cs="Times New Roman" w:ascii="Times New Roman" w:hAnsi="Times New Roman"/>
          <w:sz w:val="20"/>
          <w:szCs w:val="20"/>
          <w:shd w:fill="FFFFFF" w:val="clear"/>
        </w:rPr>
        <w:t xml:space="preserve">O CONTRATADO se obriga a apresentar ao CONTRATANTE, entre o 1º (primeiro) e o 8º (oitavo) dia do mês subsequente, no Setor de Lisura do 7º Regimento de Cavalaria Mecanizado, a fatura, em 01 (uma) via de igual teor, em nome do 7º Regimento de Cavalaria Mecanizado, Unidade Gestora do Fundo de Saúde do Exército, </w:t>
      </w:r>
      <w:r>
        <w:rPr>
          <w:rFonts w:cs="Times New Roman" w:ascii="Times New Roman" w:hAnsi="Times New Roman"/>
          <w:sz w:val="20"/>
          <w:szCs w:val="20"/>
        </w:rPr>
        <w:t>anexando todos os comprovantes de despesas, as Guias de Encaminhamento do SAMMED/FuSEx/PASS com as assinaturas dos beneficiários ou de seus responsáveis, a relação de materiais e medicamentos gastos relativos aos atendimentos prestados no mês considerado, discriminando número de ordem, data, número da Guia de Encaminhamento, nome do usuário, número do documento de identidade, número de matrícula do Servidor Civil ou de seu dependente, se for o caso, número de matrícula no cadastro de beneficiários do FuSEx (número de cartão FuSEx, composto pelo Código de Pessoal – PREC/CP – mais sequência familiar), se militar contribuinte do FuSEx</w:t>
      </w:r>
      <w:r>
        <w:rPr>
          <w:rFonts w:cs="Times New Roman" w:ascii="Times New Roman" w:hAnsi="Times New Roman"/>
          <w:color w:val="000000"/>
          <w:sz w:val="20"/>
          <w:szCs w:val="20"/>
          <w:shd w:fill="FFFFFF" w:val="clear"/>
        </w:rPr>
        <w:t>, código da Lista Referencial dos Exames Laboratoriais, - Anexo do Edital, os quantitativos de CH, pacote adotado, valor de R$ (reais), relatório de conferência (espelho).</w:t>
      </w:r>
    </w:p>
    <w:p>
      <w:pPr>
        <w:pStyle w:val="ListParagraph"/>
        <w:widowControl w:val="false"/>
        <w:numPr>
          <w:ilvl w:val="1"/>
          <w:numId w:val="1"/>
        </w:numPr>
        <w:spacing w:before="120" w:after="120"/>
        <w:ind w:left="680" w:right="0" w:hanging="432"/>
        <w:contextualSpacing/>
        <w:jc w:val="both"/>
        <w:rPr>
          <w:rFonts w:ascii="Times New Roman" w:hAnsi="Times New Roman" w:cs="Times New Roman"/>
          <w:sz w:val="20"/>
          <w:szCs w:val="20"/>
        </w:rPr>
      </w:pPr>
      <w:r>
        <w:rPr>
          <w:rFonts w:cs="Times New Roman" w:ascii="Times New Roman" w:hAnsi="Times New Roman"/>
          <w:sz w:val="20"/>
          <w:szCs w:val="20"/>
        </w:rPr>
        <w:t>O CONTRATANTE não será responsabilizado pelo atraso nos pagamentos que sejam decorrentes da apresentação das faturas ou outros documentos fora dos prazos estipulados e com vícios formais que ensejem devolução;</w:t>
      </w:r>
    </w:p>
    <w:p>
      <w:pPr>
        <w:pStyle w:val="ListParagraph"/>
        <w:widowControl w:val="false"/>
        <w:numPr>
          <w:ilvl w:val="1"/>
          <w:numId w:val="1"/>
        </w:numPr>
        <w:spacing w:before="120" w:after="120"/>
        <w:ind w:left="680" w:right="0" w:hanging="432"/>
        <w:contextualSpacing/>
        <w:jc w:val="both"/>
        <w:rPr>
          <w:rFonts w:ascii="Times New Roman" w:hAnsi="Times New Roman" w:cs="Times New Roman"/>
          <w:sz w:val="20"/>
          <w:szCs w:val="20"/>
        </w:rPr>
      </w:pPr>
      <w:r>
        <w:rPr>
          <w:rFonts w:cs="Times New Roman" w:ascii="Times New Roman" w:hAnsi="Times New Roman"/>
          <w:sz w:val="20"/>
          <w:szCs w:val="20"/>
        </w:rPr>
        <w:t>O CONTRATADO deverá apresentar, separadamente, as faturas de despesas dos beneficiários do FuSEx, de Servidores Civis, de usuários de Fator de Custos e dos pacientes que evoluíram ao óbito;</w:t>
      </w:r>
    </w:p>
    <w:p>
      <w:pPr>
        <w:pStyle w:val="ListParagraph"/>
        <w:widowControl w:val="false"/>
        <w:numPr>
          <w:ilvl w:val="1"/>
          <w:numId w:val="1"/>
        </w:numPr>
        <w:spacing w:before="120" w:after="120"/>
        <w:ind w:left="680" w:right="0" w:hanging="432"/>
        <w:contextualSpacing/>
        <w:jc w:val="both"/>
        <w:rPr>
          <w:rFonts w:ascii="Times New Roman" w:hAnsi="Times New Roman" w:cs="Times New Roman"/>
          <w:sz w:val="20"/>
          <w:szCs w:val="20"/>
        </w:rPr>
      </w:pPr>
      <w:r>
        <w:rPr>
          <w:rFonts w:cs="Times New Roman" w:ascii="Times New Roman" w:hAnsi="Times New Roman"/>
          <w:sz w:val="20"/>
          <w:szCs w:val="20"/>
        </w:rPr>
        <w:t>O CONTRATANTE restituirá a documentação acima citada, se a mesma apresentar rasuras, incorreções ou outros vícios de forma em até 15 (quinze) dias do respectivo protocolo;</w:t>
      </w:r>
    </w:p>
    <w:p>
      <w:pPr>
        <w:pStyle w:val="ListParagraph"/>
        <w:widowControl w:val="false"/>
        <w:numPr>
          <w:ilvl w:val="1"/>
          <w:numId w:val="1"/>
        </w:numPr>
        <w:spacing w:before="120" w:after="120"/>
        <w:ind w:left="680" w:right="0" w:hanging="432"/>
        <w:contextualSpacing/>
        <w:jc w:val="both"/>
        <w:rPr>
          <w:rFonts w:ascii="Times New Roman" w:hAnsi="Times New Roman" w:cs="Times New Roman"/>
          <w:sz w:val="20"/>
          <w:szCs w:val="20"/>
        </w:rPr>
      </w:pPr>
      <w:r>
        <w:rPr>
          <w:rFonts w:cs="Times New Roman" w:ascii="Times New Roman" w:hAnsi="Times New Roman"/>
          <w:sz w:val="20"/>
          <w:szCs w:val="20"/>
        </w:rPr>
        <w:t>Aceita a documentação, dentro do prazo acima fixado, a mesma será recebida por meio de termo circunstanciado assinado pelas partes.</w:t>
      </w:r>
    </w:p>
    <w:p>
      <w:pPr>
        <w:pStyle w:val="ListParagraph"/>
        <w:widowControl w:val="false"/>
        <w:numPr>
          <w:ilvl w:val="0"/>
          <w:numId w:val="1"/>
        </w:numPr>
        <w:spacing w:before="120" w:after="120"/>
        <w:ind w:left="0" w:right="0" w:hanging="360"/>
        <w:contextualSpacing/>
        <w:jc w:val="both"/>
        <w:rPr>
          <w:rFonts w:ascii="Times New Roman" w:hAnsi="Times New Roman" w:cs="Times New Roman"/>
          <w:sz w:val="20"/>
          <w:szCs w:val="20"/>
        </w:rPr>
      </w:pPr>
      <w:r>
        <w:rPr>
          <w:rFonts w:cs="Times New Roman" w:ascii="Times New Roman" w:hAnsi="Times New Roman"/>
          <w:sz w:val="20"/>
          <w:szCs w:val="20"/>
        </w:rPr>
        <w:t>O CONTRATANTE glosará, total ou parcialmente, mediante motivação, a remuneração pelos serviços prestados especificados nas faturas que não estiverem de acordo com este contrato ou o edital.</w:t>
      </w:r>
    </w:p>
    <w:p>
      <w:pPr>
        <w:pStyle w:val="ListParagraph"/>
        <w:widowControl w:val="false"/>
        <w:numPr>
          <w:ilvl w:val="1"/>
          <w:numId w:val="1"/>
        </w:numPr>
        <w:spacing w:before="120" w:after="120"/>
        <w:ind w:left="680" w:right="0" w:hanging="432"/>
        <w:contextualSpacing/>
        <w:jc w:val="both"/>
        <w:rPr>
          <w:rFonts w:ascii="Times New Roman" w:hAnsi="Times New Roman" w:cs="Times New Roman"/>
          <w:i/>
          <w:i/>
          <w:sz w:val="18"/>
          <w:szCs w:val="16"/>
          <w:highlight w:val="white"/>
        </w:rPr>
      </w:pPr>
      <w:r>
        <w:rPr>
          <w:rFonts w:cs="Times New Roman" w:ascii="Times New Roman" w:hAnsi="Times New Roman"/>
          <w:sz w:val="20"/>
          <w:szCs w:val="20"/>
        </w:rPr>
        <w:t>O Setor de Lisura do 7</w:t>
      </w:r>
      <w:r>
        <w:rPr>
          <w:rFonts w:cs="Times New Roman" w:ascii="Times New Roman" w:hAnsi="Times New Roman"/>
          <w:sz w:val="20"/>
          <w:szCs w:val="20"/>
          <w:shd w:fill="FFFFFF" w:val="clear"/>
        </w:rPr>
        <w:t>º Regimento de Cavalaria Mecanizado possuirá o prazo de 30 dias, contado a partir do término do prazo do subitem 18;</w:t>
      </w:r>
      <w:r>
        <w:rPr>
          <w:rFonts w:cs="Times New Roman" w:ascii="Times New Roman" w:hAnsi="Times New Roman"/>
          <w:i/>
          <w:sz w:val="18"/>
          <w:szCs w:val="16"/>
          <w:shd w:fill="FFFFFF" w:val="clear"/>
        </w:rPr>
        <w:t xml:space="preserve"> e</w:t>
      </w:r>
    </w:p>
    <w:p>
      <w:pPr>
        <w:pStyle w:val="ListParagraph"/>
        <w:widowControl w:val="false"/>
        <w:numPr>
          <w:ilvl w:val="1"/>
          <w:numId w:val="1"/>
        </w:numPr>
        <w:spacing w:before="120" w:after="120"/>
        <w:ind w:left="680" w:right="0" w:hanging="432"/>
        <w:contextualSpacing/>
        <w:jc w:val="both"/>
        <w:rPr>
          <w:rFonts w:ascii="Times New Roman" w:hAnsi="Times New Roman" w:cs="Times New Roman"/>
          <w:sz w:val="20"/>
          <w:szCs w:val="20"/>
        </w:rPr>
      </w:pPr>
      <w:r>
        <w:rPr>
          <w:rFonts w:cs="Times New Roman" w:ascii="Times New Roman" w:hAnsi="Times New Roman"/>
          <w:sz w:val="20"/>
          <w:szCs w:val="20"/>
        </w:rPr>
        <w:t xml:space="preserve">O CONTRATADO poderá interpor representação, nos termos do art. 165, II, da Lei nº 14.133, de 2021, contra a decisão da glosa, constantes das faturas restituídas pelo CONTRATANTE, conforme o Índice de Glosa do anexo </w:t>
      </w:r>
      <w:r>
        <w:rPr>
          <w:rFonts w:cs="Times New Roman" w:ascii="Times New Roman" w:hAnsi="Times New Roman"/>
          <w:sz w:val="20"/>
          <w:szCs w:val="20"/>
          <w:shd w:fill="FFFFFF" w:val="clear"/>
        </w:rPr>
        <w:t>I</w:t>
      </w:r>
      <w:r>
        <w:rPr>
          <w:rFonts w:cs="Times New Roman" w:ascii="Times New Roman" w:hAnsi="Times New Roman"/>
          <w:sz w:val="20"/>
          <w:szCs w:val="20"/>
        </w:rPr>
        <w:t xml:space="preserve"> deste contrato, dentro do prazo de 5 (cinco) dias;</w:t>
      </w:r>
    </w:p>
    <w:p>
      <w:pPr>
        <w:pStyle w:val="Normal"/>
        <w:widowControl w:val="false"/>
        <w:spacing w:before="240" w:after="240"/>
        <w:jc w:val="both"/>
        <w:rPr>
          <w:rFonts w:ascii="Times New Roman" w:hAnsi="Times New Roman" w:cs="Times New Roman"/>
          <w:b/>
          <w:b/>
          <w:color w:val="00000A"/>
          <w:sz w:val="20"/>
          <w:szCs w:val="20"/>
          <w:u w:val="single"/>
        </w:rPr>
      </w:pPr>
      <w:r>
        <w:rPr>
          <w:rFonts w:cs="Times New Roman" w:ascii="Times New Roman" w:hAnsi="Times New Roman"/>
          <w:b/>
          <w:color w:val="00000A"/>
          <w:sz w:val="20"/>
          <w:szCs w:val="20"/>
          <w:u w:val="single"/>
        </w:rPr>
        <w:t>CLÁUSULA SEXTA – Da atualização dos preços.</w:t>
      </w:r>
    </w:p>
    <w:p>
      <w:pPr>
        <w:pStyle w:val="Normal"/>
        <w:widowControl w:val="false"/>
        <w:numPr>
          <w:ilvl w:val="0"/>
          <w:numId w:val="1"/>
        </w:numPr>
        <w:spacing w:before="120" w:after="120"/>
        <w:ind w:left="0" w:right="0" w:hanging="360"/>
        <w:jc w:val="both"/>
        <w:rPr>
          <w:rFonts w:ascii="Times New Roman" w:hAnsi="Times New Roman" w:eastAsia="Batang" w:cs="Times New Roman"/>
          <w:color w:val="00000A"/>
          <w:sz w:val="20"/>
          <w:szCs w:val="20"/>
          <w:lang w:eastAsia="ar-SA"/>
        </w:rPr>
      </w:pPr>
      <w:r>
        <w:rPr>
          <w:rFonts w:cs="Times New Roman" w:ascii="Times New Roman" w:hAnsi="Times New Roman"/>
          <w:color w:val="00000A"/>
          <w:sz w:val="20"/>
          <w:szCs w:val="20"/>
        </w:rPr>
        <w:t>O critério de atualização dos preços contratados consta do Capítulo 9 “DA ATUALIZAÇÃO DOS PREÇOS” do edital de credenciamento</w:t>
      </w:r>
      <w:r>
        <w:rPr>
          <w:rFonts w:eastAsia="Batang" w:cs="Times New Roman" w:ascii="Times New Roman" w:hAnsi="Times New Roman"/>
          <w:color w:val="00000A"/>
          <w:sz w:val="20"/>
          <w:szCs w:val="20"/>
          <w:lang w:eastAsia="ar-SA"/>
        </w:rPr>
        <w:t>.</w:t>
      </w:r>
    </w:p>
    <w:p>
      <w:pPr>
        <w:pStyle w:val="Normal"/>
        <w:widowControl w:val="false"/>
        <w:spacing w:before="240" w:after="240"/>
        <w:jc w:val="both"/>
        <w:rPr>
          <w:rFonts w:ascii="Times New Roman" w:hAnsi="Times New Roman" w:cs="Times New Roman"/>
          <w:b/>
          <w:b/>
          <w:color w:val="00000A"/>
          <w:sz w:val="20"/>
          <w:szCs w:val="20"/>
          <w:u w:val="single"/>
        </w:rPr>
      </w:pPr>
      <w:r>
        <w:rPr>
          <w:rFonts w:cs="Times New Roman" w:ascii="Times New Roman" w:hAnsi="Times New Roman"/>
          <w:b/>
          <w:color w:val="00000A"/>
          <w:sz w:val="20"/>
          <w:szCs w:val="20"/>
          <w:u w:val="single"/>
        </w:rPr>
        <w:t>CLÁUSULA SÉTIMA – Da vigência.</w:t>
      </w:r>
    </w:p>
    <w:p>
      <w:pPr>
        <w:pStyle w:val="ListParagraph"/>
        <w:widowControl w:val="false"/>
        <w:numPr>
          <w:ilvl w:val="0"/>
          <w:numId w:val="1"/>
        </w:numPr>
        <w:spacing w:before="120" w:after="120"/>
        <w:ind w:left="0" w:right="0" w:hanging="360"/>
        <w:contextualSpacing/>
        <w:jc w:val="both"/>
        <w:rPr>
          <w:rFonts w:ascii="Times New Roman" w:hAnsi="Times New Roman" w:cs="Times New Roman"/>
          <w:color w:val="00000A"/>
          <w:sz w:val="20"/>
          <w:szCs w:val="20"/>
        </w:rPr>
      </w:pPr>
      <w:bookmarkStart w:id="1" w:name="_Hlk158891455"/>
      <w:r>
        <w:rPr>
          <w:rFonts w:cs="Times New Roman" w:ascii="Times New Roman" w:hAnsi="Times New Roman"/>
          <w:color w:val="00000A"/>
          <w:sz w:val="20"/>
          <w:szCs w:val="20"/>
        </w:rPr>
        <w:t>O prazo de vigência da contratação é de 10 (dez) anos contados de sua assinatura, na forma do artigo 107 da Lei n° 14.133, de 2021</w:t>
      </w:r>
      <w:bookmarkEnd w:id="1"/>
      <w:r>
        <w:rPr>
          <w:rFonts w:cs="Times New Roman" w:ascii="Times New Roman" w:hAnsi="Times New Roman"/>
          <w:color w:val="00000A"/>
          <w:sz w:val="20"/>
          <w:szCs w:val="20"/>
        </w:rPr>
        <w:t>.</w:t>
      </w:r>
    </w:p>
    <w:p>
      <w:pPr>
        <w:pStyle w:val="Normal"/>
        <w:widowControl w:val="false"/>
        <w:spacing w:before="240" w:after="240"/>
        <w:jc w:val="both"/>
        <w:rPr>
          <w:rFonts w:ascii="Times New Roman" w:hAnsi="Times New Roman" w:cs="Times New Roman"/>
          <w:b/>
          <w:b/>
          <w:sz w:val="20"/>
          <w:szCs w:val="20"/>
          <w:u w:val="single"/>
        </w:rPr>
      </w:pPr>
      <w:r>
        <w:rPr>
          <w:rFonts w:cs="Times New Roman" w:ascii="Times New Roman" w:hAnsi="Times New Roman"/>
          <w:b/>
          <w:sz w:val="20"/>
          <w:szCs w:val="20"/>
          <w:u w:val="single"/>
        </w:rPr>
        <w:t>CLÁUSULA OITAVA – Da dotação orçamentária.</w:t>
      </w:r>
    </w:p>
    <w:p>
      <w:pPr>
        <w:pStyle w:val="ListParagraph"/>
        <w:widowControl w:val="false"/>
        <w:numPr>
          <w:ilvl w:val="0"/>
          <w:numId w:val="1"/>
        </w:numPr>
        <w:spacing w:before="120" w:after="120"/>
        <w:ind w:left="0" w:right="0" w:hanging="360"/>
        <w:contextualSpacing/>
        <w:jc w:val="both"/>
        <w:rPr>
          <w:rFonts w:ascii="Times New Roman" w:hAnsi="Times New Roman" w:cs="Times New Roman"/>
          <w:color w:val="00000A"/>
          <w:sz w:val="20"/>
          <w:szCs w:val="20"/>
        </w:rPr>
      </w:pPr>
      <w:r>
        <w:rPr>
          <w:rFonts w:cs="Times New Roman" w:ascii="Times New Roman" w:hAnsi="Times New Roman"/>
          <w:sz w:val="20"/>
          <w:szCs w:val="20"/>
        </w:rPr>
        <w:t xml:space="preserve">Os recursos previstos para os pagamentos dos atendimentos do presente contrato </w:t>
      </w:r>
      <w:r>
        <w:rPr>
          <w:rFonts w:cs="Times New Roman" w:ascii="Times New Roman" w:hAnsi="Times New Roman"/>
          <w:color w:val="00000A"/>
          <w:sz w:val="20"/>
          <w:szCs w:val="20"/>
        </w:rPr>
        <w:t>serão os seguintes:</w:t>
      </w:r>
    </w:p>
    <w:p>
      <w:pPr>
        <w:pStyle w:val="ListParagraph"/>
        <w:widowControl w:val="false"/>
        <w:numPr>
          <w:ilvl w:val="1"/>
          <w:numId w:val="1"/>
        </w:numPr>
        <w:spacing w:before="120" w:after="120"/>
        <w:ind w:left="680" w:right="0" w:hanging="432"/>
        <w:contextualSpacing/>
        <w:jc w:val="both"/>
        <w:rPr>
          <w:rFonts w:ascii="Times New Roman" w:hAnsi="Times New Roman" w:cs="Times New Roman"/>
          <w:color w:val="00000A"/>
          <w:sz w:val="20"/>
          <w:szCs w:val="20"/>
        </w:rPr>
      </w:pPr>
      <w:r>
        <w:rPr>
          <w:rFonts w:cs="Times New Roman" w:ascii="Times New Roman" w:hAnsi="Times New Roman"/>
          <w:color w:val="00000A"/>
          <w:sz w:val="20"/>
          <w:szCs w:val="20"/>
        </w:rPr>
        <w:t xml:space="preserve">Para OCS: Orçamento Geral da União, Recursos da Gestão 00001, Fonte de Recursos 0250270037 — 0250270013 - 0100000000, Programa de Trabalho Resumido 025146 — 031781 - 031778, Natureza de Despesa 339039 e Plano Interno DISACIVOCSA — DISAFUSOCSA — D8SAFCTOCSA; e </w:t>
      </w:r>
    </w:p>
    <w:p>
      <w:pPr>
        <w:pStyle w:val="ListParagraph"/>
        <w:widowControl w:val="false"/>
        <w:numPr>
          <w:ilvl w:val="1"/>
          <w:numId w:val="1"/>
        </w:numPr>
        <w:spacing w:before="120" w:after="120"/>
        <w:ind w:left="680" w:right="0" w:hanging="432"/>
        <w:contextualSpacing/>
        <w:jc w:val="both"/>
        <w:rPr>
          <w:rFonts w:ascii="Times New Roman" w:hAnsi="Times New Roman" w:cs="Times New Roman"/>
          <w:color w:val="00000A"/>
          <w:sz w:val="20"/>
          <w:szCs w:val="20"/>
        </w:rPr>
      </w:pPr>
      <w:r>
        <w:rPr>
          <w:rFonts w:cs="Times New Roman" w:ascii="Times New Roman" w:hAnsi="Times New Roman"/>
          <w:color w:val="00000A"/>
          <w:sz w:val="20"/>
          <w:szCs w:val="20"/>
        </w:rPr>
        <w:t xml:space="preserve">Para PSA: Orçamento Geral da União, Recursos da Gestão 00001, Fonte de Recursos 0250270037 — 0250270013 - 0100000000, Programa de Trabalho Resumido 025146 — 031781 - 031778 e Natureza de Despesa 339036 e Plano Interno DISACIVPRSA — DISAFUSPRSA — D8SAFCTPRSA. </w:t>
      </w:r>
    </w:p>
    <w:p>
      <w:pPr>
        <w:pStyle w:val="Normal"/>
        <w:widowControl w:val="false"/>
        <w:spacing w:before="240" w:after="240"/>
        <w:jc w:val="both"/>
        <w:rPr>
          <w:rFonts w:ascii="Times New Roman" w:hAnsi="Times New Roman" w:cs="Times New Roman"/>
          <w:b/>
          <w:b/>
          <w:sz w:val="20"/>
          <w:szCs w:val="20"/>
          <w:u w:val="single"/>
        </w:rPr>
      </w:pPr>
      <w:r>
        <w:rPr>
          <w:rFonts w:cs="Times New Roman" w:ascii="Times New Roman" w:hAnsi="Times New Roman"/>
          <w:b/>
          <w:sz w:val="20"/>
          <w:szCs w:val="20"/>
          <w:u w:val="single"/>
        </w:rPr>
        <w:t>CLÁUSULA NONA – Da responsabilidade civil.</w:t>
      </w:r>
    </w:p>
    <w:p>
      <w:pPr>
        <w:pStyle w:val="ListParagraph"/>
        <w:widowControl w:val="false"/>
        <w:numPr>
          <w:ilvl w:val="0"/>
          <w:numId w:val="1"/>
        </w:numPr>
        <w:spacing w:before="120" w:after="120"/>
        <w:ind w:left="0" w:right="0" w:hanging="360"/>
        <w:contextualSpacing/>
        <w:jc w:val="both"/>
        <w:rPr>
          <w:rFonts w:ascii="Times New Roman" w:hAnsi="Times New Roman" w:cs="Times New Roman"/>
          <w:sz w:val="20"/>
          <w:szCs w:val="20"/>
        </w:rPr>
      </w:pPr>
      <w:r>
        <w:rPr>
          <w:rFonts w:cs="Times New Roman" w:ascii="Times New Roman" w:hAnsi="Times New Roman"/>
          <w:sz w:val="20"/>
          <w:szCs w:val="20"/>
        </w:rPr>
        <w:t>A fiscalização ou o acompanhamento da execução deste instrumento contratual não exclui nem reduz a responsabilidade do CONTRATADO.</w:t>
      </w:r>
    </w:p>
    <w:p>
      <w:pPr>
        <w:pStyle w:val="ListParagraph"/>
        <w:widowControl w:val="false"/>
        <w:numPr>
          <w:ilvl w:val="0"/>
          <w:numId w:val="1"/>
        </w:numPr>
        <w:spacing w:before="120" w:after="120"/>
        <w:ind w:left="0" w:right="0" w:hanging="360"/>
        <w:contextualSpacing/>
        <w:jc w:val="both"/>
        <w:rPr>
          <w:rFonts w:ascii="Times New Roman" w:hAnsi="Times New Roman" w:cs="Times New Roman"/>
          <w:sz w:val="20"/>
          <w:szCs w:val="20"/>
        </w:rPr>
      </w:pPr>
      <w:r>
        <w:rPr>
          <w:rFonts w:cs="Times New Roman" w:ascii="Times New Roman" w:hAnsi="Times New Roman"/>
          <w:sz w:val="20"/>
          <w:szCs w:val="20"/>
        </w:rPr>
        <w:t>A responsabilidade a que se refere a presente Cláusula estende-se à reparação de dano eventual de instalações, equipamentos e/ou aparelhagens, essenciais à prestação dos serviços que compõem o objeto deste Contrato.</w:t>
      </w:r>
    </w:p>
    <w:p>
      <w:pPr>
        <w:pStyle w:val="ListParagraph"/>
        <w:widowControl w:val="false"/>
        <w:numPr>
          <w:ilvl w:val="0"/>
          <w:numId w:val="1"/>
        </w:numPr>
        <w:spacing w:before="120" w:after="120"/>
        <w:ind w:left="0" w:right="0" w:hanging="360"/>
        <w:contextualSpacing/>
        <w:jc w:val="both"/>
        <w:rPr>
          <w:rFonts w:ascii="Times New Roman" w:hAnsi="Times New Roman" w:cs="Times New Roman"/>
          <w:sz w:val="20"/>
          <w:szCs w:val="20"/>
        </w:rPr>
      </w:pPr>
      <w:r>
        <w:rPr>
          <w:rFonts w:cs="Times New Roman" w:ascii="Times New Roman" w:hAnsi="Times New Roman"/>
          <w:sz w:val="20"/>
          <w:szCs w:val="20"/>
        </w:rPr>
        <w:t>O CONTRATADO será responsável, civil e penalmente, pelos danos causados aos pacientes, por terceiros vinculados, decorrentes de omissão, voluntária ou não, negligência, imperícia ou imprudência.</w:t>
      </w:r>
    </w:p>
    <w:p>
      <w:pPr>
        <w:pStyle w:val="Normal"/>
        <w:widowControl w:val="false"/>
        <w:spacing w:before="240" w:after="240"/>
        <w:jc w:val="both"/>
        <w:rPr>
          <w:rFonts w:ascii="Times New Roman" w:hAnsi="Times New Roman" w:cs="Times New Roman"/>
          <w:b/>
          <w:b/>
          <w:sz w:val="20"/>
          <w:szCs w:val="20"/>
          <w:u w:val="single"/>
        </w:rPr>
      </w:pPr>
      <w:r>
        <w:rPr>
          <w:rFonts w:cs="Times New Roman" w:ascii="Times New Roman" w:hAnsi="Times New Roman"/>
          <w:b/>
          <w:sz w:val="20"/>
          <w:szCs w:val="20"/>
          <w:u w:val="single"/>
        </w:rPr>
        <w:t>CLÁUSULA DÉCIMA – Das sanções.</w:t>
      </w:r>
    </w:p>
    <w:p>
      <w:pPr>
        <w:pStyle w:val="ListParagraph"/>
        <w:widowControl w:val="false"/>
        <w:numPr>
          <w:ilvl w:val="0"/>
          <w:numId w:val="1"/>
        </w:numPr>
        <w:spacing w:before="120" w:after="120"/>
        <w:ind w:left="0" w:right="0" w:hanging="360"/>
        <w:contextualSpacing/>
        <w:jc w:val="both"/>
        <w:rPr>
          <w:rFonts w:ascii="Times New Roman" w:hAnsi="Times New Roman" w:cs="Times New Roman"/>
          <w:sz w:val="20"/>
          <w:szCs w:val="20"/>
        </w:rPr>
      </w:pPr>
      <w:r>
        <w:rPr>
          <w:rFonts w:cs="Times New Roman" w:ascii="Times New Roman" w:hAnsi="Times New Roman"/>
          <w:sz w:val="20"/>
          <w:szCs w:val="20"/>
        </w:rPr>
        <w:t>As sanções aplicáveis restam previstas na Seção 12 – “DAS SANÇÕES” – do edital de credenciamento.</w:t>
      </w:r>
    </w:p>
    <w:p>
      <w:pPr>
        <w:pStyle w:val="Normal"/>
        <w:widowControl w:val="false"/>
        <w:spacing w:before="240" w:after="240"/>
        <w:jc w:val="both"/>
        <w:rPr>
          <w:rFonts w:ascii="Times New Roman" w:hAnsi="Times New Roman" w:cs="Times New Roman"/>
          <w:b/>
          <w:b/>
          <w:sz w:val="20"/>
          <w:szCs w:val="20"/>
          <w:u w:val="single"/>
        </w:rPr>
      </w:pPr>
      <w:r>
        <w:rPr>
          <w:rFonts w:cs="Times New Roman" w:ascii="Times New Roman" w:hAnsi="Times New Roman"/>
          <w:b/>
          <w:sz w:val="20"/>
          <w:szCs w:val="20"/>
          <w:u w:val="single"/>
        </w:rPr>
        <w:t>CLÁUSULA DÉCIMA PRIMEIRA – Da rescisão.</w:t>
      </w:r>
    </w:p>
    <w:p>
      <w:pPr>
        <w:pStyle w:val="Normal"/>
        <w:widowControl w:val="false"/>
        <w:numPr>
          <w:ilvl w:val="0"/>
          <w:numId w:val="1"/>
        </w:numPr>
        <w:spacing w:before="120" w:after="120"/>
        <w:ind w:left="0" w:right="0" w:hanging="360"/>
        <w:jc w:val="both"/>
        <w:rPr>
          <w:rFonts w:ascii="Times New Roman" w:hAnsi="Times New Roman" w:cs="Times New Roman"/>
          <w:sz w:val="20"/>
          <w:szCs w:val="20"/>
        </w:rPr>
      </w:pPr>
      <w:r>
        <w:rPr>
          <w:rFonts w:cs="Times New Roman" w:ascii="Times New Roman" w:hAnsi="Times New Roman"/>
          <w:sz w:val="20"/>
          <w:szCs w:val="20"/>
        </w:rPr>
        <w:t>O presente contrato poderá ser rescindido nas hipóteses da Seção 13 – “DA RESCISÃO” – do edital de credenciamento.</w:t>
      </w:r>
    </w:p>
    <w:p>
      <w:pPr>
        <w:pStyle w:val="Normal"/>
        <w:widowControl w:val="false"/>
        <w:spacing w:before="240" w:after="240"/>
        <w:jc w:val="both"/>
        <w:rPr>
          <w:rFonts w:ascii="Times New Roman" w:hAnsi="Times New Roman" w:cs="Times New Roman"/>
          <w:b/>
          <w:b/>
          <w:sz w:val="20"/>
          <w:szCs w:val="20"/>
          <w:u w:val="single"/>
        </w:rPr>
      </w:pPr>
      <w:r>
        <w:rPr>
          <w:rFonts w:cs="Times New Roman" w:ascii="Times New Roman" w:hAnsi="Times New Roman"/>
          <w:b/>
          <w:sz w:val="20"/>
          <w:szCs w:val="20"/>
          <w:u w:val="single"/>
        </w:rPr>
        <w:t>CLÁUSULA DÉCIMA SEGUNDA – Das obrigações do contratante.</w:t>
      </w:r>
    </w:p>
    <w:p>
      <w:pPr>
        <w:pStyle w:val="ListParagraph"/>
        <w:widowControl w:val="false"/>
        <w:numPr>
          <w:ilvl w:val="0"/>
          <w:numId w:val="1"/>
        </w:numPr>
        <w:spacing w:before="120" w:after="120"/>
        <w:ind w:left="0" w:right="0" w:hanging="360"/>
        <w:contextualSpacing/>
        <w:jc w:val="both"/>
        <w:rPr>
          <w:rFonts w:ascii="Times New Roman" w:hAnsi="Times New Roman" w:cs="Times New Roman"/>
          <w:sz w:val="20"/>
          <w:szCs w:val="20"/>
        </w:rPr>
      </w:pPr>
      <w:r>
        <w:rPr>
          <w:rFonts w:cs="Times New Roman" w:ascii="Times New Roman" w:hAnsi="Times New Roman"/>
          <w:sz w:val="20"/>
          <w:szCs w:val="20"/>
        </w:rPr>
        <w:t>As obrigações constam da Seção 10 – “OBRIGAÇÕES DO CREDENCIANTE” – do edital de credenciamento.</w:t>
      </w:r>
    </w:p>
    <w:p>
      <w:pPr>
        <w:pStyle w:val="Normal"/>
        <w:widowControl w:val="false"/>
        <w:spacing w:before="240" w:after="240"/>
        <w:jc w:val="both"/>
        <w:rPr>
          <w:rFonts w:ascii="Times New Roman" w:hAnsi="Times New Roman" w:cs="Times New Roman"/>
          <w:b/>
          <w:b/>
          <w:sz w:val="20"/>
          <w:szCs w:val="20"/>
          <w:u w:val="single"/>
        </w:rPr>
      </w:pPr>
      <w:r>
        <w:rPr>
          <w:rFonts w:cs="Times New Roman" w:ascii="Times New Roman" w:hAnsi="Times New Roman"/>
          <w:b/>
          <w:sz w:val="20"/>
          <w:szCs w:val="20"/>
          <w:u w:val="single"/>
        </w:rPr>
        <w:t>CLÁUSULA DÉCIMA TERCEIRA – Das obrigações do contratado.</w:t>
      </w:r>
    </w:p>
    <w:p>
      <w:pPr>
        <w:pStyle w:val="ListParagraph"/>
        <w:widowControl w:val="false"/>
        <w:numPr>
          <w:ilvl w:val="0"/>
          <w:numId w:val="1"/>
        </w:numPr>
        <w:spacing w:before="120" w:after="120"/>
        <w:ind w:left="0" w:right="0" w:hanging="360"/>
        <w:contextualSpacing/>
        <w:jc w:val="both"/>
        <w:rPr>
          <w:rFonts w:ascii="Times New Roman" w:hAnsi="Times New Roman" w:cs="Times New Roman"/>
          <w:sz w:val="20"/>
          <w:szCs w:val="20"/>
        </w:rPr>
      </w:pPr>
      <w:r>
        <w:rPr>
          <w:rFonts w:cs="Times New Roman" w:ascii="Times New Roman" w:hAnsi="Times New Roman"/>
          <w:sz w:val="20"/>
          <w:szCs w:val="20"/>
        </w:rPr>
        <w:t>As obrigações constam da Seção 11 – “OBRIGAÇÕES DO CREDENCIADO” – do edital de credenciamento.</w:t>
      </w:r>
    </w:p>
    <w:p>
      <w:pPr>
        <w:pStyle w:val="ListParagraph"/>
        <w:widowControl w:val="false"/>
        <w:spacing w:before="120" w:after="120"/>
        <w:ind w:left="0" w:right="0" w:hanging="360"/>
        <w:contextualSpacing/>
        <w:jc w:val="both"/>
        <w:rPr/>
      </w:pPr>
      <w:r>
        <w:rPr/>
      </w:r>
    </w:p>
    <w:p>
      <w:pPr>
        <w:pStyle w:val="Normal"/>
        <w:widowControl w:val="false"/>
        <w:spacing w:before="240" w:after="240"/>
        <w:jc w:val="both"/>
        <w:rPr>
          <w:rFonts w:ascii="Times New Roman" w:hAnsi="Times New Roman" w:cs="Times New Roman"/>
          <w:b/>
          <w:b/>
          <w:sz w:val="20"/>
          <w:szCs w:val="20"/>
          <w:u w:val="single"/>
        </w:rPr>
      </w:pPr>
      <w:r>
        <w:rPr>
          <w:rFonts w:cs="Times New Roman" w:ascii="Times New Roman" w:hAnsi="Times New Roman"/>
          <w:b/>
          <w:sz w:val="20"/>
          <w:szCs w:val="20"/>
          <w:u w:val="single"/>
        </w:rPr>
        <w:t>CLÁUSULA DÉCIMA QUARTA – Da negação de remuneração a militares.</w:t>
      </w:r>
    </w:p>
    <w:p>
      <w:pPr>
        <w:pStyle w:val="ListParagraph"/>
        <w:widowControl w:val="false"/>
        <w:numPr>
          <w:ilvl w:val="0"/>
          <w:numId w:val="1"/>
        </w:numPr>
        <w:spacing w:before="120" w:after="120"/>
        <w:ind w:left="0" w:right="0" w:hanging="360"/>
        <w:contextualSpacing/>
        <w:jc w:val="both"/>
        <w:rPr>
          <w:rFonts w:ascii="Times New Roman" w:hAnsi="Times New Roman" w:cs="Times New Roman"/>
          <w:sz w:val="20"/>
          <w:szCs w:val="20"/>
        </w:rPr>
      </w:pPr>
      <w:r>
        <w:rPr>
          <w:rFonts w:cs="Times New Roman" w:ascii="Times New Roman" w:hAnsi="Times New Roman"/>
          <w:sz w:val="20"/>
          <w:szCs w:val="20"/>
        </w:rPr>
        <w:t>O militar, estando na ativa, não poderá receber remuneração, honorários, complementação destes ou pagamento por serviços profissionais prestados ao beneficiário atendido sob a regência do presente Termo de Contrato.</w:t>
      </w:r>
    </w:p>
    <w:p>
      <w:pPr>
        <w:pStyle w:val="Normal"/>
        <w:widowControl w:val="false"/>
        <w:spacing w:before="240" w:after="240"/>
        <w:jc w:val="both"/>
        <w:rPr>
          <w:rFonts w:ascii="Times New Roman" w:hAnsi="Times New Roman" w:cs="Times New Roman"/>
          <w:b/>
          <w:b/>
          <w:sz w:val="20"/>
          <w:szCs w:val="20"/>
          <w:u w:val="single"/>
        </w:rPr>
      </w:pPr>
      <w:r>
        <w:rPr>
          <w:rFonts w:cs="Times New Roman" w:ascii="Times New Roman" w:hAnsi="Times New Roman"/>
          <w:b/>
          <w:sz w:val="20"/>
          <w:szCs w:val="20"/>
          <w:u w:val="single"/>
        </w:rPr>
        <w:t>CLÁUSULA DÉCIMA QUINTA – Da subcontratação.</w:t>
      </w:r>
    </w:p>
    <w:p>
      <w:pPr>
        <w:pStyle w:val="ListParagraph"/>
        <w:widowControl w:val="false"/>
        <w:numPr>
          <w:ilvl w:val="0"/>
          <w:numId w:val="1"/>
        </w:numPr>
        <w:spacing w:before="120" w:after="120"/>
        <w:ind w:left="0" w:right="0" w:hanging="360"/>
        <w:contextualSpacing/>
        <w:jc w:val="both"/>
        <w:rPr>
          <w:rFonts w:ascii="Times New Roman" w:hAnsi="Times New Roman" w:cs="Times New Roman"/>
          <w:i w:val="false"/>
          <w:i w:val="false"/>
          <w:iCs w:val="false"/>
          <w:sz w:val="18"/>
          <w:szCs w:val="18"/>
        </w:rPr>
      </w:pPr>
      <w:r>
        <w:rPr>
          <w:rFonts w:cs="Times New Roman" w:ascii="Times New Roman" w:hAnsi="Times New Roman"/>
          <w:i w:val="false"/>
          <w:iCs w:val="false"/>
          <w:sz w:val="18"/>
          <w:szCs w:val="18"/>
        </w:rPr>
        <w:t xml:space="preserve">É vedado à CONTRATADA delegar ou transferir a terceiros, no todo ou em parte, os serviços objeto deste Termo de Contrato. </w:t>
      </w:r>
    </w:p>
    <w:p>
      <w:pPr>
        <w:pStyle w:val="Normal"/>
        <w:widowControl w:val="false"/>
        <w:spacing w:before="240" w:after="240"/>
        <w:jc w:val="both"/>
        <w:rPr>
          <w:rFonts w:ascii="Times New Roman" w:hAnsi="Times New Roman" w:cs="Times New Roman"/>
          <w:b/>
          <w:b/>
          <w:sz w:val="20"/>
          <w:szCs w:val="20"/>
          <w:u w:val="single"/>
        </w:rPr>
      </w:pPr>
      <w:r>
        <w:rPr>
          <w:rFonts w:cs="Times New Roman" w:ascii="Times New Roman" w:hAnsi="Times New Roman"/>
          <w:b/>
          <w:sz w:val="20"/>
          <w:szCs w:val="20"/>
          <w:u w:val="single"/>
        </w:rPr>
        <w:t>CLÁUSULA DÉCIMA SEXTA – Do valor do contrato.</w:t>
      </w:r>
    </w:p>
    <w:p>
      <w:pPr>
        <w:pStyle w:val="ListParagraph"/>
        <w:widowControl w:val="false"/>
        <w:numPr>
          <w:ilvl w:val="0"/>
          <w:numId w:val="1"/>
        </w:numPr>
        <w:spacing w:before="120" w:after="120"/>
        <w:ind w:left="0" w:right="0" w:hanging="360"/>
        <w:contextualSpacing/>
        <w:jc w:val="both"/>
        <w:rPr>
          <w:rFonts w:ascii="Times New Roman" w:hAnsi="Times New Roman" w:cs="Times New Roman"/>
          <w:sz w:val="20"/>
          <w:szCs w:val="20"/>
        </w:rPr>
      </w:pPr>
      <w:r>
        <w:rPr>
          <w:rFonts w:cs="Times New Roman" w:ascii="Times New Roman" w:hAnsi="Times New Roman"/>
          <w:sz w:val="20"/>
          <w:szCs w:val="20"/>
        </w:rPr>
        <w:t>O valor global estimado para fazer face às despesas relativas ao objeto deste contrato terá como base o levantamento estimativo dos encaminhamentos que foram realizados nos últimos doze meses pelo 7</w:t>
      </w:r>
      <w:r>
        <w:rPr>
          <w:rFonts w:cs="Times New Roman" w:ascii="Times New Roman" w:hAnsi="Times New Roman"/>
          <w:sz w:val="20"/>
          <w:szCs w:val="20"/>
          <w:shd w:fill="FFFFFF" w:val="clear"/>
        </w:rPr>
        <w:t>º Regimento de Cavalaria Mecanizado</w:t>
      </w:r>
      <w:r>
        <w:rPr>
          <w:rFonts w:cs="Times New Roman" w:ascii="Times New Roman" w:hAnsi="Times New Roman"/>
          <w:sz w:val="20"/>
          <w:szCs w:val="20"/>
        </w:rPr>
        <w:t>, nos contratos anteriores.</w:t>
      </w:r>
    </w:p>
    <w:p>
      <w:pPr>
        <w:pStyle w:val="ListParagraph"/>
        <w:widowControl w:val="false"/>
        <w:numPr>
          <w:ilvl w:val="1"/>
          <w:numId w:val="1"/>
        </w:numPr>
        <w:spacing w:before="120" w:after="120"/>
        <w:ind w:left="680" w:right="0" w:hanging="432"/>
        <w:contextualSpacing/>
        <w:jc w:val="both"/>
        <w:rPr>
          <w:rFonts w:ascii="Times New Roman" w:hAnsi="Times New Roman" w:cs="Times New Roman"/>
          <w:sz w:val="20"/>
          <w:szCs w:val="20"/>
        </w:rPr>
      </w:pPr>
      <w:r>
        <w:rPr>
          <w:rFonts w:cs="Times New Roman" w:ascii="Times New Roman" w:hAnsi="Times New Roman"/>
          <w:sz w:val="20"/>
          <w:szCs w:val="20"/>
        </w:rPr>
        <w:t>O valor estimado deste contrato deverá ser tratado apenas como dado estatístico, fruto da evolução da despesa no período citado, bem como forma de determinar a base de cálculo para aplicação de penalidades previstas neste contrato;</w:t>
      </w:r>
    </w:p>
    <w:p>
      <w:pPr>
        <w:pStyle w:val="ListParagraph"/>
        <w:widowControl w:val="false"/>
        <w:numPr>
          <w:ilvl w:val="1"/>
          <w:numId w:val="1"/>
        </w:numPr>
        <w:spacing w:before="120" w:after="120"/>
        <w:ind w:left="680" w:right="0" w:hanging="432"/>
        <w:contextualSpacing/>
        <w:jc w:val="both"/>
        <w:rPr>
          <w:rFonts w:ascii="Times New Roman" w:hAnsi="Times New Roman" w:cs="Times New Roman"/>
          <w:sz w:val="20"/>
          <w:szCs w:val="20"/>
        </w:rPr>
      </w:pPr>
      <w:r>
        <w:rPr>
          <w:rFonts w:cs="Times New Roman" w:ascii="Times New Roman" w:hAnsi="Times New Roman"/>
          <w:sz w:val="20"/>
          <w:szCs w:val="20"/>
        </w:rPr>
        <w:t>O valor estimado deste contrato não poderá servir de base rígida para a apresentação da Nota Fiscal/Fatura Mensal, já que o total de gastos do mês dependerá dos atendimentos e serviços prestados no respectivo período;</w:t>
      </w:r>
    </w:p>
    <w:p>
      <w:pPr>
        <w:pStyle w:val="ListParagraph"/>
        <w:widowControl w:val="false"/>
        <w:numPr>
          <w:ilvl w:val="1"/>
          <w:numId w:val="1"/>
        </w:numPr>
        <w:spacing w:before="120" w:after="120"/>
        <w:ind w:left="680" w:right="0" w:hanging="432"/>
        <w:contextualSpacing/>
        <w:jc w:val="both"/>
        <w:rPr>
          <w:rFonts w:ascii="Times New Roman" w:hAnsi="Times New Roman" w:cs="Times New Roman"/>
          <w:sz w:val="20"/>
          <w:szCs w:val="20"/>
        </w:rPr>
      </w:pPr>
      <w:r>
        <w:rPr>
          <w:rFonts w:cs="Times New Roman" w:ascii="Times New Roman" w:hAnsi="Times New Roman"/>
          <w:sz w:val="20"/>
          <w:szCs w:val="20"/>
        </w:rPr>
        <w:t>O CONTRATADO aquiesce, desde já, a redução do valor do contrato a monta realmente executada, ainda que acarrete redução, para além do limite permitido no art. 125 da Lei nº 14.133, de 2021, observado que inexistirá expectativa de direto quanto ao valor estimado.</w:t>
      </w:r>
    </w:p>
    <w:p>
      <w:pPr>
        <w:pStyle w:val="Normal"/>
        <w:widowControl w:val="false"/>
        <w:spacing w:before="240" w:after="240"/>
        <w:jc w:val="both"/>
        <w:rPr>
          <w:rFonts w:ascii="Times New Roman" w:hAnsi="Times New Roman" w:cs="Times New Roman"/>
          <w:b/>
          <w:b/>
          <w:sz w:val="20"/>
          <w:szCs w:val="20"/>
          <w:u w:val="single"/>
        </w:rPr>
      </w:pPr>
      <w:r>
        <w:rPr>
          <w:rFonts w:cs="Times New Roman" w:ascii="Times New Roman" w:hAnsi="Times New Roman"/>
          <w:b/>
          <w:sz w:val="20"/>
          <w:szCs w:val="20"/>
          <w:u w:val="single"/>
        </w:rPr>
        <w:t>CLÁUSULA DÉCIMA SÉTIMA - Obrigações pertinentes à LGPD</w:t>
      </w:r>
    </w:p>
    <w:p>
      <w:pPr>
        <w:pStyle w:val="ListParagraph"/>
        <w:widowControl w:val="false"/>
        <w:spacing w:before="120" w:after="120"/>
        <w:ind w:left="680" w:right="0" w:hanging="709"/>
        <w:contextualSpacing/>
        <w:jc w:val="both"/>
        <w:rPr>
          <w:rFonts w:ascii="Times New Roman" w:hAnsi="Times New Roman" w:cs="Times New Roman"/>
          <w:bCs/>
          <w:sz w:val="20"/>
          <w:szCs w:val="20"/>
        </w:rPr>
      </w:pPr>
      <w:r>
        <w:rPr>
          <w:rFonts w:cs="Times New Roman" w:ascii="Times New Roman" w:hAnsi="Times New Roman"/>
          <w:bCs/>
          <w:sz w:val="20"/>
          <w:szCs w:val="20"/>
        </w:rPr>
        <w:t>33.</w:t>
        <w:tab/>
        <w:t xml:space="preserve">As partes deverão cumprir a Lei nº 13.709, de 14 de agosto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 </w:t>
      </w:r>
    </w:p>
    <w:p>
      <w:pPr>
        <w:pStyle w:val="ListParagraph"/>
        <w:widowControl w:val="false"/>
        <w:spacing w:before="120" w:after="120"/>
        <w:ind w:left="-29" w:right="0" w:hanging="0"/>
        <w:contextualSpacing/>
        <w:jc w:val="both"/>
        <w:rPr>
          <w:rFonts w:ascii="Times New Roman" w:hAnsi="Times New Roman" w:cs="Times New Roman"/>
          <w:bCs/>
          <w:sz w:val="20"/>
          <w:szCs w:val="20"/>
        </w:rPr>
      </w:pPr>
      <w:r>
        <w:rPr>
          <w:rFonts w:cs="Times New Roman" w:ascii="Times New Roman" w:hAnsi="Times New Roman"/>
          <w:bCs/>
          <w:sz w:val="20"/>
          <w:szCs w:val="20"/>
        </w:rPr>
        <w:t>34.</w:t>
        <w:tab/>
        <w:t xml:space="preserve">Os dados obtidos somente poderão ser utilizados para as finalidades que justificaram seu acesso e </w:t>
        <w:tab/>
        <w:tab/>
        <w:t xml:space="preserve">de acordo com a boa-fé e com os princípios do art. 6º da LGPD. </w:t>
      </w:r>
    </w:p>
    <w:p>
      <w:pPr>
        <w:pStyle w:val="ListParagraph"/>
        <w:widowControl w:val="false"/>
        <w:spacing w:before="120" w:after="120"/>
        <w:ind w:left="-29" w:right="0" w:hanging="0"/>
        <w:contextualSpacing/>
        <w:jc w:val="both"/>
        <w:rPr>
          <w:rFonts w:ascii="Times New Roman" w:hAnsi="Times New Roman" w:cs="Times New Roman"/>
          <w:bCs/>
          <w:sz w:val="20"/>
          <w:szCs w:val="20"/>
        </w:rPr>
      </w:pPr>
      <w:r>
        <w:rPr>
          <w:rFonts w:cs="Times New Roman" w:ascii="Times New Roman" w:hAnsi="Times New Roman"/>
          <w:bCs/>
          <w:sz w:val="20"/>
          <w:szCs w:val="20"/>
        </w:rPr>
        <w:t xml:space="preserve">35. </w:t>
        <w:tab/>
        <w:t xml:space="preserve">É vedado o compartilhamento com terceiros dos dados obtidos fora das hipóteses permitidas em </w:t>
        <w:tab/>
        <w:tab/>
        <w:t>Lei.</w:t>
      </w:r>
    </w:p>
    <w:p>
      <w:pPr>
        <w:pStyle w:val="ListParagraph"/>
        <w:widowControl w:val="false"/>
        <w:spacing w:before="120" w:after="120"/>
        <w:ind w:left="-29" w:right="0" w:hanging="0"/>
        <w:contextualSpacing/>
        <w:jc w:val="both"/>
        <w:rPr>
          <w:rFonts w:ascii="Times New Roman" w:hAnsi="Times New Roman" w:cs="Times New Roman"/>
          <w:bCs/>
          <w:sz w:val="20"/>
          <w:szCs w:val="20"/>
        </w:rPr>
      </w:pPr>
      <w:r>
        <w:rPr>
          <w:rFonts w:cs="Times New Roman" w:ascii="Times New Roman" w:hAnsi="Times New Roman"/>
          <w:bCs/>
          <w:sz w:val="20"/>
          <w:szCs w:val="20"/>
        </w:rPr>
        <w:t>36.</w:t>
        <w:tab/>
        <w:t xml:space="preserve">A Administração deverá ser informada no prazo de 5 (cinco) dias úteis sobre todos os contratos </w:t>
        <w:tab/>
        <w:tab/>
        <w:t xml:space="preserve">de suboperação firmados ou que venham a ser celebrados pelo Contratado. </w:t>
      </w:r>
    </w:p>
    <w:p>
      <w:pPr>
        <w:pStyle w:val="ListParagraph"/>
        <w:widowControl w:val="false"/>
        <w:spacing w:before="120" w:after="120"/>
        <w:ind w:left="-29" w:right="0" w:hanging="0"/>
        <w:contextualSpacing/>
        <w:jc w:val="both"/>
        <w:rPr>
          <w:rFonts w:ascii="Times New Roman" w:hAnsi="Times New Roman" w:cs="Times New Roman"/>
          <w:bCs/>
          <w:sz w:val="20"/>
          <w:szCs w:val="20"/>
        </w:rPr>
      </w:pPr>
      <w:r>
        <w:rPr>
          <w:rFonts w:cs="Times New Roman" w:ascii="Times New Roman" w:hAnsi="Times New Roman"/>
          <w:bCs/>
          <w:sz w:val="20"/>
          <w:szCs w:val="20"/>
        </w:rPr>
        <w:t xml:space="preserve">37. </w:t>
        <w:tab/>
        <w:t xml:space="preserve">Terminado o tratamento dos dados nos termos do art. 15 da LGPD, é dever do contratado eliminá-los, com exceção das hipóteses do art. 16 da LGPD, incluindo aquelas em que houver necessidade de guarda de documentação para fins de comprovação do cumprimento de obrigações legais ou contratuais e somente enquanto não prescritas essas obrigações. </w:t>
      </w:r>
    </w:p>
    <w:p>
      <w:pPr>
        <w:pStyle w:val="ListParagraph"/>
        <w:widowControl w:val="false"/>
        <w:spacing w:before="120" w:after="120"/>
        <w:ind w:left="680" w:right="0" w:hanging="709"/>
        <w:contextualSpacing/>
        <w:jc w:val="both"/>
        <w:rPr>
          <w:rFonts w:ascii="Times New Roman" w:hAnsi="Times New Roman" w:cs="Times New Roman"/>
          <w:bCs/>
          <w:sz w:val="20"/>
          <w:szCs w:val="20"/>
        </w:rPr>
      </w:pPr>
      <w:r>
        <w:rPr>
          <w:rFonts w:cs="Times New Roman" w:ascii="Times New Roman" w:hAnsi="Times New Roman"/>
          <w:bCs/>
          <w:sz w:val="20"/>
          <w:szCs w:val="20"/>
        </w:rPr>
        <w:t xml:space="preserve">38. </w:t>
        <w:tab/>
        <w:t xml:space="preserve">É dever do contratado orientar e treinar seus empregados sobre os deveres, requisitos e responsabilidades decorrentes da LGPD. </w:t>
      </w:r>
    </w:p>
    <w:p>
      <w:pPr>
        <w:pStyle w:val="ListParagraph"/>
        <w:widowControl w:val="false"/>
        <w:spacing w:before="120" w:after="120"/>
        <w:ind w:left="680" w:right="0" w:hanging="709"/>
        <w:contextualSpacing/>
        <w:jc w:val="both"/>
        <w:rPr>
          <w:rFonts w:ascii="Times New Roman" w:hAnsi="Times New Roman" w:cs="Times New Roman"/>
          <w:bCs/>
          <w:sz w:val="20"/>
          <w:szCs w:val="20"/>
        </w:rPr>
      </w:pPr>
      <w:r>
        <w:rPr>
          <w:rFonts w:cs="Times New Roman" w:ascii="Times New Roman" w:hAnsi="Times New Roman"/>
          <w:bCs/>
          <w:sz w:val="20"/>
          <w:szCs w:val="20"/>
        </w:rPr>
        <w:t>39.</w:t>
        <w:tab/>
        <w:t>O Contratado deverá exigir de suboperadores e subcontratados o cumprimento dos deveres da presente cláusula, permanecendo integralmente responsável por garantir sua observância.</w:t>
      </w:r>
    </w:p>
    <w:p>
      <w:pPr>
        <w:pStyle w:val="ListParagraph"/>
        <w:widowControl w:val="false"/>
        <w:spacing w:before="120" w:after="120"/>
        <w:ind w:left="680" w:right="0" w:hanging="709"/>
        <w:contextualSpacing/>
        <w:jc w:val="both"/>
        <w:rPr>
          <w:rFonts w:ascii="Times New Roman" w:hAnsi="Times New Roman" w:cs="Times New Roman"/>
          <w:bCs/>
          <w:sz w:val="20"/>
          <w:szCs w:val="20"/>
        </w:rPr>
      </w:pPr>
      <w:r>
        <w:rPr>
          <w:rFonts w:cs="Times New Roman" w:ascii="Times New Roman" w:hAnsi="Times New Roman"/>
          <w:bCs/>
          <w:sz w:val="20"/>
          <w:szCs w:val="20"/>
        </w:rPr>
        <w:t>40.</w:t>
        <w:tab/>
        <w:t xml:space="preserve">O Contratante poderá realizar diligência para aferir o cumprimento dessa cláusula, devendo o Contratado atender prontamente eventuais pedidos de comprovação formulados. </w:t>
      </w:r>
    </w:p>
    <w:p>
      <w:pPr>
        <w:pStyle w:val="ListParagraph"/>
        <w:widowControl w:val="false"/>
        <w:spacing w:before="120" w:after="120"/>
        <w:ind w:left="680" w:right="0" w:hanging="709"/>
        <w:contextualSpacing/>
        <w:jc w:val="both"/>
        <w:rPr>
          <w:rFonts w:ascii="Times New Roman" w:hAnsi="Times New Roman" w:cs="Times New Roman"/>
          <w:bCs/>
          <w:sz w:val="20"/>
          <w:szCs w:val="20"/>
        </w:rPr>
      </w:pPr>
      <w:r>
        <w:rPr>
          <w:rFonts w:cs="Times New Roman" w:ascii="Times New Roman" w:hAnsi="Times New Roman"/>
          <w:bCs/>
          <w:sz w:val="20"/>
          <w:szCs w:val="20"/>
        </w:rPr>
        <w:t>41.</w:t>
        <w:tab/>
        <w:t xml:space="preserve">O Contratado deverá prestar, no prazo fixado pelo Contratante, prorrogável justificadamente, quaisquer informações acerca dos dados pessoais para cumprimento da LGPD, inclusive quanto a eventual descarte realizado. </w:t>
      </w:r>
    </w:p>
    <w:p>
      <w:pPr>
        <w:pStyle w:val="ListParagraph"/>
        <w:widowControl w:val="false"/>
        <w:spacing w:before="120" w:after="120"/>
        <w:ind w:left="680" w:right="0" w:hanging="709"/>
        <w:contextualSpacing/>
        <w:jc w:val="both"/>
        <w:rPr>
          <w:rFonts w:ascii="Times New Roman" w:hAnsi="Times New Roman" w:cs="Times New Roman"/>
          <w:bCs/>
          <w:sz w:val="20"/>
          <w:szCs w:val="20"/>
        </w:rPr>
      </w:pPr>
      <w:r>
        <w:rPr>
          <w:rFonts w:cs="Times New Roman" w:ascii="Times New Roman" w:hAnsi="Times New Roman"/>
          <w:bCs/>
          <w:sz w:val="20"/>
          <w:szCs w:val="20"/>
        </w:rPr>
        <w:t>42.</w:t>
        <w:tab/>
        <w:t>Bancos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w:t>
      </w:r>
    </w:p>
    <w:p>
      <w:pPr>
        <w:pStyle w:val="Normal"/>
        <w:widowControl w:val="false"/>
        <w:spacing w:before="120" w:after="120"/>
        <w:ind w:left="680" w:right="0" w:hanging="0"/>
        <w:jc w:val="both"/>
        <w:rPr>
          <w:rFonts w:ascii="Times New Roman" w:hAnsi="Times New Roman" w:cs="Times New Roman"/>
          <w:bCs/>
          <w:sz w:val="20"/>
          <w:szCs w:val="20"/>
        </w:rPr>
      </w:pPr>
      <w:r>
        <w:rPr>
          <w:rFonts w:cs="Times New Roman" w:ascii="Times New Roman" w:hAnsi="Times New Roman"/>
          <w:bCs/>
          <w:sz w:val="20"/>
          <w:szCs w:val="20"/>
        </w:rPr>
        <w:t>42.1. Os referidos bancos de dados devem ser desenvolvidos em formato interoperável, a fim de garantir a reutilização desses dados pela Administração nas hipóteses previstas na LGPD.</w:t>
      </w:r>
    </w:p>
    <w:p>
      <w:pPr>
        <w:pStyle w:val="ListParagraph"/>
        <w:widowControl w:val="false"/>
        <w:spacing w:before="120" w:after="120"/>
        <w:ind w:left="680" w:right="0" w:hanging="709"/>
        <w:contextualSpacing/>
        <w:jc w:val="both"/>
        <w:rPr>
          <w:rFonts w:ascii="Times New Roman" w:hAnsi="Times New Roman" w:cs="Times New Roman"/>
          <w:bCs/>
          <w:sz w:val="20"/>
          <w:szCs w:val="20"/>
        </w:rPr>
      </w:pPr>
      <w:r>
        <w:rPr>
          <w:rFonts w:cs="Times New Roman" w:ascii="Times New Roman" w:hAnsi="Times New Roman"/>
          <w:bCs/>
          <w:sz w:val="20"/>
          <w:szCs w:val="20"/>
        </w:rPr>
        <w:t>43.</w:t>
        <w:tab/>
        <w:t>O contrato está sujeito a ser alterado nos procedimentos pertinentes ao tratamento de dados pessoais, quando indicado pela autoridade competente, em especial a ANPD por meio de opiniões técnicas ou recomendações, editadas na forma da LGPD.</w:t>
      </w:r>
    </w:p>
    <w:p>
      <w:pPr>
        <w:pStyle w:val="ListParagraph"/>
        <w:widowControl w:val="false"/>
        <w:spacing w:before="120" w:after="120"/>
        <w:ind w:left="680" w:right="0" w:hanging="709"/>
        <w:contextualSpacing/>
        <w:jc w:val="both"/>
        <w:rPr>
          <w:rFonts w:ascii="Times New Roman" w:hAnsi="Times New Roman" w:cs="Times New Roman"/>
          <w:bCs/>
          <w:sz w:val="20"/>
          <w:szCs w:val="20"/>
        </w:rPr>
      </w:pPr>
      <w:r>
        <w:rPr>
          <w:rFonts w:cs="Times New Roman" w:ascii="Times New Roman" w:hAnsi="Times New Roman"/>
          <w:bCs/>
          <w:sz w:val="20"/>
          <w:szCs w:val="20"/>
        </w:rPr>
        <w:t>44.</w:t>
        <w:tab/>
        <w:t>Os contratos e convênios de que trata o § 1º do art. 26 da LGPD deverão ser comunicados à autoridade nacional.</w:t>
      </w:r>
    </w:p>
    <w:p>
      <w:pPr>
        <w:pStyle w:val="Normal"/>
        <w:widowControl w:val="false"/>
        <w:spacing w:before="240" w:after="240"/>
        <w:jc w:val="both"/>
        <w:rPr>
          <w:rFonts w:ascii="Times New Roman" w:hAnsi="Times New Roman" w:cs="Times New Roman"/>
          <w:b/>
          <w:b/>
          <w:sz w:val="20"/>
          <w:szCs w:val="20"/>
          <w:u w:val="single"/>
        </w:rPr>
      </w:pPr>
      <w:r>
        <w:rPr>
          <w:rFonts w:cs="Times New Roman" w:ascii="Times New Roman" w:hAnsi="Times New Roman"/>
          <w:b/>
          <w:sz w:val="20"/>
          <w:szCs w:val="20"/>
          <w:u w:val="single"/>
        </w:rPr>
        <w:t>CLÁUSULA DÉCIMA OITAVA – Do foro.</w:t>
      </w:r>
    </w:p>
    <w:p>
      <w:pPr>
        <w:pStyle w:val="ListParagraph"/>
        <w:widowControl w:val="false"/>
        <w:spacing w:before="120" w:after="120"/>
        <w:ind w:left="0" w:right="0" w:hanging="0"/>
        <w:contextualSpacing/>
        <w:jc w:val="both"/>
        <w:rPr>
          <w:rFonts w:ascii="Times New Roman" w:hAnsi="Times New Roman" w:cs="Times New Roman"/>
          <w:sz w:val="20"/>
          <w:szCs w:val="20"/>
        </w:rPr>
      </w:pPr>
      <w:bookmarkStart w:id="2" w:name="_Hlk158891520"/>
      <w:r>
        <w:rPr>
          <w:rFonts w:cs="Times New Roman" w:ascii="Times New Roman" w:hAnsi="Times New Roman"/>
          <w:sz w:val="20"/>
          <w:szCs w:val="20"/>
        </w:rPr>
        <w:t>4</w:t>
      </w:r>
      <w:bookmarkEnd w:id="2"/>
      <w:r>
        <w:rPr>
          <w:rFonts w:cs="Times New Roman" w:ascii="Times New Roman" w:hAnsi="Times New Roman"/>
          <w:sz w:val="20"/>
          <w:szCs w:val="20"/>
        </w:rPr>
        <w:t>5.</w:t>
        <w:tab/>
        <w:t>O foro para dirimir questões relativas ao presente Contrato será o do município de</w:t>
      </w:r>
      <w:r>
        <w:rPr>
          <w:rFonts w:cs="Times New Roman" w:ascii="Times New Roman" w:hAnsi="Times New Roman"/>
          <w:sz w:val="20"/>
          <w:szCs w:val="20"/>
          <w:shd w:fill="FFFFFF" w:val="clear"/>
        </w:rPr>
        <w:t xml:space="preserve"> Sa</w:t>
      </w:r>
      <w:r>
        <w:rPr>
          <w:rFonts w:eastAsia="" w:cs="Times New Roman" w:ascii="Times New Roman" w:hAnsi="Times New Roman"/>
          <w:sz w:val="20"/>
          <w:szCs w:val="20"/>
          <w:shd w:fill="FFFFFF" w:val="clear"/>
          <w:lang w:eastAsia="pt-BR"/>
        </w:rPr>
        <w:t>/</w:t>
      </w:r>
      <w:r>
        <w:rPr>
          <w:rFonts w:eastAsia="" w:cs="Times New Roman" w:ascii="Times New Roman" w:hAnsi="Times New Roman"/>
          <w:color w:val="00000A"/>
          <w:sz w:val="20"/>
          <w:szCs w:val="20"/>
          <w:shd w:fill="FFFFFF" w:val="clear"/>
          <w:lang w:val="pt-BR" w:eastAsia="pt-BR" w:bidi="ar-SA"/>
        </w:rPr>
        <w:t>t’Ana do Livramento-RS</w:t>
      </w:r>
      <w:r>
        <w:rPr>
          <w:rFonts w:cs="Times New Roman" w:ascii="Times New Roman" w:hAnsi="Times New Roman"/>
          <w:sz w:val="20"/>
          <w:szCs w:val="20"/>
        </w:rPr>
        <w:t>, com exclusão de qualquer outro, por mais privilegiado que seja.</w:t>
      </w:r>
    </w:p>
    <w:p>
      <w:pPr>
        <w:pStyle w:val="ListParagraph"/>
        <w:widowControl w:val="false"/>
        <w:spacing w:before="120" w:after="120"/>
        <w:ind w:left="0" w:right="0" w:hanging="0"/>
        <w:contextualSpacing/>
        <w:jc w:val="both"/>
        <w:rPr>
          <w:rFonts w:ascii="Times New Roman" w:hAnsi="Times New Roman" w:cs="Times New Roman"/>
          <w:sz w:val="20"/>
          <w:szCs w:val="20"/>
        </w:rPr>
      </w:pPr>
      <w:r>
        <w:rPr>
          <w:rFonts w:cs="Times New Roman" w:ascii="Times New Roman" w:hAnsi="Times New Roman"/>
          <w:sz w:val="20"/>
          <w:szCs w:val="20"/>
        </w:rPr>
        <w:t>46.</w:t>
        <w:tab/>
        <w:t>E, por estarem justos e contratados, preparam o presente Termo de Contrato, em 4 (quatro) vias de igual teor, para um só efeito, o qual, depois de lido e achado conforme, vai assinado pelas partes signatárias contratantes e por duas testemunhas, para que produza seus efeitos legais, comprometendo-se as partes, a cumprir e fazer cumprir o que ora é pactuado, em todas suas cláusulas e condições.</w:t>
      </w:r>
    </w:p>
    <w:p>
      <w:pPr>
        <w:pStyle w:val="ListParagraph"/>
        <w:widowControl w:val="false"/>
        <w:spacing w:before="120" w:after="120"/>
        <w:ind w:left="0" w:right="0" w:hanging="0"/>
        <w:contextualSpacing/>
        <w:jc w:val="both"/>
        <w:rPr>
          <w:rFonts w:ascii="Times New Roman" w:hAnsi="Times New Roman" w:cs="Times New Roman"/>
          <w:sz w:val="20"/>
          <w:szCs w:val="20"/>
        </w:rPr>
      </w:pPr>
      <w:r>
        <w:rPr>
          <w:rFonts w:cs="Times New Roman" w:ascii="Times New Roman" w:hAnsi="Times New Roman"/>
          <w:sz w:val="20"/>
          <w:szCs w:val="20"/>
        </w:rPr>
      </w:r>
    </w:p>
    <w:p>
      <w:pPr>
        <w:pStyle w:val="Normal"/>
        <w:widowControl w:val="false"/>
        <w:spacing w:before="120" w:after="120"/>
        <w:jc w:val="center"/>
        <w:rPr>
          <w:rFonts w:ascii="Times New Roman" w:hAnsi="Times New Roman" w:cs="Times New Roman"/>
          <w:sz w:val="20"/>
          <w:szCs w:val="20"/>
          <w:highlight w:val="white"/>
        </w:rPr>
      </w:pPr>
      <w:r>
        <w:rPr>
          <w:rFonts w:eastAsia="" w:cs="Times New Roman" w:ascii="Times New Roman" w:hAnsi="Times New Roman"/>
          <w:sz w:val="20"/>
          <w:szCs w:val="20"/>
          <w:shd w:fill="FFFFFF" w:val="clear"/>
          <w:lang w:eastAsia="pt-BR"/>
        </w:rPr>
        <w:t>Sant'Ana do Livramento - RS</w:t>
      </w:r>
      <w:r>
        <w:rPr>
          <w:rFonts w:cs="Times New Roman" w:ascii="Times New Roman" w:hAnsi="Times New Roman"/>
          <w:sz w:val="20"/>
          <w:szCs w:val="20"/>
          <w:shd w:fill="FFFFFF" w:val="clear"/>
        </w:rPr>
        <w:t>, ___ de ___________ de 20___.</w:t>
      </w:r>
    </w:p>
    <w:p>
      <w:pPr>
        <w:pStyle w:val="Normal"/>
        <w:widowControl w:val="false"/>
        <w:spacing w:before="120" w:after="120"/>
        <w:jc w:val="center"/>
        <w:rPr>
          <w:rFonts w:ascii="Times New Roman" w:hAnsi="Times New Roman" w:cs="Times New Roman"/>
          <w:sz w:val="20"/>
          <w:szCs w:val="20"/>
          <w:highlight w:val="white"/>
        </w:rPr>
      </w:pPr>
      <w:r>
        <w:rPr>
          <w:rFonts w:cs="Times New Roman" w:ascii="Times New Roman" w:hAnsi="Times New Roman"/>
          <w:sz w:val="20"/>
          <w:szCs w:val="20"/>
          <w:highlight w:val="white"/>
        </w:rPr>
      </w:r>
    </w:p>
    <w:p>
      <w:pPr>
        <w:pStyle w:val="Normal"/>
        <w:widowControl w:val="false"/>
        <w:spacing w:before="120" w:after="120"/>
        <w:jc w:val="center"/>
        <w:rPr>
          <w:rFonts w:ascii="Times New Roman" w:hAnsi="Times New Roman" w:cs="Times New Roman"/>
          <w:sz w:val="20"/>
          <w:szCs w:val="20"/>
          <w:highlight w:val="white"/>
        </w:rPr>
      </w:pPr>
      <w:r>
        <w:rPr>
          <w:rFonts w:cs="Times New Roman" w:ascii="Times New Roman" w:hAnsi="Times New Roman"/>
          <w:sz w:val="20"/>
          <w:szCs w:val="20"/>
          <w:shd w:fill="FFFFFF" w:val="clear"/>
        </w:rPr>
        <w:t>Pelo CONTRATANTE:</w:t>
      </w:r>
    </w:p>
    <w:p>
      <w:pPr>
        <w:pStyle w:val="Normal"/>
        <w:widowControl w:val="false"/>
        <w:spacing w:before="120" w:after="120"/>
        <w:jc w:val="center"/>
        <w:rPr/>
      </w:pPr>
      <w:r>
        <w:rPr/>
      </w:r>
    </w:p>
    <w:p>
      <w:pPr>
        <w:pStyle w:val="Normal"/>
        <w:widowControl w:val="false"/>
        <w:spacing w:before="120" w:after="120"/>
        <w:jc w:val="center"/>
        <w:rPr/>
      </w:pPr>
      <w:r>
        <w:rPr/>
      </w:r>
    </w:p>
    <w:p>
      <w:pPr>
        <w:pStyle w:val="Normal"/>
        <w:widowControl w:val="false"/>
        <w:spacing w:before="120" w:after="120"/>
        <w:jc w:val="center"/>
        <w:rPr>
          <w:rFonts w:ascii="Times New Roman" w:hAnsi="Times New Roman" w:cs="Times New Roman"/>
          <w:sz w:val="20"/>
          <w:szCs w:val="20"/>
          <w:highlight w:val="white"/>
        </w:rPr>
      </w:pPr>
      <w:r>
        <w:rPr>
          <w:rFonts w:cs="Times New Roman" w:ascii="Times New Roman" w:hAnsi="Times New Roman"/>
          <w:sz w:val="20"/>
          <w:szCs w:val="20"/>
          <w:shd w:fill="FFFFFF" w:val="clear"/>
        </w:rPr>
        <w:t>Ordenador de Despesas do 7º R C Mec</w:t>
      </w:r>
    </w:p>
    <w:p>
      <w:pPr>
        <w:pStyle w:val="Normal"/>
        <w:widowControl w:val="false"/>
        <w:spacing w:before="120" w:after="120"/>
        <w:jc w:val="center"/>
        <w:rPr>
          <w:rFonts w:ascii="Times New Roman" w:hAnsi="Times New Roman" w:cs="Times New Roman"/>
          <w:sz w:val="20"/>
          <w:szCs w:val="20"/>
          <w:highlight w:val="white"/>
        </w:rPr>
      </w:pPr>
      <w:r>
        <w:rPr>
          <w:rFonts w:cs="Times New Roman" w:ascii="Times New Roman" w:hAnsi="Times New Roman"/>
          <w:sz w:val="20"/>
          <w:szCs w:val="20"/>
          <w:highlight w:val="white"/>
        </w:rPr>
      </w:r>
    </w:p>
    <w:p>
      <w:pPr>
        <w:pStyle w:val="Normal"/>
        <w:widowControl w:val="false"/>
        <w:spacing w:before="120" w:after="120"/>
        <w:jc w:val="center"/>
        <w:rPr>
          <w:rFonts w:ascii="Times New Roman" w:hAnsi="Times New Roman" w:cs="Times New Roman"/>
          <w:sz w:val="20"/>
          <w:szCs w:val="20"/>
          <w:highlight w:val="white"/>
        </w:rPr>
      </w:pPr>
      <w:r>
        <w:rPr>
          <w:rFonts w:cs="Times New Roman" w:ascii="Times New Roman" w:hAnsi="Times New Roman"/>
          <w:sz w:val="20"/>
          <w:szCs w:val="20"/>
          <w:shd w:fill="FFFFFF" w:val="clear"/>
        </w:rPr>
        <w:t>Pelo CONTRATADO:</w:t>
      </w:r>
    </w:p>
    <w:p>
      <w:pPr>
        <w:pStyle w:val="Normal"/>
        <w:widowControl w:val="false"/>
        <w:tabs>
          <w:tab w:val="clear" w:pos="680"/>
          <w:tab w:val="left" w:pos="4560" w:leader="none"/>
        </w:tabs>
        <w:spacing w:before="120" w:after="120"/>
        <w:jc w:val="center"/>
        <w:rPr/>
      </w:pPr>
      <w:r>
        <w:rPr/>
      </w:r>
    </w:p>
    <w:p>
      <w:pPr>
        <w:pStyle w:val="Normal"/>
        <w:widowControl w:val="false"/>
        <w:tabs>
          <w:tab w:val="clear" w:pos="680"/>
          <w:tab w:val="left" w:pos="4560" w:leader="none"/>
        </w:tabs>
        <w:spacing w:before="120" w:after="120"/>
        <w:jc w:val="center"/>
        <w:rPr/>
      </w:pPr>
      <w:r>
        <w:rPr/>
      </w:r>
    </w:p>
    <w:p>
      <w:pPr>
        <w:pStyle w:val="Normal"/>
        <w:widowControl w:val="false"/>
        <w:tabs>
          <w:tab w:val="clear" w:pos="680"/>
          <w:tab w:val="left" w:pos="4560" w:leader="none"/>
        </w:tabs>
        <w:spacing w:before="120" w:after="120"/>
        <w:jc w:val="center"/>
        <w:rPr>
          <w:rFonts w:ascii="Times New Roman" w:hAnsi="Times New Roman" w:cs="Times New Roman"/>
          <w:sz w:val="20"/>
          <w:szCs w:val="20"/>
          <w:highlight w:val="white"/>
        </w:rPr>
      </w:pPr>
      <w:r>
        <w:rPr>
          <w:rFonts w:cs="Times New Roman" w:ascii="Times New Roman" w:hAnsi="Times New Roman"/>
          <w:sz w:val="20"/>
          <w:szCs w:val="20"/>
          <w:shd w:fill="FFFFFF" w:val="clear"/>
        </w:rPr>
        <w:t>Representante legal</w:t>
      </w:r>
    </w:p>
    <w:p>
      <w:pPr>
        <w:pStyle w:val="Normal"/>
        <w:widowControl w:val="false"/>
        <w:spacing w:before="120" w:after="120"/>
        <w:jc w:val="both"/>
        <w:rPr>
          <w:rFonts w:ascii="Times New Roman" w:hAnsi="Times New Roman" w:cs="Times New Roman"/>
          <w:b/>
          <w:b/>
          <w:bCs/>
          <w:sz w:val="20"/>
          <w:szCs w:val="20"/>
        </w:rPr>
      </w:pPr>
      <w:r>
        <w:rPr>
          <w:rFonts w:cs="Times New Roman" w:ascii="Times New Roman" w:hAnsi="Times New Roman"/>
          <w:b/>
          <w:bCs/>
          <w:sz w:val="20"/>
          <w:szCs w:val="20"/>
        </w:rPr>
        <w:t>TESTEMUNHAS:</w:t>
      </w:r>
    </w:p>
    <w:p>
      <w:pPr>
        <w:pStyle w:val="Normal"/>
        <w:widowControl w:val="false"/>
        <w:spacing w:before="120" w:after="120"/>
        <w:jc w:val="both"/>
        <w:rPr/>
      </w:pPr>
      <w:r>
        <w:rPr/>
      </w:r>
    </w:p>
    <w:p>
      <w:pPr>
        <w:pStyle w:val="Normal"/>
        <w:widowControl w:val="false"/>
        <w:spacing w:before="120" w:after="120"/>
        <w:jc w:val="both"/>
        <w:rPr/>
      </w:pPr>
      <w:r>
        <w:rPr/>
      </w:r>
    </w:p>
    <w:p>
      <w:pPr>
        <w:pStyle w:val="Normal"/>
        <w:widowControl w:val="false"/>
        <w:spacing w:before="120" w:after="120"/>
        <w:jc w:val="both"/>
        <w:rPr/>
      </w:pPr>
      <w:r>
        <w:rPr/>
      </w:r>
    </w:p>
    <w:p>
      <w:pPr>
        <w:pStyle w:val="Normal"/>
        <w:widowControl w:val="false"/>
        <w:spacing w:before="120" w:after="120"/>
        <w:jc w:val="both"/>
        <w:rPr/>
      </w:pPr>
      <w:r>
        <w:rPr/>
      </w:r>
    </w:p>
    <w:p>
      <w:pPr>
        <w:pStyle w:val="Normal"/>
        <w:widowControl w:val="false"/>
        <w:spacing w:before="120" w:after="120"/>
        <w:jc w:val="both"/>
        <w:rPr/>
      </w:pPr>
      <w:r>
        <w:rPr/>
      </w:r>
    </w:p>
    <w:p>
      <w:pPr>
        <w:pStyle w:val="Normal"/>
        <w:widowControl w:val="false"/>
        <w:spacing w:before="120" w:after="120"/>
        <w:jc w:val="both"/>
        <w:rPr/>
      </w:pPr>
      <w:r>
        <w:rPr/>
      </w:r>
    </w:p>
    <w:p>
      <w:pPr>
        <w:pStyle w:val="Normal"/>
        <w:widowControl w:val="false"/>
        <w:spacing w:before="120" w:after="120"/>
        <w:jc w:val="both"/>
        <w:rPr/>
      </w:pPr>
      <w:r>
        <w:rPr/>
      </w:r>
    </w:p>
    <w:p>
      <w:pPr>
        <w:pStyle w:val="Normal"/>
        <w:widowControl w:val="false"/>
        <w:spacing w:before="120" w:after="120"/>
        <w:jc w:val="both"/>
        <w:rPr/>
      </w:pPr>
      <w:r>
        <w:rPr/>
      </w:r>
    </w:p>
    <w:p>
      <w:pPr>
        <w:pStyle w:val="Normal"/>
        <w:widowControl w:val="false"/>
        <w:spacing w:before="120" w:after="120"/>
        <w:jc w:val="both"/>
        <w:rPr/>
      </w:pPr>
      <w:r>
        <w:rPr/>
      </w:r>
    </w:p>
    <w:p>
      <w:pPr>
        <w:pStyle w:val="Normal"/>
        <w:widowControl w:val="false"/>
        <w:spacing w:before="120" w:after="120"/>
        <w:jc w:val="both"/>
        <w:rPr/>
      </w:pPr>
      <w:r>
        <w:rPr/>
      </w:r>
    </w:p>
    <w:p>
      <w:pPr>
        <w:pStyle w:val="Normal"/>
        <w:widowControl w:val="false"/>
        <w:spacing w:before="120" w:after="120"/>
        <w:jc w:val="both"/>
        <w:rPr/>
      </w:pPr>
      <w:r>
        <w:rPr/>
      </w:r>
    </w:p>
    <w:p>
      <w:pPr>
        <w:pStyle w:val="Normal"/>
        <w:widowControl w:val="false"/>
        <w:spacing w:before="120" w:after="120"/>
        <w:jc w:val="both"/>
        <w:rPr/>
      </w:pPr>
      <w:r>
        <w:rPr/>
      </w:r>
    </w:p>
    <w:p>
      <w:pPr>
        <w:pStyle w:val="Normal"/>
        <w:widowControl w:val="false"/>
        <w:spacing w:before="120" w:after="120"/>
        <w:jc w:val="both"/>
        <w:rPr/>
      </w:pPr>
      <w:r>
        <w:rPr/>
      </w:r>
    </w:p>
    <w:p>
      <w:pPr>
        <w:pStyle w:val="Normal"/>
        <w:widowControl w:val="false"/>
        <w:spacing w:before="120" w:after="120"/>
        <w:jc w:val="both"/>
        <w:rPr/>
      </w:pPr>
      <w:r>
        <w:rPr/>
      </w:r>
    </w:p>
    <w:p>
      <w:pPr>
        <w:pStyle w:val="Normal"/>
        <w:widowControl w:val="false"/>
        <w:spacing w:before="120" w:after="120"/>
        <w:jc w:val="both"/>
        <w:rPr/>
      </w:pPr>
      <w:r>
        <w:rPr/>
      </w:r>
    </w:p>
    <w:p>
      <w:pPr>
        <w:pStyle w:val="Normal"/>
        <w:widowControl w:val="false"/>
        <w:spacing w:before="120" w:after="120"/>
        <w:jc w:val="both"/>
        <w:rPr/>
      </w:pPr>
      <w:r>
        <w:rPr/>
      </w:r>
    </w:p>
    <w:p>
      <w:pPr>
        <w:pStyle w:val="Normal"/>
        <w:widowControl w:val="false"/>
        <w:spacing w:before="120" w:after="120"/>
        <w:jc w:val="both"/>
        <w:rPr/>
      </w:pPr>
      <w:r>
        <w:rPr/>
      </w:r>
    </w:p>
    <w:p>
      <w:pPr>
        <w:pStyle w:val="Normal"/>
        <w:widowControl w:val="false"/>
        <w:spacing w:before="120" w:after="120"/>
        <w:jc w:val="both"/>
        <w:rPr/>
      </w:pPr>
      <w:r>
        <w:rPr/>
      </w:r>
    </w:p>
    <w:p>
      <w:pPr>
        <w:pStyle w:val="Normal"/>
        <w:widowControl w:val="false"/>
        <w:spacing w:before="120" w:after="120"/>
        <w:jc w:val="both"/>
        <w:rPr>
          <w:rFonts w:ascii="Times New Roman" w:hAnsi="Times New Roman" w:cs="Times New Roman"/>
          <w:b/>
          <w:b/>
          <w:bCs/>
          <w:sz w:val="20"/>
          <w:szCs w:val="20"/>
        </w:rPr>
      </w:pPr>
      <w:r>
        <w:rPr>
          <w:rFonts w:cs="Times New Roman" w:ascii="Times New Roman" w:hAnsi="Times New Roman"/>
          <w:b/>
          <w:bCs/>
          <w:sz w:val="20"/>
          <w:szCs w:val="20"/>
        </w:rPr>
        <w:t>ANEXO - I  à Minuta de Contrato para Laboratórios de Análises Clínicas e Citopatologia.</w:t>
      </w:r>
    </w:p>
    <w:p>
      <w:pPr>
        <w:pStyle w:val="Normal"/>
        <w:widowControl w:val="false"/>
        <w:spacing w:before="120" w:after="120"/>
        <w:jc w:val="center"/>
        <w:rPr>
          <w:rFonts w:ascii="Times New Roman" w:hAnsi="Times New Roman" w:cs="Times New Roman"/>
          <w:sz w:val="20"/>
          <w:szCs w:val="20"/>
        </w:rPr>
      </w:pPr>
      <w:r>
        <w:rPr>
          <w:rFonts w:cs="Times New Roman" w:ascii="Times New Roman" w:hAnsi="Times New Roman"/>
          <w:sz w:val="20"/>
          <w:szCs w:val="20"/>
        </w:rPr>
      </w:r>
    </w:p>
    <w:p>
      <w:pPr>
        <w:pStyle w:val="Normal"/>
        <w:widowControl w:val="false"/>
        <w:spacing w:before="120" w:after="120"/>
        <w:jc w:val="center"/>
        <w:rPr>
          <w:rFonts w:ascii="Times New Roman" w:hAnsi="Times New Roman" w:cs="Times New Roman"/>
          <w:sz w:val="20"/>
          <w:szCs w:val="20"/>
        </w:rPr>
      </w:pPr>
      <w:r>
        <w:rPr/>
        <w:drawing>
          <wp:inline distT="0" distB="0" distL="0" distR="0">
            <wp:extent cx="899795" cy="899795"/>
            <wp:effectExtent l="0" t="0" r="0" b="0"/>
            <wp:docPr id="2" name="Figura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igura1" descr=""/>
                    <pic:cNvPicPr>
                      <a:picLocks noChangeAspect="1" noChangeArrowheads="1"/>
                    </pic:cNvPicPr>
                  </pic:nvPicPr>
                  <pic:blipFill>
                    <a:blip r:embed="rId3"/>
                    <a:stretch>
                      <a:fillRect/>
                    </a:stretch>
                  </pic:blipFill>
                  <pic:spPr bwMode="auto">
                    <a:xfrm>
                      <a:off x="0" y="0"/>
                      <a:ext cx="899795" cy="899795"/>
                    </a:xfrm>
                    <a:prstGeom prst="rect">
                      <a:avLst/>
                    </a:prstGeom>
                  </pic:spPr>
                </pic:pic>
              </a:graphicData>
            </a:graphic>
          </wp:inline>
        </w:drawing>
      </w:r>
    </w:p>
    <w:p>
      <w:pPr>
        <w:pStyle w:val="Normal"/>
        <w:spacing w:lineRule="auto" w:line="240" w:before="0" w:after="0"/>
        <w:jc w:val="center"/>
        <w:rPr>
          <w:b/>
          <w:b/>
          <w:bCs/>
          <w:sz w:val="20"/>
          <w:szCs w:val="20"/>
        </w:rPr>
      </w:pPr>
      <w:r>
        <w:rPr>
          <w:rFonts w:cs="Times New Roman" w:ascii="Times New Roman" w:hAnsi="Times New Roman"/>
          <w:b/>
          <w:bCs/>
          <w:color w:val="000000"/>
          <w:sz w:val="20"/>
          <w:szCs w:val="20"/>
        </w:rPr>
        <w:t>MINISTÉRIO DA DEFESA</w:t>
      </w:r>
    </w:p>
    <w:p>
      <w:pPr>
        <w:pStyle w:val="Normal"/>
        <w:spacing w:lineRule="auto" w:line="240" w:before="0" w:after="0"/>
        <w:jc w:val="center"/>
        <w:rPr>
          <w:b/>
          <w:b/>
          <w:bCs/>
          <w:sz w:val="20"/>
          <w:szCs w:val="20"/>
        </w:rPr>
      </w:pPr>
      <w:r>
        <w:rPr>
          <w:rFonts w:cs="Times New Roman" w:ascii="Times New Roman" w:hAnsi="Times New Roman"/>
          <w:b/>
          <w:bCs/>
          <w:color w:val="000000"/>
          <w:sz w:val="20"/>
          <w:szCs w:val="20"/>
        </w:rPr>
        <w:t>EXÉRCITO BRASILEIRO</w:t>
      </w:r>
    </w:p>
    <w:p>
      <w:pPr>
        <w:pStyle w:val="Normal"/>
        <w:spacing w:lineRule="auto" w:line="240" w:before="0" w:after="0"/>
        <w:jc w:val="center"/>
        <w:rPr>
          <w:b/>
          <w:b/>
          <w:bCs/>
          <w:sz w:val="20"/>
          <w:szCs w:val="20"/>
        </w:rPr>
      </w:pPr>
      <w:r>
        <w:rPr>
          <w:rFonts w:cs="Times New Roman" w:ascii="Times New Roman" w:hAnsi="Times New Roman"/>
          <w:b/>
          <w:bCs/>
          <w:sz w:val="20"/>
          <w:szCs w:val="20"/>
        </w:rPr>
        <w:t>7º REGIMENTO DE CAVALARIA MECANIZADO</w:t>
      </w:r>
    </w:p>
    <w:p>
      <w:pPr>
        <w:pStyle w:val="Normal"/>
        <w:widowControl w:val="false"/>
        <w:spacing w:lineRule="auto" w:line="240" w:before="0" w:after="0"/>
        <w:jc w:val="center"/>
        <w:rPr>
          <w:b/>
          <w:b/>
          <w:bCs/>
          <w:sz w:val="20"/>
          <w:szCs w:val="20"/>
        </w:rPr>
      </w:pPr>
      <w:r>
        <w:rPr>
          <w:rFonts w:cs="Times New Roman" w:ascii="Times New Roman" w:hAnsi="Times New Roman"/>
          <w:b/>
          <w:bCs/>
          <w:sz w:val="20"/>
          <w:szCs w:val="20"/>
          <w:shd w:fill="FFFFFF" w:val="clear"/>
        </w:rPr>
        <w:t>REGIMENTO BRIGADEIRO VASCO ALVES PEREIRA</w:t>
      </w:r>
    </w:p>
    <w:p>
      <w:pPr>
        <w:pStyle w:val="Normal"/>
        <w:widowControl w:val="false"/>
        <w:spacing w:lineRule="auto" w:line="240" w:before="0" w:after="0"/>
        <w:jc w:val="center"/>
        <w:rPr>
          <w:b w:val="false"/>
          <w:b w:val="false"/>
          <w:bCs w:val="false"/>
          <w:sz w:val="22"/>
          <w:szCs w:val="22"/>
        </w:rPr>
      </w:pPr>
      <w:r>
        <w:rPr>
          <w:b w:val="false"/>
          <w:bCs w:val="false"/>
          <w:sz w:val="22"/>
          <w:szCs w:val="22"/>
        </w:rPr>
      </w:r>
    </w:p>
    <w:p>
      <w:pPr>
        <w:pStyle w:val="Corpodotexto"/>
        <w:spacing w:before="120" w:after="120"/>
        <w:jc w:val="center"/>
        <w:rPr>
          <w:rFonts w:ascii="Times New Roman" w:hAnsi="Times New Roman" w:cs="Times New Roman"/>
          <w:b/>
          <w:b/>
          <w:sz w:val="20"/>
        </w:rPr>
      </w:pPr>
      <w:r>
        <w:rPr>
          <w:rFonts w:cs="Times New Roman" w:ascii="Times New Roman" w:hAnsi="Times New Roman"/>
          <w:b/>
          <w:sz w:val="20"/>
        </w:rPr>
        <w:t>LISTA REFERENCIAL DE GLOSA DO ______________________________________</w:t>
      </w:r>
    </w:p>
    <w:p>
      <w:pPr>
        <w:pStyle w:val="Corpodotexto"/>
        <w:spacing w:before="120" w:after="120"/>
        <w:jc w:val="center"/>
        <w:rPr>
          <w:rFonts w:ascii="Times New Roman" w:hAnsi="Times New Roman" w:cs="Times New Roman"/>
          <w:b/>
          <w:b/>
          <w:sz w:val="20"/>
          <w:u w:val="single"/>
        </w:rPr>
      </w:pPr>
      <w:r>
        <w:rPr>
          <w:rFonts w:cs="Times New Roman" w:ascii="Times New Roman" w:hAnsi="Times New Roman"/>
          <w:b/>
          <w:sz w:val="20"/>
          <w:u w:val="single"/>
        </w:rPr>
      </w:r>
    </w:p>
    <w:p>
      <w:pPr>
        <w:pStyle w:val="Normal"/>
        <w:pBdr>
          <w:top w:val="single" w:sz="4" w:space="1" w:color="000001"/>
          <w:left w:val="single" w:sz="4" w:space="4" w:color="000001"/>
          <w:bottom w:val="single" w:sz="4" w:space="0" w:color="000001"/>
          <w:right w:val="single" w:sz="4" w:space="4" w:color="000001"/>
        </w:pBdr>
        <w:spacing w:before="120" w:after="120"/>
        <w:jc w:val="center"/>
        <w:rPr>
          <w:rFonts w:ascii="Times New Roman" w:hAnsi="Times New Roman" w:cs="Times New Roman"/>
          <w:sz w:val="20"/>
          <w:szCs w:val="20"/>
        </w:rPr>
      </w:pPr>
      <w:r>
        <w:rPr>
          <w:rFonts w:cs="Times New Roman" w:ascii="Times New Roman" w:hAnsi="Times New Roman"/>
          <w:sz w:val="20"/>
          <w:szCs w:val="20"/>
        </w:rPr>
        <w:t>Tabela de Glosa do FuSEx</w:t>
      </w:r>
    </w:p>
    <w:tbl>
      <w:tblPr>
        <w:tblW w:w="8493" w:type="dxa"/>
        <w:jc w:val="left"/>
        <w:tblInd w:w="0" w:type="dxa"/>
        <w:tblCellMar>
          <w:top w:w="0" w:type="dxa"/>
          <w:left w:w="103" w:type="dxa"/>
          <w:bottom w:w="0" w:type="dxa"/>
          <w:right w:w="108" w:type="dxa"/>
        </w:tblCellMar>
      </w:tblPr>
      <w:tblGrid>
        <w:gridCol w:w="415"/>
        <w:gridCol w:w="3839"/>
        <w:gridCol w:w="463"/>
        <w:gridCol w:w="3775"/>
      </w:tblGrid>
      <w:tr>
        <w:trPr/>
        <w:tc>
          <w:tcPr>
            <w:tcW w:w="415"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pacing w:before="0" w:after="0"/>
              <w:jc w:val="center"/>
              <w:rPr>
                <w:rFonts w:ascii="Times New Roman" w:hAnsi="Times New Roman" w:cs="Times New Roman"/>
                <w:sz w:val="20"/>
                <w:szCs w:val="20"/>
                <w:highlight w:val="white"/>
              </w:rPr>
            </w:pPr>
            <w:r>
              <w:rPr>
                <w:rFonts w:cs="Times New Roman" w:ascii="Times New Roman" w:hAnsi="Times New Roman"/>
                <w:sz w:val="20"/>
                <w:szCs w:val="20"/>
                <w:shd w:fill="FFFFFF" w:val="clear"/>
              </w:rPr>
              <w:t>1</w:t>
            </w:r>
          </w:p>
        </w:tc>
        <w:tc>
          <w:tcPr>
            <w:tcW w:w="3839"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pacing w:before="0" w:after="0"/>
              <w:jc w:val="center"/>
              <w:rPr>
                <w:rFonts w:ascii="Times New Roman" w:hAnsi="Times New Roman" w:cs="Times New Roman"/>
                <w:sz w:val="20"/>
                <w:szCs w:val="20"/>
                <w:highlight w:val="white"/>
              </w:rPr>
            </w:pPr>
            <w:r>
              <w:rPr>
                <w:rFonts w:cs="Times New Roman" w:ascii="Times New Roman" w:hAnsi="Times New Roman"/>
                <w:sz w:val="20"/>
                <w:szCs w:val="20"/>
                <w:shd w:fill="FFFFFF" w:val="clear"/>
              </w:rPr>
              <w:t>Atendimento não caracterizando urgência</w:t>
            </w:r>
          </w:p>
        </w:tc>
        <w:tc>
          <w:tcPr>
            <w:tcW w:w="463"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pacing w:before="0" w:after="0"/>
              <w:jc w:val="center"/>
              <w:rPr>
                <w:rFonts w:ascii="Times New Roman" w:hAnsi="Times New Roman" w:cs="Times New Roman"/>
                <w:sz w:val="20"/>
                <w:szCs w:val="20"/>
                <w:highlight w:val="white"/>
              </w:rPr>
            </w:pPr>
            <w:r>
              <w:rPr>
                <w:rFonts w:cs="Times New Roman" w:ascii="Times New Roman" w:hAnsi="Times New Roman"/>
                <w:sz w:val="20"/>
                <w:szCs w:val="20"/>
                <w:shd w:fill="FFFFFF" w:val="clear"/>
              </w:rPr>
              <w:t>41</w:t>
            </w:r>
          </w:p>
        </w:tc>
        <w:tc>
          <w:tcPr>
            <w:tcW w:w="3775"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pacing w:before="0" w:after="0"/>
              <w:jc w:val="center"/>
              <w:rPr>
                <w:rFonts w:ascii="Times New Roman" w:hAnsi="Times New Roman" w:cs="Times New Roman"/>
                <w:sz w:val="20"/>
                <w:szCs w:val="20"/>
                <w:highlight w:val="white"/>
              </w:rPr>
            </w:pPr>
            <w:r>
              <w:rPr>
                <w:rFonts w:cs="Times New Roman" w:ascii="Times New Roman" w:hAnsi="Times New Roman"/>
                <w:sz w:val="20"/>
                <w:szCs w:val="20"/>
                <w:shd w:fill="FFFFFF" w:val="clear"/>
              </w:rPr>
              <w:t>Material incluso no procedimento</w:t>
            </w:r>
          </w:p>
        </w:tc>
      </w:tr>
      <w:tr>
        <w:trPr/>
        <w:tc>
          <w:tcPr>
            <w:tcW w:w="415"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pacing w:before="0" w:after="0"/>
              <w:jc w:val="center"/>
              <w:rPr>
                <w:rFonts w:ascii="Times New Roman" w:hAnsi="Times New Roman" w:cs="Times New Roman"/>
                <w:sz w:val="20"/>
                <w:szCs w:val="20"/>
                <w:highlight w:val="white"/>
              </w:rPr>
            </w:pPr>
            <w:r>
              <w:rPr>
                <w:rFonts w:cs="Times New Roman" w:ascii="Times New Roman" w:hAnsi="Times New Roman"/>
                <w:sz w:val="20"/>
                <w:szCs w:val="20"/>
                <w:shd w:fill="FFFFFF" w:val="clear"/>
              </w:rPr>
              <w:t>2</w:t>
            </w:r>
          </w:p>
        </w:tc>
        <w:tc>
          <w:tcPr>
            <w:tcW w:w="3839"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pacing w:before="0" w:after="0"/>
              <w:jc w:val="center"/>
              <w:rPr>
                <w:rFonts w:ascii="Times New Roman" w:hAnsi="Times New Roman" w:cs="Times New Roman"/>
                <w:sz w:val="20"/>
                <w:szCs w:val="20"/>
                <w:highlight w:val="white"/>
              </w:rPr>
            </w:pPr>
            <w:r>
              <w:rPr>
                <w:rFonts w:cs="Times New Roman" w:ascii="Times New Roman" w:hAnsi="Times New Roman"/>
                <w:sz w:val="20"/>
                <w:szCs w:val="20"/>
                <w:shd w:fill="FFFFFF" w:val="clear"/>
              </w:rPr>
              <w:t>Acomodação acima da autorizada</w:t>
            </w:r>
          </w:p>
        </w:tc>
        <w:tc>
          <w:tcPr>
            <w:tcW w:w="463"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pacing w:before="0" w:after="0"/>
              <w:jc w:val="center"/>
              <w:rPr>
                <w:rFonts w:ascii="Times New Roman" w:hAnsi="Times New Roman" w:cs="Times New Roman"/>
                <w:sz w:val="20"/>
                <w:szCs w:val="20"/>
                <w:highlight w:val="white"/>
              </w:rPr>
            </w:pPr>
            <w:r>
              <w:rPr>
                <w:rFonts w:cs="Times New Roman" w:ascii="Times New Roman" w:hAnsi="Times New Roman"/>
                <w:sz w:val="20"/>
                <w:szCs w:val="20"/>
                <w:shd w:fill="FFFFFF" w:val="clear"/>
              </w:rPr>
              <w:t>42</w:t>
            </w:r>
          </w:p>
        </w:tc>
        <w:tc>
          <w:tcPr>
            <w:tcW w:w="3775"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pacing w:before="0" w:after="0"/>
              <w:jc w:val="center"/>
              <w:rPr>
                <w:rFonts w:ascii="Times New Roman" w:hAnsi="Times New Roman" w:cs="Times New Roman"/>
                <w:sz w:val="20"/>
                <w:szCs w:val="20"/>
                <w:highlight w:val="white"/>
              </w:rPr>
            </w:pPr>
            <w:r>
              <w:rPr>
                <w:rFonts w:cs="Times New Roman" w:ascii="Times New Roman" w:hAnsi="Times New Roman"/>
                <w:sz w:val="20"/>
                <w:szCs w:val="20"/>
                <w:shd w:fill="FFFFFF" w:val="clear"/>
              </w:rPr>
              <w:t>Material não coberto (ver relação anexa)</w:t>
            </w:r>
          </w:p>
        </w:tc>
      </w:tr>
      <w:tr>
        <w:trPr/>
        <w:tc>
          <w:tcPr>
            <w:tcW w:w="415"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pacing w:before="0" w:after="0"/>
              <w:jc w:val="center"/>
              <w:rPr>
                <w:rFonts w:ascii="Times New Roman" w:hAnsi="Times New Roman" w:cs="Times New Roman"/>
                <w:sz w:val="20"/>
                <w:szCs w:val="20"/>
                <w:highlight w:val="white"/>
              </w:rPr>
            </w:pPr>
            <w:r>
              <w:rPr>
                <w:rFonts w:cs="Times New Roman" w:ascii="Times New Roman" w:hAnsi="Times New Roman"/>
                <w:sz w:val="20"/>
                <w:szCs w:val="20"/>
                <w:shd w:fill="FFFFFF" w:val="clear"/>
              </w:rPr>
              <w:t>3</w:t>
            </w:r>
          </w:p>
        </w:tc>
        <w:tc>
          <w:tcPr>
            <w:tcW w:w="3839"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pacing w:before="0" w:after="0"/>
              <w:jc w:val="center"/>
              <w:rPr>
                <w:rFonts w:ascii="Times New Roman" w:hAnsi="Times New Roman" w:cs="Times New Roman"/>
                <w:sz w:val="20"/>
                <w:szCs w:val="20"/>
                <w:highlight w:val="white"/>
              </w:rPr>
            </w:pPr>
            <w:r>
              <w:rPr>
                <w:rFonts w:cs="Times New Roman" w:ascii="Times New Roman" w:hAnsi="Times New Roman"/>
                <w:sz w:val="20"/>
                <w:szCs w:val="20"/>
                <w:shd w:fill="FFFFFF" w:val="clear"/>
              </w:rPr>
              <w:t>Atendimento por médico militar</w:t>
            </w:r>
          </w:p>
        </w:tc>
        <w:tc>
          <w:tcPr>
            <w:tcW w:w="463"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pacing w:before="0" w:after="0"/>
              <w:jc w:val="center"/>
              <w:rPr>
                <w:rFonts w:ascii="Times New Roman" w:hAnsi="Times New Roman" w:cs="Times New Roman"/>
                <w:sz w:val="20"/>
                <w:szCs w:val="20"/>
                <w:highlight w:val="white"/>
              </w:rPr>
            </w:pPr>
            <w:r>
              <w:rPr>
                <w:rFonts w:cs="Times New Roman" w:ascii="Times New Roman" w:hAnsi="Times New Roman"/>
                <w:sz w:val="20"/>
                <w:szCs w:val="20"/>
                <w:shd w:fill="FFFFFF" w:val="clear"/>
              </w:rPr>
              <w:t>43</w:t>
            </w:r>
          </w:p>
        </w:tc>
        <w:tc>
          <w:tcPr>
            <w:tcW w:w="3775"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pacing w:before="0" w:after="0"/>
              <w:jc w:val="center"/>
              <w:rPr>
                <w:rFonts w:ascii="Times New Roman" w:hAnsi="Times New Roman" w:cs="Times New Roman"/>
                <w:sz w:val="20"/>
                <w:szCs w:val="20"/>
                <w:highlight w:val="white"/>
              </w:rPr>
            </w:pPr>
            <w:r>
              <w:rPr>
                <w:rFonts w:cs="Times New Roman" w:ascii="Times New Roman" w:hAnsi="Times New Roman"/>
                <w:sz w:val="20"/>
                <w:szCs w:val="20"/>
                <w:shd w:fill="FFFFFF" w:val="clear"/>
              </w:rPr>
              <w:t>Material não justificado para o caso</w:t>
            </w:r>
          </w:p>
        </w:tc>
      </w:tr>
      <w:tr>
        <w:trPr/>
        <w:tc>
          <w:tcPr>
            <w:tcW w:w="415"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pacing w:before="0" w:after="0"/>
              <w:jc w:val="center"/>
              <w:rPr>
                <w:rFonts w:ascii="Times New Roman" w:hAnsi="Times New Roman" w:cs="Times New Roman"/>
                <w:sz w:val="20"/>
                <w:szCs w:val="20"/>
                <w:highlight w:val="white"/>
              </w:rPr>
            </w:pPr>
            <w:r>
              <w:rPr>
                <w:rFonts w:cs="Times New Roman" w:ascii="Times New Roman" w:hAnsi="Times New Roman"/>
                <w:sz w:val="20"/>
                <w:szCs w:val="20"/>
                <w:shd w:fill="FFFFFF" w:val="clear"/>
              </w:rPr>
              <w:t>4</w:t>
            </w:r>
          </w:p>
        </w:tc>
        <w:tc>
          <w:tcPr>
            <w:tcW w:w="3839"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pacing w:before="0" w:after="0"/>
              <w:jc w:val="center"/>
              <w:rPr>
                <w:rFonts w:ascii="Times New Roman" w:hAnsi="Times New Roman" w:cs="Times New Roman"/>
                <w:sz w:val="20"/>
                <w:szCs w:val="20"/>
                <w:highlight w:val="white"/>
              </w:rPr>
            </w:pPr>
            <w:r>
              <w:rPr>
                <w:rFonts w:cs="Times New Roman" w:ascii="Times New Roman" w:hAnsi="Times New Roman"/>
                <w:sz w:val="20"/>
                <w:szCs w:val="20"/>
                <w:shd w:fill="FFFFFF" w:val="clear"/>
              </w:rPr>
              <w:t>Cobrança de mais de30% em dia e hora normais</w:t>
            </w:r>
          </w:p>
        </w:tc>
        <w:tc>
          <w:tcPr>
            <w:tcW w:w="463"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pacing w:before="0" w:after="0"/>
              <w:jc w:val="center"/>
              <w:rPr>
                <w:rFonts w:ascii="Times New Roman" w:hAnsi="Times New Roman" w:cs="Times New Roman"/>
                <w:sz w:val="20"/>
                <w:szCs w:val="20"/>
                <w:highlight w:val="white"/>
              </w:rPr>
            </w:pPr>
            <w:r>
              <w:rPr>
                <w:rFonts w:cs="Times New Roman" w:ascii="Times New Roman" w:hAnsi="Times New Roman"/>
                <w:sz w:val="20"/>
                <w:szCs w:val="20"/>
                <w:shd w:fill="FFFFFF" w:val="clear"/>
              </w:rPr>
              <w:t>44</w:t>
            </w:r>
          </w:p>
        </w:tc>
        <w:tc>
          <w:tcPr>
            <w:tcW w:w="3775"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pacing w:before="0" w:after="0"/>
              <w:jc w:val="center"/>
              <w:rPr>
                <w:rFonts w:ascii="Times New Roman" w:hAnsi="Times New Roman" w:cs="Times New Roman"/>
                <w:sz w:val="20"/>
                <w:szCs w:val="20"/>
                <w:highlight w:val="white"/>
              </w:rPr>
            </w:pPr>
            <w:r>
              <w:rPr>
                <w:rFonts w:cs="Times New Roman" w:ascii="Times New Roman" w:hAnsi="Times New Roman"/>
                <w:sz w:val="20"/>
                <w:szCs w:val="20"/>
                <w:shd w:fill="FFFFFF" w:val="clear"/>
              </w:rPr>
              <w:t>Material não utilizado</w:t>
            </w:r>
          </w:p>
        </w:tc>
      </w:tr>
      <w:tr>
        <w:trPr/>
        <w:tc>
          <w:tcPr>
            <w:tcW w:w="415"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pacing w:before="0" w:after="0"/>
              <w:jc w:val="center"/>
              <w:rPr>
                <w:rFonts w:ascii="Times New Roman" w:hAnsi="Times New Roman" w:cs="Times New Roman"/>
                <w:sz w:val="20"/>
                <w:szCs w:val="20"/>
                <w:highlight w:val="white"/>
              </w:rPr>
            </w:pPr>
            <w:r>
              <w:rPr>
                <w:rFonts w:cs="Times New Roman" w:ascii="Times New Roman" w:hAnsi="Times New Roman"/>
                <w:sz w:val="20"/>
                <w:szCs w:val="20"/>
                <w:shd w:fill="FFFFFF" w:val="clear"/>
              </w:rPr>
              <w:t>5</w:t>
            </w:r>
          </w:p>
        </w:tc>
        <w:tc>
          <w:tcPr>
            <w:tcW w:w="3839"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pacing w:before="0" w:after="0"/>
              <w:jc w:val="center"/>
              <w:rPr>
                <w:rFonts w:ascii="Times New Roman" w:hAnsi="Times New Roman" w:cs="Times New Roman"/>
                <w:sz w:val="20"/>
                <w:szCs w:val="20"/>
                <w:highlight w:val="white"/>
              </w:rPr>
            </w:pPr>
            <w:r>
              <w:rPr>
                <w:rFonts w:cs="Times New Roman" w:ascii="Times New Roman" w:hAnsi="Times New Roman"/>
                <w:sz w:val="20"/>
                <w:szCs w:val="20"/>
                <w:shd w:fill="FFFFFF" w:val="clear"/>
              </w:rPr>
              <w:t>Cobrança de 30 % não caracterizado urgência ou emergência</w:t>
            </w:r>
          </w:p>
        </w:tc>
        <w:tc>
          <w:tcPr>
            <w:tcW w:w="463"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pacing w:before="0" w:after="0"/>
              <w:jc w:val="center"/>
              <w:rPr>
                <w:rFonts w:ascii="Times New Roman" w:hAnsi="Times New Roman" w:cs="Times New Roman"/>
                <w:sz w:val="20"/>
                <w:szCs w:val="20"/>
                <w:highlight w:val="white"/>
              </w:rPr>
            </w:pPr>
            <w:r>
              <w:rPr>
                <w:rFonts w:cs="Times New Roman" w:ascii="Times New Roman" w:hAnsi="Times New Roman"/>
                <w:sz w:val="20"/>
                <w:szCs w:val="20"/>
                <w:shd w:fill="FFFFFF" w:val="clear"/>
              </w:rPr>
              <w:t>45</w:t>
            </w:r>
          </w:p>
        </w:tc>
        <w:tc>
          <w:tcPr>
            <w:tcW w:w="3775"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pacing w:before="0" w:after="0"/>
              <w:jc w:val="center"/>
              <w:rPr>
                <w:rFonts w:ascii="Times New Roman" w:hAnsi="Times New Roman" w:cs="Times New Roman"/>
                <w:sz w:val="20"/>
                <w:szCs w:val="20"/>
                <w:highlight w:val="white"/>
              </w:rPr>
            </w:pPr>
            <w:r>
              <w:rPr>
                <w:rFonts w:cs="Times New Roman" w:ascii="Times New Roman" w:hAnsi="Times New Roman"/>
                <w:sz w:val="20"/>
                <w:szCs w:val="20"/>
                <w:shd w:fill="FFFFFF" w:val="clear"/>
              </w:rPr>
              <w:t>Material reutilizável – pagamento parcial</w:t>
            </w:r>
          </w:p>
        </w:tc>
      </w:tr>
      <w:tr>
        <w:trPr/>
        <w:tc>
          <w:tcPr>
            <w:tcW w:w="415"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pacing w:before="0" w:after="0"/>
              <w:jc w:val="center"/>
              <w:rPr>
                <w:rFonts w:ascii="Times New Roman" w:hAnsi="Times New Roman" w:cs="Times New Roman"/>
                <w:sz w:val="20"/>
                <w:szCs w:val="20"/>
                <w:highlight w:val="white"/>
              </w:rPr>
            </w:pPr>
            <w:r>
              <w:rPr>
                <w:rFonts w:cs="Times New Roman" w:ascii="Times New Roman" w:hAnsi="Times New Roman"/>
                <w:sz w:val="20"/>
                <w:szCs w:val="20"/>
                <w:shd w:fill="FFFFFF" w:val="clear"/>
              </w:rPr>
              <w:t>6</w:t>
            </w:r>
          </w:p>
        </w:tc>
        <w:tc>
          <w:tcPr>
            <w:tcW w:w="3839"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pacing w:before="0" w:after="0"/>
              <w:jc w:val="center"/>
              <w:rPr>
                <w:rFonts w:ascii="Times New Roman" w:hAnsi="Times New Roman" w:cs="Times New Roman"/>
                <w:sz w:val="20"/>
                <w:szCs w:val="20"/>
                <w:highlight w:val="white"/>
              </w:rPr>
            </w:pPr>
            <w:r>
              <w:rPr>
                <w:rFonts w:cs="Times New Roman" w:ascii="Times New Roman" w:hAnsi="Times New Roman"/>
                <w:sz w:val="20"/>
                <w:szCs w:val="20"/>
                <w:shd w:fill="FFFFFF" w:val="clear"/>
              </w:rPr>
              <w:t>Consulta inclusa no procedimento cirúrgico</w:t>
            </w:r>
          </w:p>
        </w:tc>
        <w:tc>
          <w:tcPr>
            <w:tcW w:w="463"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pacing w:before="0" w:after="0"/>
              <w:jc w:val="center"/>
              <w:rPr>
                <w:rFonts w:ascii="Times New Roman" w:hAnsi="Times New Roman" w:cs="Times New Roman"/>
                <w:sz w:val="20"/>
                <w:szCs w:val="20"/>
                <w:highlight w:val="white"/>
              </w:rPr>
            </w:pPr>
            <w:r>
              <w:rPr>
                <w:rFonts w:cs="Times New Roman" w:ascii="Times New Roman" w:hAnsi="Times New Roman"/>
                <w:sz w:val="20"/>
                <w:szCs w:val="20"/>
                <w:shd w:fill="FFFFFF" w:val="clear"/>
              </w:rPr>
              <w:t>46</w:t>
            </w:r>
          </w:p>
        </w:tc>
        <w:tc>
          <w:tcPr>
            <w:tcW w:w="3775"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pacing w:before="0" w:after="0"/>
              <w:jc w:val="center"/>
              <w:rPr>
                <w:rFonts w:ascii="Times New Roman" w:hAnsi="Times New Roman" w:cs="Times New Roman"/>
                <w:sz w:val="20"/>
                <w:szCs w:val="20"/>
                <w:highlight w:val="white"/>
              </w:rPr>
            </w:pPr>
            <w:r>
              <w:rPr>
                <w:rFonts w:cs="Times New Roman" w:ascii="Times New Roman" w:hAnsi="Times New Roman"/>
                <w:sz w:val="20"/>
                <w:szCs w:val="20"/>
                <w:shd w:fill="FFFFFF" w:val="clear"/>
              </w:rPr>
              <w:t>Medicação não considerada de urgência</w:t>
            </w:r>
          </w:p>
        </w:tc>
      </w:tr>
      <w:tr>
        <w:trPr/>
        <w:tc>
          <w:tcPr>
            <w:tcW w:w="415"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pacing w:before="0" w:after="0"/>
              <w:jc w:val="center"/>
              <w:rPr>
                <w:rFonts w:ascii="Times New Roman" w:hAnsi="Times New Roman" w:cs="Times New Roman"/>
                <w:sz w:val="20"/>
                <w:szCs w:val="20"/>
                <w:highlight w:val="white"/>
              </w:rPr>
            </w:pPr>
            <w:r>
              <w:rPr>
                <w:rFonts w:cs="Times New Roman" w:ascii="Times New Roman" w:hAnsi="Times New Roman"/>
                <w:sz w:val="20"/>
                <w:szCs w:val="20"/>
                <w:shd w:fill="FFFFFF" w:val="clear"/>
              </w:rPr>
              <w:t>7</w:t>
            </w:r>
          </w:p>
        </w:tc>
        <w:tc>
          <w:tcPr>
            <w:tcW w:w="3839"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pacing w:before="0" w:after="0"/>
              <w:jc w:val="center"/>
              <w:rPr>
                <w:rFonts w:ascii="Times New Roman" w:hAnsi="Times New Roman" w:cs="Times New Roman"/>
                <w:sz w:val="20"/>
                <w:szCs w:val="20"/>
                <w:highlight w:val="white"/>
              </w:rPr>
            </w:pPr>
            <w:r>
              <w:rPr>
                <w:rFonts w:cs="Times New Roman" w:ascii="Times New Roman" w:hAnsi="Times New Roman"/>
                <w:sz w:val="20"/>
                <w:szCs w:val="20"/>
                <w:shd w:fill="FFFFFF" w:val="clear"/>
              </w:rPr>
              <w:t>Curativo incluso no procedimento cirúrgico</w:t>
            </w:r>
          </w:p>
        </w:tc>
        <w:tc>
          <w:tcPr>
            <w:tcW w:w="463"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pacing w:before="0" w:after="0"/>
              <w:jc w:val="center"/>
              <w:rPr>
                <w:rFonts w:ascii="Times New Roman" w:hAnsi="Times New Roman" w:cs="Times New Roman"/>
                <w:sz w:val="20"/>
                <w:szCs w:val="20"/>
                <w:highlight w:val="white"/>
              </w:rPr>
            </w:pPr>
            <w:r>
              <w:rPr>
                <w:rFonts w:cs="Times New Roman" w:ascii="Times New Roman" w:hAnsi="Times New Roman"/>
                <w:sz w:val="20"/>
                <w:szCs w:val="20"/>
                <w:shd w:fill="FFFFFF" w:val="clear"/>
              </w:rPr>
              <w:t>47</w:t>
            </w:r>
          </w:p>
        </w:tc>
        <w:tc>
          <w:tcPr>
            <w:tcW w:w="3775"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pacing w:before="0" w:after="0"/>
              <w:jc w:val="center"/>
              <w:rPr>
                <w:rFonts w:ascii="Times New Roman" w:hAnsi="Times New Roman" w:cs="Times New Roman"/>
                <w:sz w:val="20"/>
                <w:szCs w:val="20"/>
                <w:highlight w:val="white"/>
              </w:rPr>
            </w:pPr>
            <w:r>
              <w:rPr>
                <w:rFonts w:cs="Times New Roman" w:ascii="Times New Roman" w:hAnsi="Times New Roman"/>
                <w:sz w:val="20"/>
                <w:szCs w:val="20"/>
                <w:shd w:fill="FFFFFF" w:val="clear"/>
              </w:rPr>
              <w:t>Medicação em desacordo com a prescrição</w:t>
            </w:r>
          </w:p>
        </w:tc>
      </w:tr>
      <w:tr>
        <w:trPr/>
        <w:tc>
          <w:tcPr>
            <w:tcW w:w="415"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pacing w:before="0" w:after="0"/>
              <w:jc w:val="center"/>
              <w:rPr>
                <w:rFonts w:ascii="Times New Roman" w:hAnsi="Times New Roman" w:cs="Times New Roman"/>
                <w:sz w:val="20"/>
                <w:szCs w:val="20"/>
                <w:highlight w:val="white"/>
              </w:rPr>
            </w:pPr>
            <w:r>
              <w:rPr>
                <w:rFonts w:cs="Times New Roman" w:ascii="Times New Roman" w:hAnsi="Times New Roman"/>
                <w:sz w:val="20"/>
                <w:szCs w:val="20"/>
                <w:shd w:fill="FFFFFF" w:val="clear"/>
              </w:rPr>
              <w:t>8</w:t>
            </w:r>
          </w:p>
        </w:tc>
        <w:tc>
          <w:tcPr>
            <w:tcW w:w="3839"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pacing w:before="0" w:after="0"/>
              <w:jc w:val="center"/>
              <w:rPr>
                <w:rFonts w:ascii="Times New Roman" w:hAnsi="Times New Roman" w:cs="Times New Roman"/>
                <w:sz w:val="20"/>
                <w:szCs w:val="20"/>
                <w:highlight w:val="white"/>
              </w:rPr>
            </w:pPr>
            <w:r>
              <w:rPr>
                <w:rFonts w:cs="Times New Roman" w:ascii="Times New Roman" w:hAnsi="Times New Roman"/>
                <w:sz w:val="20"/>
                <w:szCs w:val="20"/>
                <w:shd w:fill="FFFFFF" w:val="clear"/>
              </w:rPr>
              <w:t>Data de atendimento fora da sequencia na planilha</w:t>
            </w:r>
          </w:p>
        </w:tc>
        <w:tc>
          <w:tcPr>
            <w:tcW w:w="463"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pacing w:before="0" w:after="0"/>
              <w:jc w:val="center"/>
              <w:rPr>
                <w:rFonts w:ascii="Times New Roman" w:hAnsi="Times New Roman" w:cs="Times New Roman"/>
                <w:sz w:val="20"/>
                <w:szCs w:val="20"/>
                <w:highlight w:val="white"/>
              </w:rPr>
            </w:pPr>
            <w:r>
              <w:rPr>
                <w:rFonts w:cs="Times New Roman" w:ascii="Times New Roman" w:hAnsi="Times New Roman"/>
                <w:sz w:val="20"/>
                <w:szCs w:val="20"/>
                <w:shd w:fill="FFFFFF" w:val="clear"/>
              </w:rPr>
              <w:t>48</w:t>
            </w:r>
          </w:p>
        </w:tc>
        <w:tc>
          <w:tcPr>
            <w:tcW w:w="3775"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pacing w:before="0" w:after="0"/>
              <w:jc w:val="center"/>
              <w:rPr>
                <w:rFonts w:ascii="Times New Roman" w:hAnsi="Times New Roman" w:cs="Times New Roman"/>
                <w:sz w:val="20"/>
                <w:szCs w:val="20"/>
                <w:highlight w:val="white"/>
              </w:rPr>
            </w:pPr>
            <w:r>
              <w:rPr>
                <w:rFonts w:cs="Times New Roman" w:ascii="Times New Roman" w:hAnsi="Times New Roman"/>
                <w:sz w:val="20"/>
                <w:szCs w:val="20"/>
                <w:shd w:fill="FFFFFF" w:val="clear"/>
              </w:rPr>
              <w:t>Medicação em excesso</w:t>
            </w:r>
          </w:p>
        </w:tc>
      </w:tr>
      <w:tr>
        <w:trPr/>
        <w:tc>
          <w:tcPr>
            <w:tcW w:w="415"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pacing w:before="0" w:after="0"/>
              <w:jc w:val="center"/>
              <w:rPr>
                <w:rFonts w:ascii="Times New Roman" w:hAnsi="Times New Roman" w:cs="Times New Roman"/>
                <w:sz w:val="20"/>
                <w:szCs w:val="20"/>
                <w:highlight w:val="white"/>
              </w:rPr>
            </w:pPr>
            <w:r>
              <w:rPr>
                <w:rFonts w:cs="Times New Roman" w:ascii="Times New Roman" w:hAnsi="Times New Roman"/>
                <w:sz w:val="20"/>
                <w:szCs w:val="20"/>
                <w:shd w:fill="FFFFFF" w:val="clear"/>
              </w:rPr>
              <w:t>9</w:t>
            </w:r>
          </w:p>
        </w:tc>
        <w:tc>
          <w:tcPr>
            <w:tcW w:w="3839"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pacing w:before="0" w:after="0"/>
              <w:jc w:val="center"/>
              <w:rPr>
                <w:rFonts w:ascii="Times New Roman" w:hAnsi="Times New Roman" w:cs="Times New Roman"/>
                <w:sz w:val="20"/>
                <w:szCs w:val="20"/>
                <w:highlight w:val="white"/>
              </w:rPr>
            </w:pPr>
            <w:r>
              <w:rPr>
                <w:rFonts w:cs="Times New Roman" w:ascii="Times New Roman" w:hAnsi="Times New Roman"/>
                <w:sz w:val="20"/>
                <w:szCs w:val="20"/>
                <w:shd w:fill="FFFFFF" w:val="clear"/>
              </w:rPr>
              <w:t>Data de atendimento fora da competência</w:t>
            </w:r>
          </w:p>
        </w:tc>
        <w:tc>
          <w:tcPr>
            <w:tcW w:w="463"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pacing w:before="0" w:after="0"/>
              <w:jc w:val="center"/>
              <w:rPr>
                <w:rFonts w:ascii="Times New Roman" w:hAnsi="Times New Roman" w:cs="Times New Roman"/>
                <w:sz w:val="20"/>
                <w:szCs w:val="20"/>
                <w:highlight w:val="white"/>
              </w:rPr>
            </w:pPr>
            <w:r>
              <w:rPr>
                <w:rFonts w:cs="Times New Roman" w:ascii="Times New Roman" w:hAnsi="Times New Roman"/>
                <w:sz w:val="20"/>
                <w:szCs w:val="20"/>
                <w:shd w:fill="FFFFFF" w:val="clear"/>
              </w:rPr>
              <w:t>49</w:t>
            </w:r>
          </w:p>
        </w:tc>
        <w:tc>
          <w:tcPr>
            <w:tcW w:w="3775"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pacing w:before="0" w:after="0"/>
              <w:jc w:val="center"/>
              <w:rPr>
                <w:rFonts w:ascii="Times New Roman" w:hAnsi="Times New Roman" w:cs="Times New Roman"/>
                <w:sz w:val="20"/>
                <w:szCs w:val="20"/>
                <w:highlight w:val="white"/>
              </w:rPr>
            </w:pPr>
            <w:r>
              <w:rPr>
                <w:rFonts w:cs="Times New Roman" w:ascii="Times New Roman" w:hAnsi="Times New Roman"/>
                <w:sz w:val="20"/>
                <w:szCs w:val="20"/>
                <w:shd w:fill="FFFFFF" w:val="clear"/>
              </w:rPr>
              <w:t>Medicação não justificada para o caso</w:t>
            </w:r>
          </w:p>
        </w:tc>
      </w:tr>
      <w:tr>
        <w:trPr/>
        <w:tc>
          <w:tcPr>
            <w:tcW w:w="415"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pacing w:before="0" w:after="0"/>
              <w:jc w:val="center"/>
              <w:rPr>
                <w:rFonts w:ascii="Times New Roman" w:hAnsi="Times New Roman" w:cs="Times New Roman"/>
                <w:sz w:val="20"/>
                <w:szCs w:val="20"/>
                <w:highlight w:val="white"/>
              </w:rPr>
            </w:pPr>
            <w:r>
              <w:rPr>
                <w:rFonts w:cs="Times New Roman" w:ascii="Times New Roman" w:hAnsi="Times New Roman"/>
                <w:sz w:val="20"/>
                <w:szCs w:val="20"/>
                <w:shd w:fill="FFFFFF" w:val="clear"/>
              </w:rPr>
              <w:t>10</w:t>
            </w:r>
          </w:p>
        </w:tc>
        <w:tc>
          <w:tcPr>
            <w:tcW w:w="3839"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pacing w:before="0" w:after="0"/>
              <w:jc w:val="center"/>
              <w:rPr>
                <w:rFonts w:ascii="Times New Roman" w:hAnsi="Times New Roman" w:cs="Times New Roman"/>
                <w:sz w:val="20"/>
                <w:szCs w:val="20"/>
                <w:highlight w:val="white"/>
              </w:rPr>
            </w:pPr>
            <w:r>
              <w:rPr>
                <w:rFonts w:cs="Times New Roman" w:ascii="Times New Roman" w:hAnsi="Times New Roman"/>
                <w:sz w:val="20"/>
                <w:szCs w:val="20"/>
                <w:shd w:fill="FFFFFF" w:val="clear"/>
              </w:rPr>
              <w:t>Diagnóstico ilegível</w:t>
            </w:r>
          </w:p>
        </w:tc>
        <w:tc>
          <w:tcPr>
            <w:tcW w:w="463"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pacing w:before="0" w:after="0"/>
              <w:jc w:val="center"/>
              <w:rPr>
                <w:rFonts w:ascii="Times New Roman" w:hAnsi="Times New Roman" w:cs="Times New Roman"/>
                <w:sz w:val="20"/>
                <w:szCs w:val="20"/>
                <w:highlight w:val="white"/>
              </w:rPr>
            </w:pPr>
            <w:r>
              <w:rPr>
                <w:rFonts w:cs="Times New Roman" w:ascii="Times New Roman" w:hAnsi="Times New Roman"/>
                <w:sz w:val="20"/>
                <w:szCs w:val="20"/>
                <w:shd w:fill="FFFFFF" w:val="clear"/>
              </w:rPr>
              <w:t>50</w:t>
            </w:r>
          </w:p>
        </w:tc>
        <w:tc>
          <w:tcPr>
            <w:tcW w:w="3775"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pacing w:before="0" w:after="0"/>
              <w:jc w:val="center"/>
              <w:rPr>
                <w:rFonts w:ascii="Times New Roman" w:hAnsi="Times New Roman" w:cs="Times New Roman"/>
                <w:sz w:val="20"/>
                <w:szCs w:val="20"/>
                <w:highlight w:val="white"/>
              </w:rPr>
            </w:pPr>
            <w:r>
              <w:rPr>
                <w:rFonts w:cs="Times New Roman" w:ascii="Times New Roman" w:hAnsi="Times New Roman"/>
                <w:sz w:val="20"/>
                <w:szCs w:val="20"/>
                <w:shd w:fill="FFFFFF" w:val="clear"/>
              </w:rPr>
              <w:t>Medicação não prescrita</w:t>
            </w:r>
          </w:p>
        </w:tc>
      </w:tr>
      <w:tr>
        <w:trPr/>
        <w:tc>
          <w:tcPr>
            <w:tcW w:w="415"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pacing w:before="0" w:after="0"/>
              <w:jc w:val="center"/>
              <w:rPr>
                <w:rFonts w:ascii="Times New Roman" w:hAnsi="Times New Roman" w:cs="Times New Roman"/>
                <w:sz w:val="20"/>
                <w:szCs w:val="20"/>
                <w:highlight w:val="white"/>
              </w:rPr>
            </w:pPr>
            <w:r>
              <w:rPr>
                <w:rFonts w:cs="Times New Roman" w:ascii="Times New Roman" w:hAnsi="Times New Roman"/>
                <w:sz w:val="20"/>
                <w:szCs w:val="20"/>
                <w:shd w:fill="FFFFFF" w:val="clear"/>
              </w:rPr>
              <w:t>11</w:t>
            </w:r>
          </w:p>
        </w:tc>
        <w:tc>
          <w:tcPr>
            <w:tcW w:w="3839"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pacing w:before="0" w:after="0"/>
              <w:jc w:val="center"/>
              <w:rPr>
                <w:rFonts w:ascii="Times New Roman" w:hAnsi="Times New Roman" w:cs="Times New Roman"/>
                <w:sz w:val="20"/>
                <w:szCs w:val="20"/>
                <w:highlight w:val="white"/>
              </w:rPr>
            </w:pPr>
            <w:r>
              <w:rPr>
                <w:rFonts w:cs="Times New Roman" w:ascii="Times New Roman" w:hAnsi="Times New Roman"/>
                <w:sz w:val="20"/>
                <w:szCs w:val="20"/>
                <w:shd w:fill="FFFFFF" w:val="clear"/>
              </w:rPr>
              <w:t>Diárias em excesso</w:t>
            </w:r>
          </w:p>
        </w:tc>
        <w:tc>
          <w:tcPr>
            <w:tcW w:w="463"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pacing w:before="0" w:after="0"/>
              <w:jc w:val="center"/>
              <w:rPr>
                <w:rFonts w:ascii="Times New Roman" w:hAnsi="Times New Roman" w:cs="Times New Roman"/>
                <w:sz w:val="20"/>
                <w:szCs w:val="20"/>
                <w:highlight w:val="white"/>
              </w:rPr>
            </w:pPr>
            <w:r>
              <w:rPr>
                <w:rFonts w:cs="Times New Roman" w:ascii="Times New Roman" w:hAnsi="Times New Roman"/>
                <w:sz w:val="20"/>
                <w:szCs w:val="20"/>
                <w:shd w:fill="FFFFFF" w:val="clear"/>
              </w:rPr>
              <w:t>51</w:t>
            </w:r>
          </w:p>
        </w:tc>
        <w:tc>
          <w:tcPr>
            <w:tcW w:w="3775"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pacing w:before="0" w:after="0"/>
              <w:jc w:val="center"/>
              <w:rPr>
                <w:rFonts w:ascii="Times New Roman" w:hAnsi="Times New Roman" w:cs="Times New Roman"/>
                <w:sz w:val="20"/>
                <w:szCs w:val="20"/>
                <w:highlight w:val="white"/>
              </w:rPr>
            </w:pPr>
            <w:r>
              <w:rPr>
                <w:rFonts w:cs="Times New Roman" w:ascii="Times New Roman" w:hAnsi="Times New Roman"/>
                <w:sz w:val="20"/>
                <w:szCs w:val="20"/>
                <w:shd w:fill="FFFFFF" w:val="clear"/>
              </w:rPr>
              <w:t>Medicação não utilizada</w:t>
            </w:r>
          </w:p>
        </w:tc>
      </w:tr>
      <w:tr>
        <w:trPr/>
        <w:tc>
          <w:tcPr>
            <w:tcW w:w="415"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pacing w:before="0" w:after="0"/>
              <w:jc w:val="center"/>
              <w:rPr>
                <w:rFonts w:ascii="Times New Roman" w:hAnsi="Times New Roman" w:cs="Times New Roman"/>
                <w:sz w:val="20"/>
                <w:szCs w:val="20"/>
                <w:highlight w:val="white"/>
              </w:rPr>
            </w:pPr>
            <w:r>
              <w:rPr>
                <w:rFonts w:cs="Times New Roman" w:ascii="Times New Roman" w:hAnsi="Times New Roman"/>
                <w:sz w:val="20"/>
                <w:szCs w:val="20"/>
                <w:shd w:fill="FFFFFF" w:val="clear"/>
              </w:rPr>
              <w:t>12</w:t>
            </w:r>
          </w:p>
        </w:tc>
        <w:tc>
          <w:tcPr>
            <w:tcW w:w="3839"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pacing w:before="0" w:after="0"/>
              <w:jc w:val="center"/>
              <w:rPr>
                <w:rFonts w:ascii="Times New Roman" w:hAnsi="Times New Roman" w:cs="Times New Roman"/>
                <w:sz w:val="20"/>
                <w:szCs w:val="20"/>
                <w:highlight w:val="white"/>
              </w:rPr>
            </w:pPr>
            <w:r>
              <w:rPr>
                <w:rFonts w:cs="Times New Roman" w:ascii="Times New Roman" w:hAnsi="Times New Roman"/>
                <w:sz w:val="20"/>
                <w:szCs w:val="20"/>
                <w:shd w:fill="FFFFFF" w:val="clear"/>
              </w:rPr>
              <w:t>Diárias fora da tabela acordada</w:t>
            </w:r>
          </w:p>
        </w:tc>
        <w:tc>
          <w:tcPr>
            <w:tcW w:w="463"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pacing w:before="0" w:after="0"/>
              <w:jc w:val="center"/>
              <w:rPr>
                <w:rFonts w:ascii="Times New Roman" w:hAnsi="Times New Roman" w:cs="Times New Roman"/>
                <w:sz w:val="20"/>
                <w:szCs w:val="20"/>
                <w:highlight w:val="white"/>
              </w:rPr>
            </w:pPr>
            <w:r>
              <w:rPr>
                <w:rFonts w:cs="Times New Roman" w:ascii="Times New Roman" w:hAnsi="Times New Roman"/>
                <w:sz w:val="20"/>
                <w:szCs w:val="20"/>
                <w:shd w:fill="FFFFFF" w:val="clear"/>
              </w:rPr>
              <w:t>52</w:t>
            </w:r>
          </w:p>
        </w:tc>
        <w:tc>
          <w:tcPr>
            <w:tcW w:w="3775"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pacing w:before="0" w:after="0"/>
              <w:jc w:val="center"/>
              <w:rPr>
                <w:rFonts w:ascii="Times New Roman" w:hAnsi="Times New Roman" w:cs="Times New Roman"/>
                <w:sz w:val="20"/>
                <w:szCs w:val="20"/>
                <w:highlight w:val="white"/>
              </w:rPr>
            </w:pPr>
            <w:r>
              <w:rPr>
                <w:rFonts w:cs="Times New Roman" w:ascii="Times New Roman" w:hAnsi="Times New Roman"/>
                <w:sz w:val="20"/>
                <w:szCs w:val="20"/>
                <w:shd w:fill="FFFFFF" w:val="clear"/>
              </w:rPr>
              <w:t>Medicamento acima do preço de mercado</w:t>
            </w:r>
          </w:p>
        </w:tc>
      </w:tr>
      <w:tr>
        <w:trPr/>
        <w:tc>
          <w:tcPr>
            <w:tcW w:w="415"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pacing w:before="0" w:after="0"/>
              <w:jc w:val="center"/>
              <w:rPr>
                <w:rFonts w:ascii="Times New Roman" w:hAnsi="Times New Roman" w:cs="Times New Roman"/>
                <w:sz w:val="20"/>
                <w:szCs w:val="20"/>
                <w:highlight w:val="white"/>
              </w:rPr>
            </w:pPr>
            <w:r>
              <w:rPr>
                <w:rFonts w:cs="Times New Roman" w:ascii="Times New Roman" w:hAnsi="Times New Roman"/>
                <w:sz w:val="20"/>
                <w:szCs w:val="20"/>
                <w:shd w:fill="FFFFFF" w:val="clear"/>
              </w:rPr>
              <w:t>13</w:t>
            </w:r>
          </w:p>
        </w:tc>
        <w:tc>
          <w:tcPr>
            <w:tcW w:w="3839"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pacing w:before="0" w:after="0"/>
              <w:jc w:val="center"/>
              <w:rPr>
                <w:rFonts w:ascii="Times New Roman" w:hAnsi="Times New Roman" w:cs="Times New Roman"/>
                <w:sz w:val="20"/>
                <w:szCs w:val="20"/>
                <w:highlight w:val="white"/>
              </w:rPr>
            </w:pPr>
            <w:r>
              <w:rPr>
                <w:rFonts w:cs="Times New Roman" w:ascii="Times New Roman" w:hAnsi="Times New Roman"/>
                <w:sz w:val="20"/>
                <w:szCs w:val="20"/>
                <w:shd w:fill="FFFFFF" w:val="clear"/>
              </w:rPr>
              <w:t>Documento sem assinatura/ carimbo do médico assistente</w:t>
            </w:r>
          </w:p>
        </w:tc>
        <w:tc>
          <w:tcPr>
            <w:tcW w:w="463"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pacing w:before="0" w:after="0"/>
              <w:jc w:val="center"/>
              <w:rPr>
                <w:rFonts w:ascii="Times New Roman" w:hAnsi="Times New Roman" w:cs="Times New Roman"/>
                <w:sz w:val="20"/>
                <w:szCs w:val="20"/>
                <w:highlight w:val="white"/>
              </w:rPr>
            </w:pPr>
            <w:r>
              <w:rPr>
                <w:rFonts w:cs="Times New Roman" w:ascii="Times New Roman" w:hAnsi="Times New Roman"/>
                <w:sz w:val="20"/>
                <w:szCs w:val="20"/>
                <w:shd w:fill="FFFFFF" w:val="clear"/>
              </w:rPr>
              <w:t>53</w:t>
            </w:r>
          </w:p>
        </w:tc>
        <w:tc>
          <w:tcPr>
            <w:tcW w:w="3775"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pacing w:before="0" w:after="0"/>
              <w:jc w:val="center"/>
              <w:rPr>
                <w:rFonts w:ascii="Times New Roman" w:hAnsi="Times New Roman" w:cs="Times New Roman"/>
                <w:sz w:val="20"/>
                <w:szCs w:val="20"/>
                <w:highlight w:val="white"/>
              </w:rPr>
            </w:pPr>
            <w:r>
              <w:rPr>
                <w:rFonts w:cs="Times New Roman" w:ascii="Times New Roman" w:hAnsi="Times New Roman"/>
                <w:sz w:val="20"/>
                <w:szCs w:val="20"/>
                <w:shd w:fill="FFFFFF" w:val="clear"/>
              </w:rPr>
              <w:t>Medicamento não coberto</w:t>
            </w:r>
          </w:p>
        </w:tc>
      </w:tr>
      <w:tr>
        <w:trPr/>
        <w:tc>
          <w:tcPr>
            <w:tcW w:w="415"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pacing w:before="0" w:after="0"/>
              <w:jc w:val="center"/>
              <w:rPr>
                <w:rFonts w:ascii="Times New Roman" w:hAnsi="Times New Roman" w:cs="Times New Roman"/>
                <w:sz w:val="20"/>
                <w:szCs w:val="20"/>
                <w:highlight w:val="white"/>
              </w:rPr>
            </w:pPr>
            <w:r>
              <w:rPr>
                <w:rFonts w:cs="Times New Roman" w:ascii="Times New Roman" w:hAnsi="Times New Roman"/>
                <w:sz w:val="20"/>
                <w:szCs w:val="20"/>
                <w:shd w:fill="FFFFFF" w:val="clear"/>
              </w:rPr>
              <w:t>14</w:t>
            </w:r>
          </w:p>
        </w:tc>
        <w:tc>
          <w:tcPr>
            <w:tcW w:w="3839"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pacing w:before="0" w:after="0"/>
              <w:jc w:val="center"/>
              <w:rPr>
                <w:rFonts w:ascii="Times New Roman" w:hAnsi="Times New Roman" w:cs="Times New Roman"/>
                <w:sz w:val="20"/>
                <w:szCs w:val="20"/>
                <w:highlight w:val="white"/>
              </w:rPr>
            </w:pPr>
            <w:r>
              <w:rPr>
                <w:rFonts w:cs="Times New Roman" w:ascii="Times New Roman" w:hAnsi="Times New Roman"/>
                <w:sz w:val="20"/>
                <w:szCs w:val="20"/>
                <w:shd w:fill="FFFFFF" w:val="clear"/>
              </w:rPr>
              <w:t>EPI de responsabilidade do prestador</w:t>
            </w:r>
          </w:p>
        </w:tc>
        <w:tc>
          <w:tcPr>
            <w:tcW w:w="463"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pacing w:before="0" w:after="0"/>
              <w:jc w:val="center"/>
              <w:rPr>
                <w:rFonts w:ascii="Times New Roman" w:hAnsi="Times New Roman" w:cs="Times New Roman"/>
                <w:sz w:val="20"/>
                <w:szCs w:val="20"/>
                <w:highlight w:val="white"/>
              </w:rPr>
            </w:pPr>
            <w:r>
              <w:rPr>
                <w:rFonts w:cs="Times New Roman" w:ascii="Times New Roman" w:hAnsi="Times New Roman"/>
                <w:sz w:val="20"/>
                <w:szCs w:val="20"/>
                <w:shd w:fill="FFFFFF" w:val="clear"/>
              </w:rPr>
              <w:t>54</w:t>
            </w:r>
          </w:p>
        </w:tc>
        <w:tc>
          <w:tcPr>
            <w:tcW w:w="3775"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pacing w:before="0" w:after="0"/>
              <w:jc w:val="center"/>
              <w:rPr>
                <w:rFonts w:ascii="Times New Roman" w:hAnsi="Times New Roman" w:cs="Times New Roman"/>
                <w:sz w:val="20"/>
                <w:szCs w:val="20"/>
                <w:highlight w:val="white"/>
              </w:rPr>
            </w:pPr>
            <w:r>
              <w:rPr>
                <w:rFonts w:cs="Times New Roman" w:ascii="Times New Roman" w:hAnsi="Times New Roman"/>
                <w:sz w:val="20"/>
                <w:szCs w:val="20"/>
                <w:shd w:fill="FFFFFF" w:val="clear"/>
              </w:rPr>
              <w:t>Medicamento suspenso</w:t>
            </w:r>
          </w:p>
        </w:tc>
      </w:tr>
      <w:tr>
        <w:trPr/>
        <w:tc>
          <w:tcPr>
            <w:tcW w:w="415"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pacing w:before="0" w:after="0"/>
              <w:jc w:val="center"/>
              <w:rPr>
                <w:rFonts w:ascii="Times New Roman" w:hAnsi="Times New Roman" w:cs="Times New Roman"/>
                <w:sz w:val="20"/>
                <w:szCs w:val="20"/>
                <w:highlight w:val="white"/>
              </w:rPr>
            </w:pPr>
            <w:r>
              <w:rPr>
                <w:rFonts w:cs="Times New Roman" w:ascii="Times New Roman" w:hAnsi="Times New Roman"/>
                <w:sz w:val="20"/>
                <w:szCs w:val="20"/>
                <w:shd w:fill="FFFFFF" w:val="clear"/>
              </w:rPr>
              <w:t>15</w:t>
            </w:r>
          </w:p>
        </w:tc>
        <w:tc>
          <w:tcPr>
            <w:tcW w:w="3839"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pacing w:before="0" w:after="0"/>
              <w:jc w:val="center"/>
              <w:rPr>
                <w:rFonts w:ascii="Times New Roman" w:hAnsi="Times New Roman" w:cs="Times New Roman"/>
                <w:sz w:val="20"/>
                <w:szCs w:val="20"/>
                <w:highlight w:val="white"/>
              </w:rPr>
            </w:pPr>
            <w:r>
              <w:rPr>
                <w:rFonts w:cs="Times New Roman" w:ascii="Times New Roman" w:hAnsi="Times New Roman"/>
                <w:sz w:val="20"/>
                <w:szCs w:val="20"/>
                <w:shd w:fill="FFFFFF" w:val="clear"/>
              </w:rPr>
              <w:t>Especialidade não autorizada</w:t>
            </w:r>
          </w:p>
        </w:tc>
        <w:tc>
          <w:tcPr>
            <w:tcW w:w="463"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pacing w:before="0" w:after="0"/>
              <w:jc w:val="center"/>
              <w:rPr>
                <w:rFonts w:ascii="Times New Roman" w:hAnsi="Times New Roman" w:cs="Times New Roman"/>
                <w:sz w:val="20"/>
                <w:szCs w:val="20"/>
                <w:highlight w:val="white"/>
              </w:rPr>
            </w:pPr>
            <w:r>
              <w:rPr>
                <w:rFonts w:cs="Times New Roman" w:ascii="Times New Roman" w:hAnsi="Times New Roman"/>
                <w:sz w:val="20"/>
                <w:szCs w:val="20"/>
                <w:shd w:fill="FFFFFF" w:val="clear"/>
              </w:rPr>
              <w:t>55</w:t>
            </w:r>
          </w:p>
        </w:tc>
        <w:tc>
          <w:tcPr>
            <w:tcW w:w="3775"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pacing w:before="0" w:after="0"/>
              <w:jc w:val="center"/>
              <w:rPr>
                <w:rFonts w:ascii="Times New Roman" w:hAnsi="Times New Roman" w:cs="Times New Roman"/>
                <w:sz w:val="20"/>
                <w:szCs w:val="20"/>
                <w:highlight w:val="white"/>
              </w:rPr>
            </w:pPr>
            <w:r>
              <w:rPr>
                <w:rFonts w:cs="Times New Roman" w:ascii="Times New Roman" w:hAnsi="Times New Roman"/>
                <w:sz w:val="20"/>
                <w:szCs w:val="20"/>
                <w:shd w:fill="FFFFFF" w:val="clear"/>
              </w:rPr>
              <w:t>Paciente não é beneficiário FuSEx/PASS</w:t>
            </w:r>
          </w:p>
        </w:tc>
      </w:tr>
      <w:tr>
        <w:trPr/>
        <w:tc>
          <w:tcPr>
            <w:tcW w:w="415"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pacing w:before="0" w:after="0"/>
              <w:jc w:val="center"/>
              <w:rPr>
                <w:rFonts w:ascii="Times New Roman" w:hAnsi="Times New Roman" w:cs="Times New Roman"/>
                <w:sz w:val="20"/>
                <w:szCs w:val="20"/>
                <w:highlight w:val="white"/>
              </w:rPr>
            </w:pPr>
            <w:r>
              <w:rPr>
                <w:rFonts w:cs="Times New Roman" w:ascii="Times New Roman" w:hAnsi="Times New Roman"/>
                <w:sz w:val="20"/>
                <w:szCs w:val="20"/>
                <w:shd w:fill="FFFFFF" w:val="clear"/>
              </w:rPr>
              <w:t>16</w:t>
            </w:r>
          </w:p>
        </w:tc>
        <w:tc>
          <w:tcPr>
            <w:tcW w:w="3839"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pacing w:before="0" w:after="0"/>
              <w:jc w:val="center"/>
              <w:rPr>
                <w:rFonts w:ascii="Times New Roman" w:hAnsi="Times New Roman" w:cs="Times New Roman"/>
                <w:sz w:val="20"/>
                <w:szCs w:val="20"/>
                <w:highlight w:val="white"/>
              </w:rPr>
            </w:pPr>
            <w:r>
              <w:rPr>
                <w:rFonts w:cs="Times New Roman" w:ascii="Times New Roman" w:hAnsi="Times New Roman"/>
                <w:sz w:val="20"/>
                <w:szCs w:val="20"/>
                <w:shd w:fill="FFFFFF" w:val="clear"/>
              </w:rPr>
              <w:t>Evento incluso no pacote acordado</w:t>
            </w:r>
          </w:p>
        </w:tc>
        <w:tc>
          <w:tcPr>
            <w:tcW w:w="463"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pacing w:before="0" w:after="0"/>
              <w:jc w:val="center"/>
              <w:rPr>
                <w:rFonts w:ascii="Times New Roman" w:hAnsi="Times New Roman" w:cs="Times New Roman"/>
                <w:sz w:val="20"/>
                <w:szCs w:val="20"/>
                <w:highlight w:val="white"/>
              </w:rPr>
            </w:pPr>
            <w:r>
              <w:rPr>
                <w:rFonts w:cs="Times New Roman" w:ascii="Times New Roman" w:hAnsi="Times New Roman"/>
                <w:sz w:val="20"/>
                <w:szCs w:val="20"/>
                <w:shd w:fill="FFFFFF" w:val="clear"/>
              </w:rPr>
              <w:t>56</w:t>
            </w:r>
          </w:p>
        </w:tc>
        <w:tc>
          <w:tcPr>
            <w:tcW w:w="3775"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pacing w:before="0" w:after="0"/>
              <w:jc w:val="center"/>
              <w:rPr>
                <w:rFonts w:ascii="Times New Roman" w:hAnsi="Times New Roman" w:cs="Times New Roman"/>
                <w:sz w:val="20"/>
                <w:szCs w:val="20"/>
                <w:highlight w:val="white"/>
              </w:rPr>
            </w:pPr>
            <w:r>
              <w:rPr>
                <w:rFonts w:cs="Times New Roman" w:ascii="Times New Roman" w:hAnsi="Times New Roman"/>
                <w:sz w:val="20"/>
                <w:szCs w:val="20"/>
                <w:shd w:fill="FFFFFF" w:val="clear"/>
              </w:rPr>
              <w:t>Prescrição médica cm rasura ou ilegível</w:t>
            </w:r>
          </w:p>
        </w:tc>
      </w:tr>
      <w:tr>
        <w:trPr/>
        <w:tc>
          <w:tcPr>
            <w:tcW w:w="415"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pacing w:before="0" w:after="0"/>
              <w:jc w:val="center"/>
              <w:rPr>
                <w:rFonts w:ascii="Times New Roman" w:hAnsi="Times New Roman" w:cs="Times New Roman"/>
                <w:sz w:val="20"/>
                <w:szCs w:val="20"/>
                <w:highlight w:val="white"/>
              </w:rPr>
            </w:pPr>
            <w:r>
              <w:rPr>
                <w:rFonts w:cs="Times New Roman" w:ascii="Times New Roman" w:hAnsi="Times New Roman"/>
                <w:sz w:val="20"/>
                <w:szCs w:val="20"/>
                <w:shd w:fill="FFFFFF" w:val="clear"/>
              </w:rPr>
              <w:t>17</w:t>
            </w:r>
          </w:p>
        </w:tc>
        <w:tc>
          <w:tcPr>
            <w:tcW w:w="3839"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pacing w:before="0" w:after="0"/>
              <w:jc w:val="center"/>
              <w:rPr>
                <w:rFonts w:ascii="Times New Roman" w:hAnsi="Times New Roman" w:cs="Times New Roman"/>
                <w:sz w:val="20"/>
                <w:szCs w:val="20"/>
                <w:highlight w:val="white"/>
              </w:rPr>
            </w:pPr>
            <w:r>
              <w:rPr>
                <w:rFonts w:cs="Times New Roman" w:ascii="Times New Roman" w:hAnsi="Times New Roman"/>
                <w:sz w:val="20"/>
                <w:szCs w:val="20"/>
                <w:shd w:fill="FFFFFF" w:val="clear"/>
              </w:rPr>
              <w:t>Evento que não comporta cobrança</w:t>
            </w:r>
          </w:p>
        </w:tc>
        <w:tc>
          <w:tcPr>
            <w:tcW w:w="463"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pacing w:before="0" w:after="0"/>
              <w:jc w:val="center"/>
              <w:rPr>
                <w:rFonts w:ascii="Times New Roman" w:hAnsi="Times New Roman" w:cs="Times New Roman"/>
                <w:sz w:val="20"/>
                <w:szCs w:val="20"/>
                <w:highlight w:val="white"/>
              </w:rPr>
            </w:pPr>
            <w:r>
              <w:rPr>
                <w:rFonts w:cs="Times New Roman" w:ascii="Times New Roman" w:hAnsi="Times New Roman"/>
                <w:sz w:val="20"/>
                <w:szCs w:val="20"/>
                <w:shd w:fill="FFFFFF" w:val="clear"/>
              </w:rPr>
              <w:t>57</w:t>
            </w:r>
          </w:p>
        </w:tc>
        <w:tc>
          <w:tcPr>
            <w:tcW w:w="3775"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pacing w:before="0" w:after="0"/>
              <w:jc w:val="center"/>
              <w:rPr>
                <w:rFonts w:ascii="Times New Roman" w:hAnsi="Times New Roman" w:cs="Times New Roman"/>
                <w:sz w:val="20"/>
                <w:szCs w:val="20"/>
                <w:highlight w:val="white"/>
              </w:rPr>
            </w:pPr>
            <w:r>
              <w:rPr>
                <w:rFonts w:cs="Times New Roman" w:ascii="Times New Roman" w:hAnsi="Times New Roman"/>
                <w:sz w:val="20"/>
                <w:szCs w:val="20"/>
                <w:shd w:fill="FFFFFF" w:val="clear"/>
              </w:rPr>
              <w:t>Prestador descredenciado</w:t>
            </w:r>
          </w:p>
        </w:tc>
      </w:tr>
      <w:tr>
        <w:trPr/>
        <w:tc>
          <w:tcPr>
            <w:tcW w:w="415"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pacing w:before="0" w:after="0"/>
              <w:jc w:val="center"/>
              <w:rPr>
                <w:rFonts w:ascii="Times New Roman" w:hAnsi="Times New Roman" w:cs="Times New Roman"/>
                <w:sz w:val="20"/>
                <w:szCs w:val="20"/>
                <w:highlight w:val="white"/>
              </w:rPr>
            </w:pPr>
            <w:r>
              <w:rPr>
                <w:rFonts w:cs="Times New Roman" w:ascii="Times New Roman" w:hAnsi="Times New Roman"/>
                <w:sz w:val="20"/>
                <w:szCs w:val="20"/>
                <w:shd w:fill="FFFFFF" w:val="clear"/>
              </w:rPr>
              <w:t>18</w:t>
            </w:r>
          </w:p>
        </w:tc>
        <w:tc>
          <w:tcPr>
            <w:tcW w:w="3839"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pacing w:before="0" w:after="0"/>
              <w:jc w:val="center"/>
              <w:rPr>
                <w:rFonts w:ascii="Times New Roman" w:hAnsi="Times New Roman" w:cs="Times New Roman"/>
                <w:sz w:val="20"/>
                <w:szCs w:val="20"/>
                <w:highlight w:val="white"/>
              </w:rPr>
            </w:pPr>
            <w:r>
              <w:rPr>
                <w:rFonts w:cs="Times New Roman" w:ascii="Times New Roman" w:hAnsi="Times New Roman"/>
                <w:sz w:val="20"/>
                <w:szCs w:val="20"/>
                <w:shd w:fill="FFFFFF" w:val="clear"/>
              </w:rPr>
              <w:t>Exame não prevê cobrança contraste</w:t>
            </w:r>
          </w:p>
        </w:tc>
        <w:tc>
          <w:tcPr>
            <w:tcW w:w="463"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pacing w:before="0" w:after="0"/>
              <w:jc w:val="center"/>
              <w:rPr>
                <w:rFonts w:ascii="Times New Roman" w:hAnsi="Times New Roman" w:cs="Times New Roman"/>
                <w:sz w:val="20"/>
                <w:szCs w:val="20"/>
                <w:highlight w:val="white"/>
              </w:rPr>
            </w:pPr>
            <w:r>
              <w:rPr>
                <w:rFonts w:cs="Times New Roman" w:ascii="Times New Roman" w:hAnsi="Times New Roman"/>
                <w:sz w:val="20"/>
                <w:szCs w:val="20"/>
                <w:shd w:fill="FFFFFF" w:val="clear"/>
              </w:rPr>
              <w:t>58</w:t>
            </w:r>
          </w:p>
        </w:tc>
        <w:tc>
          <w:tcPr>
            <w:tcW w:w="3775"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pacing w:before="0" w:after="0"/>
              <w:jc w:val="center"/>
              <w:rPr>
                <w:rFonts w:ascii="Times New Roman" w:hAnsi="Times New Roman" w:cs="Times New Roman"/>
                <w:sz w:val="20"/>
                <w:szCs w:val="20"/>
                <w:highlight w:val="white"/>
              </w:rPr>
            </w:pPr>
            <w:r>
              <w:rPr>
                <w:rFonts w:cs="Times New Roman" w:ascii="Times New Roman" w:hAnsi="Times New Roman"/>
                <w:sz w:val="20"/>
                <w:szCs w:val="20"/>
                <w:shd w:fill="FFFFFF" w:val="clear"/>
              </w:rPr>
              <w:t>Procedimento/exames em excesso</w:t>
            </w:r>
          </w:p>
        </w:tc>
      </w:tr>
      <w:tr>
        <w:trPr/>
        <w:tc>
          <w:tcPr>
            <w:tcW w:w="415"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pacing w:before="0" w:after="0"/>
              <w:jc w:val="center"/>
              <w:rPr>
                <w:rFonts w:ascii="Times New Roman" w:hAnsi="Times New Roman" w:cs="Times New Roman"/>
                <w:sz w:val="20"/>
                <w:szCs w:val="20"/>
                <w:highlight w:val="white"/>
              </w:rPr>
            </w:pPr>
            <w:r>
              <w:rPr>
                <w:rFonts w:cs="Times New Roman" w:ascii="Times New Roman" w:hAnsi="Times New Roman"/>
                <w:sz w:val="20"/>
                <w:szCs w:val="20"/>
                <w:shd w:fill="FFFFFF" w:val="clear"/>
              </w:rPr>
              <w:t>19</w:t>
            </w:r>
          </w:p>
        </w:tc>
        <w:tc>
          <w:tcPr>
            <w:tcW w:w="3839"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pacing w:before="0" w:after="0"/>
              <w:jc w:val="center"/>
              <w:rPr>
                <w:rFonts w:ascii="Times New Roman" w:hAnsi="Times New Roman" w:cs="Times New Roman"/>
                <w:sz w:val="20"/>
                <w:szCs w:val="20"/>
                <w:highlight w:val="white"/>
              </w:rPr>
            </w:pPr>
            <w:r>
              <w:rPr>
                <w:rFonts w:cs="Times New Roman" w:ascii="Times New Roman" w:hAnsi="Times New Roman"/>
                <w:sz w:val="20"/>
                <w:szCs w:val="20"/>
                <w:shd w:fill="FFFFFF" w:val="clear"/>
              </w:rPr>
              <w:t>Exame sem laudo</w:t>
            </w:r>
          </w:p>
        </w:tc>
        <w:tc>
          <w:tcPr>
            <w:tcW w:w="463"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pacing w:before="0" w:after="0"/>
              <w:jc w:val="center"/>
              <w:rPr>
                <w:rFonts w:ascii="Times New Roman" w:hAnsi="Times New Roman" w:cs="Times New Roman"/>
                <w:sz w:val="20"/>
                <w:szCs w:val="20"/>
                <w:highlight w:val="white"/>
              </w:rPr>
            </w:pPr>
            <w:r>
              <w:rPr>
                <w:rFonts w:cs="Times New Roman" w:ascii="Times New Roman" w:hAnsi="Times New Roman"/>
                <w:sz w:val="20"/>
                <w:szCs w:val="20"/>
                <w:shd w:fill="FFFFFF" w:val="clear"/>
              </w:rPr>
              <w:t>59</w:t>
            </w:r>
          </w:p>
        </w:tc>
        <w:tc>
          <w:tcPr>
            <w:tcW w:w="3775"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pacing w:before="0" w:after="0"/>
              <w:jc w:val="center"/>
              <w:rPr>
                <w:rFonts w:ascii="Times New Roman" w:hAnsi="Times New Roman" w:cs="Times New Roman"/>
                <w:sz w:val="20"/>
                <w:szCs w:val="20"/>
                <w:highlight w:val="white"/>
              </w:rPr>
            </w:pPr>
            <w:r>
              <w:rPr>
                <w:rFonts w:cs="Times New Roman" w:ascii="Times New Roman" w:hAnsi="Times New Roman"/>
                <w:sz w:val="20"/>
                <w:szCs w:val="20"/>
                <w:shd w:fill="FFFFFF" w:val="clear"/>
              </w:rPr>
              <w:t>Procedimento/exame incompatível com o diagnóstico</w:t>
            </w:r>
          </w:p>
        </w:tc>
      </w:tr>
      <w:tr>
        <w:trPr/>
        <w:tc>
          <w:tcPr>
            <w:tcW w:w="415"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pacing w:before="0" w:after="0"/>
              <w:jc w:val="center"/>
              <w:rPr>
                <w:rFonts w:ascii="Times New Roman" w:hAnsi="Times New Roman" w:cs="Times New Roman"/>
                <w:sz w:val="20"/>
                <w:szCs w:val="20"/>
                <w:highlight w:val="white"/>
              </w:rPr>
            </w:pPr>
            <w:r>
              <w:rPr>
                <w:rFonts w:cs="Times New Roman" w:ascii="Times New Roman" w:hAnsi="Times New Roman"/>
                <w:sz w:val="20"/>
                <w:szCs w:val="20"/>
                <w:shd w:fill="FFFFFF" w:val="clear"/>
              </w:rPr>
              <w:t>20</w:t>
            </w:r>
          </w:p>
        </w:tc>
        <w:tc>
          <w:tcPr>
            <w:tcW w:w="3839"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pacing w:before="0" w:after="0"/>
              <w:jc w:val="center"/>
              <w:rPr>
                <w:rFonts w:ascii="Times New Roman" w:hAnsi="Times New Roman" w:cs="Times New Roman"/>
                <w:sz w:val="20"/>
                <w:szCs w:val="20"/>
                <w:highlight w:val="white"/>
              </w:rPr>
            </w:pPr>
            <w:r>
              <w:rPr>
                <w:rFonts w:cs="Times New Roman" w:ascii="Times New Roman" w:hAnsi="Times New Roman"/>
                <w:sz w:val="20"/>
                <w:szCs w:val="20"/>
                <w:shd w:fill="FFFFFF" w:val="clear"/>
              </w:rPr>
              <w:t>Exames/procedimentos não requisitados</w:t>
            </w:r>
          </w:p>
        </w:tc>
        <w:tc>
          <w:tcPr>
            <w:tcW w:w="463"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pacing w:before="0" w:after="0"/>
              <w:jc w:val="center"/>
              <w:rPr>
                <w:rFonts w:ascii="Times New Roman" w:hAnsi="Times New Roman" w:cs="Times New Roman"/>
                <w:sz w:val="20"/>
                <w:szCs w:val="20"/>
                <w:highlight w:val="white"/>
              </w:rPr>
            </w:pPr>
            <w:r>
              <w:rPr>
                <w:rFonts w:cs="Times New Roman" w:ascii="Times New Roman" w:hAnsi="Times New Roman"/>
                <w:sz w:val="20"/>
                <w:szCs w:val="20"/>
                <w:shd w:fill="FFFFFF" w:val="clear"/>
              </w:rPr>
              <w:t>60</w:t>
            </w:r>
          </w:p>
        </w:tc>
        <w:tc>
          <w:tcPr>
            <w:tcW w:w="3775"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pacing w:before="0" w:after="0"/>
              <w:jc w:val="center"/>
              <w:rPr>
                <w:rFonts w:ascii="Times New Roman" w:hAnsi="Times New Roman" w:cs="Times New Roman"/>
                <w:sz w:val="20"/>
                <w:szCs w:val="20"/>
                <w:highlight w:val="white"/>
              </w:rPr>
            </w:pPr>
            <w:r>
              <w:rPr>
                <w:rFonts w:cs="Times New Roman" w:ascii="Times New Roman" w:hAnsi="Times New Roman"/>
                <w:sz w:val="20"/>
                <w:szCs w:val="20"/>
                <w:shd w:fill="FFFFFF" w:val="clear"/>
              </w:rPr>
              <w:t>Procedimento/exame em duplicidade</w:t>
            </w:r>
          </w:p>
        </w:tc>
      </w:tr>
      <w:tr>
        <w:trPr/>
        <w:tc>
          <w:tcPr>
            <w:tcW w:w="415"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pacing w:before="0" w:after="0"/>
              <w:jc w:val="center"/>
              <w:rPr>
                <w:rFonts w:ascii="Times New Roman" w:hAnsi="Times New Roman" w:cs="Times New Roman"/>
                <w:sz w:val="20"/>
                <w:szCs w:val="20"/>
                <w:highlight w:val="white"/>
              </w:rPr>
            </w:pPr>
            <w:r>
              <w:rPr>
                <w:rFonts w:cs="Times New Roman" w:ascii="Times New Roman" w:hAnsi="Times New Roman"/>
                <w:sz w:val="20"/>
                <w:szCs w:val="20"/>
                <w:shd w:fill="FFFFFF" w:val="clear"/>
              </w:rPr>
              <w:t>21</w:t>
            </w:r>
          </w:p>
        </w:tc>
        <w:tc>
          <w:tcPr>
            <w:tcW w:w="3839"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pacing w:before="0" w:after="0"/>
              <w:jc w:val="center"/>
              <w:rPr>
                <w:rFonts w:ascii="Times New Roman" w:hAnsi="Times New Roman" w:cs="Times New Roman"/>
                <w:sz w:val="20"/>
                <w:szCs w:val="20"/>
                <w:highlight w:val="white"/>
              </w:rPr>
            </w:pPr>
            <w:r>
              <w:rPr>
                <w:rFonts w:cs="Times New Roman" w:ascii="Times New Roman" w:hAnsi="Times New Roman"/>
                <w:sz w:val="20"/>
                <w:szCs w:val="20"/>
                <w:shd w:fill="FFFFFF" w:val="clear"/>
              </w:rPr>
              <w:t>Falta de discriminação dos serviços executados</w:t>
            </w:r>
          </w:p>
        </w:tc>
        <w:tc>
          <w:tcPr>
            <w:tcW w:w="463"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pacing w:before="0" w:after="0"/>
              <w:jc w:val="center"/>
              <w:rPr>
                <w:rFonts w:ascii="Times New Roman" w:hAnsi="Times New Roman" w:cs="Times New Roman"/>
                <w:sz w:val="20"/>
                <w:szCs w:val="20"/>
                <w:highlight w:val="white"/>
              </w:rPr>
            </w:pPr>
            <w:r>
              <w:rPr>
                <w:rFonts w:cs="Times New Roman" w:ascii="Times New Roman" w:hAnsi="Times New Roman"/>
                <w:sz w:val="20"/>
                <w:szCs w:val="20"/>
                <w:shd w:fill="FFFFFF" w:val="clear"/>
              </w:rPr>
              <w:t>61</w:t>
            </w:r>
          </w:p>
        </w:tc>
        <w:tc>
          <w:tcPr>
            <w:tcW w:w="3775"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pacing w:before="0" w:after="0"/>
              <w:jc w:val="center"/>
              <w:rPr>
                <w:rFonts w:ascii="Times New Roman" w:hAnsi="Times New Roman" w:cs="Times New Roman"/>
                <w:sz w:val="20"/>
                <w:szCs w:val="20"/>
                <w:highlight w:val="white"/>
              </w:rPr>
            </w:pPr>
            <w:r>
              <w:rPr>
                <w:rFonts w:cs="Times New Roman" w:ascii="Times New Roman" w:hAnsi="Times New Roman"/>
                <w:sz w:val="20"/>
                <w:szCs w:val="20"/>
                <w:shd w:fill="FFFFFF" w:val="clear"/>
              </w:rPr>
              <w:t>Procedimento/exame não coberto</w:t>
            </w:r>
          </w:p>
        </w:tc>
      </w:tr>
      <w:tr>
        <w:trPr/>
        <w:tc>
          <w:tcPr>
            <w:tcW w:w="415"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pacing w:before="0" w:after="0"/>
              <w:jc w:val="center"/>
              <w:rPr>
                <w:rFonts w:ascii="Times New Roman" w:hAnsi="Times New Roman" w:cs="Times New Roman"/>
                <w:sz w:val="20"/>
                <w:szCs w:val="20"/>
                <w:highlight w:val="white"/>
              </w:rPr>
            </w:pPr>
            <w:r>
              <w:rPr>
                <w:rFonts w:cs="Times New Roman" w:ascii="Times New Roman" w:hAnsi="Times New Roman"/>
                <w:sz w:val="20"/>
                <w:szCs w:val="20"/>
                <w:shd w:fill="FFFFFF" w:val="clear"/>
              </w:rPr>
              <w:t xml:space="preserve"> </w:t>
            </w:r>
            <w:r>
              <w:rPr>
                <w:rFonts w:cs="Times New Roman" w:ascii="Times New Roman" w:hAnsi="Times New Roman"/>
                <w:sz w:val="20"/>
                <w:szCs w:val="20"/>
                <w:shd w:fill="FFFFFF" w:val="clear"/>
              </w:rPr>
              <w:t>22</w:t>
            </w:r>
          </w:p>
        </w:tc>
        <w:tc>
          <w:tcPr>
            <w:tcW w:w="3839"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pacing w:before="0" w:after="0"/>
              <w:jc w:val="center"/>
              <w:rPr>
                <w:rFonts w:ascii="Times New Roman" w:hAnsi="Times New Roman" w:cs="Times New Roman"/>
                <w:sz w:val="20"/>
                <w:szCs w:val="20"/>
                <w:highlight w:val="white"/>
              </w:rPr>
            </w:pPr>
            <w:r>
              <w:rPr>
                <w:rFonts w:cs="Times New Roman" w:ascii="Times New Roman" w:hAnsi="Times New Roman"/>
                <w:sz w:val="20"/>
                <w:szCs w:val="20"/>
                <w:shd w:fill="FFFFFF" w:val="clear"/>
              </w:rPr>
              <w:t>Falta do registro de evolução médica e/ou de enfermagem</w:t>
            </w:r>
          </w:p>
        </w:tc>
        <w:tc>
          <w:tcPr>
            <w:tcW w:w="463"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pacing w:before="0" w:after="0"/>
              <w:jc w:val="center"/>
              <w:rPr>
                <w:rFonts w:ascii="Times New Roman" w:hAnsi="Times New Roman" w:cs="Times New Roman"/>
                <w:sz w:val="20"/>
                <w:szCs w:val="20"/>
                <w:highlight w:val="white"/>
              </w:rPr>
            </w:pPr>
            <w:r>
              <w:rPr>
                <w:rFonts w:cs="Times New Roman" w:ascii="Times New Roman" w:hAnsi="Times New Roman"/>
                <w:sz w:val="20"/>
                <w:szCs w:val="20"/>
                <w:shd w:fill="FFFFFF" w:val="clear"/>
              </w:rPr>
              <w:t>62</w:t>
            </w:r>
          </w:p>
        </w:tc>
        <w:tc>
          <w:tcPr>
            <w:tcW w:w="3775"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pacing w:before="0" w:after="0"/>
              <w:jc w:val="center"/>
              <w:rPr>
                <w:rFonts w:ascii="Times New Roman" w:hAnsi="Times New Roman" w:cs="Times New Roman"/>
                <w:sz w:val="20"/>
                <w:szCs w:val="20"/>
                <w:highlight w:val="white"/>
              </w:rPr>
            </w:pPr>
            <w:r>
              <w:rPr>
                <w:rFonts w:cs="Times New Roman" w:ascii="Times New Roman" w:hAnsi="Times New Roman"/>
                <w:sz w:val="20"/>
                <w:szCs w:val="20"/>
                <w:shd w:fill="FFFFFF" w:val="clear"/>
              </w:rPr>
              <w:t>Procedimento/exame não realizado</w:t>
            </w:r>
          </w:p>
        </w:tc>
      </w:tr>
      <w:tr>
        <w:trPr/>
        <w:tc>
          <w:tcPr>
            <w:tcW w:w="415"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pacing w:before="0" w:after="0"/>
              <w:jc w:val="center"/>
              <w:rPr>
                <w:rFonts w:ascii="Times New Roman" w:hAnsi="Times New Roman" w:cs="Times New Roman"/>
                <w:sz w:val="20"/>
                <w:szCs w:val="20"/>
                <w:highlight w:val="white"/>
              </w:rPr>
            </w:pPr>
            <w:r>
              <w:rPr>
                <w:rFonts w:cs="Times New Roman" w:ascii="Times New Roman" w:hAnsi="Times New Roman"/>
                <w:sz w:val="20"/>
                <w:szCs w:val="20"/>
                <w:shd w:fill="FFFFFF" w:val="clear"/>
              </w:rPr>
              <w:t>23</w:t>
            </w:r>
          </w:p>
        </w:tc>
        <w:tc>
          <w:tcPr>
            <w:tcW w:w="3839"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pacing w:before="0" w:after="0"/>
              <w:jc w:val="center"/>
              <w:rPr>
                <w:rFonts w:ascii="Times New Roman" w:hAnsi="Times New Roman" w:cs="Times New Roman"/>
                <w:sz w:val="20"/>
                <w:szCs w:val="20"/>
                <w:highlight w:val="white"/>
              </w:rPr>
            </w:pPr>
            <w:r>
              <w:rPr>
                <w:rFonts w:cs="Times New Roman" w:ascii="Times New Roman" w:hAnsi="Times New Roman"/>
                <w:sz w:val="20"/>
                <w:szCs w:val="20"/>
                <w:shd w:fill="FFFFFF" w:val="clear"/>
              </w:rPr>
              <w:t>Fatura sem separar (FuSEx – PASS – Fator de Custo)</w:t>
            </w:r>
          </w:p>
        </w:tc>
        <w:tc>
          <w:tcPr>
            <w:tcW w:w="463"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pacing w:before="0" w:after="0"/>
              <w:jc w:val="center"/>
              <w:rPr>
                <w:rFonts w:ascii="Times New Roman" w:hAnsi="Times New Roman" w:cs="Times New Roman"/>
                <w:sz w:val="20"/>
                <w:szCs w:val="20"/>
                <w:highlight w:val="white"/>
              </w:rPr>
            </w:pPr>
            <w:r>
              <w:rPr>
                <w:rFonts w:cs="Times New Roman" w:ascii="Times New Roman" w:hAnsi="Times New Roman"/>
                <w:sz w:val="20"/>
                <w:szCs w:val="20"/>
                <w:shd w:fill="FFFFFF" w:val="clear"/>
              </w:rPr>
              <w:t>63</w:t>
            </w:r>
          </w:p>
        </w:tc>
        <w:tc>
          <w:tcPr>
            <w:tcW w:w="3775"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pacing w:before="0" w:after="0"/>
              <w:jc w:val="center"/>
              <w:rPr>
                <w:rFonts w:ascii="Times New Roman" w:hAnsi="Times New Roman" w:cs="Times New Roman"/>
                <w:sz w:val="20"/>
                <w:szCs w:val="20"/>
                <w:highlight w:val="white"/>
              </w:rPr>
            </w:pPr>
            <w:r>
              <w:rPr>
                <w:rFonts w:cs="Times New Roman" w:ascii="Times New Roman" w:hAnsi="Times New Roman"/>
                <w:sz w:val="20"/>
                <w:szCs w:val="20"/>
                <w:shd w:fill="FFFFFF" w:val="clear"/>
              </w:rPr>
              <w:t>Prontuário/ficha/boletim ilegível</w:t>
            </w:r>
          </w:p>
        </w:tc>
      </w:tr>
      <w:tr>
        <w:trPr/>
        <w:tc>
          <w:tcPr>
            <w:tcW w:w="415"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pacing w:before="0" w:after="0"/>
              <w:jc w:val="center"/>
              <w:rPr>
                <w:rFonts w:ascii="Times New Roman" w:hAnsi="Times New Roman" w:cs="Times New Roman"/>
                <w:sz w:val="20"/>
                <w:szCs w:val="20"/>
                <w:highlight w:val="white"/>
              </w:rPr>
            </w:pPr>
            <w:r>
              <w:rPr>
                <w:rFonts w:cs="Times New Roman" w:ascii="Times New Roman" w:hAnsi="Times New Roman"/>
                <w:sz w:val="20"/>
                <w:szCs w:val="20"/>
                <w:shd w:fill="FFFFFF" w:val="clear"/>
              </w:rPr>
              <w:t>24</w:t>
            </w:r>
          </w:p>
        </w:tc>
        <w:tc>
          <w:tcPr>
            <w:tcW w:w="3839"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pacing w:before="0" w:after="0"/>
              <w:jc w:val="center"/>
              <w:rPr>
                <w:rFonts w:ascii="Times New Roman" w:hAnsi="Times New Roman" w:cs="Times New Roman"/>
                <w:sz w:val="20"/>
                <w:szCs w:val="20"/>
                <w:highlight w:val="white"/>
              </w:rPr>
            </w:pPr>
            <w:r>
              <w:rPr>
                <w:rFonts w:cs="Times New Roman" w:ascii="Times New Roman" w:hAnsi="Times New Roman"/>
                <w:sz w:val="20"/>
                <w:szCs w:val="20"/>
                <w:shd w:fill="FFFFFF" w:val="clear"/>
              </w:rPr>
              <w:t>Filme –cobrança em desacordo com CBR</w:t>
            </w:r>
          </w:p>
        </w:tc>
        <w:tc>
          <w:tcPr>
            <w:tcW w:w="463"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pacing w:before="0" w:after="0"/>
              <w:jc w:val="center"/>
              <w:rPr>
                <w:rFonts w:ascii="Times New Roman" w:hAnsi="Times New Roman" w:cs="Times New Roman"/>
                <w:sz w:val="20"/>
                <w:szCs w:val="20"/>
                <w:highlight w:val="white"/>
              </w:rPr>
            </w:pPr>
            <w:r>
              <w:rPr>
                <w:rFonts w:cs="Times New Roman" w:ascii="Times New Roman" w:hAnsi="Times New Roman"/>
                <w:sz w:val="20"/>
                <w:szCs w:val="20"/>
                <w:shd w:fill="FFFFFF" w:val="clear"/>
              </w:rPr>
              <w:t>64</w:t>
            </w:r>
          </w:p>
        </w:tc>
        <w:tc>
          <w:tcPr>
            <w:tcW w:w="3775"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pacing w:before="0" w:after="0"/>
              <w:jc w:val="center"/>
              <w:rPr>
                <w:rFonts w:ascii="Times New Roman" w:hAnsi="Times New Roman" w:cs="Times New Roman"/>
                <w:sz w:val="20"/>
                <w:szCs w:val="20"/>
                <w:highlight w:val="white"/>
              </w:rPr>
            </w:pPr>
            <w:r>
              <w:rPr>
                <w:rFonts w:cs="Times New Roman" w:ascii="Times New Roman" w:hAnsi="Times New Roman"/>
                <w:sz w:val="20"/>
                <w:szCs w:val="20"/>
                <w:shd w:fill="FFFFFF" w:val="clear"/>
              </w:rPr>
              <w:t>Prontuário/ficha/boletim rasurados</w:t>
            </w:r>
          </w:p>
        </w:tc>
      </w:tr>
      <w:tr>
        <w:trPr/>
        <w:tc>
          <w:tcPr>
            <w:tcW w:w="415"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pacing w:before="0" w:after="0"/>
              <w:jc w:val="center"/>
              <w:rPr>
                <w:rFonts w:ascii="Times New Roman" w:hAnsi="Times New Roman" w:cs="Times New Roman"/>
                <w:sz w:val="20"/>
                <w:szCs w:val="20"/>
                <w:highlight w:val="white"/>
              </w:rPr>
            </w:pPr>
            <w:r>
              <w:rPr>
                <w:rFonts w:cs="Times New Roman" w:ascii="Times New Roman" w:hAnsi="Times New Roman"/>
                <w:sz w:val="20"/>
                <w:szCs w:val="20"/>
                <w:shd w:fill="FFFFFF" w:val="clear"/>
              </w:rPr>
              <w:t>25</w:t>
            </w:r>
          </w:p>
        </w:tc>
        <w:tc>
          <w:tcPr>
            <w:tcW w:w="3839"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pacing w:before="0" w:after="0"/>
              <w:jc w:val="center"/>
              <w:rPr>
                <w:rFonts w:ascii="Times New Roman" w:hAnsi="Times New Roman" w:cs="Times New Roman"/>
                <w:sz w:val="20"/>
                <w:szCs w:val="20"/>
                <w:highlight w:val="white"/>
              </w:rPr>
            </w:pPr>
            <w:r>
              <w:rPr>
                <w:rFonts w:cs="Times New Roman" w:ascii="Times New Roman" w:hAnsi="Times New Roman"/>
                <w:sz w:val="20"/>
                <w:szCs w:val="20"/>
                <w:shd w:fill="FFFFFF" w:val="clear"/>
              </w:rPr>
              <w:t>Guia/Ofício de encaminhamento ilegível</w:t>
            </w:r>
          </w:p>
        </w:tc>
        <w:tc>
          <w:tcPr>
            <w:tcW w:w="463"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pacing w:before="0" w:after="0"/>
              <w:jc w:val="center"/>
              <w:rPr>
                <w:rFonts w:ascii="Times New Roman" w:hAnsi="Times New Roman" w:cs="Times New Roman"/>
                <w:sz w:val="20"/>
                <w:szCs w:val="20"/>
                <w:highlight w:val="white"/>
              </w:rPr>
            </w:pPr>
            <w:r>
              <w:rPr>
                <w:rFonts w:cs="Times New Roman" w:ascii="Times New Roman" w:hAnsi="Times New Roman"/>
                <w:sz w:val="20"/>
                <w:szCs w:val="20"/>
                <w:shd w:fill="FFFFFF" w:val="clear"/>
              </w:rPr>
              <w:t>65</w:t>
            </w:r>
          </w:p>
        </w:tc>
        <w:tc>
          <w:tcPr>
            <w:tcW w:w="3775"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pacing w:before="0" w:after="0"/>
              <w:jc w:val="center"/>
              <w:rPr>
                <w:rFonts w:ascii="Times New Roman" w:hAnsi="Times New Roman" w:cs="Times New Roman"/>
                <w:sz w:val="20"/>
                <w:szCs w:val="20"/>
                <w:highlight w:val="white"/>
              </w:rPr>
            </w:pPr>
            <w:r>
              <w:rPr>
                <w:rFonts w:cs="Times New Roman" w:ascii="Times New Roman" w:hAnsi="Times New Roman"/>
                <w:sz w:val="20"/>
                <w:szCs w:val="20"/>
                <w:shd w:fill="FFFFFF" w:val="clear"/>
              </w:rPr>
              <w:t>Retorno de consulta</w:t>
            </w:r>
          </w:p>
        </w:tc>
      </w:tr>
      <w:tr>
        <w:trPr/>
        <w:tc>
          <w:tcPr>
            <w:tcW w:w="415"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pacing w:before="0" w:after="0"/>
              <w:jc w:val="center"/>
              <w:rPr>
                <w:rFonts w:ascii="Times New Roman" w:hAnsi="Times New Roman" w:cs="Times New Roman"/>
                <w:sz w:val="20"/>
                <w:szCs w:val="20"/>
                <w:highlight w:val="white"/>
              </w:rPr>
            </w:pPr>
            <w:r>
              <w:rPr>
                <w:rFonts w:cs="Times New Roman" w:ascii="Times New Roman" w:hAnsi="Times New Roman"/>
                <w:sz w:val="20"/>
                <w:szCs w:val="20"/>
                <w:shd w:fill="FFFFFF" w:val="clear"/>
              </w:rPr>
              <w:t>26</w:t>
            </w:r>
          </w:p>
        </w:tc>
        <w:tc>
          <w:tcPr>
            <w:tcW w:w="3839"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pacing w:before="0" w:after="0"/>
              <w:jc w:val="center"/>
              <w:rPr>
                <w:rFonts w:ascii="Times New Roman" w:hAnsi="Times New Roman" w:cs="Times New Roman"/>
                <w:sz w:val="20"/>
                <w:szCs w:val="20"/>
                <w:highlight w:val="white"/>
              </w:rPr>
            </w:pPr>
            <w:r>
              <w:rPr>
                <w:rFonts w:cs="Times New Roman" w:ascii="Times New Roman" w:hAnsi="Times New Roman"/>
                <w:sz w:val="20"/>
                <w:szCs w:val="20"/>
                <w:shd w:fill="FFFFFF" w:val="clear"/>
              </w:rPr>
              <w:t>Guia/Ofício de encaminhamento sem assinatura do paciente ou responsável</w:t>
            </w:r>
          </w:p>
        </w:tc>
        <w:tc>
          <w:tcPr>
            <w:tcW w:w="463"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pacing w:before="0" w:after="0"/>
              <w:jc w:val="center"/>
              <w:rPr>
                <w:rFonts w:ascii="Times New Roman" w:hAnsi="Times New Roman" w:cs="Times New Roman"/>
                <w:sz w:val="20"/>
                <w:szCs w:val="20"/>
                <w:highlight w:val="white"/>
              </w:rPr>
            </w:pPr>
            <w:r>
              <w:rPr>
                <w:rFonts w:cs="Times New Roman" w:ascii="Times New Roman" w:hAnsi="Times New Roman"/>
                <w:sz w:val="20"/>
                <w:szCs w:val="20"/>
                <w:shd w:fill="FFFFFF" w:val="clear"/>
              </w:rPr>
              <w:t>66</w:t>
            </w:r>
          </w:p>
        </w:tc>
        <w:tc>
          <w:tcPr>
            <w:tcW w:w="3775"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pacing w:before="0" w:after="0"/>
              <w:jc w:val="center"/>
              <w:rPr>
                <w:rFonts w:ascii="Times New Roman" w:hAnsi="Times New Roman" w:cs="Times New Roman"/>
                <w:sz w:val="20"/>
                <w:szCs w:val="20"/>
                <w:highlight w:val="white"/>
              </w:rPr>
            </w:pPr>
            <w:r>
              <w:rPr>
                <w:rFonts w:cs="Times New Roman" w:ascii="Times New Roman" w:hAnsi="Times New Roman"/>
                <w:sz w:val="20"/>
                <w:szCs w:val="20"/>
                <w:shd w:fill="FFFFFF" w:val="clear"/>
              </w:rPr>
              <w:t>SADT/exames fora da tabela acordada</w:t>
            </w:r>
          </w:p>
        </w:tc>
      </w:tr>
      <w:tr>
        <w:trPr/>
        <w:tc>
          <w:tcPr>
            <w:tcW w:w="415"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pacing w:before="0" w:after="0"/>
              <w:jc w:val="center"/>
              <w:rPr>
                <w:rFonts w:ascii="Times New Roman" w:hAnsi="Times New Roman" w:cs="Times New Roman"/>
                <w:sz w:val="20"/>
                <w:szCs w:val="20"/>
                <w:highlight w:val="white"/>
              </w:rPr>
            </w:pPr>
            <w:r>
              <w:rPr>
                <w:rFonts w:cs="Times New Roman" w:ascii="Times New Roman" w:hAnsi="Times New Roman"/>
                <w:sz w:val="20"/>
                <w:szCs w:val="20"/>
                <w:shd w:fill="FFFFFF" w:val="clear"/>
              </w:rPr>
              <w:t>27</w:t>
            </w:r>
          </w:p>
        </w:tc>
        <w:tc>
          <w:tcPr>
            <w:tcW w:w="3839"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pacing w:before="0" w:after="0"/>
              <w:jc w:val="center"/>
              <w:rPr>
                <w:rFonts w:ascii="Times New Roman" w:hAnsi="Times New Roman" w:cs="Times New Roman"/>
                <w:sz w:val="20"/>
                <w:szCs w:val="20"/>
                <w:highlight w:val="white"/>
              </w:rPr>
            </w:pPr>
            <w:r>
              <w:rPr>
                <w:rFonts w:cs="Times New Roman" w:ascii="Times New Roman" w:hAnsi="Times New Roman"/>
                <w:sz w:val="20"/>
                <w:szCs w:val="20"/>
                <w:shd w:fill="FFFFFF" w:val="clear"/>
              </w:rPr>
              <w:t>Guia autorizada para outro prestador</w:t>
            </w:r>
          </w:p>
        </w:tc>
        <w:tc>
          <w:tcPr>
            <w:tcW w:w="463"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pacing w:before="0" w:after="0"/>
              <w:jc w:val="center"/>
              <w:rPr>
                <w:rFonts w:ascii="Times New Roman" w:hAnsi="Times New Roman" w:cs="Times New Roman"/>
                <w:sz w:val="20"/>
                <w:szCs w:val="20"/>
                <w:highlight w:val="white"/>
              </w:rPr>
            </w:pPr>
            <w:r>
              <w:rPr>
                <w:rFonts w:cs="Times New Roman" w:ascii="Times New Roman" w:hAnsi="Times New Roman"/>
                <w:sz w:val="20"/>
                <w:szCs w:val="20"/>
                <w:shd w:fill="FFFFFF" w:val="clear"/>
              </w:rPr>
              <w:t>67</w:t>
            </w:r>
          </w:p>
        </w:tc>
        <w:tc>
          <w:tcPr>
            <w:tcW w:w="3775"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pacing w:before="0" w:after="0"/>
              <w:jc w:val="center"/>
              <w:rPr>
                <w:rFonts w:ascii="Times New Roman" w:hAnsi="Times New Roman" w:cs="Times New Roman"/>
                <w:sz w:val="20"/>
                <w:szCs w:val="20"/>
                <w:highlight w:val="white"/>
              </w:rPr>
            </w:pPr>
            <w:r>
              <w:rPr>
                <w:rFonts w:cs="Times New Roman" w:ascii="Times New Roman" w:hAnsi="Times New Roman"/>
                <w:sz w:val="20"/>
                <w:szCs w:val="20"/>
                <w:shd w:fill="FFFFFF" w:val="clear"/>
              </w:rPr>
              <w:t>Sem autorização para procedimento ou exame</w:t>
            </w:r>
          </w:p>
        </w:tc>
      </w:tr>
      <w:tr>
        <w:trPr/>
        <w:tc>
          <w:tcPr>
            <w:tcW w:w="415"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pacing w:before="0" w:after="0"/>
              <w:jc w:val="center"/>
              <w:rPr>
                <w:rFonts w:ascii="Times New Roman" w:hAnsi="Times New Roman" w:cs="Times New Roman"/>
                <w:sz w:val="20"/>
                <w:szCs w:val="20"/>
                <w:highlight w:val="white"/>
              </w:rPr>
            </w:pPr>
            <w:r>
              <w:rPr>
                <w:rFonts w:cs="Times New Roman" w:ascii="Times New Roman" w:hAnsi="Times New Roman"/>
                <w:sz w:val="20"/>
                <w:szCs w:val="20"/>
                <w:shd w:fill="FFFFFF" w:val="clear"/>
              </w:rPr>
              <w:t>28</w:t>
            </w:r>
          </w:p>
        </w:tc>
        <w:tc>
          <w:tcPr>
            <w:tcW w:w="3839"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pacing w:before="0" w:after="0"/>
              <w:jc w:val="center"/>
              <w:rPr>
                <w:rFonts w:ascii="Times New Roman" w:hAnsi="Times New Roman" w:cs="Times New Roman"/>
                <w:sz w:val="20"/>
                <w:szCs w:val="20"/>
                <w:highlight w:val="white"/>
              </w:rPr>
            </w:pPr>
            <w:r>
              <w:rPr>
                <w:rFonts w:cs="Times New Roman" w:ascii="Times New Roman" w:hAnsi="Times New Roman"/>
                <w:sz w:val="20"/>
                <w:szCs w:val="20"/>
                <w:shd w:fill="FFFFFF" w:val="clear"/>
              </w:rPr>
              <w:t>Guia de encaminhamento fora da validade</w:t>
            </w:r>
          </w:p>
        </w:tc>
        <w:tc>
          <w:tcPr>
            <w:tcW w:w="463"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pacing w:before="0" w:after="0"/>
              <w:jc w:val="center"/>
              <w:rPr>
                <w:rFonts w:ascii="Times New Roman" w:hAnsi="Times New Roman" w:cs="Times New Roman"/>
                <w:sz w:val="20"/>
                <w:szCs w:val="20"/>
                <w:highlight w:val="white"/>
              </w:rPr>
            </w:pPr>
            <w:r>
              <w:rPr>
                <w:rFonts w:cs="Times New Roman" w:ascii="Times New Roman" w:hAnsi="Times New Roman"/>
                <w:sz w:val="20"/>
                <w:szCs w:val="20"/>
                <w:shd w:fill="FFFFFF" w:val="clear"/>
              </w:rPr>
              <w:t>68</w:t>
            </w:r>
          </w:p>
        </w:tc>
        <w:tc>
          <w:tcPr>
            <w:tcW w:w="3775"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pacing w:before="0" w:after="0"/>
              <w:jc w:val="center"/>
              <w:rPr>
                <w:rFonts w:ascii="Times New Roman" w:hAnsi="Times New Roman" w:cs="Times New Roman"/>
                <w:sz w:val="20"/>
                <w:szCs w:val="20"/>
                <w:highlight w:val="white"/>
              </w:rPr>
            </w:pPr>
            <w:r>
              <w:rPr>
                <w:rFonts w:cs="Times New Roman" w:ascii="Times New Roman" w:hAnsi="Times New Roman"/>
                <w:sz w:val="20"/>
                <w:szCs w:val="20"/>
                <w:shd w:fill="FFFFFF" w:val="clear"/>
              </w:rPr>
              <w:t>Sem diagnóstico</w:t>
            </w:r>
          </w:p>
        </w:tc>
      </w:tr>
      <w:tr>
        <w:trPr/>
        <w:tc>
          <w:tcPr>
            <w:tcW w:w="415"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pacing w:before="0" w:after="0"/>
              <w:jc w:val="center"/>
              <w:rPr>
                <w:rFonts w:ascii="Times New Roman" w:hAnsi="Times New Roman" w:cs="Times New Roman"/>
                <w:sz w:val="20"/>
                <w:szCs w:val="20"/>
                <w:highlight w:val="white"/>
              </w:rPr>
            </w:pPr>
            <w:r>
              <w:rPr>
                <w:rFonts w:cs="Times New Roman" w:ascii="Times New Roman" w:hAnsi="Times New Roman"/>
                <w:sz w:val="20"/>
                <w:szCs w:val="20"/>
                <w:shd w:fill="FFFFFF" w:val="clear"/>
              </w:rPr>
              <w:t>29</w:t>
            </w:r>
          </w:p>
        </w:tc>
        <w:tc>
          <w:tcPr>
            <w:tcW w:w="3839"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pacing w:before="0" w:after="0"/>
              <w:jc w:val="center"/>
              <w:rPr>
                <w:rFonts w:ascii="Times New Roman" w:hAnsi="Times New Roman" w:cs="Times New Roman"/>
                <w:sz w:val="20"/>
                <w:szCs w:val="20"/>
                <w:highlight w:val="white"/>
              </w:rPr>
            </w:pPr>
            <w:r>
              <w:rPr>
                <w:rFonts w:cs="Times New Roman" w:ascii="Times New Roman" w:hAnsi="Times New Roman"/>
                <w:sz w:val="20"/>
                <w:szCs w:val="20"/>
                <w:shd w:fill="FFFFFF" w:val="clear"/>
              </w:rPr>
              <w:t>Guia não autorizada pelo FuSEx</w:t>
            </w:r>
          </w:p>
        </w:tc>
        <w:tc>
          <w:tcPr>
            <w:tcW w:w="463"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pacing w:before="0" w:after="0"/>
              <w:jc w:val="center"/>
              <w:rPr>
                <w:rFonts w:ascii="Times New Roman" w:hAnsi="Times New Roman" w:cs="Times New Roman"/>
                <w:sz w:val="20"/>
                <w:szCs w:val="20"/>
                <w:highlight w:val="white"/>
              </w:rPr>
            </w:pPr>
            <w:r>
              <w:rPr>
                <w:rFonts w:cs="Times New Roman" w:ascii="Times New Roman" w:hAnsi="Times New Roman"/>
                <w:sz w:val="20"/>
                <w:szCs w:val="20"/>
                <w:shd w:fill="FFFFFF" w:val="clear"/>
              </w:rPr>
              <w:t>69</w:t>
            </w:r>
          </w:p>
        </w:tc>
        <w:tc>
          <w:tcPr>
            <w:tcW w:w="3775"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pacing w:before="0" w:after="0"/>
              <w:jc w:val="center"/>
              <w:rPr>
                <w:rFonts w:ascii="Times New Roman" w:hAnsi="Times New Roman" w:cs="Times New Roman"/>
                <w:sz w:val="20"/>
                <w:szCs w:val="20"/>
                <w:highlight w:val="white"/>
              </w:rPr>
            </w:pPr>
            <w:r>
              <w:rPr>
                <w:rFonts w:cs="Times New Roman" w:ascii="Times New Roman" w:hAnsi="Times New Roman"/>
                <w:sz w:val="20"/>
                <w:szCs w:val="20"/>
                <w:shd w:fill="FFFFFF" w:val="clear"/>
              </w:rPr>
              <w:t>Sem guia/ofício de encaminhamento</w:t>
            </w:r>
          </w:p>
        </w:tc>
      </w:tr>
      <w:tr>
        <w:trPr/>
        <w:tc>
          <w:tcPr>
            <w:tcW w:w="415"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pacing w:before="0" w:after="0"/>
              <w:jc w:val="center"/>
              <w:rPr>
                <w:rFonts w:ascii="Times New Roman" w:hAnsi="Times New Roman" w:cs="Times New Roman"/>
                <w:sz w:val="20"/>
                <w:szCs w:val="20"/>
                <w:highlight w:val="white"/>
              </w:rPr>
            </w:pPr>
            <w:r>
              <w:rPr>
                <w:rFonts w:cs="Times New Roman" w:ascii="Times New Roman" w:hAnsi="Times New Roman"/>
                <w:sz w:val="20"/>
                <w:szCs w:val="20"/>
                <w:shd w:fill="FFFFFF" w:val="clear"/>
              </w:rPr>
              <w:t>30</w:t>
            </w:r>
          </w:p>
        </w:tc>
        <w:tc>
          <w:tcPr>
            <w:tcW w:w="3839"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pacing w:before="0" w:after="0"/>
              <w:jc w:val="center"/>
              <w:rPr>
                <w:rFonts w:ascii="Times New Roman" w:hAnsi="Times New Roman" w:cs="Times New Roman"/>
                <w:sz w:val="20"/>
                <w:szCs w:val="20"/>
                <w:highlight w:val="white"/>
              </w:rPr>
            </w:pPr>
            <w:r>
              <w:rPr>
                <w:rFonts w:cs="Times New Roman" w:ascii="Times New Roman" w:hAnsi="Times New Roman"/>
                <w:sz w:val="20"/>
                <w:szCs w:val="20"/>
                <w:shd w:fill="FFFFFF" w:val="clear"/>
              </w:rPr>
              <w:t>Guia autorizada para outro beneficiário</w:t>
            </w:r>
          </w:p>
        </w:tc>
        <w:tc>
          <w:tcPr>
            <w:tcW w:w="463"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pacing w:before="0" w:after="0"/>
              <w:jc w:val="center"/>
              <w:rPr>
                <w:rFonts w:ascii="Times New Roman" w:hAnsi="Times New Roman" w:cs="Times New Roman"/>
                <w:sz w:val="20"/>
                <w:szCs w:val="20"/>
                <w:highlight w:val="white"/>
              </w:rPr>
            </w:pPr>
            <w:r>
              <w:rPr>
                <w:rFonts w:cs="Times New Roman" w:ascii="Times New Roman" w:hAnsi="Times New Roman"/>
                <w:sz w:val="20"/>
                <w:szCs w:val="20"/>
                <w:shd w:fill="FFFFFF" w:val="clear"/>
              </w:rPr>
              <w:t>70</w:t>
            </w:r>
          </w:p>
        </w:tc>
        <w:tc>
          <w:tcPr>
            <w:tcW w:w="3775"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pacing w:before="0" w:after="0"/>
              <w:jc w:val="center"/>
              <w:rPr>
                <w:rFonts w:ascii="Times New Roman" w:hAnsi="Times New Roman" w:cs="Times New Roman"/>
                <w:sz w:val="20"/>
                <w:szCs w:val="20"/>
                <w:highlight w:val="white"/>
              </w:rPr>
            </w:pPr>
            <w:r>
              <w:rPr>
                <w:rFonts w:cs="Times New Roman" w:ascii="Times New Roman" w:hAnsi="Times New Roman"/>
                <w:sz w:val="20"/>
                <w:szCs w:val="20"/>
                <w:shd w:fill="FFFFFF" w:val="clear"/>
              </w:rPr>
              <w:t>Solicitação médica com data rasurada</w:t>
            </w:r>
          </w:p>
        </w:tc>
      </w:tr>
      <w:tr>
        <w:trPr/>
        <w:tc>
          <w:tcPr>
            <w:tcW w:w="415"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pacing w:before="0" w:after="0"/>
              <w:jc w:val="center"/>
              <w:rPr>
                <w:rFonts w:ascii="Times New Roman" w:hAnsi="Times New Roman" w:cs="Times New Roman"/>
                <w:sz w:val="20"/>
                <w:szCs w:val="20"/>
                <w:highlight w:val="white"/>
              </w:rPr>
            </w:pPr>
            <w:r>
              <w:rPr>
                <w:rFonts w:cs="Times New Roman" w:ascii="Times New Roman" w:hAnsi="Times New Roman"/>
                <w:sz w:val="20"/>
                <w:szCs w:val="20"/>
                <w:shd w:fill="FFFFFF" w:val="clear"/>
              </w:rPr>
              <w:t>31</w:t>
            </w:r>
          </w:p>
        </w:tc>
        <w:tc>
          <w:tcPr>
            <w:tcW w:w="3839"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pacing w:before="0" w:after="0"/>
              <w:jc w:val="center"/>
              <w:rPr>
                <w:rFonts w:ascii="Times New Roman" w:hAnsi="Times New Roman" w:cs="Times New Roman"/>
                <w:sz w:val="20"/>
                <w:szCs w:val="20"/>
                <w:highlight w:val="white"/>
              </w:rPr>
            </w:pPr>
            <w:r>
              <w:rPr>
                <w:rFonts w:cs="Times New Roman" w:ascii="Times New Roman" w:hAnsi="Times New Roman"/>
                <w:sz w:val="20"/>
                <w:szCs w:val="20"/>
                <w:shd w:fill="FFFFFF" w:val="clear"/>
              </w:rPr>
              <w:t>Guia autorizada para outro procedimento</w:t>
            </w:r>
          </w:p>
        </w:tc>
        <w:tc>
          <w:tcPr>
            <w:tcW w:w="463"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pacing w:before="0" w:after="0"/>
              <w:jc w:val="center"/>
              <w:rPr>
                <w:rFonts w:ascii="Times New Roman" w:hAnsi="Times New Roman" w:cs="Times New Roman"/>
                <w:sz w:val="20"/>
                <w:szCs w:val="20"/>
                <w:highlight w:val="white"/>
              </w:rPr>
            </w:pPr>
            <w:r>
              <w:rPr>
                <w:rFonts w:cs="Times New Roman" w:ascii="Times New Roman" w:hAnsi="Times New Roman"/>
                <w:sz w:val="20"/>
                <w:szCs w:val="20"/>
                <w:shd w:fill="FFFFFF" w:val="clear"/>
              </w:rPr>
              <w:t>71</w:t>
            </w:r>
          </w:p>
        </w:tc>
        <w:tc>
          <w:tcPr>
            <w:tcW w:w="3775"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pacing w:before="0" w:after="0"/>
              <w:jc w:val="center"/>
              <w:rPr>
                <w:rFonts w:ascii="Times New Roman" w:hAnsi="Times New Roman" w:cs="Times New Roman"/>
                <w:sz w:val="20"/>
                <w:szCs w:val="20"/>
                <w:highlight w:val="white"/>
              </w:rPr>
            </w:pPr>
            <w:r>
              <w:rPr>
                <w:rFonts w:cs="Times New Roman" w:ascii="Times New Roman" w:hAnsi="Times New Roman"/>
                <w:sz w:val="20"/>
                <w:szCs w:val="20"/>
                <w:shd w:fill="FFFFFF" w:val="clear"/>
              </w:rPr>
              <w:t>Solicitação com data posterior ao exame</w:t>
            </w:r>
          </w:p>
        </w:tc>
      </w:tr>
      <w:tr>
        <w:trPr/>
        <w:tc>
          <w:tcPr>
            <w:tcW w:w="415"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pacing w:before="0" w:after="0"/>
              <w:jc w:val="center"/>
              <w:rPr>
                <w:rFonts w:ascii="Times New Roman" w:hAnsi="Times New Roman" w:cs="Times New Roman"/>
                <w:sz w:val="20"/>
                <w:szCs w:val="20"/>
                <w:highlight w:val="white"/>
              </w:rPr>
            </w:pPr>
            <w:r>
              <w:rPr>
                <w:rFonts w:cs="Times New Roman" w:ascii="Times New Roman" w:hAnsi="Times New Roman"/>
                <w:sz w:val="20"/>
                <w:szCs w:val="20"/>
                <w:shd w:fill="FFFFFF" w:val="clear"/>
              </w:rPr>
              <w:t>32</w:t>
            </w:r>
          </w:p>
        </w:tc>
        <w:tc>
          <w:tcPr>
            <w:tcW w:w="3839"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pacing w:before="0" w:after="0"/>
              <w:jc w:val="center"/>
              <w:rPr>
                <w:rFonts w:ascii="Times New Roman" w:hAnsi="Times New Roman" w:cs="Times New Roman"/>
                <w:sz w:val="20"/>
                <w:szCs w:val="20"/>
                <w:highlight w:val="white"/>
              </w:rPr>
            </w:pPr>
            <w:r>
              <w:rPr>
                <w:rFonts w:cs="Times New Roman" w:ascii="Times New Roman" w:hAnsi="Times New Roman"/>
                <w:sz w:val="20"/>
                <w:szCs w:val="20"/>
                <w:shd w:fill="FFFFFF" w:val="clear"/>
              </w:rPr>
              <w:t>Guia sem carimbo de autorização</w:t>
            </w:r>
          </w:p>
        </w:tc>
        <w:tc>
          <w:tcPr>
            <w:tcW w:w="463"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pacing w:before="0" w:after="0"/>
              <w:jc w:val="center"/>
              <w:rPr>
                <w:rFonts w:ascii="Times New Roman" w:hAnsi="Times New Roman" w:cs="Times New Roman"/>
                <w:sz w:val="20"/>
                <w:szCs w:val="20"/>
                <w:highlight w:val="white"/>
              </w:rPr>
            </w:pPr>
            <w:r>
              <w:rPr>
                <w:rFonts w:cs="Times New Roman" w:ascii="Times New Roman" w:hAnsi="Times New Roman"/>
                <w:sz w:val="20"/>
                <w:szCs w:val="20"/>
                <w:shd w:fill="FFFFFF" w:val="clear"/>
              </w:rPr>
              <w:t>72</w:t>
            </w:r>
          </w:p>
        </w:tc>
        <w:tc>
          <w:tcPr>
            <w:tcW w:w="3775"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pacing w:before="0" w:after="0"/>
              <w:jc w:val="center"/>
              <w:rPr>
                <w:rFonts w:ascii="Times New Roman" w:hAnsi="Times New Roman" w:cs="Times New Roman"/>
                <w:sz w:val="20"/>
                <w:szCs w:val="20"/>
                <w:highlight w:val="white"/>
              </w:rPr>
            </w:pPr>
            <w:r>
              <w:rPr>
                <w:rFonts w:cs="Times New Roman" w:ascii="Times New Roman" w:hAnsi="Times New Roman"/>
                <w:sz w:val="20"/>
                <w:szCs w:val="20"/>
                <w:shd w:fill="FFFFFF" w:val="clear"/>
              </w:rPr>
              <w:t>Solicitação médica com data vencida</w:t>
            </w:r>
          </w:p>
        </w:tc>
      </w:tr>
      <w:tr>
        <w:trPr/>
        <w:tc>
          <w:tcPr>
            <w:tcW w:w="415"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pacing w:before="0" w:after="0"/>
              <w:jc w:val="center"/>
              <w:rPr>
                <w:rFonts w:ascii="Times New Roman" w:hAnsi="Times New Roman" w:cs="Times New Roman"/>
                <w:sz w:val="20"/>
                <w:szCs w:val="20"/>
                <w:highlight w:val="white"/>
              </w:rPr>
            </w:pPr>
            <w:r>
              <w:rPr>
                <w:rFonts w:cs="Times New Roman" w:ascii="Times New Roman" w:hAnsi="Times New Roman"/>
                <w:sz w:val="20"/>
                <w:szCs w:val="20"/>
                <w:shd w:fill="FFFFFF" w:val="clear"/>
              </w:rPr>
              <w:t>33</w:t>
            </w:r>
          </w:p>
        </w:tc>
        <w:tc>
          <w:tcPr>
            <w:tcW w:w="3839"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pacing w:before="0" w:after="0"/>
              <w:jc w:val="center"/>
              <w:rPr>
                <w:rFonts w:ascii="Times New Roman" w:hAnsi="Times New Roman" w:cs="Times New Roman"/>
                <w:sz w:val="20"/>
                <w:szCs w:val="20"/>
                <w:highlight w:val="white"/>
              </w:rPr>
            </w:pPr>
            <w:r>
              <w:rPr>
                <w:rFonts w:cs="Times New Roman" w:ascii="Times New Roman" w:hAnsi="Times New Roman"/>
                <w:sz w:val="20"/>
                <w:szCs w:val="20"/>
                <w:shd w:fill="FFFFFF" w:val="clear"/>
              </w:rPr>
              <w:t>Guia/Ofício de encaminhamento carbonados ou fotocopiados</w:t>
            </w:r>
          </w:p>
        </w:tc>
        <w:tc>
          <w:tcPr>
            <w:tcW w:w="463"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pacing w:before="0" w:after="0"/>
              <w:jc w:val="center"/>
              <w:rPr>
                <w:rFonts w:ascii="Times New Roman" w:hAnsi="Times New Roman" w:cs="Times New Roman"/>
                <w:sz w:val="20"/>
                <w:szCs w:val="20"/>
                <w:highlight w:val="white"/>
              </w:rPr>
            </w:pPr>
            <w:r>
              <w:rPr>
                <w:rFonts w:cs="Times New Roman" w:ascii="Times New Roman" w:hAnsi="Times New Roman"/>
                <w:sz w:val="20"/>
                <w:szCs w:val="20"/>
                <w:shd w:fill="FFFFFF" w:val="clear"/>
              </w:rPr>
              <w:t>73</w:t>
            </w:r>
          </w:p>
        </w:tc>
        <w:tc>
          <w:tcPr>
            <w:tcW w:w="3775"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pacing w:before="0" w:after="0"/>
              <w:jc w:val="center"/>
              <w:rPr>
                <w:rFonts w:ascii="Times New Roman" w:hAnsi="Times New Roman" w:cs="Times New Roman"/>
                <w:sz w:val="20"/>
                <w:szCs w:val="20"/>
                <w:highlight w:val="white"/>
              </w:rPr>
            </w:pPr>
            <w:r>
              <w:rPr>
                <w:rFonts w:cs="Times New Roman" w:ascii="Times New Roman" w:hAnsi="Times New Roman"/>
                <w:sz w:val="20"/>
                <w:szCs w:val="20"/>
                <w:shd w:fill="FFFFFF" w:val="clear"/>
              </w:rPr>
              <w:t>Solicitação médica sem data</w:t>
            </w:r>
          </w:p>
        </w:tc>
      </w:tr>
      <w:tr>
        <w:trPr/>
        <w:tc>
          <w:tcPr>
            <w:tcW w:w="415"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pacing w:before="0" w:after="0"/>
              <w:jc w:val="center"/>
              <w:rPr>
                <w:rFonts w:ascii="Times New Roman" w:hAnsi="Times New Roman" w:cs="Times New Roman"/>
                <w:sz w:val="20"/>
                <w:szCs w:val="20"/>
                <w:highlight w:val="white"/>
              </w:rPr>
            </w:pPr>
            <w:r>
              <w:rPr>
                <w:rFonts w:cs="Times New Roman" w:ascii="Times New Roman" w:hAnsi="Times New Roman"/>
                <w:sz w:val="20"/>
                <w:szCs w:val="20"/>
                <w:shd w:fill="FFFFFF" w:val="clear"/>
              </w:rPr>
              <w:t>34</w:t>
            </w:r>
          </w:p>
        </w:tc>
        <w:tc>
          <w:tcPr>
            <w:tcW w:w="3839"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pacing w:before="0" w:after="0"/>
              <w:jc w:val="center"/>
              <w:rPr>
                <w:rFonts w:ascii="Times New Roman" w:hAnsi="Times New Roman" w:cs="Times New Roman"/>
                <w:sz w:val="20"/>
                <w:szCs w:val="20"/>
                <w:highlight w:val="white"/>
              </w:rPr>
            </w:pPr>
            <w:r>
              <w:rPr>
                <w:rFonts w:cs="Times New Roman" w:ascii="Times New Roman" w:hAnsi="Times New Roman"/>
                <w:sz w:val="20"/>
                <w:szCs w:val="20"/>
                <w:shd w:fill="FFFFFF" w:val="clear"/>
              </w:rPr>
              <w:t>Honorários médicos fora da tabela ou em excesso</w:t>
            </w:r>
          </w:p>
        </w:tc>
        <w:tc>
          <w:tcPr>
            <w:tcW w:w="463"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pacing w:before="0" w:after="0"/>
              <w:jc w:val="center"/>
              <w:rPr>
                <w:rFonts w:ascii="Times New Roman" w:hAnsi="Times New Roman" w:cs="Times New Roman"/>
                <w:sz w:val="20"/>
                <w:szCs w:val="20"/>
                <w:highlight w:val="white"/>
              </w:rPr>
            </w:pPr>
            <w:r>
              <w:rPr>
                <w:rFonts w:cs="Times New Roman" w:ascii="Times New Roman" w:hAnsi="Times New Roman"/>
                <w:sz w:val="20"/>
                <w:szCs w:val="20"/>
                <w:shd w:fill="FFFFFF" w:val="clear"/>
              </w:rPr>
              <w:t>74</w:t>
            </w:r>
          </w:p>
        </w:tc>
        <w:tc>
          <w:tcPr>
            <w:tcW w:w="3775"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pacing w:before="0" w:after="0"/>
              <w:jc w:val="center"/>
              <w:rPr>
                <w:rFonts w:ascii="Times New Roman" w:hAnsi="Times New Roman" w:cs="Times New Roman"/>
                <w:sz w:val="20"/>
                <w:szCs w:val="20"/>
                <w:highlight w:val="white"/>
              </w:rPr>
            </w:pPr>
            <w:r>
              <w:rPr>
                <w:rFonts w:cs="Times New Roman" w:ascii="Times New Roman" w:hAnsi="Times New Roman"/>
                <w:sz w:val="20"/>
                <w:szCs w:val="20"/>
                <w:shd w:fill="FFFFFF" w:val="clear"/>
              </w:rPr>
              <w:t>Soma errada – cálculo</w:t>
            </w:r>
          </w:p>
        </w:tc>
      </w:tr>
      <w:tr>
        <w:trPr/>
        <w:tc>
          <w:tcPr>
            <w:tcW w:w="415"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pacing w:before="0" w:after="0"/>
              <w:jc w:val="center"/>
              <w:rPr>
                <w:rFonts w:ascii="Times New Roman" w:hAnsi="Times New Roman" w:cs="Times New Roman"/>
                <w:sz w:val="20"/>
                <w:szCs w:val="20"/>
                <w:highlight w:val="white"/>
              </w:rPr>
            </w:pPr>
            <w:r>
              <w:rPr>
                <w:rFonts w:cs="Times New Roman" w:ascii="Times New Roman" w:hAnsi="Times New Roman"/>
                <w:sz w:val="20"/>
                <w:szCs w:val="20"/>
                <w:shd w:fill="FFFFFF" w:val="clear"/>
              </w:rPr>
              <w:t>35</w:t>
            </w:r>
          </w:p>
        </w:tc>
        <w:tc>
          <w:tcPr>
            <w:tcW w:w="3839"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pacing w:before="0" w:after="0"/>
              <w:jc w:val="center"/>
              <w:rPr>
                <w:rFonts w:ascii="Times New Roman" w:hAnsi="Times New Roman" w:cs="Times New Roman"/>
                <w:sz w:val="20"/>
                <w:szCs w:val="20"/>
                <w:highlight w:val="white"/>
              </w:rPr>
            </w:pPr>
            <w:r>
              <w:rPr>
                <w:rFonts w:cs="Times New Roman" w:ascii="Times New Roman" w:hAnsi="Times New Roman"/>
                <w:sz w:val="20"/>
                <w:szCs w:val="20"/>
                <w:shd w:fill="FFFFFF" w:val="clear"/>
              </w:rPr>
              <w:t>Justificar cobrança</w:t>
            </w:r>
          </w:p>
        </w:tc>
        <w:tc>
          <w:tcPr>
            <w:tcW w:w="463"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pacing w:before="0" w:after="0"/>
              <w:jc w:val="center"/>
              <w:rPr>
                <w:rFonts w:ascii="Times New Roman" w:hAnsi="Times New Roman" w:cs="Times New Roman"/>
                <w:sz w:val="20"/>
                <w:szCs w:val="20"/>
                <w:highlight w:val="white"/>
              </w:rPr>
            </w:pPr>
            <w:r>
              <w:rPr>
                <w:rFonts w:cs="Times New Roman" w:ascii="Times New Roman" w:hAnsi="Times New Roman"/>
                <w:sz w:val="20"/>
                <w:szCs w:val="20"/>
                <w:shd w:fill="FFFFFF" w:val="clear"/>
              </w:rPr>
              <w:t>75</w:t>
            </w:r>
          </w:p>
        </w:tc>
        <w:tc>
          <w:tcPr>
            <w:tcW w:w="3775"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pacing w:before="0" w:after="0"/>
              <w:jc w:val="center"/>
              <w:rPr>
                <w:rFonts w:ascii="Times New Roman" w:hAnsi="Times New Roman" w:cs="Times New Roman"/>
                <w:sz w:val="20"/>
                <w:szCs w:val="20"/>
                <w:highlight w:val="white"/>
              </w:rPr>
            </w:pPr>
            <w:r>
              <w:rPr>
                <w:rFonts w:cs="Times New Roman" w:ascii="Times New Roman" w:hAnsi="Times New Roman"/>
                <w:sz w:val="20"/>
                <w:szCs w:val="20"/>
                <w:shd w:fill="FFFFFF" w:val="clear"/>
              </w:rPr>
              <w:t>Taxas fora da tabela acordada</w:t>
            </w:r>
          </w:p>
        </w:tc>
      </w:tr>
      <w:tr>
        <w:trPr/>
        <w:tc>
          <w:tcPr>
            <w:tcW w:w="415"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pacing w:before="0" w:after="0"/>
              <w:jc w:val="center"/>
              <w:rPr>
                <w:rFonts w:ascii="Times New Roman" w:hAnsi="Times New Roman" w:cs="Times New Roman"/>
                <w:sz w:val="20"/>
                <w:szCs w:val="20"/>
                <w:highlight w:val="white"/>
              </w:rPr>
            </w:pPr>
            <w:r>
              <w:rPr>
                <w:rFonts w:cs="Times New Roman" w:ascii="Times New Roman" w:hAnsi="Times New Roman"/>
                <w:sz w:val="20"/>
                <w:szCs w:val="20"/>
                <w:shd w:fill="FFFFFF" w:val="clear"/>
              </w:rPr>
              <w:t>36</w:t>
            </w:r>
          </w:p>
        </w:tc>
        <w:tc>
          <w:tcPr>
            <w:tcW w:w="3839"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pacing w:before="0" w:after="0"/>
              <w:jc w:val="center"/>
              <w:rPr>
                <w:rFonts w:ascii="Times New Roman" w:hAnsi="Times New Roman" w:cs="Times New Roman"/>
                <w:sz w:val="20"/>
                <w:szCs w:val="20"/>
                <w:highlight w:val="white"/>
              </w:rPr>
            </w:pPr>
            <w:r>
              <w:rPr>
                <w:rFonts w:cs="Times New Roman" w:ascii="Times New Roman" w:hAnsi="Times New Roman"/>
                <w:sz w:val="20"/>
                <w:szCs w:val="20"/>
                <w:shd w:fill="FFFFFF" w:val="clear"/>
              </w:rPr>
              <w:t>Material ou medicamento adquirido por familiar a seu critério</w:t>
            </w:r>
          </w:p>
        </w:tc>
        <w:tc>
          <w:tcPr>
            <w:tcW w:w="463"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pacing w:before="0" w:after="0"/>
              <w:jc w:val="center"/>
              <w:rPr>
                <w:rFonts w:ascii="Times New Roman" w:hAnsi="Times New Roman" w:cs="Times New Roman"/>
                <w:sz w:val="20"/>
                <w:szCs w:val="20"/>
                <w:highlight w:val="white"/>
              </w:rPr>
            </w:pPr>
            <w:r>
              <w:rPr>
                <w:rFonts w:cs="Times New Roman" w:ascii="Times New Roman" w:hAnsi="Times New Roman"/>
                <w:sz w:val="20"/>
                <w:szCs w:val="20"/>
                <w:shd w:fill="FFFFFF" w:val="clear"/>
              </w:rPr>
              <w:t>76</w:t>
            </w:r>
          </w:p>
        </w:tc>
        <w:tc>
          <w:tcPr>
            <w:tcW w:w="3775"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pacing w:before="0" w:after="0"/>
              <w:jc w:val="center"/>
              <w:rPr>
                <w:rFonts w:ascii="Times New Roman" w:hAnsi="Times New Roman" w:cs="Times New Roman"/>
                <w:sz w:val="20"/>
                <w:szCs w:val="20"/>
                <w:highlight w:val="white"/>
              </w:rPr>
            </w:pPr>
            <w:r>
              <w:rPr>
                <w:rFonts w:cs="Times New Roman" w:ascii="Times New Roman" w:hAnsi="Times New Roman"/>
                <w:sz w:val="20"/>
                <w:szCs w:val="20"/>
                <w:shd w:fill="FFFFFF" w:val="clear"/>
              </w:rPr>
              <w:t>Taxas indevidas ou em excesso</w:t>
            </w:r>
          </w:p>
        </w:tc>
      </w:tr>
      <w:tr>
        <w:trPr/>
        <w:tc>
          <w:tcPr>
            <w:tcW w:w="415"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pacing w:before="0" w:after="0"/>
              <w:jc w:val="center"/>
              <w:rPr>
                <w:rFonts w:ascii="Times New Roman" w:hAnsi="Times New Roman" w:cs="Times New Roman"/>
                <w:sz w:val="20"/>
                <w:szCs w:val="20"/>
                <w:highlight w:val="white"/>
              </w:rPr>
            </w:pPr>
            <w:r>
              <w:rPr>
                <w:rFonts w:cs="Times New Roman" w:ascii="Times New Roman" w:hAnsi="Times New Roman"/>
                <w:sz w:val="20"/>
                <w:szCs w:val="20"/>
                <w:shd w:fill="FFFFFF" w:val="clear"/>
              </w:rPr>
              <w:t>37</w:t>
            </w:r>
          </w:p>
        </w:tc>
        <w:tc>
          <w:tcPr>
            <w:tcW w:w="3839"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pacing w:before="0" w:after="0"/>
              <w:jc w:val="center"/>
              <w:rPr>
                <w:rFonts w:ascii="Times New Roman" w:hAnsi="Times New Roman" w:cs="Times New Roman"/>
                <w:sz w:val="20"/>
                <w:szCs w:val="20"/>
                <w:highlight w:val="white"/>
              </w:rPr>
            </w:pPr>
            <w:r>
              <w:rPr>
                <w:rFonts w:cs="Times New Roman" w:ascii="Times New Roman" w:hAnsi="Times New Roman"/>
                <w:sz w:val="20"/>
                <w:szCs w:val="20"/>
                <w:shd w:fill="FFFFFF" w:val="clear"/>
              </w:rPr>
              <w:t>Material acima do preço de mercado</w:t>
            </w:r>
          </w:p>
        </w:tc>
        <w:tc>
          <w:tcPr>
            <w:tcW w:w="463"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pacing w:before="0" w:after="0"/>
              <w:jc w:val="center"/>
              <w:rPr>
                <w:rFonts w:ascii="Times New Roman" w:hAnsi="Times New Roman" w:cs="Times New Roman"/>
                <w:sz w:val="20"/>
                <w:szCs w:val="20"/>
                <w:highlight w:val="white"/>
              </w:rPr>
            </w:pPr>
            <w:r>
              <w:rPr>
                <w:rFonts w:cs="Times New Roman" w:ascii="Times New Roman" w:hAnsi="Times New Roman"/>
                <w:sz w:val="20"/>
                <w:szCs w:val="20"/>
                <w:shd w:fill="FFFFFF" w:val="clear"/>
              </w:rPr>
              <w:t>77</w:t>
            </w:r>
          </w:p>
        </w:tc>
        <w:tc>
          <w:tcPr>
            <w:tcW w:w="3775"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pacing w:before="0" w:after="0"/>
              <w:jc w:val="center"/>
              <w:rPr>
                <w:rFonts w:ascii="Times New Roman" w:hAnsi="Times New Roman" w:cs="Times New Roman"/>
                <w:sz w:val="20"/>
                <w:szCs w:val="20"/>
                <w:highlight w:val="white"/>
              </w:rPr>
            </w:pPr>
            <w:r>
              <w:rPr>
                <w:rFonts w:cs="Times New Roman" w:ascii="Times New Roman" w:hAnsi="Times New Roman"/>
                <w:sz w:val="20"/>
                <w:szCs w:val="20"/>
                <w:shd w:fill="FFFFFF" w:val="clear"/>
              </w:rPr>
              <w:t>Visita hospitalar em duplicidade</w:t>
            </w:r>
          </w:p>
        </w:tc>
      </w:tr>
      <w:tr>
        <w:trPr/>
        <w:tc>
          <w:tcPr>
            <w:tcW w:w="415"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pacing w:before="0" w:after="0"/>
              <w:jc w:val="center"/>
              <w:rPr>
                <w:rFonts w:ascii="Times New Roman" w:hAnsi="Times New Roman" w:cs="Times New Roman"/>
                <w:sz w:val="20"/>
                <w:szCs w:val="20"/>
                <w:highlight w:val="white"/>
              </w:rPr>
            </w:pPr>
            <w:r>
              <w:rPr>
                <w:rFonts w:cs="Times New Roman" w:ascii="Times New Roman" w:hAnsi="Times New Roman"/>
                <w:sz w:val="20"/>
                <w:szCs w:val="20"/>
                <w:shd w:fill="FFFFFF" w:val="clear"/>
              </w:rPr>
              <w:t>38</w:t>
            </w:r>
          </w:p>
        </w:tc>
        <w:tc>
          <w:tcPr>
            <w:tcW w:w="3839"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pacing w:before="0" w:after="0"/>
              <w:jc w:val="center"/>
              <w:rPr>
                <w:rFonts w:ascii="Times New Roman" w:hAnsi="Times New Roman" w:cs="Times New Roman"/>
                <w:sz w:val="20"/>
                <w:szCs w:val="20"/>
                <w:highlight w:val="white"/>
              </w:rPr>
            </w:pPr>
            <w:r>
              <w:rPr>
                <w:rFonts w:cs="Times New Roman" w:ascii="Times New Roman" w:hAnsi="Times New Roman"/>
                <w:sz w:val="20"/>
                <w:szCs w:val="20"/>
                <w:shd w:fill="FFFFFF" w:val="clear"/>
              </w:rPr>
              <w:t>Material de alto custo sem nota fical</w:t>
            </w:r>
          </w:p>
        </w:tc>
        <w:tc>
          <w:tcPr>
            <w:tcW w:w="463"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pacing w:before="0" w:after="0"/>
              <w:jc w:val="center"/>
              <w:rPr>
                <w:rFonts w:ascii="Times New Roman" w:hAnsi="Times New Roman" w:cs="Times New Roman"/>
                <w:sz w:val="20"/>
                <w:szCs w:val="20"/>
                <w:highlight w:val="white"/>
              </w:rPr>
            </w:pPr>
            <w:r>
              <w:rPr>
                <w:rFonts w:cs="Times New Roman" w:ascii="Times New Roman" w:hAnsi="Times New Roman"/>
                <w:sz w:val="20"/>
                <w:szCs w:val="20"/>
                <w:shd w:fill="FFFFFF" w:val="clear"/>
              </w:rPr>
              <w:t>78</w:t>
            </w:r>
          </w:p>
        </w:tc>
        <w:tc>
          <w:tcPr>
            <w:tcW w:w="3775"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pacing w:before="0" w:after="0"/>
              <w:jc w:val="center"/>
              <w:rPr>
                <w:rFonts w:ascii="Times New Roman" w:hAnsi="Times New Roman" w:cs="Times New Roman"/>
                <w:sz w:val="20"/>
                <w:szCs w:val="20"/>
                <w:highlight w:val="white"/>
              </w:rPr>
            </w:pPr>
            <w:r>
              <w:rPr>
                <w:rFonts w:cs="Times New Roman" w:ascii="Times New Roman" w:hAnsi="Times New Roman"/>
                <w:sz w:val="20"/>
                <w:szCs w:val="20"/>
                <w:shd w:fill="FFFFFF" w:val="clear"/>
              </w:rPr>
              <w:t xml:space="preserve">Visitas inclusas no procedimento cirúrgico </w:t>
            </w:r>
          </w:p>
        </w:tc>
      </w:tr>
      <w:tr>
        <w:trPr/>
        <w:tc>
          <w:tcPr>
            <w:tcW w:w="415"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pacing w:before="0" w:after="0"/>
              <w:jc w:val="center"/>
              <w:rPr>
                <w:rFonts w:ascii="Times New Roman" w:hAnsi="Times New Roman" w:cs="Times New Roman"/>
                <w:sz w:val="20"/>
                <w:szCs w:val="20"/>
                <w:highlight w:val="white"/>
              </w:rPr>
            </w:pPr>
            <w:r>
              <w:rPr>
                <w:rFonts w:cs="Times New Roman" w:ascii="Times New Roman" w:hAnsi="Times New Roman"/>
                <w:sz w:val="20"/>
                <w:szCs w:val="20"/>
                <w:shd w:fill="FFFFFF" w:val="clear"/>
              </w:rPr>
              <w:t>39</w:t>
            </w:r>
          </w:p>
        </w:tc>
        <w:tc>
          <w:tcPr>
            <w:tcW w:w="3839"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pacing w:before="0" w:after="0"/>
              <w:jc w:val="center"/>
              <w:rPr>
                <w:rFonts w:ascii="Times New Roman" w:hAnsi="Times New Roman" w:cs="Times New Roman"/>
                <w:sz w:val="20"/>
                <w:szCs w:val="20"/>
                <w:highlight w:val="white"/>
              </w:rPr>
            </w:pPr>
            <w:r>
              <w:rPr>
                <w:rFonts w:cs="Times New Roman" w:ascii="Times New Roman" w:hAnsi="Times New Roman"/>
                <w:sz w:val="20"/>
                <w:szCs w:val="20"/>
                <w:shd w:fill="FFFFFF" w:val="clear"/>
              </w:rPr>
              <w:t>Material em excesso</w:t>
            </w:r>
          </w:p>
        </w:tc>
        <w:tc>
          <w:tcPr>
            <w:tcW w:w="463"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pacing w:before="0" w:after="0"/>
              <w:jc w:val="center"/>
              <w:rPr>
                <w:rFonts w:ascii="Times New Roman" w:hAnsi="Times New Roman" w:cs="Times New Roman"/>
                <w:sz w:val="20"/>
                <w:szCs w:val="20"/>
                <w:highlight w:val="white"/>
              </w:rPr>
            </w:pPr>
            <w:r>
              <w:rPr>
                <w:rFonts w:cs="Times New Roman" w:ascii="Times New Roman" w:hAnsi="Times New Roman"/>
                <w:sz w:val="20"/>
                <w:szCs w:val="20"/>
                <w:shd w:fill="FFFFFF" w:val="clear"/>
              </w:rPr>
              <w:t>79</w:t>
            </w:r>
          </w:p>
        </w:tc>
        <w:tc>
          <w:tcPr>
            <w:tcW w:w="3775"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pacing w:before="0" w:after="0"/>
              <w:jc w:val="center"/>
              <w:rPr>
                <w:rFonts w:ascii="Times New Roman" w:hAnsi="Times New Roman" w:cs="Times New Roman"/>
                <w:sz w:val="20"/>
                <w:szCs w:val="20"/>
                <w:highlight w:val="white"/>
              </w:rPr>
            </w:pPr>
            <w:r>
              <w:rPr>
                <w:rFonts w:cs="Times New Roman" w:ascii="Times New Roman" w:hAnsi="Times New Roman"/>
                <w:sz w:val="20"/>
                <w:szCs w:val="20"/>
                <w:shd w:fill="FFFFFF" w:val="clear"/>
              </w:rPr>
              <w:t>Visita de especialista sem autorização prévia</w:t>
            </w:r>
          </w:p>
        </w:tc>
      </w:tr>
      <w:tr>
        <w:trPr/>
        <w:tc>
          <w:tcPr>
            <w:tcW w:w="415"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pacing w:before="0" w:after="0"/>
              <w:jc w:val="center"/>
              <w:rPr>
                <w:rFonts w:ascii="Times New Roman" w:hAnsi="Times New Roman" w:cs="Times New Roman"/>
                <w:sz w:val="20"/>
                <w:szCs w:val="20"/>
                <w:highlight w:val="white"/>
              </w:rPr>
            </w:pPr>
            <w:r>
              <w:rPr>
                <w:rFonts w:cs="Times New Roman" w:ascii="Times New Roman" w:hAnsi="Times New Roman"/>
                <w:sz w:val="20"/>
                <w:szCs w:val="20"/>
                <w:shd w:fill="FFFFFF" w:val="clear"/>
              </w:rPr>
              <w:t>40</w:t>
            </w:r>
          </w:p>
        </w:tc>
        <w:tc>
          <w:tcPr>
            <w:tcW w:w="3839"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pacing w:before="0" w:after="0"/>
              <w:jc w:val="center"/>
              <w:rPr>
                <w:rFonts w:ascii="Times New Roman" w:hAnsi="Times New Roman" w:cs="Times New Roman"/>
                <w:sz w:val="20"/>
                <w:szCs w:val="20"/>
                <w:highlight w:val="white"/>
              </w:rPr>
            </w:pPr>
            <w:r>
              <w:rPr>
                <w:rFonts w:cs="Times New Roman" w:ascii="Times New Roman" w:hAnsi="Times New Roman"/>
                <w:sz w:val="20"/>
                <w:szCs w:val="20"/>
                <w:shd w:fill="FFFFFF" w:val="clear"/>
              </w:rPr>
              <w:t>Material fixo</w:t>
            </w:r>
          </w:p>
        </w:tc>
        <w:tc>
          <w:tcPr>
            <w:tcW w:w="463"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pacing w:before="0" w:after="0"/>
              <w:jc w:val="center"/>
              <w:rPr>
                <w:rFonts w:ascii="Times New Roman" w:hAnsi="Times New Roman" w:cs="Times New Roman"/>
                <w:sz w:val="20"/>
                <w:szCs w:val="20"/>
                <w:highlight w:val="white"/>
              </w:rPr>
            </w:pPr>
            <w:r>
              <w:rPr>
                <w:rFonts w:cs="Times New Roman" w:ascii="Times New Roman" w:hAnsi="Times New Roman"/>
                <w:sz w:val="20"/>
                <w:szCs w:val="20"/>
                <w:shd w:fill="FFFFFF" w:val="clear"/>
              </w:rPr>
              <w:t>80</w:t>
            </w:r>
          </w:p>
        </w:tc>
        <w:tc>
          <w:tcPr>
            <w:tcW w:w="3775"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pacing w:before="0" w:after="0"/>
              <w:jc w:val="center"/>
              <w:rPr>
                <w:rFonts w:ascii="Times New Roman" w:hAnsi="Times New Roman" w:cs="Times New Roman"/>
                <w:sz w:val="20"/>
                <w:szCs w:val="20"/>
                <w:highlight w:val="white"/>
              </w:rPr>
            </w:pPr>
            <w:r>
              <w:rPr>
                <w:rFonts w:cs="Times New Roman" w:ascii="Times New Roman" w:hAnsi="Times New Roman"/>
                <w:sz w:val="20"/>
                <w:szCs w:val="20"/>
                <w:shd w:fill="FFFFFF" w:val="clear"/>
              </w:rPr>
              <w:t>Outros</w:t>
            </w:r>
          </w:p>
        </w:tc>
      </w:tr>
    </w:tbl>
    <w:p>
      <w:pPr>
        <w:pStyle w:val="Normal"/>
        <w:widowControl w:val="false"/>
        <w:spacing w:before="120" w:after="120"/>
        <w:jc w:val="both"/>
        <w:rPr/>
      </w:pPr>
      <w:r>
        <w:rPr/>
      </w:r>
    </w:p>
    <w:sectPr>
      <w:headerReference w:type="default" r:id="rId4"/>
      <w:footerReference w:type="default" r:id="rId5"/>
      <w:type w:val="nextPage"/>
      <w:pgSz w:w="11906" w:h="16838"/>
      <w:pgMar w:left="1701" w:right="1701" w:header="708" w:top="1417" w:footer="708" w:bottom="1417"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Ecofont_Spranq_eco_Sans">
    <w:charset w:val="01"/>
    <w:family w:val="roman"/>
    <w:pitch w:val="variable"/>
  </w:font>
  <w:font w:name="Calibri">
    <w:charset w:val="01"/>
    <w:family w:val="roman"/>
    <w:pitch w:val="variable"/>
  </w:font>
  <w:font w:name="Times New Roman">
    <w:charset w:val="01"/>
    <w:family w:val="roman"/>
    <w:pitch w:val="variable"/>
  </w:font>
  <w:font w:name="Cambria">
    <w:charset w:val="01"/>
    <w:family w:val="roman"/>
    <w:pitch w:val="variable"/>
  </w:font>
  <w:font w:name="Tahoma">
    <w:charset w:val="01"/>
    <w:family w:val="roman"/>
    <w:pitch w:val="variable"/>
  </w:font>
  <w:font w:name="Arial">
    <w:charset w:val="01"/>
    <w:family w:val="roman"/>
    <w:pitch w:val="variable"/>
  </w:font>
  <w:font w:name="Liberation Sans">
    <w:altName w:val="Arial"/>
    <w:charset w:val="01"/>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Rodap"/>
      <w:rPr>
        <w:rFonts w:ascii="Times New Roman" w:hAnsi="Times New Roman"/>
      </w:rPr>
    </w:pPr>
    <w:r>
      <w:rPr>
        <w:rFonts w:ascii="Times New Roman" w:hAnsi="Times New Roman"/>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abealho"/>
      <w:jc w:val="right"/>
      <w:rPr>
        <w:rFonts w:ascii="Ecofont_Spranq_eco_Sans" w:hAnsi="Ecofont_Spranq_eco_Sans"/>
        <w:sz w:val="18"/>
        <w:szCs w:val="18"/>
      </w:rPr>
    </w:pPr>
    <w:r>
      <w:rPr/>
      <w:fldChar w:fldCharType="begin"/>
    </w:r>
    <w:r>
      <w:rPr/>
      <w:instrText> PAGE </w:instrText>
    </w:r>
    <w:r>
      <w:rPr/>
      <w:fldChar w:fldCharType="separate"/>
    </w:r>
    <w:r>
      <w:rPr/>
      <w:t>8</w:t>
    </w:r>
    <w:r>
      <w:rPr/>
      <w:fldChar w:fldCharType="end"/>
    </w:r>
    <w:r>
      <w:rPr>
        <w:rFonts w:ascii="Ecofont_Spranq_eco_Sans" w:hAnsi="Ecofont_Spranq_eco_Sans"/>
        <w:sz w:val="18"/>
        <w:szCs w:val="18"/>
      </w:rPr>
      <w:t>/9.</w:t>
    </w:r>
  </w:p>
  <w:p>
    <w:pPr>
      <w:pStyle w:val="Cabealho"/>
      <w:rPr/>
    </w:pPr>
    <w:r>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decimal"/>
      <w:lvlText w:val="%1."/>
      <w:lvlJc w:val="left"/>
      <w:pPr>
        <w:tabs>
          <w:tab w:val="num" w:pos="0"/>
        </w:tabs>
        <w:ind w:left="7448" w:hanging="360"/>
      </w:pPr>
      <w:rPr>
        <w:sz w:val="20"/>
        <w:szCs w:val="20"/>
        <w:color w:val="00000A"/>
      </w:rPr>
    </w:lvl>
    <w:lvl w:ilvl="1">
      <w:start w:val="1"/>
      <w:numFmt w:val="decimal"/>
      <w:lvlText w:val="%1.%2."/>
      <w:lvlJc w:val="left"/>
      <w:pPr>
        <w:tabs>
          <w:tab w:val="num" w:pos="0"/>
        </w:tabs>
        <w:ind w:left="792" w:hanging="432"/>
      </w:pPr>
      <w:rPr>
        <w:sz w:val="20"/>
        <w:szCs w:val="20"/>
      </w:rPr>
    </w:lvl>
    <w:lvl w:ilvl="2">
      <w:start w:val="1"/>
      <w:numFmt w:val="decimal"/>
      <w:lvlText w:val="%1.%2.%3."/>
      <w:lvlJc w:val="left"/>
      <w:pPr>
        <w:tabs>
          <w:tab w:val="num" w:pos="0"/>
        </w:tabs>
        <w:ind w:left="1781"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00"/>
  <w:defaultTabStop w:val="680"/>
  <w:autoHyphenation w:val="true"/>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Ecofont_Spranq_eco_Sans" w:hAnsi="Ecofont_Spranq_eco_Sans" w:eastAsia="Calibri" w:cs=""/>
        <w:szCs w:val="22"/>
        <w:lang w:val="pt-BR" w:eastAsia="en-US" w:bidi="ar-SA"/>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uiPriority="0"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e45189"/>
    <w:pPr>
      <w:widowControl/>
      <w:suppressAutoHyphens w:val="true"/>
      <w:bidi w:val="0"/>
      <w:spacing w:lineRule="auto" w:line="276" w:before="0" w:after="200"/>
      <w:jc w:val="left"/>
    </w:pPr>
    <w:rPr>
      <w:rFonts w:ascii="Calibri" w:hAnsi="Calibri" w:eastAsia="" w:cs=""/>
      <w:color w:val="00000A"/>
      <w:kern w:val="0"/>
      <w:sz w:val="22"/>
      <w:szCs w:val="22"/>
      <w:lang w:val="pt-BR" w:eastAsia="pt-BR" w:bidi="ar-SA"/>
    </w:rPr>
  </w:style>
  <w:style w:type="paragraph" w:styleId="Ttulo1">
    <w:name w:val="Heading 1"/>
    <w:basedOn w:val="Normal"/>
    <w:next w:val="Normal"/>
    <w:qFormat/>
    <w:pPr>
      <w:keepNext w:val="true"/>
      <w:suppressAutoHyphens w:val="true"/>
      <w:spacing w:lineRule="atLeast" w:line="360" w:before="0" w:after="0"/>
      <w:ind w:left="360" w:right="0" w:hanging="360"/>
      <w:jc w:val="center"/>
      <w:textAlignment w:val="baseline"/>
      <w:outlineLvl w:val="0"/>
    </w:pPr>
    <w:rPr>
      <w:rFonts w:ascii="Times New Roman" w:hAnsi="Times New Roman" w:eastAsia="Times New Roman" w:cs="Times New Roman"/>
      <w:b/>
      <w:bCs/>
      <w:sz w:val="24"/>
      <w:szCs w:val="24"/>
      <w:lang w:eastAsia="ar-SA"/>
    </w:rPr>
  </w:style>
  <w:style w:type="paragraph" w:styleId="Ttulo2">
    <w:name w:val="Heading 2"/>
    <w:basedOn w:val="Normal"/>
    <w:next w:val="Normal"/>
    <w:qFormat/>
    <w:pPr>
      <w:keepNext w:val="true"/>
      <w:suppressAutoHyphens w:val="true"/>
      <w:spacing w:lineRule="atLeast" w:line="360" w:before="0" w:after="0"/>
      <w:ind w:left="3686" w:right="0" w:hanging="432"/>
      <w:jc w:val="both"/>
      <w:textAlignment w:val="baseline"/>
      <w:outlineLvl w:val="1"/>
    </w:pPr>
    <w:rPr>
      <w:rFonts w:ascii="Times New Roman" w:hAnsi="Times New Roman" w:eastAsia="Times New Roman" w:cs="Times New Roman"/>
      <w:color w:val="000000"/>
      <w:sz w:val="24"/>
      <w:szCs w:val="20"/>
      <w:lang w:eastAsia="ar-SA"/>
    </w:rPr>
  </w:style>
  <w:style w:type="paragraph" w:styleId="Ttulo5">
    <w:name w:val="Heading 5"/>
    <w:basedOn w:val="Normal"/>
    <w:next w:val="Normal"/>
    <w:qFormat/>
    <w:pPr>
      <w:keepNext w:val="true"/>
      <w:suppressAutoHyphens w:val="true"/>
      <w:spacing w:lineRule="atLeast" w:line="360" w:before="0" w:after="0"/>
      <w:ind w:left="2232" w:right="0" w:hanging="792"/>
      <w:jc w:val="center"/>
      <w:textAlignment w:val="baseline"/>
      <w:outlineLvl w:val="4"/>
    </w:pPr>
    <w:rPr>
      <w:rFonts w:ascii="Times New Roman" w:hAnsi="Times New Roman"/>
      <w:b/>
      <w:sz w:val="24"/>
      <w:szCs w:val="20"/>
      <w:lang w:eastAsia="ar-SA"/>
    </w:rPr>
  </w:style>
  <w:style w:type="paragraph" w:styleId="Ttulo6">
    <w:name w:val="Heading 6"/>
    <w:basedOn w:val="Normal"/>
    <w:next w:val="Normal"/>
    <w:qFormat/>
    <w:pPr>
      <w:keepNext w:val="true"/>
      <w:keepLines/>
      <w:spacing w:before="200" w:after="0"/>
      <w:outlineLvl w:val="5"/>
    </w:pPr>
    <w:rPr>
      <w:rFonts w:ascii="Cambria" w:hAnsi="Cambria" w:eastAsia="Calibri" w:cs=""/>
      <w:i/>
      <w:iCs/>
      <w:color w:val="243F60"/>
    </w:rPr>
  </w:style>
  <w:style w:type="paragraph" w:styleId="Ttulo7">
    <w:name w:val="Heading 7"/>
    <w:basedOn w:val="Normal"/>
    <w:next w:val="Normal"/>
    <w:qFormat/>
    <w:pPr>
      <w:keepNext w:val="true"/>
      <w:keepLines/>
      <w:spacing w:before="200" w:after="0"/>
      <w:outlineLvl w:val="6"/>
    </w:pPr>
    <w:rPr>
      <w:rFonts w:ascii="Cambria" w:hAnsi="Cambria" w:eastAsia="Calibri" w:cs=""/>
      <w:i/>
      <w:iCs/>
      <w:color w:val="404040"/>
    </w:rPr>
  </w:style>
  <w:style w:type="character" w:styleId="DefaultParagraphFont" w:default="1">
    <w:name w:val="Default Paragraph Font"/>
    <w:uiPriority w:val="1"/>
    <w:semiHidden/>
    <w:unhideWhenUsed/>
    <w:qFormat/>
    <w:rPr/>
  </w:style>
  <w:style w:type="character" w:styleId="TextodebaloChar" w:customStyle="1">
    <w:name w:val="Texto de balão Char"/>
    <w:basedOn w:val="DefaultParagraphFont"/>
    <w:link w:val="BalloonText"/>
    <w:uiPriority w:val="99"/>
    <w:semiHidden/>
    <w:qFormat/>
    <w:rsid w:val="00e45189"/>
    <w:rPr>
      <w:rFonts w:ascii="Tahoma" w:hAnsi="Tahoma" w:eastAsia="" w:cs="Tahoma"/>
      <w:sz w:val="16"/>
      <w:szCs w:val="16"/>
      <w:lang w:eastAsia="pt-BR"/>
    </w:rPr>
  </w:style>
  <w:style w:type="character" w:styleId="Strong">
    <w:name w:val="Strong"/>
    <w:basedOn w:val="DefaultParagraphFont"/>
    <w:uiPriority w:val="22"/>
    <w:qFormat/>
    <w:rsid w:val="00e7010c"/>
    <w:rPr>
      <w:b/>
      <w:bCs/>
    </w:rPr>
  </w:style>
  <w:style w:type="character" w:styleId="Recuodecorpodetexto3Char" w:customStyle="1">
    <w:name w:val="Recuo de corpo de texto 3 Char"/>
    <w:basedOn w:val="DefaultParagraphFont"/>
    <w:link w:val="BodyTextIndent3"/>
    <w:qFormat/>
    <w:rsid w:val="00ba3a17"/>
    <w:rPr>
      <w:rFonts w:ascii="Arial" w:hAnsi="Arial" w:eastAsia="Times New Roman" w:cs="Times New Roman"/>
      <w:sz w:val="24"/>
      <w:szCs w:val="20"/>
      <w:lang w:eastAsia="ar-SA"/>
    </w:rPr>
  </w:style>
  <w:style w:type="character" w:styleId="CorpodetextoChar" w:customStyle="1">
    <w:name w:val="Corpo de texto Char"/>
    <w:basedOn w:val="DefaultParagraphFont"/>
    <w:uiPriority w:val="99"/>
    <w:qFormat/>
    <w:rsid w:val="00f973a3"/>
    <w:rPr>
      <w:rFonts w:ascii="Calibri" w:hAnsi="Calibri" w:eastAsia="" w:cs=""/>
      <w:lang w:eastAsia="pt-BR"/>
    </w:rPr>
  </w:style>
  <w:style w:type="character" w:styleId="CabealhoChar" w:customStyle="1">
    <w:name w:val="Cabeçalho Char"/>
    <w:basedOn w:val="DefaultParagraphFont"/>
    <w:uiPriority w:val="99"/>
    <w:qFormat/>
    <w:rsid w:val="00071b80"/>
    <w:rPr>
      <w:rFonts w:ascii="Calibri" w:hAnsi="Calibri" w:eastAsia="" w:cs=""/>
      <w:lang w:eastAsia="pt-BR"/>
    </w:rPr>
  </w:style>
  <w:style w:type="character" w:styleId="RodapChar" w:customStyle="1">
    <w:name w:val="Rodapé Char"/>
    <w:basedOn w:val="DefaultParagraphFont"/>
    <w:uiPriority w:val="99"/>
    <w:qFormat/>
    <w:rsid w:val="00071b80"/>
    <w:rPr>
      <w:rFonts w:ascii="Calibri" w:hAnsi="Calibri" w:eastAsia="" w:cs=""/>
      <w:lang w:eastAsia="pt-BR"/>
    </w:rPr>
  </w:style>
  <w:style w:type="character" w:styleId="Ttulo5Char">
    <w:name w:val="Título 5 Char"/>
    <w:basedOn w:val="DefaultParagraphFont"/>
    <w:qFormat/>
    <w:rPr>
      <w:rFonts w:ascii="Times New Roman" w:hAnsi="Times New Roman" w:eastAsia="Times New Roman" w:cs="Times New Roman"/>
      <w:b/>
      <w:sz w:val="24"/>
      <w:szCs w:val="20"/>
      <w:lang w:eastAsia="ar-SA"/>
    </w:rPr>
  </w:style>
  <w:style w:type="character" w:styleId="Ttulo6Char">
    <w:name w:val="Título 6 Char"/>
    <w:basedOn w:val="DefaultParagraphFont"/>
    <w:qFormat/>
    <w:rPr>
      <w:rFonts w:ascii="Cambria" w:hAnsi="Cambria" w:eastAsia="Calibri" w:cs=""/>
      <w:i/>
      <w:iCs/>
      <w:color w:val="243F60"/>
      <w:lang w:eastAsia="pt-BR"/>
    </w:rPr>
  </w:style>
  <w:style w:type="character" w:styleId="Ttulo7Char">
    <w:name w:val="Título 7 Char"/>
    <w:basedOn w:val="DefaultParagraphFont"/>
    <w:qFormat/>
    <w:rPr>
      <w:rFonts w:ascii="Cambria" w:hAnsi="Cambria" w:eastAsia="Calibri" w:cs=""/>
      <w:i/>
      <w:iCs/>
      <w:color w:val="404040"/>
      <w:lang w:eastAsia="pt-BR"/>
    </w:rPr>
  </w:style>
  <w:style w:type="character" w:styleId="Corpodetexto2Char">
    <w:name w:val="Corpo de texto 2 Char"/>
    <w:basedOn w:val="DefaultParagraphFont"/>
    <w:qFormat/>
    <w:rPr>
      <w:rFonts w:ascii="Calibri" w:hAnsi="Calibri" w:eastAsia="Calibri"/>
      <w:lang w:eastAsia="pt-BR"/>
    </w:rPr>
  </w:style>
  <w:style w:type="character" w:styleId="Corpodetexto3Char">
    <w:name w:val="Corpo de texto 3 Char"/>
    <w:basedOn w:val="DefaultParagraphFont"/>
    <w:qFormat/>
    <w:rPr>
      <w:rFonts w:ascii="Calibri" w:hAnsi="Calibri" w:eastAsia="Calibri"/>
      <w:sz w:val="16"/>
      <w:szCs w:val="16"/>
      <w:lang w:eastAsia="pt-BR"/>
    </w:rPr>
  </w:style>
  <w:style w:type="character" w:styleId="Ttulo2Char">
    <w:name w:val="Título 2 Char"/>
    <w:basedOn w:val="DefaultParagraphFont"/>
    <w:qFormat/>
    <w:rPr>
      <w:rFonts w:ascii="Times New Roman" w:hAnsi="Times New Roman" w:eastAsia="Times New Roman" w:cs="Times New Roman"/>
      <w:color w:val="000000"/>
      <w:sz w:val="24"/>
      <w:szCs w:val="20"/>
      <w:lang w:eastAsia="ar-SA"/>
    </w:rPr>
  </w:style>
  <w:style w:type="character" w:styleId="Ttulo1Char">
    <w:name w:val="Título 1 Char"/>
    <w:basedOn w:val="DefaultParagraphFont"/>
    <w:qFormat/>
    <w:rPr>
      <w:rFonts w:ascii="Times New Roman" w:hAnsi="Times New Roman" w:eastAsia="Times New Roman" w:cs="Times New Roman"/>
      <w:b/>
      <w:bCs/>
      <w:sz w:val="24"/>
      <w:szCs w:val="24"/>
      <w:lang w:eastAsia="ar-SA"/>
    </w:rPr>
  </w:style>
  <w:style w:type="character" w:styleId="AssuntodocomentrioChar">
    <w:name w:val="Assunto do comentário Char"/>
    <w:qFormat/>
    <w:rPr>
      <w:rFonts w:ascii="Calibri" w:hAnsi="Calibri" w:eastAsia="Calibri"/>
      <w:b/>
      <w:bCs/>
      <w:sz w:val="20"/>
      <w:szCs w:val="20"/>
      <w:lang w:eastAsia="pt-BR"/>
    </w:rPr>
  </w:style>
  <w:style w:type="character" w:styleId="TextodecomentrioChar">
    <w:name w:val="Texto de comentário Char"/>
    <w:basedOn w:val="DefaultParagraphFont"/>
    <w:qFormat/>
    <w:rPr>
      <w:rFonts w:ascii="Calibri" w:hAnsi="Calibri" w:eastAsia="Calibri"/>
      <w:sz w:val="20"/>
      <w:szCs w:val="20"/>
      <w:lang w:eastAsia="pt-BR"/>
    </w:rPr>
  </w:style>
  <w:style w:type="character" w:styleId="Annotationreference">
    <w:name w:val="annotation reference"/>
    <w:basedOn w:val="DefaultParagraphFont"/>
    <w:qFormat/>
    <w:rPr>
      <w:sz w:val="16"/>
      <w:szCs w:val="16"/>
    </w:rPr>
  </w:style>
  <w:style w:type="character" w:styleId="RecuodecorpodetextoChar">
    <w:name w:val="Recuo de corpo de texto Char"/>
    <w:basedOn w:val="DefaultParagraphFont"/>
    <w:qFormat/>
    <w:rPr>
      <w:rFonts w:ascii="Calibri" w:hAnsi="Calibri" w:eastAsia="Calibri"/>
      <w:lang w:eastAsia="pt-BR"/>
    </w:rPr>
  </w:style>
  <w:style w:type="character" w:styleId="Recuodecorpodetexto2Char">
    <w:name w:val="Recuo de corpo de texto 2 Char"/>
    <w:basedOn w:val="DefaultParagraphFont"/>
    <w:qFormat/>
    <w:rPr>
      <w:rFonts w:ascii="Calibri" w:hAnsi="Calibri" w:eastAsia="Calibri"/>
      <w:lang w:eastAsia="pt-BR"/>
    </w:rPr>
  </w:style>
  <w:style w:type="paragraph" w:styleId="Ttulo">
    <w:name w:val="Título"/>
    <w:basedOn w:val="Normal"/>
    <w:next w:val="Corpodotexto"/>
    <w:qFormat/>
    <w:pPr>
      <w:keepNext w:val="true"/>
      <w:spacing w:before="240" w:after="120"/>
    </w:pPr>
    <w:rPr>
      <w:rFonts w:ascii="Liberation Sans" w:hAnsi="Liberation Sans" w:eastAsia="Noto Sans CJK SC" w:cs="Lohit Devanagari"/>
      <w:sz w:val="28"/>
      <w:szCs w:val="28"/>
    </w:rPr>
  </w:style>
  <w:style w:type="paragraph" w:styleId="Corpodotexto">
    <w:name w:val="Body Text"/>
    <w:basedOn w:val="Normal"/>
    <w:link w:val="CorpodetextoChar"/>
    <w:uiPriority w:val="99"/>
    <w:unhideWhenUsed/>
    <w:rsid w:val="00f973a3"/>
    <w:pPr>
      <w:spacing w:lineRule="auto" w:line="288" w:before="0" w:after="120"/>
    </w:pPr>
    <w:rPr/>
  </w:style>
  <w:style w:type="paragraph" w:styleId="Lista">
    <w:name w:val="List"/>
    <w:basedOn w:val="Corpodotexto"/>
    <w:pPr/>
    <w:rPr>
      <w:rFonts w:cs="Lohit Devanagari"/>
    </w:rPr>
  </w:style>
  <w:style w:type="paragraph" w:styleId="Legenda">
    <w:name w:val="Caption"/>
    <w:basedOn w:val="Normal"/>
    <w:qFormat/>
    <w:pPr>
      <w:suppressLineNumbers/>
      <w:spacing w:before="120" w:after="120"/>
    </w:pPr>
    <w:rPr>
      <w:rFonts w:cs="Lohit Devanagari"/>
      <w:i/>
      <w:iCs/>
      <w:sz w:val="24"/>
      <w:szCs w:val="24"/>
    </w:rPr>
  </w:style>
  <w:style w:type="paragraph" w:styleId="Ndice">
    <w:name w:val="Índice"/>
    <w:basedOn w:val="Normal"/>
    <w:qFormat/>
    <w:pPr>
      <w:suppressLineNumbers/>
    </w:pPr>
    <w:rPr>
      <w:rFonts w:cs="Lohit Devanagari"/>
    </w:rPr>
  </w:style>
  <w:style w:type="paragraph" w:styleId="BalloonText">
    <w:name w:val="Balloon Text"/>
    <w:basedOn w:val="Normal"/>
    <w:link w:val="TextodebaloChar"/>
    <w:uiPriority w:val="99"/>
    <w:semiHidden/>
    <w:unhideWhenUsed/>
    <w:qFormat/>
    <w:rsid w:val="00e45189"/>
    <w:pPr>
      <w:spacing w:lineRule="auto" w:line="240" w:before="0" w:after="0"/>
    </w:pPr>
    <w:rPr>
      <w:rFonts w:ascii="Tahoma" w:hAnsi="Tahoma" w:cs="Tahoma"/>
      <w:sz w:val="16"/>
      <w:szCs w:val="16"/>
    </w:rPr>
  </w:style>
  <w:style w:type="paragraph" w:styleId="ListParagraph">
    <w:name w:val="List Paragraph"/>
    <w:basedOn w:val="Normal"/>
    <w:uiPriority w:val="34"/>
    <w:qFormat/>
    <w:rsid w:val="00b95acb"/>
    <w:pPr>
      <w:spacing w:before="0" w:after="200"/>
      <w:ind w:left="720" w:right="0" w:hanging="0"/>
      <w:contextualSpacing/>
    </w:pPr>
    <w:rPr/>
  </w:style>
  <w:style w:type="paragraph" w:styleId="NormalWeb">
    <w:name w:val="Normal (Web)"/>
    <w:basedOn w:val="Normal"/>
    <w:uiPriority w:val="99"/>
    <w:unhideWhenUsed/>
    <w:qFormat/>
    <w:rsid w:val="00e7010c"/>
    <w:pPr>
      <w:spacing w:before="0" w:after="280"/>
    </w:pPr>
    <w:rPr>
      <w:rFonts w:ascii="Times New Roman" w:hAnsi="Times New Roman" w:eastAsia="Times New Roman" w:cs="Times New Roman"/>
      <w:sz w:val="24"/>
      <w:szCs w:val="24"/>
    </w:rPr>
  </w:style>
  <w:style w:type="paragraph" w:styleId="BodyTextIndent3">
    <w:name w:val="Body Text Indent 3"/>
    <w:basedOn w:val="Normal"/>
    <w:link w:val="Recuodecorpodetexto3Char"/>
    <w:qFormat/>
    <w:rsid w:val="00ba3a17"/>
    <w:pPr>
      <w:suppressAutoHyphens w:val="true"/>
      <w:spacing w:lineRule="auto" w:line="240" w:before="0" w:after="0"/>
      <w:ind w:left="0" w:right="0" w:firstLine="1418"/>
      <w:jc w:val="both"/>
    </w:pPr>
    <w:rPr>
      <w:rFonts w:ascii="Arial" w:hAnsi="Arial" w:eastAsia="Times New Roman" w:cs="Times New Roman"/>
      <w:sz w:val="24"/>
      <w:szCs w:val="20"/>
      <w:lang w:eastAsia="ar-SA"/>
    </w:rPr>
  </w:style>
  <w:style w:type="paragraph" w:styleId="Revision">
    <w:name w:val="Revision"/>
    <w:uiPriority w:val="99"/>
    <w:semiHidden/>
    <w:qFormat/>
    <w:rsid w:val="00700a61"/>
    <w:pPr>
      <w:widowControl/>
      <w:suppressAutoHyphens w:val="true"/>
      <w:bidi w:val="0"/>
      <w:spacing w:lineRule="auto" w:line="240" w:before="0" w:after="0"/>
      <w:jc w:val="left"/>
    </w:pPr>
    <w:rPr>
      <w:rFonts w:ascii="Calibri" w:hAnsi="Calibri" w:eastAsia="" w:cs=""/>
      <w:color w:val="00000A"/>
      <w:kern w:val="0"/>
      <w:sz w:val="22"/>
      <w:szCs w:val="22"/>
      <w:lang w:val="pt-BR" w:eastAsia="pt-BR" w:bidi="ar-SA"/>
    </w:rPr>
  </w:style>
  <w:style w:type="paragraph" w:styleId="Western" w:customStyle="1">
    <w:name w:val="western"/>
    <w:basedOn w:val="Normal"/>
    <w:qFormat/>
    <w:rsid w:val="00f973a3"/>
    <w:pPr>
      <w:spacing w:before="0" w:after="119"/>
    </w:pPr>
    <w:rPr>
      <w:rFonts w:ascii="Times New Roman" w:hAnsi="Times New Roman" w:eastAsia="Times New Roman" w:cs="Times New Roman"/>
      <w:sz w:val="24"/>
      <w:szCs w:val="24"/>
    </w:rPr>
  </w:style>
  <w:style w:type="paragraph" w:styleId="CabealhoeRodap">
    <w:name w:val="Cabeçalho e Rodapé"/>
    <w:basedOn w:val="Normal"/>
    <w:qFormat/>
    <w:pPr/>
    <w:rPr/>
  </w:style>
  <w:style w:type="paragraph" w:styleId="Cabealho">
    <w:name w:val="Header"/>
    <w:basedOn w:val="Normal"/>
    <w:link w:val="CabealhoChar"/>
    <w:uiPriority w:val="99"/>
    <w:unhideWhenUsed/>
    <w:rsid w:val="00071b80"/>
    <w:pPr>
      <w:tabs>
        <w:tab w:val="clear" w:pos="680"/>
        <w:tab w:val="center" w:pos="4252" w:leader="none"/>
        <w:tab w:val="right" w:pos="8504" w:leader="none"/>
      </w:tabs>
      <w:spacing w:lineRule="auto" w:line="240" w:before="0" w:after="0"/>
    </w:pPr>
    <w:rPr/>
  </w:style>
  <w:style w:type="paragraph" w:styleId="Rodap">
    <w:name w:val="Footer"/>
    <w:basedOn w:val="Normal"/>
    <w:link w:val="RodapChar"/>
    <w:uiPriority w:val="99"/>
    <w:unhideWhenUsed/>
    <w:rsid w:val="00071b80"/>
    <w:pPr>
      <w:tabs>
        <w:tab w:val="clear" w:pos="680"/>
        <w:tab w:val="center" w:pos="4252" w:leader="none"/>
        <w:tab w:val="right" w:pos="8504" w:leader="none"/>
      </w:tabs>
      <w:spacing w:lineRule="auto" w:line="240" w:before="0" w:after="0"/>
    </w:pPr>
    <w:rPr/>
  </w:style>
  <w:style w:type="paragraph" w:styleId="Default" w:customStyle="1">
    <w:name w:val="Default"/>
    <w:qFormat/>
    <w:rsid w:val="00bf5fcf"/>
    <w:pPr>
      <w:widowControl/>
      <w:suppressAutoHyphens w:val="true"/>
      <w:bidi w:val="0"/>
      <w:spacing w:lineRule="auto" w:line="240" w:before="0" w:after="0"/>
      <w:jc w:val="left"/>
    </w:pPr>
    <w:rPr>
      <w:rFonts w:ascii="Times New Roman" w:hAnsi="Times New Roman" w:eastAsia="Calibri" w:cs="Times New Roman"/>
      <w:color w:val="000000"/>
      <w:kern w:val="0"/>
      <w:sz w:val="24"/>
      <w:szCs w:val="24"/>
      <w:lang w:val="pt-BR" w:eastAsia="en-US" w:bidi="ar-SA"/>
    </w:rPr>
  </w:style>
  <w:style w:type="paragraph" w:styleId="NormalWeb1">
    <w:name w:val="Normal (Web)1"/>
    <w:basedOn w:val="Normal"/>
    <w:qFormat/>
    <w:pPr>
      <w:spacing w:lineRule="atLeast" w:line="360" w:before="100" w:after="0"/>
      <w:textAlignment w:val="baseline"/>
    </w:pPr>
    <w:rPr>
      <w:rFonts w:ascii="Times New Roman" w:hAnsi="Times New Roman"/>
      <w:sz w:val="24"/>
      <w:szCs w:val="24"/>
      <w:lang w:eastAsia="ar-SA"/>
    </w:rPr>
  </w:style>
  <w:style w:type="paragraph" w:styleId="BodyText2">
    <w:name w:val="Body Text 2"/>
    <w:basedOn w:val="Normal"/>
    <w:qFormat/>
    <w:pPr>
      <w:spacing w:lineRule="auto" w:line="480" w:before="0" w:after="120"/>
    </w:pPr>
    <w:rPr/>
  </w:style>
  <w:style w:type="paragraph" w:styleId="BodyText3">
    <w:name w:val="Body Text 3"/>
    <w:basedOn w:val="Normal"/>
    <w:qFormat/>
    <w:pPr>
      <w:spacing w:before="0" w:after="120"/>
    </w:pPr>
    <w:rPr>
      <w:sz w:val="16"/>
      <w:szCs w:val="16"/>
    </w:rPr>
  </w:style>
  <w:style w:type="paragraph" w:styleId="Annotationsubject">
    <w:name w:val="annotation subject"/>
    <w:qFormat/>
    <w:pPr>
      <w:widowControl w:val="false"/>
      <w:suppressAutoHyphens w:val="true"/>
      <w:bidi w:val="0"/>
      <w:spacing w:before="0" w:after="0"/>
      <w:jc w:val="left"/>
    </w:pPr>
    <w:rPr>
      <w:rFonts w:ascii="Ecofont_Spranq_eco_Sans" w:hAnsi="Ecofont_Spranq_eco_Sans" w:eastAsia="Calibri" w:cs=""/>
      <w:b/>
      <w:bCs/>
      <w:color w:val="auto"/>
      <w:kern w:val="0"/>
      <w:sz w:val="22"/>
      <w:szCs w:val="22"/>
      <w:lang w:val="pt-BR" w:eastAsia="en-US" w:bidi="ar-SA"/>
    </w:rPr>
  </w:style>
  <w:style w:type="paragraph" w:styleId="Annotationtext">
    <w:name w:val="annotation text"/>
    <w:basedOn w:val="Normal"/>
    <w:qFormat/>
    <w:pPr>
      <w:spacing w:lineRule="auto" w:line="240"/>
    </w:pPr>
    <w:rPr>
      <w:sz w:val="20"/>
      <w:szCs w:val="20"/>
    </w:rPr>
  </w:style>
  <w:style w:type="paragraph" w:styleId="Corpodetextorecuado">
    <w:name w:val="Corpo de texto recuado"/>
    <w:basedOn w:val="Normal"/>
    <w:qFormat/>
    <w:pPr>
      <w:spacing w:before="0" w:after="120"/>
      <w:ind w:left="283" w:right="0" w:hanging="0"/>
    </w:pPr>
    <w:rPr/>
  </w:style>
  <w:style w:type="paragraph" w:styleId="BodyTextIndent2">
    <w:name w:val="Body Text Indent 2"/>
    <w:basedOn w:val="Normal"/>
    <w:qFormat/>
    <w:pPr>
      <w:spacing w:lineRule="auto" w:line="480" w:before="0" w:after="120"/>
      <w:ind w:left="283" w:right="0" w:hanging="0"/>
    </w:pPr>
    <w:rPr/>
  </w:style>
  <w:style w:type="numbering" w:styleId="NoList" w:default="1">
    <w:name w:val="No List"/>
    <w:uiPriority w:val="99"/>
    <w:semiHidden/>
    <w:unhideWhenUsed/>
    <w:qFormat/>
  </w:style>
  <w:style w:type="table" w:default="1" w:styleId="Tabelanormal">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image" Target="media/image2.png"/><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numbering" Target="numbering.xml"/><Relationship Id="rId7" Type="http://schemas.openxmlformats.org/officeDocument/2006/relationships/fontTable" Target="fontTable.xml"/><Relationship Id="rId8" Type="http://schemas.openxmlformats.org/officeDocument/2006/relationships/settings" Target="settings.xml"/><Relationship Id="rId9" Type="http://schemas.openxmlformats.org/officeDocument/2006/relationships/theme" Target="theme/theme1.xml"/><Relationship Id="rId10" Type="http://schemas.openxmlformats.org/officeDocument/2006/relationships/customXml" Target="../customXml/item1.xml"/><Relationship Id="rId11" Type="http://schemas.openxmlformats.org/officeDocument/2006/relationships/customXml" Target="../customXml/item2.xml"/><Relationship Id="rId12" Type="http://schemas.openxmlformats.org/officeDocument/2006/relationships/customXml" Target="../customXml/item3.xml"/><Relationship Id="rId13" Type="http://schemas.openxmlformats.org/officeDocument/2006/relationships/customXml" Target="../customXml/item4.xml"/>
</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_rels/item2.xml.rels><?xml version="1.0" encoding="UTF-8"?>
<Relationships xmlns="http://schemas.openxmlformats.org/package/2006/relationships"><Relationship Id="rId1" Type="http://schemas.openxmlformats.org/officeDocument/2006/relationships/customXmlProps" Target="itemProps2.xml"/>
</Relationships>
</file>

<file path=customXml/_rels/item3.xml.rels><?xml version="1.0" encoding="UTF-8"?>
<Relationships xmlns="http://schemas.openxmlformats.org/package/2006/relationships"><Relationship Id="rId1" Type="http://schemas.openxmlformats.org/officeDocument/2006/relationships/customXmlProps" Target="itemProps3.xml"/>
</Relationships>
</file>

<file path=customXml/_rels/item4.xml.rels><?xml version="1.0" encoding="UTF-8"?>
<Relationships xmlns="http://schemas.openxmlformats.org/package/2006/relationships"><Relationship Id="rId1" Type="http://schemas.openxmlformats.org/officeDocument/2006/relationships/customXmlProps" Target="itemProps4.xml"/>
</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5A08D7DBFEB39F4993BAF4471592047B" ma:contentTypeVersion="0" ma:contentTypeDescription="Crie um novo documento." ma:contentTypeScope="" ma:versionID="98f0eba75b33292d8b823422c621026f">
  <xsd:schema xmlns:xsd="http://www.w3.org/2001/XMLSchema" xmlns:xs="http://www.w3.org/2001/XMLSchema" xmlns:p="http://schemas.microsoft.com/office/2006/metadata/properties" targetNamespace="http://schemas.microsoft.com/office/2006/metadata/properties" ma:root="true" ma:fieldsID="574c6ccb71ee63fbc30cff3237551ec3">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08EC79A-3E5E-430D-8CCC-5D21B2D0B585}"/>
</file>

<file path=customXml/itemProps2.xml><?xml version="1.0" encoding="utf-8"?>
<ds:datastoreItem xmlns:ds="http://schemas.openxmlformats.org/officeDocument/2006/customXml" ds:itemID="{3FFEA35E-F7DC-47CE-9C36-011B62E5A1AB}">
  <ds:schemaRefs>
    <ds:schemaRef ds:uri="http://schemas.openxmlformats.org/officeDocument/2006/bibliography"/>
  </ds:schemaRefs>
</ds:datastoreItem>
</file>

<file path=customXml/itemProps3.xml><?xml version="1.0" encoding="utf-8"?>
<ds:datastoreItem xmlns:ds="http://schemas.openxmlformats.org/officeDocument/2006/customXml" ds:itemID="{757C899E-DC9D-4BCE-946A-FA3B98F8032F}">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AE0F6CA6-6366-4CC0-AE94-2A57CA6AF80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26</TotalTime>
  <Application>LibreOffice/6.4.7.2$Linux_X86_64 LibreOffice_project/40$Build-2</Application>
  <Pages>8</Pages>
  <Words>2940</Words>
  <Characters>16574</Characters>
  <CharactersWithSpaces>19263</CharactersWithSpaces>
  <Paragraphs>272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2024-02-15T15:34:00Z</dcterms:created>
  <dc:creator>AGU</dc:creator>
  <dc:description/>
  <dc:language>pt-BR</dc:language>
  <cp:lastModifiedBy/>
  <cp:lastPrinted>2011-04-12T16:22:00Z</cp:lastPrinted>
  <dcterms:modified xsi:type="dcterms:W3CDTF">2024-11-10T17:12:35Z</dcterms:modified>
  <cp:revision>7</cp:revision>
  <dc:subject/>
  <dc:title/>
</cp:coreProperties>
</file>