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2.png" ContentType="image/png"/>
  <Override PartName="/word/media/image3.png" ContentType="image/png"/>
  <Override PartName="/word/media/image4.png" ContentType="image/png"/>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footer1.xml" ContentType="application/vnd.openxmlformats-officedocument.wordprocessingml.footer+xml"/>
  <Override PartName="/word/settings.xml" ContentType="application/vnd.openxmlformats-officedocument.wordprocessingml.settings+xml"/>
  <Override PartName="/word/numbering.xml" ContentType="application/vnd.openxmlformats-officedocument.wordprocessingml.numbering+xml"/>
  <Override PartName="/word/fontTable.xml" ContentType="application/vnd.openxmlformats-officedocument.wordprocessingml.fontTable+xml"/>
  <Override PartName="/_rels/.rels" ContentType="application/vnd.openxmlformats-package.relationships+xml"/>
  <Override PartName="/customXml/item1.xml" ContentType="application/xml"/>
  <Override PartName="/customXml/itemProps1.xml" ContentType="application/vnd.openxmlformats-officedocument.customXmlProperties+xml"/>
  <Override PartName="/customXml/item2.xml" ContentType="application/xml"/>
  <Override PartName="/customXml/_rels/item4.xml.rels" ContentType="application/vnd.openxmlformats-package.relationships+xml"/>
  <Override PartName="/customXml/_rels/item3.xml.rels" ContentType="application/vnd.openxmlformats-package.relationships+xml"/>
  <Override PartName="/customXml/_rels/item2.xml.rels" ContentType="application/vnd.openxmlformats-package.relationships+xml"/>
  <Override PartName="/customXml/_rels/item1.xml.rels" ContentType="application/vnd.openxmlformats-package.relationships+xml"/>
  <Override PartName="/customXml/itemProps2.xml" ContentType="application/vnd.openxmlformats-officedocument.customXmlProperties+xml"/>
  <Override PartName="/customXml/item3.xml" ContentType="application/xml"/>
  <Override PartName="/customXml/itemProps3.xml" ContentType="application/vnd.openxmlformats-officedocument.customXmlProperties+xml"/>
  <Override PartName="/customXml/item4.xml" ContentType="application/xml"/>
  <Override PartName="/customXml/itemProps4.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spacing w:before="120" w:after="120"/>
        <w:jc w:val="center"/>
        <w:rPr>
          <w:rFonts w:ascii="Times New Roman" w:hAnsi="Times New Roman" w:cs="Times New Roman"/>
          <w:sz w:val="20"/>
          <w:szCs w:val="20"/>
        </w:rPr>
      </w:pPr>
      <w:r>
        <w:rPr>
          <w:rFonts w:cs="Times New Roman" w:ascii="Times New Roman" w:hAnsi="Times New Roman"/>
          <w:sz w:val="20"/>
          <w:szCs w:val="20"/>
        </w:rPr>
        <w:t>ANEXO C – MINUTA DE TERMO DE CONTRATO DE CLÍNICAS ODONTOLÓGICAS</w:t>
      </w:r>
    </w:p>
    <w:p>
      <w:pPr>
        <w:pStyle w:val="Normal"/>
        <w:widowControl w:val="false"/>
        <w:spacing w:before="120" w:after="120"/>
        <w:jc w:val="center"/>
        <w:rPr>
          <w:rFonts w:ascii="Times New Roman" w:hAnsi="Times New Roman" w:cs="Times New Roman"/>
          <w:sz w:val="20"/>
          <w:szCs w:val="20"/>
        </w:rPr>
      </w:pPr>
      <w:r>
        <w:rPr/>
        <w:drawing>
          <wp:inline distT="0" distB="0" distL="0" distR="0">
            <wp:extent cx="899795" cy="899795"/>
            <wp:effectExtent l="0" t="0" r="0" b="0"/>
            <wp:docPr id="1" name="Pictur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descr=""/>
                    <pic:cNvPicPr>
                      <a:picLocks noChangeAspect="1" noChangeArrowheads="1"/>
                    </pic:cNvPicPr>
                  </pic:nvPicPr>
                  <pic:blipFill>
                    <a:blip r:embed="rId2"/>
                    <a:stretch>
                      <a:fillRect/>
                    </a:stretch>
                  </pic:blipFill>
                  <pic:spPr bwMode="auto">
                    <a:xfrm>
                      <a:off x="0" y="0"/>
                      <a:ext cx="899795" cy="899795"/>
                    </a:xfrm>
                    <a:prstGeom prst="rect">
                      <a:avLst/>
                    </a:prstGeom>
                  </pic:spPr>
                </pic:pic>
              </a:graphicData>
            </a:graphic>
          </wp:inline>
        </w:drawing>
      </w:r>
    </w:p>
    <w:p>
      <w:pPr>
        <w:pStyle w:val="Normal"/>
        <w:spacing w:lineRule="auto" w:line="240" w:before="0" w:after="0"/>
        <w:jc w:val="center"/>
        <w:rPr>
          <w:b/>
          <w:b/>
          <w:bCs/>
          <w:sz w:val="20"/>
          <w:szCs w:val="20"/>
        </w:rPr>
      </w:pPr>
      <w:r>
        <w:rPr>
          <w:rFonts w:cs="Times New Roman" w:ascii="Times New Roman" w:hAnsi="Times New Roman"/>
          <w:b/>
          <w:bCs/>
          <w:color w:val="000000"/>
          <w:sz w:val="20"/>
          <w:szCs w:val="20"/>
        </w:rPr>
        <w:t>MINISTÉRIO DA DEFESA</w:t>
      </w:r>
    </w:p>
    <w:p>
      <w:pPr>
        <w:pStyle w:val="Normal"/>
        <w:spacing w:lineRule="auto" w:line="240" w:before="0" w:after="0"/>
        <w:jc w:val="center"/>
        <w:rPr>
          <w:b/>
          <w:b/>
          <w:bCs/>
          <w:sz w:val="20"/>
          <w:szCs w:val="20"/>
        </w:rPr>
      </w:pPr>
      <w:r>
        <w:rPr>
          <w:rFonts w:cs="Times New Roman" w:ascii="Times New Roman" w:hAnsi="Times New Roman"/>
          <w:b/>
          <w:bCs/>
          <w:color w:val="000000"/>
          <w:sz w:val="20"/>
          <w:szCs w:val="20"/>
        </w:rPr>
        <w:t>EXÉRCITO BRASILEIRO</w:t>
      </w:r>
    </w:p>
    <w:p>
      <w:pPr>
        <w:pStyle w:val="Normal"/>
        <w:spacing w:lineRule="auto" w:line="240" w:before="0" w:after="0"/>
        <w:jc w:val="center"/>
        <w:rPr>
          <w:b/>
          <w:b/>
          <w:bCs/>
          <w:sz w:val="20"/>
          <w:szCs w:val="20"/>
        </w:rPr>
      </w:pPr>
      <w:r>
        <w:rPr>
          <w:rFonts w:cs="Times New Roman" w:ascii="Times New Roman" w:hAnsi="Times New Roman"/>
          <w:b/>
          <w:bCs/>
          <w:sz w:val="20"/>
          <w:szCs w:val="20"/>
        </w:rPr>
        <w:t>7º REGIMENTO DE CAVALARIA MECANIZADO</w:t>
      </w:r>
    </w:p>
    <w:p>
      <w:pPr>
        <w:pStyle w:val="Normal"/>
        <w:widowControl w:val="false"/>
        <w:spacing w:lineRule="auto" w:line="240" w:before="0" w:after="0"/>
        <w:jc w:val="center"/>
        <w:rPr>
          <w:b/>
          <w:b/>
          <w:bCs/>
          <w:sz w:val="20"/>
          <w:szCs w:val="20"/>
        </w:rPr>
      </w:pPr>
      <w:r>
        <w:rPr>
          <w:rFonts w:cs="Times New Roman" w:ascii="Times New Roman" w:hAnsi="Times New Roman"/>
          <w:b/>
          <w:bCs/>
          <w:sz w:val="20"/>
          <w:szCs w:val="20"/>
          <w:shd w:fill="FFFFFF" w:val="clear"/>
        </w:rPr>
        <w:t>REGIMENTO BRIGADEIRO VASCO ALVES PEREIRA</w:t>
      </w:r>
    </w:p>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r>
    </w:p>
    <w:p>
      <w:pPr>
        <w:pStyle w:val="Normal"/>
        <w:widowControl w:val="false"/>
        <w:spacing w:before="120" w:after="120"/>
        <w:ind w:left="3686" w:right="0" w:hanging="0"/>
        <w:jc w:val="both"/>
        <w:rPr>
          <w:rFonts w:ascii="Times New Roman" w:hAnsi="Times New Roman" w:eastAsia="" w:cs="Times New Roman"/>
          <w:sz w:val="20"/>
          <w:szCs w:val="20"/>
          <w:highlight w:val="white"/>
        </w:rPr>
      </w:pPr>
      <w:r>
        <w:rPr>
          <w:rFonts w:cs="Times New Roman" w:ascii="Times New Roman" w:hAnsi="Times New Roman"/>
          <w:sz w:val="20"/>
          <w:szCs w:val="20"/>
        </w:rPr>
        <w:t xml:space="preserve">CONTRATANTE: </w:t>
      </w:r>
      <w:r>
        <w:rPr>
          <w:rFonts w:cs="Times New Roman" w:ascii="Times New Roman" w:hAnsi="Times New Roman"/>
          <w:sz w:val="20"/>
          <w:szCs w:val="20"/>
          <w:shd w:fill="FFFFFF" w:val="clear"/>
        </w:rPr>
        <w:t xml:space="preserve">UNIÃO / MINISTÉRIO DA DEFESA/EXÉRCITO BRASILEIRO / </w:t>
      </w:r>
      <w:r>
        <w:rPr>
          <w:rFonts w:eastAsia="" w:cs="Times New Roman" w:ascii="Times New Roman" w:hAnsi="Times New Roman"/>
          <w:sz w:val="20"/>
          <w:szCs w:val="20"/>
          <w:shd w:fill="FFFFFF" w:val="clear"/>
        </w:rPr>
        <w:t>COMANDO DA 3ª REGIÃO MILITAR / 7º REGIMENTO DE CAVALARIA MECANIZADO</w:t>
      </w:r>
    </w:p>
    <w:p>
      <w:pPr>
        <w:pStyle w:val="Normal"/>
        <w:widowControl w:val="false"/>
        <w:spacing w:before="120" w:after="120"/>
        <w:ind w:left="3686" w:right="0" w:hanging="0"/>
        <w:jc w:val="both"/>
        <w:rPr>
          <w:rFonts w:ascii="Times New Roman" w:hAnsi="Times New Roman" w:cs="Times New Roman"/>
          <w:sz w:val="20"/>
          <w:szCs w:val="20"/>
          <w:highlight w:val="white"/>
        </w:rPr>
      </w:pPr>
      <w:r>
        <w:rPr>
          <w:rFonts w:cs="Times New Roman" w:ascii="Times New Roman" w:hAnsi="Times New Roman"/>
          <w:sz w:val="20"/>
          <w:szCs w:val="20"/>
          <w:shd w:fill="FFFFFF" w:val="clear"/>
        </w:rPr>
        <w:t>CONTRATADO: Clínicas Odontológicas</w:t>
      </w:r>
    </w:p>
    <w:p>
      <w:pPr>
        <w:pStyle w:val="Normal"/>
        <w:widowControl w:val="false"/>
        <w:tabs>
          <w:tab w:val="clear" w:pos="680"/>
          <w:tab w:val="left" w:pos="6640" w:leader="none"/>
          <w:tab w:val="left" w:pos="7800" w:leader="none"/>
          <w:tab w:val="left" w:pos="8280" w:leader="none"/>
          <w:tab w:val="left" w:pos="9340" w:leader="none"/>
          <w:tab w:val="left" w:pos="9800" w:leader="none"/>
        </w:tabs>
        <w:spacing w:before="120" w:after="120"/>
        <w:ind w:left="3686" w:right="0" w:hanging="0"/>
        <w:jc w:val="both"/>
        <w:rPr>
          <w:rFonts w:ascii="Times New Roman" w:hAnsi="Times New Roman" w:cs="Times New Roman"/>
          <w:sz w:val="20"/>
          <w:szCs w:val="20"/>
        </w:rPr>
      </w:pPr>
      <w:r>
        <w:rPr>
          <w:rFonts w:cs="Times New Roman" w:ascii="Times New Roman" w:hAnsi="Times New Roman"/>
          <w:sz w:val="20"/>
          <w:szCs w:val="20"/>
        </w:rPr>
        <w:t>OBJETO: Prestação de serviços odontológicos</w:t>
      </w:r>
    </w:p>
    <w:p>
      <w:pPr>
        <w:pStyle w:val="Normal"/>
        <w:widowControl w:val="false"/>
        <w:spacing w:before="120" w:after="120"/>
        <w:ind w:left="3686" w:right="0" w:hanging="0"/>
        <w:jc w:val="both"/>
        <w:rPr>
          <w:rFonts w:ascii="Times New Roman" w:hAnsi="Times New Roman" w:cs="Times New Roman"/>
          <w:sz w:val="20"/>
          <w:szCs w:val="20"/>
        </w:rPr>
      </w:pPr>
      <w:r>
        <w:rPr>
          <w:rFonts w:cs="Times New Roman" w:ascii="Times New Roman" w:hAnsi="Times New Roman"/>
          <w:sz w:val="20"/>
          <w:szCs w:val="20"/>
        </w:rPr>
        <w:t>NATUREZA: Ostensiva.</w:t>
      </w:r>
    </w:p>
    <w:p>
      <w:pPr>
        <w:pStyle w:val="Normal"/>
        <w:widowControl w:val="false"/>
        <w:spacing w:before="120" w:after="120"/>
        <w:ind w:left="3686" w:right="0" w:hanging="0"/>
        <w:jc w:val="both"/>
        <w:rPr>
          <w:rFonts w:ascii="Times New Roman" w:hAnsi="Times New Roman" w:cs="Times New Roman"/>
          <w:sz w:val="20"/>
          <w:szCs w:val="20"/>
        </w:rPr>
      </w:pPr>
      <w:r>
        <w:rPr>
          <w:rFonts w:cs="Times New Roman" w:ascii="Times New Roman" w:hAnsi="Times New Roman"/>
          <w:sz w:val="20"/>
          <w:szCs w:val="20"/>
        </w:rPr>
        <w:t xml:space="preserve">VIGÊNCIA: </w:t>
      </w:r>
    </w:p>
    <w:p>
      <w:pPr>
        <w:pStyle w:val="Normal"/>
        <w:widowControl w:val="false"/>
        <w:spacing w:before="120" w:after="120"/>
        <w:ind w:left="3686" w:right="0" w:hanging="0"/>
        <w:jc w:val="both"/>
        <w:rPr>
          <w:rFonts w:ascii="Times New Roman" w:hAnsi="Times New Roman" w:cs="Times New Roman"/>
          <w:sz w:val="20"/>
          <w:szCs w:val="20"/>
        </w:rPr>
      </w:pPr>
      <w:r>
        <w:rPr>
          <w:rFonts w:cs="Times New Roman" w:ascii="Times New Roman" w:hAnsi="Times New Roman"/>
          <w:sz w:val="20"/>
          <w:szCs w:val="20"/>
        </w:rPr>
        <w:t xml:space="preserve">VALOR ESTIMADO: </w:t>
      </w:r>
    </w:p>
    <w:p>
      <w:pPr>
        <w:pStyle w:val="Normal"/>
        <w:widowControl w:val="false"/>
        <w:spacing w:before="120" w:after="120"/>
        <w:ind w:left="3686" w:right="0" w:hanging="0"/>
        <w:jc w:val="both"/>
        <w:rPr>
          <w:rFonts w:ascii="Times New Roman" w:hAnsi="Times New Roman" w:cs="Times New Roman"/>
          <w:sz w:val="20"/>
          <w:szCs w:val="20"/>
        </w:rPr>
      </w:pPr>
      <w:r>
        <w:rPr>
          <w:rFonts w:cs="Times New Roman" w:ascii="Times New Roman" w:hAnsi="Times New Roman"/>
          <w:sz w:val="20"/>
          <w:szCs w:val="20"/>
        </w:rPr>
        <w:t>REGIME DE EXECUÇÂO: indireta, empreitada por preço unitário.</w:t>
      </w:r>
    </w:p>
    <w:p>
      <w:pPr>
        <w:pStyle w:val="Normal"/>
        <w:widowControl w:val="false"/>
        <w:spacing w:before="120" w:after="120"/>
        <w:ind w:left="3686" w:right="0" w:hanging="0"/>
        <w:jc w:val="both"/>
        <w:rPr>
          <w:rFonts w:ascii="Times New Roman" w:hAnsi="Times New Roman" w:cs="Times New Roman"/>
          <w:sz w:val="20"/>
          <w:szCs w:val="20"/>
        </w:rPr>
      </w:pPr>
      <w:r>
        <w:rPr>
          <w:rFonts w:cs="Times New Roman" w:ascii="Times New Roman" w:hAnsi="Times New Roman"/>
          <w:sz w:val="20"/>
          <w:szCs w:val="20"/>
        </w:rPr>
        <w:t xml:space="preserve">PROCESSO Nº: </w:t>
      </w:r>
    </w:p>
    <w:p>
      <w:pPr>
        <w:pStyle w:val="Normal"/>
        <w:widowControl w:val="false"/>
        <w:spacing w:before="120" w:after="120"/>
        <w:ind w:left="3686" w:right="0" w:hanging="0"/>
        <w:jc w:val="both"/>
        <w:rPr>
          <w:rFonts w:ascii="Times New Roman" w:hAnsi="Times New Roman" w:cs="Times New Roman"/>
          <w:sz w:val="20"/>
          <w:szCs w:val="20"/>
        </w:rPr>
      </w:pPr>
      <w:r>
        <w:rPr>
          <w:rFonts w:cs="Times New Roman" w:ascii="Times New Roman" w:hAnsi="Times New Roman"/>
          <w:sz w:val="20"/>
          <w:szCs w:val="20"/>
        </w:rPr>
        <w:t xml:space="preserve">CONTRATO Nr____: </w:t>
      </w:r>
    </w:p>
    <w:p>
      <w:pPr>
        <w:pStyle w:val="Normal"/>
        <w:widowControl w:val="false"/>
        <w:spacing w:before="120" w:after="120"/>
        <w:ind w:left="3686" w:right="0" w:hanging="0"/>
        <w:jc w:val="both"/>
        <w:rPr>
          <w:rFonts w:ascii="Times New Roman" w:hAnsi="Times New Roman" w:cs="Times New Roman"/>
          <w:sz w:val="20"/>
          <w:szCs w:val="20"/>
        </w:rPr>
      </w:pPr>
      <w:r>
        <w:rPr>
          <w:rFonts w:cs="Times New Roman" w:ascii="Times New Roman" w:hAnsi="Times New Roman"/>
          <w:sz w:val="20"/>
          <w:szCs w:val="20"/>
        </w:rPr>
      </w:r>
    </w:p>
    <w:p>
      <w:pPr>
        <w:pStyle w:val="Normal"/>
        <w:widowControl w:val="false"/>
        <w:spacing w:before="120" w:after="120"/>
        <w:jc w:val="both"/>
        <w:rPr>
          <w:rFonts w:ascii="Times New Roman" w:hAnsi="Times New Roman" w:cs="Times New Roman"/>
          <w:sz w:val="20"/>
          <w:szCs w:val="20"/>
        </w:rPr>
      </w:pPr>
      <w:r>
        <w:rPr>
          <w:rFonts w:cs="Times New Roman" w:ascii="Times New Roman" w:hAnsi="Times New Roman"/>
          <w:sz w:val="20"/>
          <w:szCs w:val="20"/>
        </w:rPr>
        <w:t>A União, por intermédio do COMANDO DO EX</w:t>
      </w:r>
      <w:r>
        <w:rPr>
          <w:rFonts w:eastAsia="" w:cs="Times New Roman" w:ascii="Times New Roman" w:hAnsi="Times New Roman"/>
          <w:sz w:val="20"/>
          <w:szCs w:val="20"/>
          <w:lang w:eastAsia="pt-BR"/>
        </w:rPr>
        <w:t>ÉRCITO</w:t>
      </w:r>
      <w:r>
        <w:rPr>
          <w:rFonts w:cs="Times New Roman" w:ascii="Times New Roman" w:hAnsi="Times New Roman"/>
          <w:sz w:val="20"/>
          <w:szCs w:val="20"/>
        </w:rPr>
        <w:t>, cuja compet</w:t>
      </w:r>
      <w:r>
        <w:rPr>
          <w:rFonts w:eastAsia="" w:cs="Times New Roman" w:ascii="Times New Roman" w:hAnsi="Times New Roman"/>
          <w:sz w:val="20"/>
          <w:szCs w:val="20"/>
          <w:lang w:eastAsia="pt-BR"/>
        </w:rPr>
        <w:t xml:space="preserve">ência nos termos da Portaria nº 1700 Cmt-Ex, de 08 de dezembro de 2017 (delegação de competências), foi delegada ao Chefe do Departamento Geral de Pessoal (DGP), com subdelegação aos Comandantes de Região Militar, por meio da Portaria nº 192-DGP, de 1º de outubro de 2015, e de acordo com a subdelegação de competência do Comandante da Terceira Região Militar publicada no Boletim Regional nº 18, de 30 de abril de 2008, o </w:t>
      </w:r>
      <w:r>
        <w:rPr>
          <w:rFonts w:eastAsia="" w:cs="Times New Roman" w:ascii="Times New Roman" w:hAnsi="Times New Roman"/>
          <w:color w:val="000000"/>
          <w:sz w:val="20"/>
          <w:szCs w:val="20"/>
          <w:lang w:eastAsia="pt-BR"/>
        </w:rPr>
        <w:t>7º Regimento de Cavalaria Mecanizado, com sede na alameda Ângelo Irulegui Cunha, s/no, CEP: 97573-850, na cidade de Sant’Ana do Livramento – RS, inscrito(a) no CNPJ sob o no 09.551.850/0001-52, neste ato representado pelo Comandante, Tenente Coronel Luciano da Costa Dutra, nomeado pela Portaria do Comandante do Exército no 743, de 07 de junho de 2023, publicada no DOU, de 12 de junho de 2023, portador da Matrícula Funcional no 021647654-4</w:t>
      </w:r>
      <w:r>
        <w:rPr>
          <w:rFonts w:cs="Times New Roman" w:ascii="Times New Roman" w:hAnsi="Times New Roman"/>
          <w:color w:val="000000"/>
          <w:sz w:val="20"/>
          <w:szCs w:val="20"/>
        </w:rPr>
        <w:t>, residente e domiciliado nesta cidade, doravan</w:t>
      </w:r>
      <w:r>
        <w:rPr>
          <w:rFonts w:cs="Times New Roman" w:ascii="Times New Roman" w:hAnsi="Times New Roman"/>
          <w:sz w:val="20"/>
          <w:szCs w:val="20"/>
        </w:rPr>
        <w:t xml:space="preserve">te denominado CONTRATANTE, e de outro lado a </w:t>
      </w:r>
      <w:r>
        <w:rPr>
          <w:rFonts w:eastAsia="" w:cs="Times New Roman" w:ascii="Times New Roman" w:hAnsi="Times New Roman"/>
          <w:sz w:val="20"/>
          <w:szCs w:val="20"/>
          <w:shd w:fill="FFFFFF" w:val="clear"/>
        </w:rPr>
        <w:t xml:space="preserve">Organização Civil de Saúde ___________________________, inscrita no CNPJ sob o n° ______________, estabelecida à Rua ________________________, Bairro ______________________, neste ato representada pelo Sr. Diretor Administrativo, portador da cédula de identidade nº _________________expedida pela Secretaria de Segurança Pública, inscrito no CPF sob o n° _______________, </w:t>
      </w:r>
      <w:r>
        <w:rPr>
          <w:rFonts w:cs="Times New Roman" w:ascii="Times New Roman" w:hAnsi="Times New Roman"/>
          <w:sz w:val="20"/>
          <w:szCs w:val="20"/>
        </w:rPr>
        <w:t>residente e domiciliado nesta cidade, doravante denominado CONTRATADO, têm entre si justo e contratado, nos termos da seguinte legislação infraconstitucional constante do Edital de Credenciamento, que integram o presente Termo de Contrato, que será regido pelas seguintes cláusulas e condições estipuladas:</w:t>
      </w:r>
    </w:p>
    <w:p>
      <w:pPr>
        <w:pStyle w:val="Normal"/>
        <w:widowControl w:val="false"/>
        <w:spacing w:before="240" w:after="240"/>
        <w:jc w:val="both"/>
        <w:rPr>
          <w:rFonts w:ascii="Times New Roman" w:hAnsi="Times New Roman" w:cs="Times New Roman"/>
          <w:b/>
          <w:b/>
          <w:sz w:val="20"/>
          <w:szCs w:val="20"/>
          <w:u w:val="single"/>
        </w:rPr>
      </w:pPr>
      <w:r>
        <w:rPr>
          <w:rFonts w:cs="Times New Roman" w:ascii="Times New Roman" w:hAnsi="Times New Roman"/>
          <w:b/>
          <w:sz w:val="20"/>
          <w:szCs w:val="20"/>
          <w:u w:val="single"/>
        </w:rPr>
        <w:t>CLÁUSULA PRIMEIRA - Do objeto.</w:t>
      </w:r>
    </w:p>
    <w:p>
      <w:pPr>
        <w:pStyle w:val="ListParagraph"/>
        <w:widowControl w:val="false"/>
        <w:numPr>
          <w:ilvl w:val="0"/>
          <w:numId w:val="1"/>
        </w:numPr>
        <w:spacing w:before="120" w:after="120"/>
        <w:ind w:left="0" w:right="0" w:hanging="360"/>
        <w:contextualSpacing/>
        <w:jc w:val="both"/>
        <w:rPr>
          <w:rFonts w:ascii="Times New Roman" w:hAnsi="Times New Roman" w:cs="Times New Roman"/>
          <w:sz w:val="20"/>
          <w:szCs w:val="20"/>
        </w:rPr>
      </w:pPr>
      <w:r>
        <w:rPr>
          <w:rFonts w:cs="Times New Roman" w:ascii="Times New Roman" w:hAnsi="Times New Roman"/>
          <w:sz w:val="20"/>
          <w:szCs w:val="20"/>
        </w:rPr>
        <w:t xml:space="preserve">A finalidade deste Contrato é garantir aos militares da ativa, da reserva ou reformados, pensionistas e seus dependentes e Servidores Civis do Exército Brasileiro (ativos e inativos) e dependentes diretos e indiretos, nas condições especificadas neste instrumento e no edital, por intermédio de </w:t>
      </w:r>
      <w:r>
        <w:rPr>
          <w:rFonts w:cs="Times New Roman" w:ascii="Times New Roman" w:hAnsi="Times New Roman"/>
          <w:b/>
          <w:sz w:val="20"/>
          <w:szCs w:val="20"/>
          <w:shd w:fill="FFFFFF" w:val="clear"/>
        </w:rPr>
        <w:t>Clínicas Odontológicas</w:t>
      </w:r>
      <w:r>
        <w:rPr>
          <w:rFonts w:cs="Times New Roman" w:ascii="Times New Roman" w:hAnsi="Times New Roman"/>
          <w:sz w:val="20"/>
          <w:szCs w:val="20"/>
          <w:shd w:fill="FFFFFF" w:val="clear"/>
        </w:rPr>
        <w:t>, a prestação de serviços odontológicos</w:t>
      </w:r>
      <w:r>
        <w:rPr>
          <w:rFonts w:cs="Times New Roman" w:ascii="Times New Roman" w:hAnsi="Times New Roman"/>
          <w:sz w:val="20"/>
          <w:szCs w:val="20"/>
        </w:rPr>
        <w:t>.</w:t>
      </w:r>
    </w:p>
    <w:p>
      <w:pPr>
        <w:pStyle w:val="ListParagraph"/>
        <w:widowControl w:val="false"/>
        <w:numPr>
          <w:ilvl w:val="1"/>
          <w:numId w:val="1"/>
        </w:numPr>
        <w:spacing w:before="120" w:after="120"/>
        <w:ind w:left="680" w:right="0" w:hanging="432"/>
        <w:contextualSpacing/>
        <w:jc w:val="both"/>
        <w:rPr>
          <w:rFonts w:ascii="Times New Roman" w:hAnsi="Times New Roman" w:cs="Times New Roman"/>
          <w:sz w:val="20"/>
          <w:szCs w:val="20"/>
        </w:rPr>
      </w:pPr>
      <w:r>
        <w:rPr>
          <w:rFonts w:cs="Times New Roman" w:ascii="Times New Roman" w:hAnsi="Times New Roman"/>
          <w:sz w:val="20"/>
          <w:szCs w:val="20"/>
        </w:rPr>
        <w:t>O objeto contratual abrange as seguintes especialidades:</w:t>
      </w:r>
    </w:p>
    <w:p>
      <w:pPr>
        <w:pStyle w:val="ListParagraph"/>
        <w:widowControl w:val="false"/>
        <w:numPr>
          <w:ilvl w:val="2"/>
          <w:numId w:val="1"/>
        </w:numPr>
        <w:spacing w:before="120" w:after="120"/>
        <w:ind w:left="1418" w:right="0" w:hanging="504"/>
        <w:contextualSpacing/>
        <w:jc w:val="both"/>
        <w:rPr>
          <w:rFonts w:ascii="Times New Roman" w:hAnsi="Times New Roman" w:cs="Times New Roman"/>
          <w:sz w:val="20"/>
          <w:szCs w:val="20"/>
          <w:highlight w:val="white"/>
        </w:rPr>
      </w:pPr>
      <w:r>
        <w:rPr>
          <w:rFonts w:cs="Times New Roman" w:ascii="Times New Roman" w:hAnsi="Times New Roman"/>
          <w:sz w:val="20"/>
          <w:szCs w:val="20"/>
          <w:shd w:fill="FFFFFF" w:val="clear"/>
        </w:rPr>
        <w:t>Cirurgia e Traumatologia Buco-Maxilo-Facial, Dentística, Endodontia, Estomatologia, Implantodontia, Odontopediatria, Ortodontia, Ortopedia Funcional dos Maxilares, Periodontia, Prótese Dentária, Radiologia Odontológica e Tratamento Odontológico a Pacientes Especiais que necessitam de assistência anestesiológica conduzida por médico, devidamente reconhecidas pelo Conselho Federal de Odontologia e regulamentadas por lei.</w:t>
      </w:r>
    </w:p>
    <w:p>
      <w:pPr>
        <w:pStyle w:val="Normal"/>
        <w:widowControl w:val="false"/>
        <w:spacing w:before="240" w:after="240"/>
        <w:jc w:val="both"/>
        <w:rPr>
          <w:rFonts w:ascii="Times New Roman" w:hAnsi="Times New Roman" w:cs="Times New Roman"/>
          <w:b/>
          <w:b/>
          <w:sz w:val="20"/>
          <w:szCs w:val="20"/>
          <w:u w:val="single"/>
        </w:rPr>
      </w:pPr>
      <w:r>
        <w:rPr>
          <w:rFonts w:cs="Times New Roman" w:ascii="Times New Roman" w:hAnsi="Times New Roman"/>
          <w:b/>
          <w:sz w:val="20"/>
          <w:szCs w:val="20"/>
          <w:u w:val="single"/>
        </w:rPr>
        <w:t>CLÁUSULA SEGUNDA - Da vinculação ao edital.</w:t>
      </w:r>
    </w:p>
    <w:p>
      <w:pPr>
        <w:pStyle w:val="ListParagraph"/>
        <w:widowControl w:val="false"/>
        <w:numPr>
          <w:ilvl w:val="0"/>
          <w:numId w:val="1"/>
        </w:numPr>
        <w:spacing w:before="120" w:after="120"/>
        <w:ind w:left="0" w:right="0" w:hanging="360"/>
        <w:contextualSpacing/>
        <w:jc w:val="both"/>
        <w:rPr>
          <w:rFonts w:ascii="Times New Roman" w:hAnsi="Times New Roman" w:cs="Times New Roman"/>
          <w:sz w:val="20"/>
          <w:szCs w:val="20"/>
        </w:rPr>
      </w:pPr>
      <w:r>
        <w:rPr>
          <w:rFonts w:cs="Times New Roman" w:ascii="Times New Roman" w:hAnsi="Times New Roman"/>
          <w:sz w:val="20"/>
          <w:szCs w:val="20"/>
        </w:rPr>
        <w:t xml:space="preserve">Este instrumento está vinculado ao Edital de Credenciamento do 7º Regimento de Cavalaria Mecanizado </w:t>
      </w:r>
      <w:r>
        <w:rPr>
          <w:rFonts w:cs="Times New Roman" w:ascii="Times New Roman" w:hAnsi="Times New Roman"/>
          <w:sz w:val="20"/>
          <w:szCs w:val="20"/>
          <w:shd w:fill="FFFFFF" w:val="clear"/>
        </w:rPr>
        <w:t xml:space="preserve">de ______ de ____ </w:t>
      </w:r>
      <w:r>
        <w:rPr>
          <w:rFonts w:cs="Times New Roman" w:ascii="Times New Roman" w:hAnsi="Times New Roman"/>
          <w:sz w:val="20"/>
          <w:szCs w:val="20"/>
        </w:rPr>
        <w:t>de 20___, do qual é parte integrante, bem como seus anexos.</w:t>
      </w:r>
    </w:p>
    <w:p>
      <w:pPr>
        <w:pStyle w:val="Normal"/>
        <w:widowControl w:val="false"/>
        <w:spacing w:before="240" w:after="240"/>
        <w:jc w:val="both"/>
        <w:rPr>
          <w:rFonts w:ascii="Times New Roman" w:hAnsi="Times New Roman" w:cs="Times New Roman"/>
          <w:b/>
          <w:b/>
          <w:sz w:val="20"/>
          <w:szCs w:val="20"/>
          <w:u w:val="single"/>
        </w:rPr>
      </w:pPr>
      <w:r>
        <w:rPr>
          <w:rFonts w:cs="Times New Roman" w:ascii="Times New Roman" w:hAnsi="Times New Roman"/>
          <w:b/>
          <w:sz w:val="20"/>
          <w:szCs w:val="20"/>
          <w:u w:val="single"/>
        </w:rPr>
        <w:t>CLÁUSULA TERCEIRA – Do fundamento legal.</w:t>
      </w:r>
    </w:p>
    <w:p>
      <w:pPr>
        <w:pStyle w:val="ListParagraph"/>
        <w:widowControl w:val="false"/>
        <w:numPr>
          <w:ilvl w:val="0"/>
          <w:numId w:val="1"/>
        </w:numPr>
        <w:spacing w:before="120" w:after="120"/>
        <w:ind w:left="0" w:right="0" w:hanging="360"/>
        <w:contextualSpacing/>
        <w:jc w:val="both"/>
        <w:rPr>
          <w:rFonts w:ascii="Times New Roman" w:hAnsi="Times New Roman" w:cs="Times New Roman"/>
          <w:sz w:val="20"/>
          <w:szCs w:val="20"/>
        </w:rPr>
      </w:pPr>
      <w:r>
        <w:rPr>
          <w:rFonts w:cs="Times New Roman" w:ascii="Times New Roman" w:hAnsi="Times New Roman"/>
          <w:sz w:val="20"/>
          <w:szCs w:val="20"/>
        </w:rPr>
        <w:t xml:space="preserve">A presente contratação fundamenta-se nos artigos 74, </w:t>
      </w:r>
      <w:r>
        <w:rPr>
          <w:rFonts w:cs="Times New Roman" w:ascii="Times New Roman" w:hAnsi="Times New Roman"/>
          <w:i/>
          <w:sz w:val="20"/>
          <w:szCs w:val="20"/>
        </w:rPr>
        <w:t>caput</w:t>
      </w:r>
      <w:r>
        <w:rPr>
          <w:rFonts w:cs="Times New Roman" w:ascii="Times New Roman" w:hAnsi="Times New Roman"/>
          <w:sz w:val="20"/>
          <w:szCs w:val="20"/>
        </w:rPr>
        <w:t xml:space="preserve"> e 79 da Lei nº 14.133, de 1º de abril de 2021.</w:t>
      </w:r>
    </w:p>
    <w:p>
      <w:pPr>
        <w:pStyle w:val="Normal"/>
        <w:widowControl w:val="false"/>
        <w:spacing w:before="240" w:after="240"/>
        <w:jc w:val="both"/>
        <w:rPr>
          <w:rFonts w:ascii="Times New Roman" w:hAnsi="Times New Roman" w:cs="Times New Roman"/>
          <w:b/>
          <w:b/>
          <w:sz w:val="20"/>
          <w:szCs w:val="20"/>
          <w:u w:val="single"/>
        </w:rPr>
      </w:pPr>
      <w:r>
        <w:rPr>
          <w:rFonts w:cs="Times New Roman" w:ascii="Times New Roman" w:hAnsi="Times New Roman"/>
          <w:b/>
          <w:sz w:val="20"/>
          <w:szCs w:val="20"/>
          <w:u w:val="single"/>
        </w:rPr>
        <w:t>CLÁUSULA QUARTA - Do regime de execução.</w:t>
      </w:r>
    </w:p>
    <w:p>
      <w:pPr>
        <w:pStyle w:val="ListParagraph"/>
        <w:widowControl w:val="false"/>
        <w:numPr>
          <w:ilvl w:val="0"/>
          <w:numId w:val="1"/>
        </w:numPr>
        <w:spacing w:before="120" w:after="120"/>
        <w:ind w:left="0" w:right="0" w:hanging="360"/>
        <w:contextualSpacing/>
        <w:jc w:val="both"/>
        <w:rPr>
          <w:rFonts w:ascii="Times New Roman" w:hAnsi="Times New Roman" w:cs="Times New Roman"/>
          <w:sz w:val="20"/>
          <w:szCs w:val="20"/>
        </w:rPr>
      </w:pPr>
      <w:r>
        <w:rPr>
          <w:rFonts w:cs="Times New Roman" w:ascii="Times New Roman" w:hAnsi="Times New Roman"/>
          <w:sz w:val="20"/>
          <w:szCs w:val="20"/>
        </w:rPr>
        <w:t>As condições gerais de execução dos serviços constam da Seção 7 “DO REGIME DE EXECUÇÃO”, edital de credenciamento, observadas as regras especiais abaixo registradas.</w:t>
      </w:r>
    </w:p>
    <w:p>
      <w:pPr>
        <w:pStyle w:val="ListParagraph"/>
        <w:widowControl w:val="false"/>
        <w:numPr>
          <w:ilvl w:val="0"/>
          <w:numId w:val="1"/>
        </w:numPr>
        <w:spacing w:before="120" w:after="120"/>
        <w:ind w:left="0" w:right="0" w:hanging="360"/>
        <w:contextualSpacing/>
        <w:jc w:val="both"/>
        <w:rPr>
          <w:rFonts w:ascii="Times New Roman" w:hAnsi="Times New Roman" w:cs="Times New Roman"/>
          <w:sz w:val="20"/>
          <w:szCs w:val="20"/>
        </w:rPr>
      </w:pPr>
      <w:r>
        <w:rPr>
          <w:rFonts w:cs="Times New Roman" w:ascii="Times New Roman" w:hAnsi="Times New Roman"/>
          <w:sz w:val="20"/>
          <w:szCs w:val="20"/>
        </w:rPr>
        <w:t>Para atendimentos, a apresentação do paciente nas instalações do CONTRATADO será responsabilidade do beneficiário.</w:t>
      </w:r>
    </w:p>
    <w:p>
      <w:pPr>
        <w:pStyle w:val="ListParagraph"/>
        <w:widowControl w:val="false"/>
        <w:numPr>
          <w:ilvl w:val="0"/>
          <w:numId w:val="1"/>
        </w:numPr>
        <w:spacing w:before="120" w:after="120"/>
        <w:ind w:left="0" w:right="0" w:hanging="360"/>
        <w:contextualSpacing/>
        <w:jc w:val="both"/>
        <w:rPr>
          <w:rFonts w:ascii="Times New Roman" w:hAnsi="Times New Roman" w:cs="Times New Roman"/>
          <w:sz w:val="20"/>
          <w:szCs w:val="20"/>
        </w:rPr>
      </w:pPr>
      <w:r>
        <w:rPr>
          <w:rFonts w:cs="Times New Roman" w:ascii="Times New Roman" w:hAnsi="Times New Roman"/>
          <w:sz w:val="20"/>
          <w:szCs w:val="20"/>
        </w:rPr>
        <w:t>O encaminhamento odontológico de beneficiário observará o seguinte procedimento:</w:t>
      </w:r>
    </w:p>
    <w:p>
      <w:pPr>
        <w:pStyle w:val="Normal"/>
        <w:widowControl w:val="false"/>
        <w:numPr>
          <w:ilvl w:val="1"/>
          <w:numId w:val="1"/>
        </w:numPr>
        <w:suppressAutoHyphens w:val="true"/>
        <w:spacing w:before="120" w:after="120"/>
        <w:ind w:left="680" w:right="0" w:hanging="432"/>
        <w:jc w:val="both"/>
        <w:rPr>
          <w:rFonts w:ascii="Times New Roman" w:hAnsi="Times New Roman" w:cs="Times New Roman"/>
          <w:sz w:val="20"/>
          <w:szCs w:val="20"/>
        </w:rPr>
      </w:pPr>
      <w:r>
        <w:rPr>
          <w:rFonts w:cs="Times New Roman" w:ascii="Times New Roman" w:hAnsi="Times New Roman"/>
          <w:sz w:val="20"/>
          <w:szCs w:val="20"/>
        </w:rPr>
        <w:t>O CONTRATADO deverá solicitar ao beneficiário deste contrato o parecer do cirurgião-dentista militar ou PSA contratado, bem como o documento de encaminhamento emitido por parte do CONTRATANTE;</w:t>
      </w:r>
    </w:p>
    <w:p>
      <w:pPr>
        <w:pStyle w:val="ListParagraph"/>
        <w:widowControl w:val="false"/>
        <w:numPr>
          <w:ilvl w:val="1"/>
          <w:numId w:val="1"/>
        </w:numPr>
        <w:spacing w:before="120" w:after="120"/>
        <w:ind w:left="680" w:right="0" w:hanging="432"/>
        <w:contextualSpacing/>
        <w:jc w:val="both"/>
        <w:rPr>
          <w:rFonts w:ascii="Times New Roman" w:hAnsi="Times New Roman" w:cs="Times New Roman"/>
          <w:sz w:val="20"/>
          <w:szCs w:val="20"/>
        </w:rPr>
      </w:pPr>
      <w:r>
        <w:rPr>
          <w:rFonts w:cs="Times New Roman" w:ascii="Times New Roman" w:hAnsi="Times New Roman"/>
          <w:sz w:val="20"/>
          <w:szCs w:val="20"/>
        </w:rPr>
        <w:t>O CONTRATADO deverá elaborar e entregar ao beneficiário o Plano de Tratamento em formulário próprio, com assinalação, no odontograma, dos contornos das lesões encontradas, assim como a especificação do tratamento, o material a ser empregado e o respectivo orçamento;</w:t>
      </w:r>
    </w:p>
    <w:p>
      <w:pPr>
        <w:pStyle w:val="ListParagraph"/>
        <w:widowControl w:val="false"/>
        <w:numPr>
          <w:ilvl w:val="2"/>
          <w:numId w:val="1"/>
        </w:numPr>
        <w:spacing w:before="120" w:after="120"/>
        <w:ind w:left="1418" w:right="0" w:hanging="504"/>
        <w:contextualSpacing/>
        <w:jc w:val="both"/>
        <w:rPr>
          <w:rFonts w:ascii="Times New Roman" w:hAnsi="Times New Roman" w:cs="Times New Roman"/>
          <w:sz w:val="20"/>
          <w:szCs w:val="20"/>
        </w:rPr>
      </w:pPr>
      <w:r>
        <w:rPr>
          <w:rFonts w:cs="Times New Roman" w:ascii="Times New Roman" w:hAnsi="Times New Roman"/>
          <w:sz w:val="20"/>
          <w:szCs w:val="20"/>
        </w:rPr>
        <w:t>No caso de ortodontia ou ortopedia funcional dos maxilares, fará constar, ainda, no Plano de Tratamento, as seguintes informações: características da má oclusão; aparatologia indicada; prognósticos; radiografias; e, tempo provável de tratamento.</w:t>
      </w:r>
    </w:p>
    <w:p>
      <w:pPr>
        <w:pStyle w:val="ListParagraph"/>
        <w:widowControl w:val="false"/>
        <w:numPr>
          <w:ilvl w:val="0"/>
          <w:numId w:val="1"/>
        </w:numPr>
        <w:spacing w:before="120" w:after="120"/>
        <w:ind w:left="0" w:right="0" w:hanging="360"/>
        <w:contextualSpacing/>
        <w:jc w:val="both"/>
        <w:rPr>
          <w:rFonts w:ascii="Times New Roman" w:hAnsi="Times New Roman" w:cs="Times New Roman"/>
          <w:sz w:val="20"/>
          <w:szCs w:val="20"/>
        </w:rPr>
      </w:pPr>
      <w:r>
        <w:rPr>
          <w:rFonts w:cs="Times New Roman" w:ascii="Times New Roman" w:hAnsi="Times New Roman"/>
          <w:sz w:val="20"/>
          <w:szCs w:val="20"/>
        </w:rPr>
        <w:t>O tratamento somente poderá ser iniciado por parte do CONTRATADO, após o recebimento do documento de autorização do CONTRATANTE.</w:t>
      </w:r>
    </w:p>
    <w:p>
      <w:pPr>
        <w:pStyle w:val="ListParagraph"/>
        <w:widowControl w:val="false"/>
        <w:numPr>
          <w:ilvl w:val="1"/>
          <w:numId w:val="1"/>
        </w:numPr>
        <w:spacing w:before="120" w:after="120"/>
        <w:ind w:left="680" w:right="0" w:hanging="432"/>
        <w:contextualSpacing/>
        <w:jc w:val="both"/>
        <w:rPr>
          <w:rFonts w:ascii="Times New Roman" w:hAnsi="Times New Roman" w:cs="Times New Roman"/>
          <w:sz w:val="20"/>
          <w:szCs w:val="20"/>
        </w:rPr>
      </w:pPr>
      <w:r>
        <w:rPr>
          <w:rFonts w:cs="Times New Roman" w:ascii="Times New Roman" w:hAnsi="Times New Roman"/>
          <w:sz w:val="20"/>
          <w:szCs w:val="20"/>
        </w:rPr>
        <w:t>À exceção dos casos de urgência e emergência, nenhum tratamento complementar ao plano autorizado, independentemente de seu valor, poderá ser iniciado sem uma nova autorização do CONTRATANTE;</w:t>
      </w:r>
    </w:p>
    <w:p>
      <w:pPr>
        <w:pStyle w:val="ListParagraph"/>
        <w:widowControl w:val="false"/>
        <w:numPr>
          <w:ilvl w:val="1"/>
          <w:numId w:val="1"/>
        </w:numPr>
        <w:spacing w:before="120" w:after="120"/>
        <w:ind w:left="680" w:right="0" w:hanging="432"/>
        <w:contextualSpacing/>
        <w:jc w:val="both"/>
        <w:rPr>
          <w:rFonts w:ascii="Times New Roman" w:hAnsi="Times New Roman" w:cs="Times New Roman"/>
          <w:sz w:val="20"/>
          <w:szCs w:val="20"/>
        </w:rPr>
      </w:pPr>
      <w:r>
        <w:rPr>
          <w:rFonts w:cs="Times New Roman" w:ascii="Times New Roman" w:hAnsi="Times New Roman"/>
          <w:sz w:val="20"/>
          <w:szCs w:val="20"/>
        </w:rPr>
        <w:t>As despesas decorrentes de tratamento complementar iniciado sem nova guia de encaminhamento não serão cobertas e serão de responsabilidade do beneficiário.</w:t>
      </w:r>
    </w:p>
    <w:p>
      <w:pPr>
        <w:pStyle w:val="ListParagraph"/>
        <w:widowControl w:val="false"/>
        <w:numPr>
          <w:ilvl w:val="0"/>
          <w:numId w:val="1"/>
        </w:numPr>
        <w:spacing w:before="120" w:after="120"/>
        <w:ind w:left="0" w:right="0" w:hanging="360"/>
        <w:contextualSpacing/>
        <w:jc w:val="both"/>
        <w:rPr>
          <w:rFonts w:ascii="Times New Roman" w:hAnsi="Times New Roman" w:cs="Times New Roman"/>
          <w:sz w:val="20"/>
          <w:szCs w:val="20"/>
        </w:rPr>
      </w:pPr>
      <w:r>
        <w:rPr>
          <w:rFonts w:cs="Times New Roman" w:ascii="Times New Roman" w:hAnsi="Times New Roman"/>
          <w:sz w:val="20"/>
          <w:szCs w:val="20"/>
        </w:rPr>
        <w:t>Ao término do tratamento o CONTRATADO deverá, imediatamente, emitir o documento de despesa relativo à prestação do serviço, total ou parcial, coerente com o plano de tratamento e orçamento propostos, onde deverá constar a assinatura do paciente, para que este se submeta a perícia concludente do tratamento na UG FuSEx/SAMMED/PASS.</w:t>
      </w:r>
    </w:p>
    <w:p>
      <w:pPr>
        <w:pStyle w:val="ListParagraph"/>
        <w:widowControl w:val="false"/>
        <w:numPr>
          <w:ilvl w:val="0"/>
          <w:numId w:val="1"/>
        </w:numPr>
        <w:spacing w:before="120" w:after="120"/>
        <w:ind w:left="0" w:right="0" w:hanging="360"/>
        <w:contextualSpacing/>
        <w:jc w:val="both"/>
        <w:rPr>
          <w:rFonts w:ascii="Times New Roman" w:hAnsi="Times New Roman" w:cs="Times New Roman"/>
          <w:sz w:val="20"/>
          <w:szCs w:val="20"/>
        </w:rPr>
      </w:pPr>
      <w:r>
        <w:rPr>
          <w:rFonts w:cs="Times New Roman" w:ascii="Times New Roman" w:hAnsi="Times New Roman"/>
          <w:sz w:val="20"/>
          <w:szCs w:val="20"/>
        </w:rPr>
        <w:t>O CONTRATADO deverá alertar o beneficiário quanto a sua obrigação de subsunção à perícia, sob pena de pagamento integral dos custos do tratamento.</w:t>
      </w:r>
    </w:p>
    <w:p>
      <w:pPr>
        <w:pStyle w:val="ListParagraph"/>
        <w:widowControl w:val="false"/>
        <w:numPr>
          <w:ilvl w:val="0"/>
          <w:numId w:val="1"/>
        </w:numPr>
        <w:spacing w:before="120" w:after="120"/>
        <w:ind w:left="0" w:right="0" w:hanging="360"/>
        <w:contextualSpacing/>
        <w:jc w:val="both"/>
        <w:rPr>
          <w:rFonts w:ascii="Times New Roman" w:hAnsi="Times New Roman" w:cs="Times New Roman"/>
          <w:sz w:val="20"/>
          <w:szCs w:val="20"/>
        </w:rPr>
      </w:pPr>
      <w:r>
        <w:rPr>
          <w:rFonts w:cs="Times New Roman" w:ascii="Times New Roman" w:hAnsi="Times New Roman"/>
          <w:sz w:val="20"/>
          <w:szCs w:val="20"/>
        </w:rPr>
        <w:t>O CONTRATADO se obriga a apresentar ao CONTRATANTE a relação dos profissionais que integram seu corpo clínico, com seus respectivos registros nos conselhos de classe, cadastrados e autorizados por parte do CONTRATADO para atender aos beneficiários deste contrato nas respectivas profissões e especialidades.</w:t>
      </w:r>
    </w:p>
    <w:p>
      <w:pPr>
        <w:pStyle w:val="ListParagraph"/>
        <w:widowControl w:val="false"/>
        <w:numPr>
          <w:ilvl w:val="1"/>
          <w:numId w:val="1"/>
        </w:numPr>
        <w:spacing w:before="120" w:after="120"/>
        <w:ind w:left="680" w:right="0" w:hanging="432"/>
        <w:contextualSpacing/>
        <w:jc w:val="both"/>
        <w:rPr>
          <w:rFonts w:ascii="Times New Roman" w:hAnsi="Times New Roman" w:cs="Times New Roman"/>
          <w:sz w:val="20"/>
          <w:szCs w:val="20"/>
        </w:rPr>
      </w:pPr>
      <w:r>
        <w:rPr>
          <w:rFonts w:cs="Times New Roman" w:ascii="Times New Roman" w:hAnsi="Times New Roman"/>
          <w:sz w:val="20"/>
          <w:szCs w:val="20"/>
        </w:rPr>
        <w:t>O CONTRATADO obriga-se a manter junto ao CONTRATANTE uma relação atualizada dos profissionais que integram seu corpo clínico, com seus respectivos registros nos conselhos de classe.</w:t>
      </w:r>
    </w:p>
    <w:p>
      <w:pPr>
        <w:pStyle w:val="ListParagraph"/>
        <w:widowControl w:val="false"/>
        <w:numPr>
          <w:ilvl w:val="0"/>
          <w:numId w:val="1"/>
        </w:numPr>
        <w:spacing w:before="120" w:after="120"/>
        <w:ind w:left="0" w:right="0" w:hanging="360"/>
        <w:contextualSpacing/>
        <w:jc w:val="both"/>
        <w:rPr>
          <w:rFonts w:ascii="Times New Roman" w:hAnsi="Times New Roman" w:cs="Times New Roman"/>
          <w:sz w:val="20"/>
          <w:szCs w:val="20"/>
        </w:rPr>
      </w:pPr>
      <w:r>
        <w:rPr>
          <w:rFonts w:cs="Times New Roman" w:ascii="Times New Roman" w:hAnsi="Times New Roman"/>
          <w:sz w:val="20"/>
          <w:szCs w:val="20"/>
        </w:rPr>
        <w:t>Os serviços contratados serão prestados diretamente por profissional da própria OCS, entendendo-se como:</w:t>
      </w:r>
    </w:p>
    <w:p>
      <w:pPr>
        <w:pStyle w:val="ListParagraph"/>
        <w:widowControl w:val="false"/>
        <w:numPr>
          <w:ilvl w:val="1"/>
          <w:numId w:val="1"/>
        </w:numPr>
        <w:spacing w:before="120" w:after="120"/>
        <w:ind w:left="680" w:right="0" w:hanging="432"/>
        <w:contextualSpacing/>
        <w:jc w:val="both"/>
        <w:rPr>
          <w:rFonts w:ascii="Times New Roman" w:hAnsi="Times New Roman" w:cs="Times New Roman"/>
          <w:sz w:val="20"/>
          <w:szCs w:val="20"/>
        </w:rPr>
      </w:pPr>
      <w:r>
        <w:rPr>
          <w:rFonts w:cs="Times New Roman" w:ascii="Times New Roman" w:hAnsi="Times New Roman"/>
          <w:sz w:val="20"/>
          <w:szCs w:val="20"/>
        </w:rPr>
        <w:t>O membro do Corpo Clínico do CONTRATADO;</w:t>
      </w:r>
    </w:p>
    <w:p>
      <w:pPr>
        <w:pStyle w:val="ListParagraph"/>
        <w:widowControl w:val="false"/>
        <w:numPr>
          <w:ilvl w:val="1"/>
          <w:numId w:val="1"/>
        </w:numPr>
        <w:spacing w:before="120" w:after="120"/>
        <w:ind w:left="680" w:right="0" w:hanging="432"/>
        <w:contextualSpacing/>
        <w:jc w:val="both"/>
        <w:rPr>
          <w:rFonts w:ascii="Times New Roman" w:hAnsi="Times New Roman" w:cs="Times New Roman"/>
          <w:sz w:val="20"/>
          <w:szCs w:val="20"/>
        </w:rPr>
      </w:pPr>
      <w:r>
        <w:rPr>
          <w:rFonts w:cs="Times New Roman" w:ascii="Times New Roman" w:hAnsi="Times New Roman"/>
          <w:sz w:val="20"/>
          <w:szCs w:val="20"/>
        </w:rPr>
        <w:t>O que tenha vínculo de emprego com o CONTRATADO;</w:t>
      </w:r>
    </w:p>
    <w:p>
      <w:pPr>
        <w:pStyle w:val="ListParagraph"/>
        <w:widowControl w:val="false"/>
        <w:numPr>
          <w:ilvl w:val="1"/>
          <w:numId w:val="1"/>
        </w:numPr>
        <w:spacing w:before="120" w:after="120"/>
        <w:ind w:left="680" w:right="0" w:hanging="432"/>
        <w:contextualSpacing/>
        <w:jc w:val="both"/>
        <w:rPr>
          <w:rFonts w:ascii="Times New Roman" w:hAnsi="Times New Roman" w:cs="Times New Roman"/>
          <w:sz w:val="20"/>
          <w:szCs w:val="20"/>
        </w:rPr>
      </w:pPr>
      <w:r>
        <w:rPr>
          <w:rFonts w:cs="Times New Roman" w:ascii="Times New Roman" w:hAnsi="Times New Roman"/>
          <w:sz w:val="20"/>
          <w:szCs w:val="20"/>
        </w:rPr>
        <w:t>O autônomo que presta serviço ao CONTRATADO.</w:t>
      </w:r>
    </w:p>
    <w:p>
      <w:pPr>
        <w:pStyle w:val="ListParagraph"/>
        <w:widowControl w:val="false"/>
        <w:numPr>
          <w:ilvl w:val="0"/>
          <w:numId w:val="1"/>
        </w:numPr>
        <w:spacing w:before="120" w:after="120"/>
        <w:ind w:left="0" w:right="0" w:hanging="360"/>
        <w:contextualSpacing/>
        <w:jc w:val="both"/>
        <w:rPr>
          <w:rFonts w:ascii="Times New Roman" w:hAnsi="Times New Roman" w:cs="Times New Roman"/>
          <w:sz w:val="20"/>
          <w:szCs w:val="20"/>
        </w:rPr>
      </w:pPr>
      <w:r>
        <w:rPr>
          <w:rFonts w:cs="Times New Roman" w:ascii="Times New Roman" w:hAnsi="Times New Roman"/>
          <w:sz w:val="20"/>
          <w:szCs w:val="20"/>
        </w:rPr>
        <w:t>Equipara-se ao</w:t>
      </w:r>
      <w:r>
        <w:rPr>
          <w:rFonts w:cs="Times New Roman" w:ascii="Times New Roman" w:hAnsi="Times New Roman"/>
          <w:sz w:val="20"/>
          <w:szCs w:val="20"/>
          <w:shd w:fill="FFFFFF" w:val="clear"/>
        </w:rPr>
        <w:t xml:space="preserve"> Subitem 11.3, o </w:t>
      </w:r>
      <w:r>
        <w:rPr>
          <w:rFonts w:cs="Times New Roman" w:ascii="Times New Roman" w:hAnsi="Times New Roman"/>
          <w:sz w:val="20"/>
          <w:szCs w:val="20"/>
        </w:rPr>
        <w:t>profissional de saúde integrante de pessoa jurídica que exerça atividades na área de saúde, em caráter regular, nas instalações do CONTRATADO.</w:t>
      </w:r>
    </w:p>
    <w:p>
      <w:pPr>
        <w:pStyle w:val="ListParagraph"/>
        <w:widowControl w:val="false"/>
        <w:numPr>
          <w:ilvl w:val="0"/>
          <w:numId w:val="1"/>
        </w:numPr>
        <w:spacing w:before="120" w:after="120"/>
        <w:ind w:left="0" w:right="0" w:hanging="360"/>
        <w:contextualSpacing/>
        <w:jc w:val="both"/>
        <w:rPr>
          <w:rFonts w:ascii="Times New Roman" w:hAnsi="Times New Roman" w:cs="Times New Roman"/>
          <w:sz w:val="20"/>
          <w:szCs w:val="20"/>
        </w:rPr>
      </w:pPr>
      <w:r>
        <w:rPr>
          <w:rFonts w:cs="Times New Roman" w:ascii="Times New Roman" w:hAnsi="Times New Roman"/>
          <w:sz w:val="20"/>
          <w:szCs w:val="20"/>
        </w:rPr>
        <w:t>A execução e o controle do presente instrumento serão avaliados pelo CONTRATANTE, mediante supervisão direta ou indireta dos procedimentos realizados, através do comparecimento periódico e regular de pelo menos um dos membros da equipe de Auditores do CONTRATANTE às dependências do CONTRATADO, a fim de examinar a documentação odontológica dos pacientes; assim como a qualidade das instalações e do serviço prestado.</w:t>
      </w:r>
    </w:p>
    <w:p>
      <w:pPr>
        <w:pStyle w:val="ListParagraph"/>
        <w:widowControl w:val="false"/>
        <w:numPr>
          <w:ilvl w:val="0"/>
          <w:numId w:val="1"/>
        </w:numPr>
        <w:spacing w:before="120" w:after="120"/>
        <w:ind w:left="0" w:right="0" w:hanging="360"/>
        <w:contextualSpacing/>
        <w:jc w:val="both"/>
        <w:rPr>
          <w:rFonts w:ascii="Times New Roman" w:hAnsi="Times New Roman" w:cs="Times New Roman"/>
          <w:sz w:val="20"/>
          <w:szCs w:val="20"/>
        </w:rPr>
      </w:pPr>
      <w:r>
        <w:rPr>
          <w:rFonts w:cs="Times New Roman" w:ascii="Times New Roman" w:hAnsi="Times New Roman"/>
          <w:sz w:val="20"/>
          <w:szCs w:val="20"/>
        </w:rPr>
        <w:t xml:space="preserve">Os tratamentos não cobertos pelo sistema FuSEx/SAMMED/PASS, conforme o </w:t>
      </w:r>
      <w:r>
        <w:rPr>
          <w:rFonts w:cs="Times New Roman" w:ascii="Times New Roman" w:hAnsi="Times New Roman"/>
          <w:sz w:val="20"/>
          <w:szCs w:val="20"/>
          <w:shd w:fill="FFFFFF" w:val="clear"/>
        </w:rPr>
        <w:t>Anexo “R”</w:t>
      </w:r>
      <w:r>
        <w:rPr>
          <w:rFonts w:cs="Times New Roman" w:ascii="Times New Roman" w:hAnsi="Times New Roman"/>
          <w:sz w:val="20"/>
          <w:szCs w:val="20"/>
        </w:rPr>
        <w:t xml:space="preserve"> do edital, não se incluem na presente contratação.</w:t>
      </w:r>
    </w:p>
    <w:p>
      <w:pPr>
        <w:pStyle w:val="ListParagraph"/>
        <w:widowControl w:val="false"/>
        <w:numPr>
          <w:ilvl w:val="1"/>
          <w:numId w:val="1"/>
        </w:numPr>
        <w:spacing w:before="120" w:after="120"/>
        <w:ind w:left="680" w:right="0" w:hanging="432"/>
        <w:contextualSpacing/>
        <w:jc w:val="both"/>
        <w:rPr>
          <w:rFonts w:ascii="Times New Roman" w:hAnsi="Times New Roman" w:cs="Times New Roman"/>
          <w:sz w:val="20"/>
          <w:szCs w:val="20"/>
        </w:rPr>
      </w:pPr>
      <w:r>
        <w:rPr>
          <w:rFonts w:cs="Times New Roman" w:ascii="Times New Roman" w:hAnsi="Times New Roman"/>
          <w:sz w:val="20"/>
          <w:szCs w:val="20"/>
        </w:rPr>
        <w:t>Caso solicitado, o CONTRATADO obriga-se a advertir o paciente ou seu responsável de que suportará os pagamentos decorrentes de exame, procedimento, material e afins.</w:t>
      </w:r>
    </w:p>
    <w:p>
      <w:pPr>
        <w:pStyle w:val="ListParagraph"/>
        <w:widowControl w:val="false"/>
        <w:numPr>
          <w:ilvl w:val="0"/>
          <w:numId w:val="1"/>
        </w:numPr>
        <w:spacing w:before="120" w:after="120"/>
        <w:ind w:left="0" w:right="0" w:hanging="360"/>
        <w:contextualSpacing/>
        <w:jc w:val="both"/>
        <w:rPr>
          <w:rFonts w:ascii="Times New Roman" w:hAnsi="Times New Roman" w:cs="Times New Roman"/>
          <w:sz w:val="20"/>
          <w:szCs w:val="20"/>
        </w:rPr>
      </w:pPr>
      <w:r>
        <w:rPr>
          <w:rFonts w:cs="Times New Roman" w:ascii="Times New Roman" w:hAnsi="Times New Roman"/>
          <w:sz w:val="20"/>
          <w:szCs w:val="20"/>
        </w:rPr>
        <w:t>Os cirurgiões-dentistas só poderão executar trabalhos referentes àquelas especialidades para as quais foram especificamente credenciados.</w:t>
      </w:r>
    </w:p>
    <w:p>
      <w:pPr>
        <w:pStyle w:val="ListParagraph"/>
        <w:widowControl w:val="false"/>
        <w:numPr>
          <w:ilvl w:val="0"/>
          <w:numId w:val="1"/>
        </w:numPr>
        <w:spacing w:before="120" w:after="120"/>
        <w:ind w:left="0" w:right="0" w:hanging="360"/>
        <w:contextualSpacing/>
        <w:jc w:val="both"/>
        <w:rPr>
          <w:rFonts w:ascii="Times New Roman" w:hAnsi="Times New Roman" w:cs="Times New Roman"/>
          <w:sz w:val="20"/>
          <w:szCs w:val="20"/>
        </w:rPr>
      </w:pPr>
      <w:r>
        <w:rPr>
          <w:rFonts w:cs="Times New Roman" w:ascii="Times New Roman" w:hAnsi="Times New Roman"/>
          <w:sz w:val="20"/>
          <w:szCs w:val="20"/>
        </w:rPr>
        <w:t>No</w:t>
      </w:r>
      <w:r>
        <w:rPr>
          <w:rFonts w:cs="Times New Roman" w:ascii="Times New Roman" w:hAnsi="Times New Roman"/>
          <w:spacing w:val="2"/>
          <w:sz w:val="20"/>
          <w:szCs w:val="20"/>
        </w:rPr>
        <w:t xml:space="preserve"> c</w:t>
      </w:r>
      <w:r>
        <w:rPr>
          <w:rFonts w:cs="Times New Roman" w:ascii="Times New Roman" w:hAnsi="Times New Roman"/>
          <w:spacing w:val="-1"/>
          <w:sz w:val="20"/>
          <w:szCs w:val="20"/>
        </w:rPr>
        <w:t>a</w:t>
      </w:r>
      <w:r>
        <w:rPr>
          <w:rFonts w:cs="Times New Roman" w:ascii="Times New Roman" w:hAnsi="Times New Roman"/>
          <w:sz w:val="20"/>
          <w:szCs w:val="20"/>
        </w:rPr>
        <w:t>so</w:t>
      </w:r>
      <w:r>
        <w:rPr>
          <w:rFonts w:cs="Times New Roman" w:ascii="Times New Roman" w:hAnsi="Times New Roman"/>
          <w:spacing w:val="-2"/>
          <w:sz w:val="20"/>
          <w:szCs w:val="20"/>
        </w:rPr>
        <w:t xml:space="preserve"> </w:t>
      </w:r>
      <w:r>
        <w:rPr>
          <w:rFonts w:cs="Times New Roman" w:ascii="Times New Roman" w:hAnsi="Times New Roman"/>
          <w:spacing w:val="2"/>
          <w:sz w:val="20"/>
          <w:szCs w:val="20"/>
        </w:rPr>
        <w:t>d</w:t>
      </w:r>
      <w:r>
        <w:rPr>
          <w:rFonts w:cs="Times New Roman" w:ascii="Times New Roman" w:hAnsi="Times New Roman"/>
          <w:sz w:val="20"/>
          <w:szCs w:val="20"/>
        </w:rPr>
        <w:t xml:space="preserve">e </w:t>
      </w:r>
      <w:r>
        <w:rPr>
          <w:rFonts w:cs="Times New Roman" w:ascii="Times New Roman" w:hAnsi="Times New Roman"/>
          <w:spacing w:val="1"/>
          <w:sz w:val="20"/>
          <w:szCs w:val="20"/>
        </w:rPr>
        <w:t>i</w:t>
      </w:r>
      <w:r>
        <w:rPr>
          <w:rFonts w:cs="Times New Roman" w:ascii="Times New Roman" w:hAnsi="Times New Roman"/>
          <w:sz w:val="20"/>
          <w:szCs w:val="20"/>
        </w:rPr>
        <w:t>n</w:t>
      </w:r>
      <w:r>
        <w:rPr>
          <w:rFonts w:cs="Times New Roman" w:ascii="Times New Roman" w:hAnsi="Times New Roman"/>
          <w:spacing w:val="1"/>
          <w:sz w:val="20"/>
          <w:szCs w:val="20"/>
        </w:rPr>
        <w:t>t</w:t>
      </w:r>
      <w:r>
        <w:rPr>
          <w:rFonts w:cs="Times New Roman" w:ascii="Times New Roman" w:hAnsi="Times New Roman"/>
          <w:spacing w:val="-1"/>
          <w:sz w:val="20"/>
          <w:szCs w:val="20"/>
        </w:rPr>
        <w:t>e</w:t>
      </w:r>
      <w:r>
        <w:rPr>
          <w:rFonts w:cs="Times New Roman" w:ascii="Times New Roman" w:hAnsi="Times New Roman"/>
          <w:spacing w:val="2"/>
          <w:sz w:val="20"/>
          <w:szCs w:val="20"/>
        </w:rPr>
        <w:t>r</w:t>
      </w:r>
      <w:r>
        <w:rPr>
          <w:rFonts w:cs="Times New Roman" w:ascii="Times New Roman" w:hAnsi="Times New Roman"/>
          <w:spacing w:val="-1"/>
          <w:sz w:val="20"/>
          <w:szCs w:val="20"/>
        </w:rPr>
        <w:t>r</w:t>
      </w:r>
      <w:r>
        <w:rPr>
          <w:rFonts w:cs="Times New Roman" w:ascii="Times New Roman" w:hAnsi="Times New Roman"/>
          <w:sz w:val="20"/>
          <w:szCs w:val="20"/>
        </w:rPr>
        <w:t>up</w:t>
      </w:r>
      <w:r>
        <w:rPr>
          <w:rFonts w:cs="Times New Roman" w:ascii="Times New Roman" w:hAnsi="Times New Roman"/>
          <w:spacing w:val="-1"/>
          <w:sz w:val="20"/>
          <w:szCs w:val="20"/>
        </w:rPr>
        <w:t>çã</w:t>
      </w:r>
      <w:r>
        <w:rPr>
          <w:rFonts w:cs="Times New Roman" w:ascii="Times New Roman" w:hAnsi="Times New Roman"/>
          <w:sz w:val="20"/>
          <w:szCs w:val="20"/>
        </w:rPr>
        <w:t>o</w:t>
      </w:r>
      <w:r>
        <w:rPr>
          <w:rFonts w:cs="Times New Roman" w:ascii="Times New Roman" w:hAnsi="Times New Roman"/>
          <w:spacing w:val="-6"/>
          <w:sz w:val="20"/>
          <w:szCs w:val="20"/>
        </w:rPr>
        <w:t xml:space="preserve"> </w:t>
      </w:r>
      <w:r>
        <w:rPr>
          <w:rFonts w:cs="Times New Roman" w:ascii="Times New Roman" w:hAnsi="Times New Roman"/>
          <w:sz w:val="20"/>
          <w:szCs w:val="20"/>
        </w:rPr>
        <w:t xml:space="preserve">do </w:t>
      </w:r>
      <w:r>
        <w:rPr>
          <w:rFonts w:cs="Times New Roman" w:ascii="Times New Roman" w:hAnsi="Times New Roman"/>
          <w:spacing w:val="1"/>
          <w:sz w:val="20"/>
          <w:szCs w:val="20"/>
        </w:rPr>
        <w:t>t</w:t>
      </w:r>
      <w:r>
        <w:rPr>
          <w:rFonts w:cs="Times New Roman" w:ascii="Times New Roman" w:hAnsi="Times New Roman"/>
          <w:spacing w:val="2"/>
          <w:sz w:val="20"/>
          <w:szCs w:val="20"/>
        </w:rPr>
        <w:t>r</w:t>
      </w:r>
      <w:r>
        <w:rPr>
          <w:rFonts w:cs="Times New Roman" w:ascii="Times New Roman" w:hAnsi="Times New Roman"/>
          <w:spacing w:val="-1"/>
          <w:sz w:val="20"/>
          <w:szCs w:val="20"/>
        </w:rPr>
        <w:t>a</w:t>
      </w:r>
      <w:r>
        <w:rPr>
          <w:rFonts w:cs="Times New Roman" w:ascii="Times New Roman" w:hAnsi="Times New Roman"/>
          <w:spacing w:val="1"/>
          <w:sz w:val="20"/>
          <w:szCs w:val="20"/>
        </w:rPr>
        <w:t>t</w:t>
      </w:r>
      <w:r>
        <w:rPr>
          <w:rFonts w:cs="Times New Roman" w:ascii="Times New Roman" w:hAnsi="Times New Roman"/>
          <w:spacing w:val="-1"/>
          <w:sz w:val="20"/>
          <w:szCs w:val="20"/>
        </w:rPr>
        <w:t>a</w:t>
      </w:r>
      <w:r>
        <w:rPr>
          <w:rFonts w:cs="Times New Roman" w:ascii="Times New Roman" w:hAnsi="Times New Roman"/>
          <w:spacing w:val="1"/>
          <w:sz w:val="20"/>
          <w:szCs w:val="20"/>
        </w:rPr>
        <w:t>m</w:t>
      </w:r>
      <w:r>
        <w:rPr>
          <w:rFonts w:cs="Times New Roman" w:ascii="Times New Roman" w:hAnsi="Times New Roman"/>
          <w:spacing w:val="-1"/>
          <w:sz w:val="20"/>
          <w:szCs w:val="20"/>
        </w:rPr>
        <w:t>e</w:t>
      </w:r>
      <w:r>
        <w:rPr>
          <w:rFonts w:cs="Times New Roman" w:ascii="Times New Roman" w:hAnsi="Times New Roman"/>
          <w:sz w:val="20"/>
          <w:szCs w:val="20"/>
        </w:rPr>
        <w:t>n</w:t>
      </w:r>
      <w:r>
        <w:rPr>
          <w:rFonts w:cs="Times New Roman" w:ascii="Times New Roman" w:hAnsi="Times New Roman"/>
          <w:spacing w:val="1"/>
          <w:sz w:val="20"/>
          <w:szCs w:val="20"/>
        </w:rPr>
        <w:t>t</w:t>
      </w:r>
      <w:r>
        <w:rPr>
          <w:rFonts w:cs="Times New Roman" w:ascii="Times New Roman" w:hAnsi="Times New Roman"/>
          <w:sz w:val="20"/>
          <w:szCs w:val="20"/>
        </w:rPr>
        <w:t>o,</w:t>
      </w:r>
      <w:r>
        <w:rPr>
          <w:rFonts w:cs="Times New Roman" w:ascii="Times New Roman" w:hAnsi="Times New Roman"/>
          <w:spacing w:val="-3"/>
          <w:sz w:val="20"/>
          <w:szCs w:val="20"/>
        </w:rPr>
        <w:t xml:space="preserve"> </w:t>
      </w:r>
      <w:r>
        <w:rPr>
          <w:rFonts w:cs="Times New Roman" w:ascii="Times New Roman" w:hAnsi="Times New Roman"/>
          <w:sz w:val="20"/>
          <w:szCs w:val="20"/>
        </w:rPr>
        <w:t>por</w:t>
      </w:r>
      <w:r>
        <w:rPr>
          <w:rFonts w:cs="Times New Roman" w:ascii="Times New Roman" w:hAnsi="Times New Roman"/>
          <w:spacing w:val="1"/>
          <w:sz w:val="20"/>
          <w:szCs w:val="20"/>
        </w:rPr>
        <w:t xml:space="preserve"> j</w:t>
      </w:r>
      <w:r>
        <w:rPr>
          <w:rFonts w:cs="Times New Roman" w:ascii="Times New Roman" w:hAnsi="Times New Roman"/>
          <w:sz w:val="20"/>
          <w:szCs w:val="20"/>
        </w:rPr>
        <w:t>us</w:t>
      </w:r>
      <w:r>
        <w:rPr>
          <w:rFonts w:cs="Times New Roman" w:ascii="Times New Roman" w:hAnsi="Times New Roman"/>
          <w:spacing w:val="1"/>
          <w:sz w:val="20"/>
          <w:szCs w:val="20"/>
        </w:rPr>
        <w:t>t</w:t>
      </w:r>
      <w:r>
        <w:rPr>
          <w:rFonts w:cs="Times New Roman" w:ascii="Times New Roman" w:hAnsi="Times New Roman"/>
          <w:sz w:val="20"/>
          <w:szCs w:val="20"/>
        </w:rPr>
        <w:t xml:space="preserve">o </w:t>
      </w:r>
      <w:r>
        <w:rPr>
          <w:rFonts w:cs="Times New Roman" w:ascii="Times New Roman" w:hAnsi="Times New Roman"/>
          <w:spacing w:val="1"/>
          <w:sz w:val="20"/>
          <w:szCs w:val="20"/>
        </w:rPr>
        <w:t>m</w:t>
      </w:r>
      <w:r>
        <w:rPr>
          <w:rFonts w:cs="Times New Roman" w:ascii="Times New Roman" w:hAnsi="Times New Roman"/>
          <w:sz w:val="20"/>
          <w:szCs w:val="20"/>
        </w:rPr>
        <w:t>o</w:t>
      </w:r>
      <w:r>
        <w:rPr>
          <w:rFonts w:cs="Times New Roman" w:ascii="Times New Roman" w:hAnsi="Times New Roman"/>
          <w:spacing w:val="1"/>
          <w:sz w:val="20"/>
          <w:szCs w:val="20"/>
        </w:rPr>
        <w:t>ti</w:t>
      </w:r>
      <w:r>
        <w:rPr>
          <w:rFonts w:cs="Times New Roman" w:ascii="Times New Roman" w:hAnsi="Times New Roman"/>
          <w:sz w:val="20"/>
          <w:szCs w:val="20"/>
        </w:rPr>
        <w:t>vo,</w:t>
      </w:r>
      <w:r>
        <w:rPr>
          <w:rFonts w:cs="Times New Roman" w:ascii="Times New Roman" w:hAnsi="Times New Roman"/>
          <w:spacing w:val="-5"/>
          <w:sz w:val="20"/>
          <w:szCs w:val="20"/>
        </w:rPr>
        <w:t xml:space="preserve"> </w:t>
      </w:r>
      <w:r>
        <w:rPr>
          <w:rFonts w:cs="Times New Roman" w:ascii="Times New Roman" w:hAnsi="Times New Roman"/>
          <w:sz w:val="20"/>
          <w:szCs w:val="20"/>
        </w:rPr>
        <w:t>d</w:t>
      </w:r>
      <w:r>
        <w:rPr>
          <w:rFonts w:cs="Times New Roman" w:ascii="Times New Roman" w:hAnsi="Times New Roman"/>
          <w:spacing w:val="-1"/>
          <w:sz w:val="20"/>
          <w:szCs w:val="20"/>
        </w:rPr>
        <w:t>e</w:t>
      </w:r>
      <w:r>
        <w:rPr>
          <w:rFonts w:cs="Times New Roman" w:ascii="Times New Roman" w:hAnsi="Times New Roman"/>
          <w:sz w:val="20"/>
          <w:szCs w:val="20"/>
        </w:rPr>
        <w:t>v</w:t>
      </w:r>
      <w:r>
        <w:rPr>
          <w:rFonts w:cs="Times New Roman" w:ascii="Times New Roman" w:hAnsi="Times New Roman"/>
          <w:spacing w:val="-1"/>
          <w:sz w:val="20"/>
          <w:szCs w:val="20"/>
        </w:rPr>
        <w:t>er</w:t>
      </w:r>
      <w:r>
        <w:rPr>
          <w:rFonts w:cs="Times New Roman" w:ascii="Times New Roman" w:hAnsi="Times New Roman"/>
          <w:sz w:val="20"/>
          <w:szCs w:val="20"/>
        </w:rPr>
        <w:t>á</w:t>
      </w:r>
      <w:r>
        <w:rPr>
          <w:rFonts w:cs="Times New Roman" w:ascii="Times New Roman" w:hAnsi="Times New Roman"/>
          <w:spacing w:val="-2"/>
          <w:sz w:val="20"/>
          <w:szCs w:val="20"/>
        </w:rPr>
        <w:t xml:space="preserve"> </w:t>
      </w:r>
      <w:r>
        <w:rPr>
          <w:rFonts w:cs="Times New Roman" w:ascii="Times New Roman" w:hAnsi="Times New Roman"/>
          <w:sz w:val="20"/>
          <w:szCs w:val="20"/>
        </w:rPr>
        <w:t>o b</w:t>
      </w:r>
      <w:r>
        <w:rPr>
          <w:rFonts w:cs="Times New Roman" w:ascii="Times New Roman" w:hAnsi="Times New Roman"/>
          <w:spacing w:val="-1"/>
          <w:sz w:val="20"/>
          <w:szCs w:val="20"/>
        </w:rPr>
        <w:t>e</w:t>
      </w:r>
      <w:r>
        <w:rPr>
          <w:rFonts w:cs="Times New Roman" w:ascii="Times New Roman" w:hAnsi="Times New Roman"/>
          <w:sz w:val="20"/>
          <w:szCs w:val="20"/>
        </w:rPr>
        <w:t>n</w:t>
      </w:r>
      <w:r>
        <w:rPr>
          <w:rFonts w:cs="Times New Roman" w:ascii="Times New Roman" w:hAnsi="Times New Roman"/>
          <w:spacing w:val="-1"/>
          <w:sz w:val="20"/>
          <w:szCs w:val="20"/>
        </w:rPr>
        <w:t>ef</w:t>
      </w:r>
      <w:r>
        <w:rPr>
          <w:rFonts w:cs="Times New Roman" w:ascii="Times New Roman" w:hAnsi="Times New Roman"/>
          <w:spacing w:val="1"/>
          <w:sz w:val="20"/>
          <w:szCs w:val="20"/>
        </w:rPr>
        <w:t>i</w:t>
      </w:r>
      <w:r>
        <w:rPr>
          <w:rFonts w:cs="Times New Roman" w:ascii="Times New Roman" w:hAnsi="Times New Roman"/>
          <w:spacing w:val="-1"/>
          <w:sz w:val="20"/>
          <w:szCs w:val="20"/>
        </w:rPr>
        <w:t>c</w:t>
      </w:r>
      <w:r>
        <w:rPr>
          <w:rFonts w:cs="Times New Roman" w:ascii="Times New Roman" w:hAnsi="Times New Roman"/>
          <w:spacing w:val="1"/>
          <w:sz w:val="20"/>
          <w:szCs w:val="20"/>
        </w:rPr>
        <w:t>i</w:t>
      </w:r>
      <w:r>
        <w:rPr>
          <w:rFonts w:cs="Times New Roman" w:ascii="Times New Roman" w:hAnsi="Times New Roman"/>
          <w:spacing w:val="2"/>
          <w:sz w:val="20"/>
          <w:szCs w:val="20"/>
        </w:rPr>
        <w:t>á</w:t>
      </w:r>
      <w:r>
        <w:rPr>
          <w:rFonts w:cs="Times New Roman" w:ascii="Times New Roman" w:hAnsi="Times New Roman"/>
          <w:spacing w:val="-1"/>
          <w:sz w:val="20"/>
          <w:szCs w:val="20"/>
        </w:rPr>
        <w:t>r</w:t>
      </w:r>
      <w:r>
        <w:rPr>
          <w:rFonts w:cs="Times New Roman" w:ascii="Times New Roman" w:hAnsi="Times New Roman"/>
          <w:spacing w:val="1"/>
          <w:sz w:val="20"/>
          <w:szCs w:val="20"/>
        </w:rPr>
        <w:t>i</w:t>
      </w:r>
      <w:r>
        <w:rPr>
          <w:rFonts w:cs="Times New Roman" w:ascii="Times New Roman" w:hAnsi="Times New Roman"/>
          <w:sz w:val="20"/>
          <w:szCs w:val="20"/>
        </w:rPr>
        <w:t>o</w:t>
      </w:r>
      <w:r>
        <w:rPr>
          <w:rFonts w:cs="Times New Roman" w:ascii="Times New Roman" w:hAnsi="Times New Roman"/>
          <w:spacing w:val="-1"/>
          <w:sz w:val="20"/>
          <w:szCs w:val="20"/>
        </w:rPr>
        <w:t xml:space="preserve"> </w:t>
      </w:r>
      <w:r>
        <w:rPr>
          <w:rFonts w:cs="Times New Roman" w:ascii="Times New Roman" w:hAnsi="Times New Roman"/>
          <w:spacing w:val="1"/>
          <w:sz w:val="20"/>
          <w:szCs w:val="20"/>
        </w:rPr>
        <w:t>tit</w:t>
      </w:r>
      <w:r>
        <w:rPr>
          <w:rFonts w:cs="Times New Roman" w:ascii="Times New Roman" w:hAnsi="Times New Roman"/>
          <w:sz w:val="20"/>
          <w:szCs w:val="20"/>
        </w:rPr>
        <w:t>u</w:t>
      </w:r>
      <w:r>
        <w:rPr>
          <w:rFonts w:cs="Times New Roman" w:ascii="Times New Roman" w:hAnsi="Times New Roman"/>
          <w:spacing w:val="1"/>
          <w:sz w:val="20"/>
          <w:szCs w:val="20"/>
        </w:rPr>
        <w:t>l</w:t>
      </w:r>
      <w:r>
        <w:rPr>
          <w:rFonts w:cs="Times New Roman" w:ascii="Times New Roman" w:hAnsi="Times New Roman"/>
          <w:spacing w:val="-1"/>
          <w:sz w:val="20"/>
          <w:szCs w:val="20"/>
        </w:rPr>
        <w:t>a</w:t>
      </w:r>
      <w:r>
        <w:rPr>
          <w:rFonts w:cs="Times New Roman" w:ascii="Times New Roman" w:hAnsi="Times New Roman"/>
          <w:sz w:val="20"/>
          <w:szCs w:val="20"/>
        </w:rPr>
        <w:t>r</w:t>
      </w:r>
      <w:r>
        <w:rPr>
          <w:rFonts w:cs="Times New Roman" w:ascii="Times New Roman" w:hAnsi="Times New Roman"/>
          <w:spacing w:val="3"/>
          <w:sz w:val="20"/>
          <w:szCs w:val="20"/>
        </w:rPr>
        <w:t xml:space="preserve"> </w:t>
      </w:r>
      <w:r>
        <w:rPr>
          <w:rFonts w:cs="Times New Roman" w:ascii="Times New Roman" w:hAnsi="Times New Roman"/>
          <w:spacing w:val="1"/>
          <w:sz w:val="20"/>
          <w:szCs w:val="20"/>
        </w:rPr>
        <w:t>i</w:t>
      </w:r>
      <w:r>
        <w:rPr>
          <w:rFonts w:cs="Times New Roman" w:ascii="Times New Roman" w:hAnsi="Times New Roman"/>
          <w:sz w:val="20"/>
          <w:szCs w:val="20"/>
        </w:rPr>
        <w:t>n</w:t>
      </w:r>
      <w:r>
        <w:rPr>
          <w:rFonts w:cs="Times New Roman" w:ascii="Times New Roman" w:hAnsi="Times New Roman"/>
          <w:spacing w:val="-1"/>
          <w:sz w:val="20"/>
          <w:szCs w:val="20"/>
        </w:rPr>
        <w:t>f</w:t>
      </w:r>
      <w:r>
        <w:rPr>
          <w:rFonts w:cs="Times New Roman" w:ascii="Times New Roman" w:hAnsi="Times New Roman"/>
          <w:sz w:val="20"/>
          <w:szCs w:val="20"/>
        </w:rPr>
        <w:t>o</w:t>
      </w:r>
      <w:r>
        <w:rPr>
          <w:rFonts w:cs="Times New Roman" w:ascii="Times New Roman" w:hAnsi="Times New Roman"/>
          <w:spacing w:val="-1"/>
          <w:sz w:val="20"/>
          <w:szCs w:val="20"/>
        </w:rPr>
        <w:t>r</w:t>
      </w:r>
      <w:r>
        <w:rPr>
          <w:rFonts w:cs="Times New Roman" w:ascii="Times New Roman" w:hAnsi="Times New Roman"/>
          <w:spacing w:val="1"/>
          <w:sz w:val="20"/>
          <w:szCs w:val="20"/>
        </w:rPr>
        <w:t>m</w:t>
      </w:r>
      <w:r>
        <w:rPr>
          <w:rFonts w:cs="Times New Roman" w:ascii="Times New Roman" w:hAnsi="Times New Roman"/>
          <w:spacing w:val="-1"/>
          <w:sz w:val="20"/>
          <w:szCs w:val="20"/>
        </w:rPr>
        <w:t>a</w:t>
      </w:r>
      <w:r>
        <w:rPr>
          <w:rFonts w:cs="Times New Roman" w:ascii="Times New Roman" w:hAnsi="Times New Roman"/>
          <w:sz w:val="20"/>
          <w:szCs w:val="20"/>
        </w:rPr>
        <w:t>r</w:t>
      </w:r>
      <w:r>
        <w:rPr>
          <w:rFonts w:cs="Times New Roman" w:ascii="Times New Roman" w:hAnsi="Times New Roman"/>
          <w:spacing w:val="1"/>
          <w:sz w:val="20"/>
          <w:szCs w:val="20"/>
        </w:rPr>
        <w:t xml:space="preserve"> </w:t>
      </w:r>
      <w:r>
        <w:rPr>
          <w:rFonts w:cs="Times New Roman" w:ascii="Times New Roman" w:hAnsi="Times New Roman"/>
          <w:sz w:val="20"/>
          <w:szCs w:val="20"/>
        </w:rPr>
        <w:t>o</w:t>
      </w:r>
      <w:r>
        <w:rPr>
          <w:rFonts w:cs="Times New Roman" w:ascii="Times New Roman" w:hAnsi="Times New Roman"/>
          <w:spacing w:val="9"/>
          <w:sz w:val="20"/>
          <w:szCs w:val="20"/>
        </w:rPr>
        <w:t xml:space="preserve"> </w:t>
      </w:r>
      <w:r>
        <w:rPr>
          <w:rFonts w:cs="Times New Roman" w:ascii="Times New Roman" w:hAnsi="Times New Roman"/>
          <w:spacing w:val="-1"/>
          <w:sz w:val="20"/>
          <w:szCs w:val="20"/>
        </w:rPr>
        <w:t>fa</w:t>
      </w:r>
      <w:r>
        <w:rPr>
          <w:rFonts w:cs="Times New Roman" w:ascii="Times New Roman" w:hAnsi="Times New Roman"/>
          <w:spacing w:val="1"/>
          <w:sz w:val="20"/>
          <w:szCs w:val="20"/>
        </w:rPr>
        <w:t>t</w:t>
      </w:r>
      <w:r>
        <w:rPr>
          <w:rFonts w:cs="Times New Roman" w:ascii="Times New Roman" w:hAnsi="Times New Roman"/>
          <w:sz w:val="20"/>
          <w:szCs w:val="20"/>
        </w:rPr>
        <w:t>o</w:t>
      </w:r>
      <w:r>
        <w:rPr>
          <w:rFonts w:cs="Times New Roman" w:ascii="Times New Roman" w:hAnsi="Times New Roman"/>
          <w:spacing w:val="6"/>
          <w:sz w:val="20"/>
          <w:szCs w:val="20"/>
        </w:rPr>
        <w:t xml:space="preserve"> </w:t>
      </w:r>
      <w:r>
        <w:rPr>
          <w:rFonts w:cs="Times New Roman" w:ascii="Times New Roman" w:hAnsi="Times New Roman"/>
          <w:sz w:val="20"/>
          <w:szCs w:val="20"/>
        </w:rPr>
        <w:t>à</w:t>
      </w:r>
      <w:r>
        <w:rPr>
          <w:rFonts w:cs="Times New Roman" w:ascii="Times New Roman" w:hAnsi="Times New Roman"/>
          <w:spacing w:val="10"/>
          <w:sz w:val="20"/>
          <w:szCs w:val="20"/>
        </w:rPr>
        <w:t xml:space="preserve"> </w:t>
      </w:r>
      <w:r>
        <w:rPr>
          <w:rFonts w:cs="Times New Roman" w:ascii="Times New Roman" w:hAnsi="Times New Roman"/>
          <w:sz w:val="20"/>
          <w:szCs w:val="20"/>
        </w:rPr>
        <w:t>UG</w:t>
      </w:r>
      <w:r>
        <w:rPr>
          <w:rFonts w:cs="Times New Roman" w:ascii="Times New Roman" w:hAnsi="Times New Roman"/>
          <w:spacing w:val="6"/>
          <w:sz w:val="20"/>
          <w:szCs w:val="20"/>
        </w:rPr>
        <w:t xml:space="preserve"> </w:t>
      </w:r>
      <w:r>
        <w:rPr>
          <w:rFonts w:cs="Times New Roman" w:ascii="Times New Roman" w:hAnsi="Times New Roman"/>
          <w:spacing w:val="-1"/>
          <w:sz w:val="20"/>
          <w:szCs w:val="20"/>
        </w:rPr>
        <w:t>e</w:t>
      </w:r>
      <w:r>
        <w:rPr>
          <w:rFonts w:cs="Times New Roman" w:ascii="Times New Roman" w:hAnsi="Times New Roman"/>
          <w:sz w:val="20"/>
          <w:szCs w:val="20"/>
        </w:rPr>
        <w:t>n</w:t>
      </w:r>
      <w:r>
        <w:rPr>
          <w:rFonts w:cs="Times New Roman" w:ascii="Times New Roman" w:hAnsi="Times New Roman"/>
          <w:spacing w:val="-1"/>
          <w:sz w:val="20"/>
          <w:szCs w:val="20"/>
        </w:rPr>
        <w:t>ca</w:t>
      </w:r>
      <w:r>
        <w:rPr>
          <w:rFonts w:cs="Times New Roman" w:ascii="Times New Roman" w:hAnsi="Times New Roman"/>
          <w:spacing w:val="1"/>
          <w:sz w:val="20"/>
          <w:szCs w:val="20"/>
        </w:rPr>
        <w:t>mi</w:t>
      </w:r>
      <w:r>
        <w:rPr>
          <w:rFonts w:cs="Times New Roman" w:ascii="Times New Roman" w:hAnsi="Times New Roman"/>
          <w:sz w:val="20"/>
          <w:szCs w:val="20"/>
        </w:rPr>
        <w:t>nh</w:t>
      </w:r>
      <w:r>
        <w:rPr>
          <w:rFonts w:cs="Times New Roman" w:ascii="Times New Roman" w:hAnsi="Times New Roman"/>
          <w:spacing w:val="-1"/>
          <w:sz w:val="20"/>
          <w:szCs w:val="20"/>
        </w:rPr>
        <w:t>a</w:t>
      </w:r>
      <w:r>
        <w:rPr>
          <w:rFonts w:cs="Times New Roman" w:ascii="Times New Roman" w:hAnsi="Times New Roman"/>
          <w:spacing w:val="2"/>
          <w:sz w:val="20"/>
          <w:szCs w:val="20"/>
        </w:rPr>
        <w:t>d</w:t>
      </w:r>
      <w:r>
        <w:rPr>
          <w:rFonts w:cs="Times New Roman" w:ascii="Times New Roman" w:hAnsi="Times New Roman"/>
          <w:sz w:val="20"/>
          <w:szCs w:val="20"/>
        </w:rPr>
        <w:t>o</w:t>
      </w:r>
      <w:r>
        <w:rPr>
          <w:rFonts w:cs="Times New Roman" w:ascii="Times New Roman" w:hAnsi="Times New Roman"/>
          <w:spacing w:val="-1"/>
          <w:sz w:val="20"/>
          <w:szCs w:val="20"/>
        </w:rPr>
        <w:t>ra</w:t>
      </w:r>
      <w:r>
        <w:rPr>
          <w:rFonts w:cs="Times New Roman" w:ascii="Times New Roman" w:hAnsi="Times New Roman"/>
          <w:sz w:val="20"/>
          <w:szCs w:val="20"/>
        </w:rPr>
        <w:t>,</w:t>
      </w:r>
      <w:r>
        <w:rPr>
          <w:rFonts w:cs="Times New Roman" w:ascii="Times New Roman" w:hAnsi="Times New Roman"/>
          <w:spacing w:val="-5"/>
          <w:sz w:val="20"/>
          <w:szCs w:val="20"/>
        </w:rPr>
        <w:t xml:space="preserve"> </w:t>
      </w:r>
      <w:r>
        <w:rPr>
          <w:rFonts w:cs="Times New Roman" w:ascii="Times New Roman" w:hAnsi="Times New Roman"/>
          <w:sz w:val="20"/>
          <w:szCs w:val="20"/>
        </w:rPr>
        <w:t>p</w:t>
      </w:r>
      <w:r>
        <w:rPr>
          <w:rFonts w:cs="Times New Roman" w:ascii="Times New Roman" w:hAnsi="Times New Roman"/>
          <w:spacing w:val="-1"/>
          <w:sz w:val="20"/>
          <w:szCs w:val="20"/>
        </w:rPr>
        <w:t>a</w:t>
      </w:r>
      <w:r>
        <w:rPr>
          <w:rFonts w:cs="Times New Roman" w:ascii="Times New Roman" w:hAnsi="Times New Roman"/>
          <w:spacing w:val="2"/>
          <w:sz w:val="20"/>
          <w:szCs w:val="20"/>
        </w:rPr>
        <w:t>r</w:t>
      </w:r>
      <w:r>
        <w:rPr>
          <w:rFonts w:cs="Times New Roman" w:ascii="Times New Roman" w:hAnsi="Times New Roman"/>
          <w:sz w:val="20"/>
          <w:szCs w:val="20"/>
        </w:rPr>
        <w:t>a</w:t>
      </w:r>
      <w:r>
        <w:rPr>
          <w:rFonts w:cs="Times New Roman" w:ascii="Times New Roman" w:hAnsi="Times New Roman"/>
          <w:spacing w:val="5"/>
          <w:sz w:val="20"/>
          <w:szCs w:val="20"/>
        </w:rPr>
        <w:t xml:space="preserve"> </w:t>
      </w:r>
      <w:r>
        <w:rPr>
          <w:rFonts w:cs="Times New Roman" w:ascii="Times New Roman" w:hAnsi="Times New Roman"/>
          <w:sz w:val="20"/>
          <w:szCs w:val="20"/>
        </w:rPr>
        <w:t>que</w:t>
      </w:r>
      <w:r>
        <w:rPr>
          <w:rFonts w:cs="Times New Roman" w:ascii="Times New Roman" w:hAnsi="Times New Roman"/>
          <w:spacing w:val="6"/>
          <w:sz w:val="20"/>
          <w:szCs w:val="20"/>
        </w:rPr>
        <w:t xml:space="preserve"> </w:t>
      </w:r>
      <w:r>
        <w:rPr>
          <w:rFonts w:cs="Times New Roman" w:ascii="Times New Roman" w:hAnsi="Times New Roman"/>
          <w:sz w:val="20"/>
          <w:szCs w:val="20"/>
        </w:rPr>
        <w:t>os</w:t>
      </w:r>
      <w:r>
        <w:rPr>
          <w:rFonts w:cs="Times New Roman" w:ascii="Times New Roman" w:hAnsi="Times New Roman"/>
          <w:spacing w:val="-2"/>
          <w:sz w:val="20"/>
          <w:szCs w:val="20"/>
        </w:rPr>
        <w:t xml:space="preserve"> </w:t>
      </w:r>
      <w:r>
        <w:rPr>
          <w:rFonts w:cs="Times New Roman" w:ascii="Times New Roman" w:hAnsi="Times New Roman"/>
          <w:sz w:val="20"/>
          <w:szCs w:val="20"/>
        </w:rPr>
        <w:t>s</w:t>
      </w:r>
      <w:r>
        <w:rPr>
          <w:rFonts w:cs="Times New Roman" w:ascii="Times New Roman" w:hAnsi="Times New Roman"/>
          <w:spacing w:val="-1"/>
          <w:sz w:val="20"/>
          <w:szCs w:val="20"/>
        </w:rPr>
        <w:t>er</w:t>
      </w:r>
      <w:r>
        <w:rPr>
          <w:rFonts w:cs="Times New Roman" w:ascii="Times New Roman" w:hAnsi="Times New Roman"/>
          <w:sz w:val="20"/>
          <w:szCs w:val="20"/>
        </w:rPr>
        <w:t>v</w:t>
      </w:r>
      <w:r>
        <w:rPr>
          <w:rFonts w:cs="Times New Roman" w:ascii="Times New Roman" w:hAnsi="Times New Roman"/>
          <w:spacing w:val="1"/>
          <w:sz w:val="20"/>
          <w:szCs w:val="20"/>
        </w:rPr>
        <w:t>i</w:t>
      </w:r>
      <w:r>
        <w:rPr>
          <w:rFonts w:cs="Times New Roman" w:ascii="Times New Roman" w:hAnsi="Times New Roman"/>
          <w:spacing w:val="-1"/>
          <w:sz w:val="20"/>
          <w:szCs w:val="20"/>
        </w:rPr>
        <w:t>ç</w:t>
      </w:r>
      <w:r>
        <w:rPr>
          <w:rFonts w:cs="Times New Roman" w:ascii="Times New Roman" w:hAnsi="Times New Roman"/>
          <w:sz w:val="20"/>
          <w:szCs w:val="20"/>
        </w:rPr>
        <w:t>os</w:t>
      </w:r>
      <w:r>
        <w:rPr>
          <w:rFonts w:cs="Times New Roman" w:ascii="Times New Roman" w:hAnsi="Times New Roman"/>
          <w:spacing w:val="-8"/>
          <w:sz w:val="20"/>
          <w:szCs w:val="20"/>
        </w:rPr>
        <w:t xml:space="preserve"> </w:t>
      </w:r>
      <w:r>
        <w:rPr>
          <w:rFonts w:cs="Times New Roman" w:ascii="Times New Roman" w:hAnsi="Times New Roman"/>
          <w:spacing w:val="2"/>
          <w:sz w:val="20"/>
          <w:szCs w:val="20"/>
        </w:rPr>
        <w:t>p</w:t>
      </w:r>
      <w:r>
        <w:rPr>
          <w:rFonts w:cs="Times New Roman" w:ascii="Times New Roman" w:hAnsi="Times New Roman"/>
          <w:spacing w:val="-1"/>
          <w:sz w:val="20"/>
          <w:szCs w:val="20"/>
        </w:rPr>
        <w:t>re</w:t>
      </w:r>
      <w:r>
        <w:rPr>
          <w:rFonts w:cs="Times New Roman" w:ascii="Times New Roman" w:hAnsi="Times New Roman"/>
          <w:sz w:val="20"/>
          <w:szCs w:val="20"/>
        </w:rPr>
        <w:t>s</w:t>
      </w:r>
      <w:r>
        <w:rPr>
          <w:rFonts w:cs="Times New Roman" w:ascii="Times New Roman" w:hAnsi="Times New Roman"/>
          <w:spacing w:val="1"/>
          <w:sz w:val="20"/>
          <w:szCs w:val="20"/>
        </w:rPr>
        <w:t>t</w:t>
      </w:r>
      <w:r>
        <w:rPr>
          <w:rFonts w:cs="Times New Roman" w:ascii="Times New Roman" w:hAnsi="Times New Roman"/>
          <w:spacing w:val="-1"/>
          <w:sz w:val="20"/>
          <w:szCs w:val="20"/>
        </w:rPr>
        <w:t>a</w:t>
      </w:r>
      <w:r>
        <w:rPr>
          <w:rFonts w:cs="Times New Roman" w:ascii="Times New Roman" w:hAnsi="Times New Roman"/>
          <w:sz w:val="20"/>
          <w:szCs w:val="20"/>
        </w:rPr>
        <w:t>dos</w:t>
      </w:r>
      <w:r>
        <w:rPr>
          <w:rFonts w:cs="Times New Roman" w:ascii="Times New Roman" w:hAnsi="Times New Roman"/>
          <w:spacing w:val="-6"/>
          <w:sz w:val="20"/>
          <w:szCs w:val="20"/>
        </w:rPr>
        <w:t xml:space="preserve"> </w:t>
      </w:r>
      <w:r>
        <w:rPr>
          <w:rFonts w:cs="Times New Roman" w:ascii="Times New Roman" w:hAnsi="Times New Roman"/>
          <w:sz w:val="20"/>
          <w:szCs w:val="20"/>
        </w:rPr>
        <w:t>s</w:t>
      </w:r>
      <w:r>
        <w:rPr>
          <w:rFonts w:cs="Times New Roman" w:ascii="Times New Roman" w:hAnsi="Times New Roman"/>
          <w:spacing w:val="-1"/>
          <w:sz w:val="20"/>
          <w:szCs w:val="20"/>
        </w:rPr>
        <w:t>e</w:t>
      </w:r>
      <w:r>
        <w:rPr>
          <w:rFonts w:cs="Times New Roman" w:ascii="Times New Roman" w:hAnsi="Times New Roman"/>
          <w:spacing w:val="1"/>
          <w:sz w:val="20"/>
          <w:szCs w:val="20"/>
        </w:rPr>
        <w:t>j</w:t>
      </w:r>
      <w:r>
        <w:rPr>
          <w:rFonts w:cs="Times New Roman" w:ascii="Times New Roman" w:hAnsi="Times New Roman"/>
          <w:spacing w:val="-1"/>
          <w:sz w:val="20"/>
          <w:szCs w:val="20"/>
        </w:rPr>
        <w:t>a</w:t>
      </w:r>
      <w:r>
        <w:rPr>
          <w:rFonts w:cs="Times New Roman" w:ascii="Times New Roman" w:hAnsi="Times New Roman"/>
          <w:sz w:val="20"/>
          <w:szCs w:val="20"/>
        </w:rPr>
        <w:t>m</w:t>
      </w:r>
      <w:r>
        <w:rPr>
          <w:rFonts w:cs="Times New Roman" w:ascii="Times New Roman" w:hAnsi="Times New Roman"/>
          <w:spacing w:val="-6"/>
          <w:sz w:val="20"/>
          <w:szCs w:val="20"/>
        </w:rPr>
        <w:t xml:space="preserve"> </w:t>
      </w:r>
      <w:r>
        <w:rPr>
          <w:rFonts w:cs="Times New Roman" w:ascii="Times New Roman" w:hAnsi="Times New Roman"/>
          <w:sz w:val="20"/>
          <w:szCs w:val="20"/>
        </w:rPr>
        <w:t>p</w:t>
      </w:r>
      <w:r>
        <w:rPr>
          <w:rFonts w:cs="Times New Roman" w:ascii="Times New Roman" w:hAnsi="Times New Roman"/>
          <w:spacing w:val="2"/>
          <w:sz w:val="20"/>
          <w:szCs w:val="20"/>
        </w:rPr>
        <w:t>a</w:t>
      </w:r>
      <w:r>
        <w:rPr>
          <w:rFonts w:cs="Times New Roman" w:ascii="Times New Roman" w:hAnsi="Times New Roman"/>
          <w:spacing w:val="-2"/>
          <w:sz w:val="20"/>
          <w:szCs w:val="20"/>
        </w:rPr>
        <w:t>g</w:t>
      </w:r>
      <w:r>
        <w:rPr>
          <w:rFonts w:cs="Times New Roman" w:ascii="Times New Roman" w:hAnsi="Times New Roman"/>
          <w:sz w:val="20"/>
          <w:szCs w:val="20"/>
        </w:rPr>
        <w:t>os.</w:t>
      </w:r>
    </w:p>
    <w:p>
      <w:pPr>
        <w:pStyle w:val="ListParagraph"/>
        <w:widowControl w:val="false"/>
        <w:numPr>
          <w:ilvl w:val="0"/>
          <w:numId w:val="1"/>
        </w:numPr>
        <w:spacing w:before="120" w:after="120"/>
        <w:ind w:left="0" w:right="0" w:hanging="360"/>
        <w:contextualSpacing/>
        <w:jc w:val="both"/>
        <w:rPr>
          <w:rFonts w:ascii="Times New Roman" w:hAnsi="Times New Roman" w:cs="Times New Roman"/>
          <w:sz w:val="20"/>
        </w:rPr>
      </w:pPr>
      <w:r>
        <w:rPr>
          <w:rFonts w:cs="Times New Roman" w:ascii="Times New Roman" w:hAnsi="Times New Roman"/>
          <w:sz w:val="20"/>
        </w:rPr>
        <w:t>O abandono do tratamento, sem justificativa, quer do beneficiário, quer do CONTRATADO, implicará nas seguintes providências:</w:t>
      </w:r>
    </w:p>
    <w:p>
      <w:pPr>
        <w:pStyle w:val="ListParagraph"/>
        <w:widowControl w:val="false"/>
        <w:numPr>
          <w:ilvl w:val="1"/>
          <w:numId w:val="1"/>
        </w:numPr>
        <w:spacing w:before="120" w:after="120"/>
        <w:ind w:left="680" w:right="0" w:hanging="432"/>
        <w:contextualSpacing/>
        <w:jc w:val="both"/>
        <w:rPr>
          <w:rFonts w:ascii="Times New Roman" w:hAnsi="Times New Roman" w:cs="Times New Roman"/>
          <w:sz w:val="20"/>
          <w:szCs w:val="20"/>
        </w:rPr>
      </w:pPr>
      <w:r>
        <w:rPr>
          <w:rFonts w:cs="Times New Roman" w:ascii="Times New Roman" w:hAnsi="Times New Roman"/>
          <w:sz w:val="20"/>
          <w:szCs w:val="20"/>
        </w:rPr>
        <w:t>Se o abandono ocorrer por iniciativa do beneficiário, implicará no término da autorização para o procedimento e na indenização do serviço já prestado;</w:t>
      </w:r>
    </w:p>
    <w:p>
      <w:pPr>
        <w:pStyle w:val="ListParagraph"/>
        <w:widowControl w:val="false"/>
        <w:numPr>
          <w:ilvl w:val="1"/>
          <w:numId w:val="1"/>
        </w:numPr>
        <w:spacing w:before="120" w:after="120"/>
        <w:ind w:left="680" w:right="0" w:hanging="432"/>
        <w:contextualSpacing/>
        <w:jc w:val="both"/>
        <w:rPr>
          <w:rFonts w:ascii="Times New Roman" w:hAnsi="Times New Roman" w:cs="Times New Roman"/>
          <w:sz w:val="20"/>
          <w:szCs w:val="20"/>
        </w:rPr>
      </w:pPr>
      <w:r>
        <w:rPr>
          <w:rFonts w:cs="Times New Roman" w:ascii="Times New Roman" w:hAnsi="Times New Roman"/>
          <w:sz w:val="20"/>
          <w:szCs w:val="20"/>
        </w:rPr>
        <w:t>Se o abandono ocorrer por iniciativa do CONTRATADO, implicará no término da autorização para o procedimento e somente serão pagos os serviços concluídos.</w:t>
      </w:r>
    </w:p>
    <w:p>
      <w:pPr>
        <w:pStyle w:val="ListParagraph"/>
        <w:widowControl w:val="false"/>
        <w:numPr>
          <w:ilvl w:val="2"/>
          <w:numId w:val="1"/>
        </w:numPr>
        <w:spacing w:before="120" w:after="120"/>
        <w:ind w:left="1418" w:right="0" w:hanging="504"/>
        <w:contextualSpacing/>
        <w:jc w:val="both"/>
        <w:rPr>
          <w:rFonts w:ascii="Times New Roman" w:hAnsi="Times New Roman" w:cs="Times New Roman"/>
          <w:sz w:val="20"/>
          <w:szCs w:val="20"/>
        </w:rPr>
      </w:pPr>
      <w:r>
        <w:rPr>
          <w:rFonts w:cs="Times New Roman" w:ascii="Times New Roman" w:hAnsi="Times New Roman"/>
          <w:sz w:val="20"/>
          <w:szCs w:val="20"/>
        </w:rPr>
        <w:t>Tal comportamento será comunicado ao Conselho Regional de Odontologia, no que se referir à ética profissional, e provocará a instauração de processo administrativo para averiguação da irregularidade.</w:t>
      </w:r>
    </w:p>
    <w:p>
      <w:pPr>
        <w:pStyle w:val="ListParagraph"/>
        <w:widowControl w:val="false"/>
        <w:numPr>
          <w:ilvl w:val="1"/>
          <w:numId w:val="1"/>
        </w:numPr>
        <w:spacing w:before="120" w:after="120"/>
        <w:ind w:left="680" w:right="0" w:hanging="432"/>
        <w:contextualSpacing/>
        <w:jc w:val="both"/>
        <w:rPr>
          <w:rFonts w:ascii="Times New Roman" w:hAnsi="Times New Roman" w:cs="Times New Roman"/>
          <w:sz w:val="20"/>
          <w:szCs w:val="20"/>
        </w:rPr>
      </w:pPr>
      <w:r>
        <w:rPr>
          <w:rFonts w:cs="Times New Roman" w:ascii="Times New Roman" w:hAnsi="Times New Roman"/>
          <w:sz w:val="20"/>
          <w:szCs w:val="20"/>
        </w:rPr>
        <w:t>Será considerado abandono de tratamento a hipótese em que o beneficiário deixar de comparecer ao consultório, sem justificativa, no prazo de 30 (trinta) dias ininterruptos.</w:t>
      </w:r>
    </w:p>
    <w:p>
      <w:pPr>
        <w:pStyle w:val="ListParagraph"/>
        <w:widowControl w:val="false"/>
        <w:numPr>
          <w:ilvl w:val="0"/>
          <w:numId w:val="1"/>
        </w:numPr>
        <w:spacing w:before="120" w:after="120"/>
        <w:ind w:left="0" w:right="0" w:hanging="360"/>
        <w:contextualSpacing/>
        <w:jc w:val="both"/>
        <w:rPr>
          <w:rFonts w:ascii="Times New Roman" w:hAnsi="Times New Roman" w:cs="Times New Roman"/>
          <w:sz w:val="20"/>
          <w:szCs w:val="20"/>
        </w:rPr>
      </w:pPr>
      <w:r>
        <w:rPr>
          <w:rFonts w:cs="Times New Roman" w:ascii="Times New Roman" w:hAnsi="Times New Roman"/>
          <w:sz w:val="20"/>
          <w:szCs w:val="20"/>
        </w:rPr>
        <w:t>A execução deste contrato deverá ser acompanhada e fiscalizada por um representante do CONTRATANTE,</w:t>
      </w:r>
      <w:r>
        <w:rPr>
          <w:rFonts w:cs="Times New Roman" w:ascii="Times New Roman" w:hAnsi="Times New Roman"/>
          <w:sz w:val="20"/>
          <w:szCs w:val="20"/>
          <w:shd w:fill="FFFFFF" w:val="clear"/>
        </w:rPr>
        <w:t xml:space="preserve"> designado em Boletim Interno do 7º Regimento de Cavalaria Mecanizado. </w:t>
      </w:r>
      <w:r>
        <w:rPr>
          <w:rFonts w:cs="Times New Roman" w:ascii="Times New Roman" w:hAnsi="Times New Roman"/>
          <w:sz w:val="20"/>
          <w:szCs w:val="20"/>
        </w:rPr>
        <w:t>O CONTRATADO manterá um preposto, aceito por parte da Administração, no local do serviço, para representá-lo.</w:t>
      </w:r>
    </w:p>
    <w:p>
      <w:pPr>
        <w:pStyle w:val="ListParagraph"/>
        <w:widowControl w:val="false"/>
        <w:numPr>
          <w:ilvl w:val="0"/>
          <w:numId w:val="1"/>
        </w:numPr>
        <w:spacing w:before="120" w:after="120"/>
        <w:ind w:left="0" w:right="0" w:hanging="360"/>
        <w:contextualSpacing/>
        <w:jc w:val="both"/>
        <w:rPr>
          <w:rFonts w:ascii="Times New Roman" w:hAnsi="Times New Roman" w:cs="Times New Roman"/>
          <w:sz w:val="20"/>
          <w:szCs w:val="20"/>
        </w:rPr>
      </w:pPr>
      <w:r>
        <w:rPr>
          <w:rFonts w:cs="Times New Roman" w:ascii="Times New Roman" w:hAnsi="Times New Roman"/>
          <w:sz w:val="20"/>
          <w:szCs w:val="20"/>
        </w:rPr>
        <w:t>O Serviço de Auditoria do</w:t>
      </w:r>
      <w:r>
        <w:rPr>
          <w:rFonts w:cs="Times New Roman" w:ascii="Times New Roman" w:hAnsi="Times New Roman"/>
          <w:sz w:val="20"/>
          <w:szCs w:val="20"/>
          <w:shd w:fill="FFFFFF" w:val="clear"/>
        </w:rPr>
        <w:t xml:space="preserve"> 7º Regimento de Cavalaria Mecanizado p</w:t>
      </w:r>
      <w:r>
        <w:rPr>
          <w:rFonts w:cs="Times New Roman" w:ascii="Times New Roman" w:hAnsi="Times New Roman"/>
          <w:sz w:val="20"/>
          <w:szCs w:val="20"/>
        </w:rPr>
        <w:t>ossuirá o poder de vistoriar, de forma irrestrita, toda a documentação odontológica do beneficiário, bem como a documentação contábil e fiscal pertinente a este contrato.</w:t>
      </w:r>
    </w:p>
    <w:p>
      <w:pPr>
        <w:pStyle w:val="Normal"/>
        <w:widowControl w:val="false"/>
        <w:spacing w:before="240" w:after="240"/>
        <w:jc w:val="both"/>
        <w:rPr>
          <w:rFonts w:ascii="Times New Roman" w:hAnsi="Times New Roman" w:cs="Times New Roman"/>
          <w:b/>
          <w:b/>
          <w:sz w:val="20"/>
          <w:szCs w:val="20"/>
          <w:u w:val="single"/>
        </w:rPr>
      </w:pPr>
      <w:r>
        <w:rPr>
          <w:rFonts w:cs="Times New Roman" w:ascii="Times New Roman" w:hAnsi="Times New Roman"/>
          <w:b/>
          <w:sz w:val="20"/>
          <w:szCs w:val="20"/>
          <w:u w:val="single"/>
        </w:rPr>
        <w:t>CLÁUSULA QUINTA - Dos preços e das condições de pagamento.</w:t>
      </w:r>
    </w:p>
    <w:p>
      <w:pPr>
        <w:pStyle w:val="ListParagraph"/>
        <w:widowControl w:val="false"/>
        <w:numPr>
          <w:ilvl w:val="0"/>
          <w:numId w:val="1"/>
        </w:numPr>
        <w:spacing w:before="120" w:after="120"/>
        <w:ind w:left="0" w:right="0" w:hanging="360"/>
        <w:contextualSpacing/>
        <w:jc w:val="both"/>
        <w:rPr>
          <w:rFonts w:ascii="Times New Roman" w:hAnsi="Times New Roman" w:cs="Times New Roman"/>
          <w:sz w:val="20"/>
          <w:szCs w:val="20"/>
        </w:rPr>
      </w:pPr>
      <w:r>
        <w:rPr>
          <w:rFonts w:cs="Times New Roman" w:ascii="Times New Roman" w:hAnsi="Times New Roman"/>
          <w:sz w:val="20"/>
          <w:szCs w:val="20"/>
        </w:rPr>
        <w:t>Os serviços e o fornecimento agregado serão remunerados, conforme o item 8 “DO PREÇO E CONDIÇÕES DE PAGAMENTO” constante do edital de credenciamento.</w:t>
      </w:r>
    </w:p>
    <w:p>
      <w:pPr>
        <w:pStyle w:val="ListParagraph"/>
        <w:widowControl w:val="false"/>
        <w:numPr>
          <w:ilvl w:val="0"/>
          <w:numId w:val="1"/>
        </w:numPr>
        <w:spacing w:before="120" w:after="120"/>
        <w:ind w:left="0" w:right="0" w:hanging="360"/>
        <w:contextualSpacing/>
        <w:jc w:val="both"/>
        <w:rPr>
          <w:rFonts w:ascii="Times New Roman" w:hAnsi="Times New Roman" w:cs="Times New Roman"/>
          <w:sz w:val="20"/>
          <w:szCs w:val="20"/>
        </w:rPr>
      </w:pPr>
      <w:r>
        <w:rPr>
          <w:rFonts w:cs="Times New Roman" w:ascii="Times New Roman" w:hAnsi="Times New Roman"/>
          <w:sz w:val="20"/>
          <w:szCs w:val="20"/>
        </w:rPr>
        <w:t>Registrem-se abaixo regras de contraprestação específicas a este tipo de contrato:</w:t>
      </w:r>
    </w:p>
    <w:p>
      <w:pPr>
        <w:pStyle w:val="ListParagraph"/>
        <w:widowControl w:val="false"/>
        <w:numPr>
          <w:ilvl w:val="0"/>
          <w:numId w:val="1"/>
        </w:numPr>
        <w:spacing w:before="120" w:after="120"/>
        <w:ind w:left="0" w:right="0" w:hanging="360"/>
        <w:contextualSpacing/>
        <w:jc w:val="both"/>
        <w:rPr>
          <w:rFonts w:ascii="Times New Roman" w:hAnsi="Times New Roman" w:cs="Times New Roman"/>
          <w:color w:val="00000A"/>
          <w:sz w:val="20"/>
          <w:szCs w:val="20"/>
        </w:rPr>
      </w:pPr>
      <w:r>
        <w:rPr>
          <w:rFonts w:cs="Times New Roman" w:ascii="Times New Roman" w:hAnsi="Times New Roman"/>
          <w:color w:val="00000A"/>
          <w:sz w:val="20"/>
          <w:szCs w:val="20"/>
        </w:rPr>
        <w:t>O CONTRATADO acolherá, por contraprestação, os pacotes da prestação de serviços - Anexo O do Edital – que conjuguem avaliação, prescrição e acompanhamento com acomodações (hotelaria), taxas hospitalares, instrumental cirúrgico, gasometria, equipamentos e outros serviços especiais para a efetivação do tratamento proposto.</w:t>
      </w:r>
    </w:p>
    <w:p>
      <w:pPr>
        <w:pStyle w:val="ListParagraph"/>
        <w:widowControl w:val="false"/>
        <w:numPr>
          <w:ilvl w:val="0"/>
          <w:numId w:val="1"/>
        </w:numPr>
        <w:spacing w:before="120" w:after="120"/>
        <w:ind w:left="0" w:right="0" w:hanging="360"/>
        <w:contextualSpacing/>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Os serviços serão remunerados com base nos valores constantes na Lista Referencial de Odontologia – </w:t>
      </w:r>
      <w:r>
        <w:rPr>
          <w:rFonts w:cs="Times New Roman" w:ascii="Times New Roman" w:hAnsi="Times New Roman"/>
          <w:color w:val="000000"/>
          <w:sz w:val="20"/>
          <w:szCs w:val="20"/>
          <w:shd w:fill="FFFFFF" w:val="clear"/>
        </w:rPr>
        <w:t>Anexo I deste Contrato</w:t>
      </w:r>
      <w:r>
        <w:rPr>
          <w:rFonts w:cs="Times New Roman" w:ascii="Times New Roman" w:hAnsi="Times New Roman"/>
          <w:color w:val="00000A"/>
          <w:sz w:val="20"/>
          <w:szCs w:val="20"/>
        </w:rPr>
        <w:t>.</w:t>
      </w:r>
    </w:p>
    <w:p>
      <w:pPr>
        <w:pStyle w:val="ListParagraph"/>
        <w:widowControl w:val="false"/>
        <w:numPr>
          <w:ilvl w:val="0"/>
          <w:numId w:val="1"/>
        </w:numPr>
        <w:spacing w:before="120" w:after="120"/>
        <w:ind w:left="0" w:right="0" w:hanging="360"/>
        <w:contextualSpacing/>
        <w:jc w:val="both"/>
        <w:rPr>
          <w:rFonts w:ascii="Times New Roman" w:hAnsi="Times New Roman" w:cs="Times New Roman"/>
          <w:sz w:val="20"/>
          <w:szCs w:val="20"/>
        </w:rPr>
      </w:pPr>
      <w:r>
        <w:rPr>
          <w:rFonts w:cs="Times New Roman" w:ascii="Times New Roman" w:hAnsi="Times New Roman"/>
          <w:sz w:val="20"/>
          <w:szCs w:val="20"/>
        </w:rPr>
        <w:t xml:space="preserve">O CONTRATANTE somente indenizará as contas apresentadas, quando o usuário tenha sido encaminhando por parte da UAt </w:t>
      </w:r>
      <w:r>
        <w:rPr>
          <w:rFonts w:cs="Times New Roman" w:ascii="Times New Roman" w:hAnsi="Times New Roman"/>
          <w:sz w:val="20"/>
          <w:szCs w:val="20"/>
          <w:shd w:fill="FFFFFF" w:val="clear"/>
        </w:rPr>
        <w:t xml:space="preserve">da Guarnição de </w:t>
      </w:r>
      <w:r>
        <w:rPr>
          <w:rFonts w:eastAsia="" w:cs="Times New Roman" w:ascii="Times New Roman" w:hAnsi="Times New Roman"/>
          <w:color w:val="00000A"/>
          <w:sz w:val="20"/>
          <w:szCs w:val="20"/>
          <w:shd w:fill="FFFFFF" w:val="clear"/>
          <w:lang w:val="pt-BR" w:eastAsia="pt-BR" w:bidi="ar-SA"/>
        </w:rPr>
        <w:t>Sant’Ana do Livramento</w:t>
      </w:r>
      <w:r>
        <w:rPr>
          <w:rFonts w:eastAsia="" w:cs="Times New Roman" w:ascii="Times New Roman" w:hAnsi="Times New Roman"/>
          <w:sz w:val="20"/>
          <w:szCs w:val="20"/>
          <w:shd w:fill="FFFFFF" w:val="clear"/>
          <w:lang w:eastAsia="pt-BR"/>
        </w:rPr>
        <w:t>/RS</w:t>
      </w:r>
      <w:r>
        <w:rPr>
          <w:rFonts w:cs="Times New Roman" w:ascii="Times New Roman" w:hAnsi="Times New Roman"/>
          <w:sz w:val="20"/>
          <w:szCs w:val="20"/>
          <w:shd w:fill="FFFFFF" w:val="clear"/>
        </w:rPr>
        <w:t>,</w:t>
      </w:r>
      <w:r>
        <w:rPr>
          <w:rFonts w:cs="Times New Roman" w:ascii="Times New Roman" w:hAnsi="Times New Roman"/>
          <w:sz w:val="20"/>
          <w:szCs w:val="20"/>
        </w:rPr>
        <w:t xml:space="preserve"> acompanhado da Guia de Encaminhamento, com a assinatura do beneficiário ou de seu responsável que comprove a prestação do serviço.</w:t>
      </w:r>
    </w:p>
    <w:p>
      <w:pPr>
        <w:pStyle w:val="ListParagraph"/>
        <w:widowControl w:val="false"/>
        <w:numPr>
          <w:ilvl w:val="1"/>
          <w:numId w:val="1"/>
        </w:numPr>
        <w:spacing w:before="120" w:after="120"/>
        <w:ind w:left="680" w:right="0" w:hanging="432"/>
        <w:contextualSpacing/>
        <w:jc w:val="both"/>
        <w:rPr>
          <w:rFonts w:ascii="Times New Roman" w:hAnsi="Times New Roman" w:cs="Times New Roman"/>
          <w:color w:val="000000"/>
          <w:sz w:val="20"/>
          <w:szCs w:val="20"/>
          <w:highlight w:val="white"/>
        </w:rPr>
      </w:pPr>
      <w:r>
        <w:rPr>
          <w:rFonts w:cs="Times New Roman" w:ascii="Times New Roman" w:hAnsi="Times New Roman"/>
          <w:sz w:val="20"/>
          <w:szCs w:val="20"/>
        </w:rPr>
        <w:t xml:space="preserve">No caso de comprovada urgência e(ou) emergência o beneficiário poderá ser atendido independentemente de encaminhamento, </w:t>
      </w:r>
      <w:r>
        <w:rPr>
          <w:rFonts w:cs="Times New Roman" w:ascii="Times New Roman" w:hAnsi="Times New Roman"/>
          <w:color w:val="000000"/>
          <w:sz w:val="20"/>
          <w:szCs w:val="20"/>
          <w:shd w:fill="FFFFFF" w:val="clear"/>
        </w:rPr>
        <w:t>mediante assinatura de um “Termo de Compromisso” pelo beneficiário ou dependente, se comprometendo a levar a Guia de autorização ao Hospital, no período de até 48 horas, conforme modelo do Anexo III deste Contrato.</w:t>
      </w:r>
    </w:p>
    <w:p>
      <w:pPr>
        <w:pStyle w:val="ListParagraph"/>
        <w:widowControl w:val="false"/>
        <w:numPr>
          <w:ilvl w:val="0"/>
          <w:numId w:val="1"/>
        </w:numPr>
        <w:spacing w:before="120" w:after="120"/>
        <w:ind w:left="0" w:right="0" w:hanging="360"/>
        <w:contextualSpacing/>
        <w:rPr>
          <w:rFonts w:ascii="Times New Roman" w:hAnsi="Times New Roman" w:cs="Times New Roman"/>
          <w:sz w:val="20"/>
          <w:szCs w:val="20"/>
        </w:rPr>
      </w:pPr>
      <w:r>
        <w:rPr>
          <w:rFonts w:cs="Times New Roman" w:ascii="Times New Roman" w:hAnsi="Times New Roman"/>
          <w:sz w:val="20"/>
          <w:szCs w:val="20"/>
        </w:rPr>
        <w:t>Procedimentos não especificados na(s) Guia(s) de Encaminhamento e os não cobertos não serão ressarcidos por parte do CONTRATANTE.</w:t>
      </w:r>
    </w:p>
    <w:p>
      <w:pPr>
        <w:pStyle w:val="ListParagraph"/>
        <w:widowControl w:val="false"/>
        <w:numPr>
          <w:ilvl w:val="0"/>
          <w:numId w:val="1"/>
        </w:numPr>
        <w:spacing w:before="120" w:after="120"/>
        <w:ind w:left="0" w:right="0" w:hanging="360"/>
        <w:contextualSpacing/>
        <w:jc w:val="both"/>
        <w:rPr>
          <w:rFonts w:ascii="Times New Roman" w:hAnsi="Times New Roman" w:cs="Times New Roman"/>
          <w:sz w:val="20"/>
          <w:szCs w:val="20"/>
        </w:rPr>
      </w:pPr>
      <w:r>
        <w:rPr>
          <w:rFonts w:cs="Times New Roman" w:ascii="Times New Roman" w:hAnsi="Times New Roman"/>
          <w:sz w:val="20"/>
          <w:szCs w:val="20"/>
        </w:rPr>
        <w:t>Os valores vigentes na data de atendimento serão os considerados para a quitação das faturas.</w:t>
      </w:r>
    </w:p>
    <w:p>
      <w:pPr>
        <w:pStyle w:val="ListParagraph"/>
        <w:widowControl w:val="false"/>
        <w:numPr>
          <w:ilvl w:val="0"/>
          <w:numId w:val="1"/>
        </w:numPr>
        <w:spacing w:before="120" w:after="120"/>
        <w:ind w:left="0" w:right="0" w:hanging="360"/>
        <w:contextualSpacing/>
        <w:jc w:val="both"/>
        <w:rPr>
          <w:rFonts w:ascii="Times New Roman" w:hAnsi="Times New Roman" w:cs="Times New Roman"/>
          <w:color w:val="000000"/>
          <w:sz w:val="20"/>
          <w:szCs w:val="20"/>
          <w:highlight w:val="white"/>
        </w:rPr>
      </w:pPr>
      <w:r>
        <w:rPr>
          <w:rFonts w:cs="Times New Roman" w:ascii="Times New Roman" w:hAnsi="Times New Roman"/>
          <w:sz w:val="20"/>
          <w:szCs w:val="20"/>
          <w:shd w:fill="FFFFFF" w:val="clear"/>
        </w:rPr>
        <w:t>O CONTRATADO se obriga a apresentar ao CONTRATANTE, entre o 1º (primeiro) e o 8º (oitavo) dia do mês subsequente, no Setor de Lisura do 7º Regimento de Cavalaria Mecanizado, a fatura, em 01 (uma) via de igual teor, em nome do 7º Regimento de Cavalaria Mecanizado, Unidade Gestora do Fundo de Saúde do Exército, a</w:t>
      </w:r>
      <w:r>
        <w:rPr>
          <w:rFonts w:cs="Times New Roman" w:ascii="Times New Roman" w:hAnsi="Times New Roman"/>
          <w:sz w:val="20"/>
          <w:szCs w:val="20"/>
        </w:rPr>
        <w:t>nexando todos os comprovantes de despesas, as Guias de Encaminhamento do FuSEx/SAMMED/PASS com as assinaturas dos beneficiários ou de seus responsáveis, a relação de materiais e medicamentos gastos relativos aos atendimentos prestados no mês considerado, discriminando número de ordem, data, número da Guia de Encaminhamento, nome do usuário, número do documento de identidade, número de matrícula do Servidor Civil ou de seu dependente, se for o caso, número de matrícula no cadastro de beneficiários do FuSEx (número de cartão FuSEx, composto pelo Código de Pessoal – PREC/CP – mais sequência familiar), se militar contribuinte do FuSEx, -</w:t>
      </w:r>
      <w:r>
        <w:rPr>
          <w:rFonts w:cs="Times New Roman" w:ascii="Times New Roman" w:hAnsi="Times New Roman"/>
          <w:color w:val="000000"/>
          <w:sz w:val="20"/>
          <w:szCs w:val="20"/>
          <w:shd w:fill="FFFFFF" w:val="clear"/>
        </w:rPr>
        <w:t>código da Lista Referencial de Odontologia – Anexo I deste Contrato, os quantitativos de CH, pacote adotado, valor de R$ (reais), relatório de conferência (espelho) e uma ficha de controle de procedimentos.</w:t>
      </w:r>
    </w:p>
    <w:p>
      <w:pPr>
        <w:pStyle w:val="ListParagraph"/>
        <w:widowControl w:val="false"/>
        <w:numPr>
          <w:ilvl w:val="1"/>
          <w:numId w:val="1"/>
        </w:numPr>
        <w:spacing w:before="120" w:after="120"/>
        <w:ind w:left="680" w:right="0" w:hanging="432"/>
        <w:contextualSpacing/>
        <w:jc w:val="both"/>
        <w:rPr>
          <w:rFonts w:ascii="Times New Roman" w:hAnsi="Times New Roman" w:cs="Times New Roman"/>
          <w:sz w:val="20"/>
          <w:szCs w:val="20"/>
        </w:rPr>
      </w:pPr>
      <w:r>
        <w:rPr>
          <w:rFonts w:cs="Times New Roman" w:ascii="Times New Roman" w:hAnsi="Times New Roman"/>
          <w:sz w:val="20"/>
          <w:szCs w:val="20"/>
        </w:rPr>
        <w:t>O CONTRATANTE não será responsabilizado pelo atraso nos pagamentos que sejam decorrentes da apresentação das faturas ou outros documentos fora dos prazos estipulados e com vícios formais que ensejem devolução;</w:t>
      </w:r>
    </w:p>
    <w:p>
      <w:pPr>
        <w:pStyle w:val="ListParagraph"/>
        <w:widowControl w:val="false"/>
        <w:numPr>
          <w:ilvl w:val="1"/>
          <w:numId w:val="1"/>
        </w:numPr>
        <w:spacing w:before="120" w:after="120"/>
        <w:ind w:left="680" w:right="0" w:hanging="432"/>
        <w:contextualSpacing/>
        <w:jc w:val="both"/>
        <w:rPr>
          <w:rFonts w:ascii="Times New Roman" w:hAnsi="Times New Roman" w:cs="Times New Roman"/>
          <w:sz w:val="20"/>
          <w:szCs w:val="20"/>
        </w:rPr>
      </w:pPr>
      <w:r>
        <w:rPr>
          <w:rFonts w:cs="Times New Roman" w:ascii="Times New Roman" w:hAnsi="Times New Roman"/>
          <w:sz w:val="20"/>
          <w:szCs w:val="20"/>
        </w:rPr>
        <w:t>O CONTRATADO deverá apresentar, separadamente, as faturas de despesas dos beneficiários do FuSEx, de Servidores Civis e de usuários de Fator de Custos;</w:t>
      </w:r>
    </w:p>
    <w:p>
      <w:pPr>
        <w:pStyle w:val="ListParagraph"/>
        <w:widowControl w:val="false"/>
        <w:numPr>
          <w:ilvl w:val="1"/>
          <w:numId w:val="1"/>
        </w:numPr>
        <w:spacing w:before="120" w:after="120"/>
        <w:ind w:left="680" w:right="0" w:hanging="432"/>
        <w:contextualSpacing/>
        <w:jc w:val="both"/>
        <w:rPr>
          <w:rFonts w:ascii="Times New Roman" w:hAnsi="Times New Roman" w:cs="Times New Roman"/>
          <w:sz w:val="20"/>
          <w:szCs w:val="20"/>
        </w:rPr>
      </w:pPr>
      <w:r>
        <w:rPr>
          <w:rFonts w:cs="Times New Roman" w:ascii="Times New Roman" w:hAnsi="Times New Roman"/>
          <w:sz w:val="20"/>
          <w:szCs w:val="20"/>
        </w:rPr>
        <w:t>O CONTRATADO deverá apresentar a documentação referente ao atendimento prestado, discriminando os serviços realizados e os respectivos valores, bem como as faturas dos tratamentos de emergências/urgências em lotes separados das demais;</w:t>
      </w:r>
    </w:p>
    <w:p>
      <w:pPr>
        <w:pStyle w:val="ListParagraph"/>
        <w:widowControl w:val="false"/>
        <w:numPr>
          <w:ilvl w:val="1"/>
          <w:numId w:val="1"/>
        </w:numPr>
        <w:spacing w:before="120" w:after="120"/>
        <w:ind w:left="680" w:right="0" w:hanging="432"/>
        <w:contextualSpacing/>
        <w:jc w:val="both"/>
        <w:rPr>
          <w:rFonts w:ascii="Times New Roman" w:hAnsi="Times New Roman" w:cs="Times New Roman"/>
          <w:sz w:val="20"/>
          <w:szCs w:val="20"/>
        </w:rPr>
      </w:pPr>
      <w:r>
        <w:rPr>
          <w:rFonts w:cs="Times New Roman" w:ascii="Times New Roman" w:hAnsi="Times New Roman"/>
          <w:sz w:val="20"/>
          <w:szCs w:val="20"/>
        </w:rPr>
        <w:t>A fatura deverá conter, no verso, a conferência por parte do beneficiário titular responsável pelo paciente, da seguinte forma:</w:t>
      </w:r>
    </w:p>
    <w:p>
      <w:pPr>
        <w:pStyle w:val="ListParagraph"/>
        <w:widowControl w:val="false"/>
        <w:numPr>
          <w:ilvl w:val="2"/>
          <w:numId w:val="1"/>
        </w:numPr>
        <w:spacing w:before="120" w:after="120"/>
        <w:ind w:left="1418" w:right="0" w:hanging="504"/>
        <w:contextualSpacing/>
        <w:jc w:val="both"/>
        <w:rPr>
          <w:rFonts w:ascii="Times New Roman" w:hAnsi="Times New Roman" w:cs="Times New Roman"/>
          <w:sz w:val="20"/>
          <w:szCs w:val="20"/>
        </w:rPr>
      </w:pPr>
      <w:r>
        <w:rPr>
          <w:rFonts w:cs="Times New Roman" w:ascii="Times New Roman" w:hAnsi="Times New Roman"/>
          <w:sz w:val="20"/>
          <w:szCs w:val="20"/>
        </w:rPr>
        <w:t>CONFERIDO: os serviços constantes deste documento foram realizados.</w:t>
      </w:r>
    </w:p>
    <w:p>
      <w:pPr>
        <w:pStyle w:val="ListParagraph"/>
        <w:widowControl w:val="false"/>
        <w:numPr>
          <w:ilvl w:val="2"/>
          <w:numId w:val="1"/>
        </w:numPr>
        <w:spacing w:before="120" w:after="120"/>
        <w:ind w:left="1418" w:right="0" w:hanging="504"/>
        <w:contextualSpacing/>
        <w:jc w:val="both"/>
        <w:rPr>
          <w:rFonts w:ascii="Times New Roman" w:hAnsi="Times New Roman" w:cs="Times New Roman"/>
          <w:sz w:val="20"/>
          <w:szCs w:val="20"/>
        </w:rPr>
      </w:pPr>
      <w:r>
        <w:rPr>
          <w:rFonts w:cs="Times New Roman" w:ascii="Times New Roman" w:hAnsi="Times New Roman"/>
          <w:sz w:val="20"/>
          <w:szCs w:val="20"/>
        </w:rPr>
        <w:t>Local e data.</w:t>
      </w:r>
    </w:p>
    <w:p>
      <w:pPr>
        <w:pStyle w:val="ListParagraph"/>
        <w:widowControl w:val="false"/>
        <w:numPr>
          <w:ilvl w:val="2"/>
          <w:numId w:val="1"/>
        </w:numPr>
        <w:spacing w:before="120" w:after="120"/>
        <w:ind w:left="1418" w:right="0" w:hanging="504"/>
        <w:contextualSpacing/>
        <w:jc w:val="both"/>
        <w:rPr>
          <w:rFonts w:ascii="Times New Roman" w:hAnsi="Times New Roman" w:cs="Times New Roman"/>
          <w:sz w:val="20"/>
          <w:szCs w:val="20"/>
        </w:rPr>
      </w:pPr>
      <w:r>
        <w:rPr>
          <w:rFonts w:cs="Times New Roman" w:ascii="Times New Roman" w:hAnsi="Times New Roman"/>
          <w:sz w:val="20"/>
          <w:szCs w:val="20"/>
        </w:rPr>
        <w:t>Nome completo e assinatura do responsável.</w:t>
      </w:r>
    </w:p>
    <w:p>
      <w:pPr>
        <w:pStyle w:val="ListParagraph"/>
        <w:widowControl w:val="false"/>
        <w:numPr>
          <w:ilvl w:val="1"/>
          <w:numId w:val="1"/>
        </w:numPr>
        <w:spacing w:before="120" w:after="120"/>
        <w:ind w:left="680" w:right="0" w:hanging="432"/>
        <w:contextualSpacing/>
        <w:jc w:val="both"/>
        <w:rPr>
          <w:rFonts w:ascii="Times New Roman" w:hAnsi="Times New Roman" w:cs="Times New Roman"/>
          <w:sz w:val="20"/>
          <w:szCs w:val="20"/>
        </w:rPr>
      </w:pPr>
      <w:r>
        <w:rPr>
          <w:rFonts w:cs="Times New Roman" w:ascii="Times New Roman" w:hAnsi="Times New Roman"/>
          <w:sz w:val="20"/>
          <w:szCs w:val="20"/>
        </w:rPr>
        <w:t>O CONTRATANTE restituirá a documentação acima citada, se a mesma apresentar rasuras, incorreções ou outros vícios de forma em até 15 (quinze) dias do respectivo protocolo;</w:t>
      </w:r>
    </w:p>
    <w:p>
      <w:pPr>
        <w:pStyle w:val="ListParagraph"/>
        <w:widowControl w:val="false"/>
        <w:numPr>
          <w:ilvl w:val="1"/>
          <w:numId w:val="1"/>
        </w:numPr>
        <w:spacing w:before="120" w:after="120"/>
        <w:ind w:left="680" w:right="0" w:hanging="432"/>
        <w:contextualSpacing/>
        <w:jc w:val="both"/>
        <w:rPr>
          <w:rFonts w:ascii="Times New Roman" w:hAnsi="Times New Roman" w:cs="Times New Roman"/>
          <w:sz w:val="20"/>
          <w:szCs w:val="20"/>
        </w:rPr>
      </w:pPr>
      <w:r>
        <w:rPr>
          <w:rFonts w:cs="Times New Roman" w:ascii="Times New Roman" w:hAnsi="Times New Roman"/>
          <w:sz w:val="20"/>
          <w:szCs w:val="20"/>
        </w:rPr>
        <w:t>Aceita a documentação, dentro do prazo acima fixado, a mesma será recebida por meio de termo circunstanciado assinado pelas partes.</w:t>
      </w:r>
    </w:p>
    <w:p>
      <w:pPr>
        <w:pStyle w:val="ListParagraph"/>
        <w:widowControl w:val="false"/>
        <w:numPr>
          <w:ilvl w:val="0"/>
          <w:numId w:val="1"/>
        </w:numPr>
        <w:spacing w:before="120" w:after="120"/>
        <w:ind w:left="0" w:right="0" w:hanging="360"/>
        <w:contextualSpacing/>
        <w:jc w:val="both"/>
        <w:rPr>
          <w:rFonts w:ascii="Times New Roman" w:hAnsi="Times New Roman" w:cs="Times New Roman"/>
          <w:sz w:val="20"/>
          <w:szCs w:val="20"/>
        </w:rPr>
      </w:pPr>
      <w:r>
        <w:rPr>
          <w:rFonts w:cs="Times New Roman" w:ascii="Times New Roman" w:hAnsi="Times New Roman"/>
          <w:sz w:val="20"/>
          <w:szCs w:val="20"/>
        </w:rPr>
        <w:t>O CONTRATANTE glosará, total ou parcialmente, mediante motivação, a remuneração pelos serviços prestados especificados nas faturas que não estiverem de acordo com este contrato ou o edital.</w:t>
      </w:r>
    </w:p>
    <w:p>
      <w:pPr>
        <w:pStyle w:val="ListParagraph"/>
        <w:widowControl w:val="false"/>
        <w:numPr>
          <w:ilvl w:val="1"/>
          <w:numId w:val="1"/>
        </w:numPr>
        <w:spacing w:before="120" w:after="120"/>
        <w:ind w:left="680" w:right="0" w:hanging="432"/>
        <w:contextualSpacing/>
        <w:jc w:val="both"/>
        <w:rPr>
          <w:rFonts w:ascii="Times New Roman" w:hAnsi="Times New Roman" w:cs="Times New Roman"/>
          <w:sz w:val="20"/>
          <w:szCs w:val="20"/>
          <w:highlight w:val="white"/>
        </w:rPr>
      </w:pPr>
      <w:r>
        <w:rPr>
          <w:rFonts w:cs="Times New Roman" w:ascii="Times New Roman" w:hAnsi="Times New Roman"/>
          <w:sz w:val="20"/>
          <w:szCs w:val="20"/>
        </w:rPr>
        <w:t>O Setor de Lisura do 7</w:t>
      </w:r>
      <w:r>
        <w:rPr>
          <w:rFonts w:cs="Times New Roman" w:ascii="Times New Roman" w:hAnsi="Times New Roman"/>
          <w:sz w:val="20"/>
          <w:szCs w:val="20"/>
          <w:shd w:fill="FFFFFF" w:val="clear"/>
        </w:rPr>
        <w:t>º Regimento de Cavalaria Mecanizado possuirá o prazo de 30 (trinta) dias, contado a partir do término do prazo do subitem 22.6;</w:t>
      </w:r>
    </w:p>
    <w:p>
      <w:pPr>
        <w:pStyle w:val="ListParagraph"/>
        <w:widowControl w:val="false"/>
        <w:numPr>
          <w:ilvl w:val="1"/>
          <w:numId w:val="1"/>
        </w:numPr>
        <w:spacing w:before="120" w:after="120"/>
        <w:ind w:left="680" w:right="0" w:hanging="432"/>
        <w:contextualSpacing/>
        <w:jc w:val="both"/>
        <w:rPr>
          <w:rFonts w:ascii="Times New Roman" w:hAnsi="Times New Roman" w:cs="Times New Roman"/>
          <w:sz w:val="20"/>
          <w:szCs w:val="20"/>
        </w:rPr>
      </w:pPr>
      <w:r>
        <w:rPr>
          <w:rFonts w:cs="Times New Roman" w:ascii="Times New Roman" w:hAnsi="Times New Roman"/>
          <w:sz w:val="20"/>
          <w:szCs w:val="20"/>
        </w:rPr>
        <w:t xml:space="preserve">O CONTRATADO poderá interpor representação, nos termos do art. 165, II, da Lei nº 14.133, de 2021, contra a decisão da glosa, constantes das faturas restituídas pelo CONTRATANTE, conforme o Índice de Glosa do anexo </w:t>
      </w:r>
      <w:r>
        <w:rPr>
          <w:rFonts w:cs="Times New Roman" w:ascii="Times New Roman" w:hAnsi="Times New Roman"/>
          <w:sz w:val="20"/>
          <w:szCs w:val="20"/>
          <w:shd w:fill="FFFFFF" w:val="clear"/>
        </w:rPr>
        <w:t>II</w:t>
      </w:r>
      <w:r>
        <w:rPr>
          <w:rFonts w:cs="Times New Roman" w:ascii="Times New Roman" w:hAnsi="Times New Roman"/>
          <w:sz w:val="20"/>
          <w:szCs w:val="20"/>
        </w:rPr>
        <w:t xml:space="preserve"> deste contrato, dentro do prazo de 3 (três) dias úteis.</w:t>
      </w:r>
    </w:p>
    <w:p>
      <w:pPr>
        <w:pStyle w:val="Normal"/>
        <w:widowControl w:val="false"/>
        <w:spacing w:before="240" w:after="240"/>
        <w:jc w:val="both"/>
        <w:rPr>
          <w:rFonts w:ascii="Times New Roman" w:hAnsi="Times New Roman" w:cs="Times New Roman"/>
          <w:b/>
          <w:b/>
          <w:color w:val="00000A"/>
          <w:sz w:val="20"/>
          <w:szCs w:val="20"/>
          <w:u w:val="single"/>
        </w:rPr>
      </w:pPr>
      <w:r>
        <w:rPr>
          <w:rFonts w:cs="Times New Roman" w:ascii="Times New Roman" w:hAnsi="Times New Roman"/>
          <w:b/>
          <w:color w:val="00000A"/>
          <w:sz w:val="20"/>
          <w:szCs w:val="20"/>
          <w:u w:val="single"/>
        </w:rPr>
        <w:t>CLÁUSULA SEXTA – Da atualização dos preços.</w:t>
      </w:r>
    </w:p>
    <w:p>
      <w:pPr>
        <w:pStyle w:val="Normal"/>
        <w:widowControl w:val="false"/>
        <w:numPr>
          <w:ilvl w:val="0"/>
          <w:numId w:val="1"/>
        </w:numPr>
        <w:spacing w:before="120" w:after="120"/>
        <w:ind w:left="0" w:right="0" w:hanging="360"/>
        <w:jc w:val="both"/>
        <w:rPr>
          <w:rFonts w:ascii="Times New Roman" w:hAnsi="Times New Roman" w:cs="Times New Roman"/>
          <w:color w:val="00000A"/>
          <w:sz w:val="20"/>
          <w:szCs w:val="20"/>
        </w:rPr>
      </w:pPr>
      <w:r>
        <w:rPr>
          <w:rFonts w:cs="Times New Roman" w:ascii="Times New Roman" w:hAnsi="Times New Roman"/>
          <w:color w:val="00000A"/>
          <w:sz w:val="20"/>
          <w:szCs w:val="20"/>
        </w:rPr>
        <w:t>O critério de atualização dos preços contratados consta do Capítulo 9 “DA ATUALIZAÇÃO DOS PREÇOS” do edital de credenciamento.</w:t>
      </w:r>
    </w:p>
    <w:p>
      <w:pPr>
        <w:pStyle w:val="Normal"/>
        <w:widowControl w:val="false"/>
        <w:spacing w:before="240" w:after="240"/>
        <w:jc w:val="both"/>
        <w:rPr>
          <w:rFonts w:ascii="Times New Roman" w:hAnsi="Times New Roman" w:cs="Times New Roman"/>
          <w:b/>
          <w:b/>
          <w:color w:val="00000A"/>
          <w:sz w:val="20"/>
          <w:szCs w:val="20"/>
          <w:u w:val="single"/>
        </w:rPr>
      </w:pPr>
      <w:r>
        <w:rPr>
          <w:rFonts w:cs="Times New Roman" w:ascii="Times New Roman" w:hAnsi="Times New Roman"/>
          <w:b/>
          <w:color w:val="00000A"/>
          <w:sz w:val="20"/>
          <w:szCs w:val="20"/>
          <w:u w:val="single"/>
        </w:rPr>
        <w:t>CLÁUSULA SÉTIMA – Da vigência.</w:t>
      </w:r>
    </w:p>
    <w:p>
      <w:pPr>
        <w:pStyle w:val="ListParagraph"/>
        <w:widowControl w:val="false"/>
        <w:numPr>
          <w:ilvl w:val="0"/>
          <w:numId w:val="1"/>
        </w:numPr>
        <w:spacing w:lineRule="auto" w:line="240" w:before="120" w:after="120"/>
        <w:ind w:left="0" w:right="0" w:hanging="360"/>
        <w:contextualSpacing/>
        <w:jc w:val="both"/>
        <w:rPr>
          <w:rFonts w:ascii="Times New Roman" w:hAnsi="Times New Roman" w:cs="Times New Roman"/>
          <w:color w:val="00000A"/>
          <w:sz w:val="20"/>
          <w:szCs w:val="20"/>
        </w:rPr>
      </w:pPr>
      <w:bookmarkStart w:id="0" w:name="_Hlk158891455"/>
      <w:r>
        <w:rPr>
          <w:rFonts w:cs="Times New Roman" w:ascii="Times New Roman" w:hAnsi="Times New Roman"/>
          <w:color w:val="00000A"/>
          <w:sz w:val="20"/>
          <w:szCs w:val="20"/>
        </w:rPr>
        <w:t>O prazo de vigência da contratação é de 10 (dez) anos contados de sua assinatura, na forma do artigo 107 da Lei n° 14.133, de 2021</w:t>
      </w:r>
      <w:bookmarkEnd w:id="0"/>
      <w:r>
        <w:rPr>
          <w:rFonts w:cs="Times New Roman" w:ascii="Times New Roman" w:hAnsi="Times New Roman"/>
          <w:color w:val="00000A"/>
          <w:sz w:val="20"/>
          <w:szCs w:val="20"/>
        </w:rPr>
        <w:t>.</w:t>
      </w:r>
    </w:p>
    <w:p>
      <w:pPr>
        <w:pStyle w:val="Normal"/>
        <w:widowControl w:val="false"/>
        <w:spacing w:before="240" w:after="240"/>
        <w:jc w:val="both"/>
        <w:rPr>
          <w:rFonts w:ascii="Times New Roman" w:hAnsi="Times New Roman" w:cs="Times New Roman"/>
          <w:b/>
          <w:b/>
          <w:sz w:val="20"/>
          <w:szCs w:val="20"/>
          <w:u w:val="single"/>
        </w:rPr>
      </w:pPr>
      <w:r>
        <w:rPr>
          <w:rFonts w:cs="Times New Roman" w:ascii="Times New Roman" w:hAnsi="Times New Roman"/>
          <w:b/>
          <w:sz w:val="20"/>
          <w:szCs w:val="20"/>
          <w:u w:val="single"/>
        </w:rPr>
        <w:t>CLÁUSULA OITAVA – Da dotação orçamentária.</w:t>
      </w:r>
    </w:p>
    <w:p>
      <w:pPr>
        <w:pStyle w:val="ListParagraph"/>
        <w:widowControl w:val="false"/>
        <w:numPr>
          <w:ilvl w:val="0"/>
          <w:numId w:val="1"/>
        </w:numPr>
        <w:spacing w:before="120" w:after="120"/>
        <w:ind w:left="0" w:right="0" w:hanging="360"/>
        <w:contextualSpacing/>
        <w:jc w:val="both"/>
        <w:rPr>
          <w:rFonts w:ascii="Times New Roman" w:hAnsi="Times New Roman" w:cs="Times New Roman"/>
          <w:color w:val="00000A"/>
          <w:sz w:val="20"/>
          <w:szCs w:val="20"/>
        </w:rPr>
      </w:pPr>
      <w:r>
        <w:rPr>
          <w:rFonts w:cs="Times New Roman" w:ascii="Times New Roman" w:hAnsi="Times New Roman"/>
          <w:color w:val="00000A"/>
          <w:sz w:val="20"/>
          <w:szCs w:val="20"/>
        </w:rPr>
        <w:t>Os recursos previstos para os pagamentos dos atendimentos do presente contrato serão os seguintes:</w:t>
      </w:r>
    </w:p>
    <w:p>
      <w:pPr>
        <w:pStyle w:val="ListParagraph"/>
        <w:widowControl w:val="false"/>
        <w:numPr>
          <w:ilvl w:val="1"/>
          <w:numId w:val="1"/>
        </w:numPr>
        <w:spacing w:before="120" w:after="120"/>
        <w:ind w:left="680" w:right="0" w:hanging="432"/>
        <w:contextualSpacing/>
        <w:jc w:val="both"/>
        <w:rPr>
          <w:rFonts w:ascii="Times New Roman" w:hAnsi="Times New Roman" w:cs="Times New Roman"/>
          <w:color w:val="00000A"/>
          <w:sz w:val="20"/>
          <w:szCs w:val="20"/>
        </w:rPr>
      </w:pPr>
      <w:r>
        <w:rPr>
          <w:rFonts w:cs="Times New Roman" w:ascii="Times New Roman" w:hAnsi="Times New Roman"/>
          <w:color w:val="00000A"/>
          <w:sz w:val="20"/>
          <w:szCs w:val="20"/>
        </w:rPr>
        <w:t>Para OCS: Orçamento Geral da União, Recursos da Gestão 00001, Fonte de Recursos 0250270037 — 0250270013 - 0100000000, Programa de Trabalho Resumido 025146 — 031781 - 031778, Natureza de Despesa 339039 e Plano Interno DISACIVOCSA — DISAFUSOCSA — D8SAFCTOCSA; e</w:t>
      </w:r>
    </w:p>
    <w:p>
      <w:pPr>
        <w:pStyle w:val="ListParagraph"/>
        <w:widowControl w:val="false"/>
        <w:numPr>
          <w:ilvl w:val="1"/>
          <w:numId w:val="1"/>
        </w:numPr>
        <w:spacing w:before="120" w:after="120"/>
        <w:ind w:left="680" w:right="0" w:hanging="432"/>
        <w:contextualSpacing/>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Para PSA: Orçamento Geral da União, Recursos da Gestão 00001, Fonte de Recursos 0250270037 — 0250270013 - 0100000000, Programa de Trabalho Resumido 025146 — 031781 - 031778 e Natureza de Despesa 339036 e Plano Interno DISACIVPRSA — DISAFUSPRSA — D8SAFCTPRSA. </w:t>
      </w:r>
    </w:p>
    <w:p>
      <w:pPr>
        <w:pStyle w:val="Normal"/>
        <w:widowControl w:val="false"/>
        <w:spacing w:before="240" w:after="240"/>
        <w:jc w:val="both"/>
        <w:rPr>
          <w:rFonts w:ascii="Times New Roman" w:hAnsi="Times New Roman" w:cs="Times New Roman"/>
          <w:b/>
          <w:b/>
          <w:sz w:val="20"/>
          <w:szCs w:val="20"/>
          <w:u w:val="single"/>
        </w:rPr>
      </w:pPr>
      <w:r>
        <w:rPr>
          <w:rFonts w:cs="Times New Roman" w:ascii="Times New Roman" w:hAnsi="Times New Roman"/>
          <w:b/>
          <w:sz w:val="20"/>
          <w:szCs w:val="20"/>
          <w:u w:val="single"/>
        </w:rPr>
        <w:t>CLÁUSULA NONA – Da responsabilidade civil.</w:t>
      </w:r>
    </w:p>
    <w:p>
      <w:pPr>
        <w:pStyle w:val="ListParagraph"/>
        <w:widowControl w:val="false"/>
        <w:numPr>
          <w:ilvl w:val="0"/>
          <w:numId w:val="1"/>
        </w:numPr>
        <w:spacing w:before="120" w:after="120"/>
        <w:ind w:left="0" w:right="0" w:hanging="360"/>
        <w:contextualSpacing/>
        <w:jc w:val="both"/>
        <w:rPr>
          <w:rFonts w:ascii="Times New Roman" w:hAnsi="Times New Roman" w:cs="Times New Roman"/>
          <w:sz w:val="20"/>
          <w:szCs w:val="20"/>
        </w:rPr>
      </w:pPr>
      <w:r>
        <w:rPr>
          <w:rFonts w:cs="Times New Roman" w:ascii="Times New Roman" w:hAnsi="Times New Roman"/>
          <w:sz w:val="20"/>
          <w:szCs w:val="20"/>
        </w:rPr>
        <w:t>A fiscalização ou o acompanhamento da execução deste instrumento contratual não exclui nem reduz a responsabilidade do CONTRATADO.</w:t>
      </w:r>
    </w:p>
    <w:p>
      <w:pPr>
        <w:pStyle w:val="ListParagraph"/>
        <w:widowControl w:val="false"/>
        <w:numPr>
          <w:ilvl w:val="0"/>
          <w:numId w:val="1"/>
        </w:numPr>
        <w:spacing w:before="120" w:after="120"/>
        <w:ind w:left="0" w:right="0" w:hanging="360"/>
        <w:contextualSpacing/>
        <w:jc w:val="both"/>
        <w:rPr>
          <w:rFonts w:ascii="Times New Roman" w:hAnsi="Times New Roman" w:cs="Times New Roman"/>
          <w:sz w:val="20"/>
          <w:szCs w:val="20"/>
        </w:rPr>
      </w:pPr>
      <w:r>
        <w:rPr>
          <w:rFonts w:cs="Times New Roman" w:ascii="Times New Roman" w:hAnsi="Times New Roman"/>
          <w:sz w:val="20"/>
          <w:szCs w:val="20"/>
        </w:rPr>
        <w:t>A responsabilidade a que se refere a presente Cláusula estende-se à reparação de dano eventual de instalações, equipamentos e/ou aparelhagens, essenciais à prestação dos serviços que compõem o objeto deste Contrato.</w:t>
      </w:r>
    </w:p>
    <w:p>
      <w:pPr>
        <w:pStyle w:val="ListParagraph"/>
        <w:widowControl w:val="false"/>
        <w:numPr>
          <w:ilvl w:val="0"/>
          <w:numId w:val="1"/>
        </w:numPr>
        <w:spacing w:before="120" w:after="120"/>
        <w:ind w:left="0" w:right="0" w:hanging="360"/>
        <w:contextualSpacing/>
        <w:jc w:val="both"/>
        <w:rPr>
          <w:rFonts w:ascii="Times New Roman" w:hAnsi="Times New Roman" w:cs="Times New Roman"/>
          <w:sz w:val="20"/>
          <w:szCs w:val="20"/>
        </w:rPr>
      </w:pPr>
      <w:r>
        <w:rPr>
          <w:rFonts w:cs="Times New Roman" w:ascii="Times New Roman" w:hAnsi="Times New Roman"/>
          <w:sz w:val="20"/>
          <w:szCs w:val="20"/>
        </w:rPr>
        <w:t>O CONTRATADO será responsável, civil e penalmente, pelos danos causados aos pacientes, por terceiros vinculados, decorrentes de omissão, voluntária ou não, negligência, imperícia ou imprudência.</w:t>
      </w:r>
    </w:p>
    <w:p>
      <w:pPr>
        <w:pStyle w:val="Normal"/>
        <w:widowControl w:val="false"/>
        <w:spacing w:before="240" w:after="240"/>
        <w:jc w:val="both"/>
        <w:rPr>
          <w:rFonts w:ascii="Times New Roman" w:hAnsi="Times New Roman" w:cs="Times New Roman"/>
          <w:b/>
          <w:b/>
          <w:sz w:val="20"/>
          <w:szCs w:val="20"/>
          <w:u w:val="single"/>
        </w:rPr>
      </w:pPr>
      <w:r>
        <w:rPr>
          <w:rFonts w:cs="Times New Roman" w:ascii="Times New Roman" w:hAnsi="Times New Roman"/>
          <w:b/>
          <w:sz w:val="20"/>
          <w:szCs w:val="20"/>
          <w:u w:val="single"/>
        </w:rPr>
        <w:t>CLÁUSULA DÉCIMA – Das sanções.</w:t>
      </w:r>
    </w:p>
    <w:p>
      <w:pPr>
        <w:pStyle w:val="ListParagraph"/>
        <w:widowControl w:val="false"/>
        <w:numPr>
          <w:ilvl w:val="0"/>
          <w:numId w:val="1"/>
        </w:numPr>
        <w:spacing w:before="120" w:after="120"/>
        <w:ind w:left="0" w:right="0" w:hanging="360"/>
        <w:contextualSpacing/>
        <w:jc w:val="both"/>
        <w:rPr>
          <w:rFonts w:ascii="Times New Roman" w:hAnsi="Times New Roman" w:cs="Times New Roman"/>
          <w:sz w:val="20"/>
          <w:szCs w:val="20"/>
        </w:rPr>
      </w:pPr>
      <w:r>
        <w:rPr>
          <w:rFonts w:cs="Times New Roman" w:ascii="Times New Roman" w:hAnsi="Times New Roman"/>
          <w:sz w:val="20"/>
          <w:szCs w:val="20"/>
        </w:rPr>
        <w:t>As sanções aplicáveis restam previstas na Seção 12 – “DAS SANÇÕES” – do edital de credenciamento.</w:t>
      </w:r>
    </w:p>
    <w:p>
      <w:pPr>
        <w:pStyle w:val="Normal"/>
        <w:widowControl w:val="false"/>
        <w:spacing w:before="240" w:after="240"/>
        <w:jc w:val="both"/>
        <w:rPr>
          <w:rFonts w:ascii="Times New Roman" w:hAnsi="Times New Roman" w:cs="Times New Roman"/>
          <w:b/>
          <w:b/>
          <w:sz w:val="20"/>
          <w:szCs w:val="20"/>
          <w:u w:val="single"/>
        </w:rPr>
      </w:pPr>
      <w:r>
        <w:rPr>
          <w:rFonts w:cs="Times New Roman" w:ascii="Times New Roman" w:hAnsi="Times New Roman"/>
          <w:b/>
          <w:sz w:val="20"/>
          <w:szCs w:val="20"/>
          <w:u w:val="single"/>
        </w:rPr>
        <w:t>CLÁUSULA DÉCIMA PRIMEIRA – Da rescisão.</w:t>
      </w:r>
    </w:p>
    <w:p>
      <w:pPr>
        <w:pStyle w:val="Normal"/>
        <w:widowControl w:val="false"/>
        <w:numPr>
          <w:ilvl w:val="0"/>
          <w:numId w:val="1"/>
        </w:numPr>
        <w:spacing w:before="120" w:after="120"/>
        <w:ind w:left="0" w:right="0" w:hanging="360"/>
        <w:jc w:val="both"/>
        <w:rPr>
          <w:rFonts w:ascii="Times New Roman" w:hAnsi="Times New Roman" w:cs="Times New Roman"/>
          <w:sz w:val="20"/>
          <w:szCs w:val="20"/>
        </w:rPr>
      </w:pPr>
      <w:r>
        <w:rPr>
          <w:rFonts w:cs="Times New Roman" w:ascii="Times New Roman" w:hAnsi="Times New Roman"/>
          <w:sz w:val="20"/>
          <w:szCs w:val="20"/>
        </w:rPr>
        <w:t>O presente contrato poderá ser rescindido nas hipóteses da Seção 13 – “DA RESCISÃO” – do edital de credenciamento.</w:t>
      </w:r>
    </w:p>
    <w:p>
      <w:pPr>
        <w:pStyle w:val="Normal"/>
        <w:widowControl w:val="false"/>
        <w:spacing w:before="240" w:after="240"/>
        <w:jc w:val="both"/>
        <w:rPr>
          <w:rFonts w:ascii="Times New Roman" w:hAnsi="Times New Roman" w:cs="Times New Roman"/>
          <w:b/>
          <w:b/>
          <w:sz w:val="20"/>
          <w:szCs w:val="20"/>
          <w:u w:val="single"/>
        </w:rPr>
      </w:pPr>
      <w:r>
        <w:rPr>
          <w:rFonts w:cs="Times New Roman" w:ascii="Times New Roman" w:hAnsi="Times New Roman"/>
          <w:b/>
          <w:sz w:val="20"/>
          <w:szCs w:val="20"/>
          <w:u w:val="single"/>
        </w:rPr>
        <w:t>CLÁUSULA DÉCIMA SEGUNDA – Das obrigações do contratante.</w:t>
      </w:r>
    </w:p>
    <w:p>
      <w:pPr>
        <w:pStyle w:val="ListParagraph"/>
        <w:widowControl w:val="false"/>
        <w:numPr>
          <w:ilvl w:val="0"/>
          <w:numId w:val="1"/>
        </w:numPr>
        <w:spacing w:before="120" w:after="120"/>
        <w:ind w:left="0" w:right="0" w:hanging="360"/>
        <w:contextualSpacing/>
        <w:jc w:val="both"/>
        <w:rPr>
          <w:rFonts w:ascii="Times New Roman" w:hAnsi="Times New Roman" w:cs="Times New Roman"/>
          <w:sz w:val="20"/>
          <w:szCs w:val="20"/>
        </w:rPr>
      </w:pPr>
      <w:r>
        <w:rPr>
          <w:rFonts w:cs="Times New Roman" w:ascii="Times New Roman" w:hAnsi="Times New Roman"/>
          <w:sz w:val="20"/>
          <w:szCs w:val="20"/>
        </w:rPr>
        <w:t>As obrigações constam da Seção 10 – “OBRIGAÇÕES DO CREDENCIANTE” – do edital de credenciamento.</w:t>
      </w:r>
    </w:p>
    <w:p>
      <w:pPr>
        <w:pStyle w:val="Normal"/>
        <w:widowControl w:val="false"/>
        <w:spacing w:before="240" w:after="240"/>
        <w:jc w:val="both"/>
        <w:rPr>
          <w:rFonts w:ascii="Times New Roman" w:hAnsi="Times New Roman" w:cs="Times New Roman"/>
          <w:b/>
          <w:b/>
          <w:sz w:val="20"/>
          <w:szCs w:val="20"/>
          <w:u w:val="single"/>
        </w:rPr>
      </w:pPr>
      <w:r>
        <w:rPr>
          <w:rFonts w:cs="Times New Roman" w:ascii="Times New Roman" w:hAnsi="Times New Roman"/>
          <w:b/>
          <w:sz w:val="20"/>
          <w:szCs w:val="20"/>
          <w:u w:val="single"/>
        </w:rPr>
        <w:t>CLÁUSULA DÉCIMA TERCEIRA – Das obrigações do contratado.</w:t>
      </w:r>
    </w:p>
    <w:p>
      <w:pPr>
        <w:pStyle w:val="ListParagraph"/>
        <w:widowControl w:val="false"/>
        <w:numPr>
          <w:ilvl w:val="0"/>
          <w:numId w:val="1"/>
        </w:numPr>
        <w:spacing w:before="120" w:after="120"/>
        <w:ind w:left="0" w:right="0" w:hanging="360"/>
        <w:contextualSpacing/>
        <w:jc w:val="both"/>
        <w:rPr>
          <w:rFonts w:ascii="Times New Roman" w:hAnsi="Times New Roman" w:cs="Times New Roman"/>
          <w:sz w:val="20"/>
          <w:szCs w:val="20"/>
        </w:rPr>
      </w:pPr>
      <w:r>
        <w:rPr>
          <w:rFonts w:cs="Times New Roman" w:ascii="Times New Roman" w:hAnsi="Times New Roman"/>
          <w:sz w:val="20"/>
          <w:szCs w:val="20"/>
        </w:rPr>
        <w:t>As obrigações constam da Seção 11 – “OBRIGAÇÕES DO CREDENCIADO” – do edital de credenciamento.</w:t>
      </w:r>
    </w:p>
    <w:p>
      <w:pPr>
        <w:pStyle w:val="Normal"/>
        <w:widowControl w:val="false"/>
        <w:spacing w:before="240" w:after="240"/>
        <w:jc w:val="both"/>
        <w:rPr>
          <w:rFonts w:ascii="Times New Roman" w:hAnsi="Times New Roman" w:cs="Times New Roman"/>
          <w:b/>
          <w:b/>
          <w:sz w:val="20"/>
          <w:szCs w:val="20"/>
          <w:u w:val="single"/>
        </w:rPr>
      </w:pPr>
      <w:r>
        <w:rPr>
          <w:rFonts w:cs="Times New Roman" w:ascii="Times New Roman" w:hAnsi="Times New Roman"/>
          <w:b/>
          <w:sz w:val="20"/>
          <w:szCs w:val="20"/>
          <w:u w:val="single"/>
        </w:rPr>
        <w:t>CLÁUSULA DÉCIMA QUARTA – Da negação de remuneração a militares.</w:t>
      </w:r>
    </w:p>
    <w:p>
      <w:pPr>
        <w:pStyle w:val="ListParagraph"/>
        <w:widowControl w:val="false"/>
        <w:numPr>
          <w:ilvl w:val="0"/>
          <w:numId w:val="1"/>
        </w:numPr>
        <w:spacing w:before="120" w:after="120"/>
        <w:ind w:left="0" w:right="0" w:hanging="360"/>
        <w:contextualSpacing/>
        <w:jc w:val="both"/>
        <w:rPr>
          <w:rFonts w:ascii="Times New Roman" w:hAnsi="Times New Roman" w:cs="Times New Roman"/>
          <w:sz w:val="20"/>
          <w:szCs w:val="20"/>
        </w:rPr>
      </w:pPr>
      <w:r>
        <w:rPr>
          <w:rFonts w:cs="Times New Roman" w:ascii="Times New Roman" w:hAnsi="Times New Roman"/>
          <w:sz w:val="20"/>
          <w:szCs w:val="20"/>
        </w:rPr>
        <w:t>O militar, estando na ativa, não poderá receber remuneração, honorários, complementação destes ou pagamento por serviços profissionais prestados ao beneficiário atendido sob a regência do presente Termo de Contrato.</w:t>
      </w:r>
    </w:p>
    <w:p>
      <w:pPr>
        <w:pStyle w:val="Normal"/>
        <w:widowControl w:val="false"/>
        <w:spacing w:before="240" w:after="240"/>
        <w:jc w:val="both"/>
        <w:rPr>
          <w:rFonts w:ascii="Times New Roman" w:hAnsi="Times New Roman" w:cs="Times New Roman"/>
          <w:b/>
          <w:b/>
          <w:sz w:val="20"/>
          <w:szCs w:val="20"/>
          <w:u w:val="single"/>
        </w:rPr>
      </w:pPr>
      <w:r>
        <w:rPr>
          <w:rFonts w:cs="Times New Roman" w:ascii="Times New Roman" w:hAnsi="Times New Roman"/>
          <w:b/>
          <w:sz w:val="20"/>
          <w:szCs w:val="20"/>
          <w:u w:val="single"/>
        </w:rPr>
        <w:t>CLÁUSULA DÉCIMA QUINTA – Da subcontratação.</w:t>
      </w:r>
    </w:p>
    <w:p>
      <w:pPr>
        <w:pStyle w:val="ListParagraph"/>
        <w:widowControl w:val="false"/>
        <w:numPr>
          <w:ilvl w:val="0"/>
          <w:numId w:val="1"/>
        </w:numPr>
        <w:spacing w:before="120" w:after="120"/>
        <w:ind w:left="0" w:right="0" w:hanging="360"/>
        <w:contextualSpacing/>
        <w:jc w:val="both"/>
        <w:rPr>
          <w:rFonts w:ascii="Times New Roman" w:hAnsi="Times New Roman" w:cs="Times New Roman"/>
          <w:sz w:val="20"/>
          <w:szCs w:val="20"/>
          <w:highlight w:val="white"/>
        </w:rPr>
      </w:pPr>
      <w:r>
        <w:rPr>
          <w:rFonts w:cs="Times New Roman" w:ascii="Times New Roman" w:hAnsi="Times New Roman"/>
          <w:sz w:val="20"/>
          <w:szCs w:val="20"/>
          <w:shd w:fill="FFFFFF" w:val="clear"/>
        </w:rPr>
        <w:t xml:space="preserve">É vedado à CONTRATADA delegar ou transferir a terceiros, no todo ou em parte, os serviços objeto deste Termo de Contrato. </w:t>
      </w:r>
    </w:p>
    <w:p>
      <w:pPr>
        <w:pStyle w:val="ListParagraph"/>
        <w:widowControl w:val="false"/>
        <w:spacing w:before="120" w:after="120"/>
        <w:ind w:left="0" w:right="0" w:hanging="0"/>
        <w:contextualSpacing/>
        <w:jc w:val="both"/>
        <w:rPr>
          <w:rFonts w:ascii="Times New Roman" w:hAnsi="Times New Roman" w:cs="Times New Roman"/>
          <w:b/>
          <w:b/>
          <w:sz w:val="20"/>
          <w:szCs w:val="20"/>
          <w:u w:val="single"/>
        </w:rPr>
      </w:pPr>
      <w:r>
        <w:rPr>
          <w:rFonts w:cs="Times New Roman" w:ascii="Times New Roman" w:hAnsi="Times New Roman"/>
          <w:b/>
          <w:sz w:val="20"/>
          <w:szCs w:val="20"/>
          <w:u w:val="single"/>
        </w:rPr>
        <w:t>CLÁUSULA DÉCIMA SEXTA – Do valor do contrato.</w:t>
      </w:r>
    </w:p>
    <w:p>
      <w:pPr>
        <w:pStyle w:val="ListParagraph"/>
        <w:widowControl w:val="false"/>
        <w:numPr>
          <w:ilvl w:val="0"/>
          <w:numId w:val="1"/>
        </w:numPr>
        <w:spacing w:before="120" w:after="120"/>
        <w:ind w:left="0" w:right="0" w:hanging="360"/>
        <w:contextualSpacing/>
        <w:jc w:val="both"/>
        <w:rPr>
          <w:rFonts w:ascii="Times New Roman" w:hAnsi="Times New Roman" w:cs="Times New Roman"/>
          <w:sz w:val="20"/>
          <w:szCs w:val="20"/>
        </w:rPr>
      </w:pPr>
      <w:r>
        <w:rPr>
          <w:rFonts w:cs="Times New Roman" w:ascii="Times New Roman" w:hAnsi="Times New Roman"/>
          <w:sz w:val="20"/>
          <w:szCs w:val="20"/>
        </w:rPr>
        <w:t>O valor global estimado para fazer face às despesas relativas ao objeto deste contrato terá como base o levantamento estimativo dos encaminhamentos que foram realizados nos últimos doze meses pelo 7º Regimento de Cavalaria Mecanizado, nos contratos anteriores.</w:t>
      </w:r>
    </w:p>
    <w:p>
      <w:pPr>
        <w:pStyle w:val="ListParagraph"/>
        <w:widowControl w:val="false"/>
        <w:numPr>
          <w:ilvl w:val="1"/>
          <w:numId w:val="1"/>
        </w:numPr>
        <w:spacing w:before="120" w:after="120"/>
        <w:ind w:left="680" w:right="0" w:hanging="432"/>
        <w:contextualSpacing/>
        <w:jc w:val="both"/>
        <w:rPr>
          <w:rFonts w:ascii="Times New Roman" w:hAnsi="Times New Roman" w:cs="Times New Roman"/>
          <w:sz w:val="20"/>
          <w:szCs w:val="20"/>
        </w:rPr>
      </w:pPr>
      <w:r>
        <w:rPr>
          <w:rFonts w:cs="Times New Roman" w:ascii="Times New Roman" w:hAnsi="Times New Roman"/>
          <w:sz w:val="20"/>
          <w:szCs w:val="20"/>
        </w:rPr>
        <w:t>O valor estimado deste contrato deverá ser tratado apenas como dado estatístico, fruto da evolução da despesa no período citado, bem como forma de determinar a base de cálculo para aplicação de penalidades previstas neste contrato;</w:t>
      </w:r>
    </w:p>
    <w:p>
      <w:pPr>
        <w:pStyle w:val="ListParagraph"/>
        <w:widowControl w:val="false"/>
        <w:numPr>
          <w:ilvl w:val="1"/>
          <w:numId w:val="1"/>
        </w:numPr>
        <w:spacing w:before="120" w:after="120"/>
        <w:ind w:left="680" w:right="0" w:hanging="432"/>
        <w:contextualSpacing/>
        <w:jc w:val="both"/>
        <w:rPr>
          <w:rFonts w:ascii="Times New Roman" w:hAnsi="Times New Roman" w:cs="Times New Roman"/>
          <w:sz w:val="20"/>
          <w:szCs w:val="20"/>
        </w:rPr>
      </w:pPr>
      <w:r>
        <w:rPr>
          <w:rFonts w:cs="Times New Roman" w:ascii="Times New Roman" w:hAnsi="Times New Roman"/>
          <w:sz w:val="20"/>
          <w:szCs w:val="20"/>
        </w:rPr>
        <w:t>O valor estimado deste contrato não poderá servir de base rígida para a apresentação da Nota Fiscal/Fatura Mensal, já que o total de gastos do mês dependerá dos atendimentos e serviços prestados no respectivo período;</w:t>
      </w:r>
    </w:p>
    <w:p>
      <w:pPr>
        <w:pStyle w:val="ListParagraph"/>
        <w:widowControl w:val="false"/>
        <w:numPr>
          <w:ilvl w:val="1"/>
          <w:numId w:val="1"/>
        </w:numPr>
        <w:spacing w:before="120" w:after="120"/>
        <w:ind w:left="680" w:right="0" w:hanging="432"/>
        <w:contextualSpacing/>
        <w:jc w:val="both"/>
        <w:rPr>
          <w:rFonts w:ascii="Times New Roman" w:hAnsi="Times New Roman" w:cs="Times New Roman"/>
          <w:sz w:val="20"/>
          <w:szCs w:val="20"/>
        </w:rPr>
      </w:pPr>
      <w:r>
        <w:rPr>
          <w:rFonts w:cs="Times New Roman" w:ascii="Times New Roman" w:hAnsi="Times New Roman"/>
          <w:sz w:val="20"/>
          <w:szCs w:val="20"/>
        </w:rPr>
        <w:t>O CONTRATADO aquiesce, desde já, a redução do valor do contrato a monta realmente executada, ainda que acarrete redução, para além do limite permitido no art. 125 da Lei nº 14.133, de 2021, observado que inexistirá expectativa de direto quanto ao valor estimado.</w:t>
      </w:r>
    </w:p>
    <w:p>
      <w:pPr>
        <w:pStyle w:val="Normal"/>
        <w:widowControl w:val="false"/>
        <w:spacing w:before="240" w:after="240"/>
        <w:jc w:val="both"/>
        <w:rPr>
          <w:rFonts w:ascii="Times New Roman" w:hAnsi="Times New Roman" w:cs="Times New Roman"/>
          <w:b/>
          <w:b/>
          <w:sz w:val="20"/>
          <w:szCs w:val="20"/>
          <w:u w:val="single"/>
        </w:rPr>
      </w:pPr>
      <w:r>
        <w:rPr>
          <w:rFonts w:cs="Times New Roman" w:ascii="Times New Roman" w:hAnsi="Times New Roman"/>
          <w:b/>
          <w:sz w:val="20"/>
          <w:szCs w:val="20"/>
          <w:u w:val="single"/>
        </w:rPr>
        <w:t>CLÁUSULA DÉCIMA SÉTIMA - Obrigações pertinentes à LGPD</w:t>
      </w:r>
    </w:p>
    <w:p>
      <w:pPr>
        <w:pStyle w:val="ListParagraph"/>
        <w:widowControl w:val="false"/>
        <w:bidi w:val="0"/>
        <w:spacing w:lineRule="auto" w:line="276" w:before="120" w:after="120"/>
        <w:ind w:left="0" w:right="0" w:hanging="0"/>
        <w:contextualSpacing/>
        <w:jc w:val="both"/>
        <w:rPr>
          <w:rFonts w:ascii="Times New Roman" w:hAnsi="Times New Roman" w:cs="Times New Roman"/>
          <w:bCs/>
          <w:sz w:val="20"/>
          <w:szCs w:val="20"/>
        </w:rPr>
      </w:pPr>
      <w:r>
        <w:rPr>
          <w:rFonts w:cs="Times New Roman" w:ascii="Times New Roman" w:hAnsi="Times New Roman"/>
          <w:bCs/>
          <w:sz w:val="20"/>
          <w:szCs w:val="20"/>
        </w:rPr>
        <w:t xml:space="preserve">42.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pPr>
        <w:pStyle w:val="ListParagraph"/>
        <w:widowControl w:val="false"/>
        <w:bidi w:val="0"/>
        <w:spacing w:lineRule="auto" w:line="276" w:before="120" w:after="120"/>
        <w:ind w:left="0" w:right="0" w:hanging="0"/>
        <w:contextualSpacing/>
        <w:jc w:val="both"/>
        <w:rPr>
          <w:rFonts w:ascii="Times New Roman" w:hAnsi="Times New Roman" w:cs="Times New Roman"/>
          <w:bCs/>
          <w:sz w:val="20"/>
          <w:szCs w:val="20"/>
        </w:rPr>
      </w:pPr>
      <w:r>
        <w:rPr>
          <w:rFonts w:cs="Times New Roman" w:ascii="Times New Roman" w:hAnsi="Times New Roman"/>
          <w:bCs/>
          <w:sz w:val="20"/>
          <w:szCs w:val="20"/>
        </w:rPr>
        <w:t xml:space="preserve">43. Os dados obtidos somente poderão ser utilizados para as finalidades que justificaram seu acesso e de acordo com a boa-fé e com os princípios do art. 6º da LGPD. </w:t>
      </w:r>
    </w:p>
    <w:p>
      <w:pPr>
        <w:pStyle w:val="ListParagraph"/>
        <w:widowControl w:val="false"/>
        <w:bidi w:val="0"/>
        <w:spacing w:lineRule="auto" w:line="276" w:before="120" w:after="120"/>
        <w:ind w:left="0" w:right="0" w:hanging="0"/>
        <w:contextualSpacing/>
        <w:jc w:val="both"/>
        <w:rPr>
          <w:rFonts w:ascii="Times New Roman" w:hAnsi="Times New Roman" w:cs="Times New Roman"/>
          <w:bCs/>
          <w:sz w:val="20"/>
          <w:szCs w:val="20"/>
        </w:rPr>
      </w:pPr>
      <w:r>
        <w:rPr>
          <w:rFonts w:cs="Times New Roman" w:ascii="Times New Roman" w:hAnsi="Times New Roman"/>
          <w:bCs/>
          <w:sz w:val="20"/>
          <w:szCs w:val="20"/>
        </w:rPr>
        <w:t>44. É vedado o compartilhamento com terceiros dos dados obtidos fora das hipóteses permitidas em Lei.</w:t>
      </w:r>
    </w:p>
    <w:p>
      <w:pPr>
        <w:pStyle w:val="ListParagraph"/>
        <w:widowControl w:val="false"/>
        <w:bidi w:val="0"/>
        <w:spacing w:lineRule="auto" w:line="276" w:before="120" w:after="120"/>
        <w:ind w:left="0" w:right="0" w:hanging="0"/>
        <w:contextualSpacing/>
        <w:jc w:val="both"/>
        <w:rPr>
          <w:rFonts w:ascii="Times New Roman" w:hAnsi="Times New Roman" w:cs="Times New Roman"/>
          <w:bCs/>
          <w:sz w:val="20"/>
          <w:szCs w:val="20"/>
        </w:rPr>
      </w:pPr>
      <w:r>
        <w:rPr>
          <w:rFonts w:cs="Times New Roman" w:ascii="Times New Roman" w:hAnsi="Times New Roman"/>
          <w:bCs/>
          <w:sz w:val="20"/>
          <w:szCs w:val="20"/>
        </w:rPr>
        <w:t xml:space="preserve">45. A Administração deverá ser informada no prazo de 5 (cinco) dias úteis sobre todos os contratos de suboperação firmados ou que venham a ser celebrados pelo Contratado. </w:t>
      </w:r>
    </w:p>
    <w:p>
      <w:pPr>
        <w:pStyle w:val="ListParagraph"/>
        <w:widowControl w:val="false"/>
        <w:bidi w:val="0"/>
        <w:spacing w:lineRule="auto" w:line="276" w:before="120" w:after="120"/>
        <w:ind w:left="0" w:right="0" w:hanging="0"/>
        <w:contextualSpacing/>
        <w:jc w:val="both"/>
        <w:rPr>
          <w:rFonts w:ascii="Times New Roman" w:hAnsi="Times New Roman" w:cs="Times New Roman"/>
          <w:bCs/>
          <w:sz w:val="20"/>
          <w:szCs w:val="20"/>
        </w:rPr>
      </w:pPr>
      <w:r>
        <w:rPr>
          <w:rFonts w:cs="Times New Roman" w:ascii="Times New Roman" w:hAnsi="Times New Roman"/>
          <w:bCs/>
          <w:sz w:val="20"/>
          <w:szCs w:val="20"/>
        </w:rPr>
        <w:t xml:space="preserve">46.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pPr>
        <w:pStyle w:val="ListParagraph"/>
        <w:widowControl w:val="false"/>
        <w:bidi w:val="0"/>
        <w:spacing w:lineRule="auto" w:line="276" w:before="120" w:after="120"/>
        <w:ind w:left="0" w:right="0" w:hanging="0"/>
        <w:contextualSpacing/>
        <w:jc w:val="both"/>
        <w:rPr>
          <w:rFonts w:ascii="Times New Roman" w:hAnsi="Times New Roman" w:cs="Times New Roman"/>
          <w:bCs/>
          <w:sz w:val="20"/>
          <w:szCs w:val="20"/>
        </w:rPr>
      </w:pPr>
      <w:r>
        <w:rPr>
          <w:rFonts w:cs="Times New Roman" w:ascii="Times New Roman" w:hAnsi="Times New Roman"/>
          <w:bCs/>
          <w:sz w:val="20"/>
          <w:szCs w:val="20"/>
        </w:rPr>
        <w:t xml:space="preserve">47. É dever do contratado orientar e treinar seus empregados sobre os deveres, requisitos e responsabilidades decorrentes da LGPD. </w:t>
      </w:r>
    </w:p>
    <w:p>
      <w:pPr>
        <w:pStyle w:val="ListParagraph"/>
        <w:widowControl w:val="false"/>
        <w:bidi w:val="0"/>
        <w:spacing w:lineRule="auto" w:line="276" w:before="120" w:after="120"/>
        <w:ind w:left="0" w:right="0" w:hanging="0"/>
        <w:contextualSpacing/>
        <w:jc w:val="both"/>
        <w:rPr>
          <w:rFonts w:ascii="Times New Roman" w:hAnsi="Times New Roman" w:cs="Times New Roman"/>
          <w:bCs/>
          <w:sz w:val="20"/>
          <w:szCs w:val="20"/>
        </w:rPr>
      </w:pPr>
      <w:r>
        <w:rPr>
          <w:rFonts w:cs="Times New Roman" w:ascii="Times New Roman" w:hAnsi="Times New Roman"/>
          <w:bCs/>
          <w:sz w:val="20"/>
          <w:szCs w:val="20"/>
        </w:rPr>
        <w:t>48. O Contratado deverá exigir de suboperadores e subcontratados o cumprimento dos deveres da presente cláusula, permanecendo integralmente responsável por garantir sua observância.</w:t>
      </w:r>
    </w:p>
    <w:p>
      <w:pPr>
        <w:pStyle w:val="ListParagraph"/>
        <w:widowControl w:val="false"/>
        <w:bidi w:val="0"/>
        <w:spacing w:lineRule="auto" w:line="276" w:before="120" w:after="120"/>
        <w:ind w:left="0" w:right="0" w:hanging="0"/>
        <w:contextualSpacing/>
        <w:jc w:val="both"/>
        <w:rPr>
          <w:rFonts w:ascii="Times New Roman" w:hAnsi="Times New Roman" w:cs="Times New Roman"/>
          <w:bCs/>
          <w:sz w:val="20"/>
          <w:szCs w:val="20"/>
        </w:rPr>
      </w:pPr>
      <w:r>
        <w:rPr>
          <w:rFonts w:cs="Times New Roman" w:ascii="Times New Roman" w:hAnsi="Times New Roman"/>
          <w:bCs/>
          <w:sz w:val="20"/>
          <w:szCs w:val="20"/>
        </w:rPr>
        <w:t xml:space="preserve">49. O Contratante poderá realizar diligência para aferir o cumprimento dessa cláusula, devendo o Contratado atender prontamente eventuais pedidos de comprovação formulados. </w:t>
      </w:r>
    </w:p>
    <w:p>
      <w:pPr>
        <w:pStyle w:val="ListParagraph"/>
        <w:widowControl w:val="false"/>
        <w:bidi w:val="0"/>
        <w:spacing w:lineRule="auto" w:line="276" w:before="120" w:after="120"/>
        <w:ind w:left="0" w:right="0" w:hanging="0"/>
        <w:contextualSpacing/>
        <w:jc w:val="both"/>
        <w:rPr>
          <w:rFonts w:ascii="Times New Roman" w:hAnsi="Times New Roman" w:cs="Times New Roman"/>
          <w:bCs/>
          <w:sz w:val="20"/>
          <w:szCs w:val="20"/>
        </w:rPr>
      </w:pPr>
      <w:r>
        <w:rPr>
          <w:rFonts w:cs="Times New Roman" w:ascii="Times New Roman" w:hAnsi="Times New Roman"/>
          <w:bCs/>
          <w:sz w:val="20"/>
          <w:szCs w:val="20"/>
        </w:rPr>
        <w:t xml:space="preserve">50. O Contratado deverá prestar, no prazo fixado pelo Contratante, prorrogável justificadamente, quaisquer informações acerca dos dados pessoais para cumprimento da LGPD, inclusive quanto a eventual descarte realizado. </w:t>
      </w:r>
    </w:p>
    <w:p>
      <w:pPr>
        <w:pStyle w:val="ListParagraph"/>
        <w:widowControl w:val="false"/>
        <w:bidi w:val="0"/>
        <w:spacing w:lineRule="auto" w:line="276" w:before="120" w:after="120"/>
        <w:ind w:left="0" w:right="0" w:hanging="0"/>
        <w:contextualSpacing/>
        <w:jc w:val="both"/>
        <w:rPr>
          <w:rFonts w:ascii="Times New Roman" w:hAnsi="Times New Roman" w:cs="Times New Roman"/>
          <w:bCs/>
          <w:sz w:val="20"/>
          <w:szCs w:val="20"/>
        </w:rPr>
      </w:pPr>
      <w:r>
        <w:rPr>
          <w:rFonts w:cs="Times New Roman" w:ascii="Times New Roman" w:hAnsi="Times New Roman"/>
          <w:bCs/>
          <w:sz w:val="20"/>
          <w:szCs w:val="20"/>
        </w:rPr>
        <w:t>51.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pPr>
        <w:pStyle w:val="Normal"/>
        <w:widowControl w:val="false"/>
        <w:bidi w:val="0"/>
        <w:spacing w:lineRule="auto" w:line="276" w:before="120" w:after="120"/>
        <w:ind w:left="0" w:right="0" w:hanging="0"/>
        <w:jc w:val="both"/>
        <w:rPr>
          <w:rFonts w:ascii="Times New Roman" w:hAnsi="Times New Roman" w:cs="Times New Roman"/>
          <w:bCs/>
          <w:sz w:val="20"/>
          <w:szCs w:val="20"/>
        </w:rPr>
      </w:pPr>
      <w:r>
        <w:rPr>
          <w:rFonts w:cs="Times New Roman" w:ascii="Times New Roman" w:hAnsi="Times New Roman"/>
          <w:bCs/>
          <w:sz w:val="20"/>
          <w:szCs w:val="20"/>
        </w:rPr>
        <w:t>51.1. Os referidos bancos de dados devem ser desenvolvidos em formato interoperável, a fim de garantir a reutilização desses dados pela Administração nas hipóteses previstas na LGPD.</w:t>
      </w:r>
    </w:p>
    <w:p>
      <w:pPr>
        <w:pStyle w:val="ListParagraph"/>
        <w:widowControl w:val="false"/>
        <w:bidi w:val="0"/>
        <w:spacing w:lineRule="auto" w:line="276" w:before="120" w:after="120"/>
        <w:ind w:left="0" w:right="0" w:hanging="0"/>
        <w:contextualSpacing/>
        <w:jc w:val="both"/>
        <w:rPr>
          <w:rFonts w:ascii="Times New Roman" w:hAnsi="Times New Roman" w:cs="Times New Roman"/>
          <w:bCs/>
          <w:sz w:val="20"/>
          <w:szCs w:val="20"/>
        </w:rPr>
      </w:pPr>
      <w:r>
        <w:rPr>
          <w:rFonts w:cs="Times New Roman" w:ascii="Times New Roman" w:hAnsi="Times New Roman"/>
          <w:bCs/>
          <w:sz w:val="20"/>
          <w:szCs w:val="20"/>
        </w:rPr>
        <w:t>52. O contrato está sujeito a ser alterado nos procedimentos pertinentes ao tratamento de dados pessoais, quando indicado pela autoridade competente, em especial a ANPD por meio de opiniões técnicas ou recomendações, editadas na forma da LGPD.</w:t>
      </w:r>
    </w:p>
    <w:p>
      <w:pPr>
        <w:pStyle w:val="ListParagraph"/>
        <w:widowControl w:val="false"/>
        <w:bidi w:val="0"/>
        <w:spacing w:lineRule="auto" w:line="276" w:before="120" w:after="120"/>
        <w:ind w:left="0" w:right="0" w:hanging="0"/>
        <w:contextualSpacing/>
        <w:jc w:val="both"/>
        <w:rPr>
          <w:rFonts w:ascii="Times New Roman" w:hAnsi="Times New Roman" w:cs="Times New Roman"/>
          <w:bCs/>
          <w:sz w:val="20"/>
          <w:szCs w:val="20"/>
        </w:rPr>
      </w:pPr>
      <w:r>
        <w:rPr>
          <w:rFonts w:cs="Times New Roman" w:ascii="Times New Roman" w:hAnsi="Times New Roman"/>
          <w:bCs/>
          <w:sz w:val="20"/>
          <w:szCs w:val="20"/>
        </w:rPr>
        <w:t>53. Os contratos e convênios de que trata o § 1º do art. 26 da LGPD deverão ser comunicados à autoridade nacional.</w:t>
      </w:r>
    </w:p>
    <w:p>
      <w:pPr>
        <w:pStyle w:val="Normal"/>
        <w:widowControl w:val="false"/>
        <w:spacing w:before="240" w:after="240"/>
        <w:jc w:val="both"/>
        <w:rPr>
          <w:rFonts w:ascii="Times New Roman" w:hAnsi="Times New Roman" w:cs="Times New Roman"/>
          <w:b/>
          <w:b/>
          <w:sz w:val="20"/>
          <w:szCs w:val="20"/>
          <w:u w:val="single"/>
        </w:rPr>
      </w:pPr>
      <w:r>
        <w:rPr>
          <w:rFonts w:cs="Times New Roman" w:ascii="Times New Roman" w:hAnsi="Times New Roman"/>
          <w:b/>
          <w:sz w:val="20"/>
          <w:szCs w:val="20"/>
          <w:u w:val="single"/>
        </w:rPr>
        <w:t>CLÁUSULA DÉCIMA OITAVA – Do foro.</w:t>
      </w:r>
    </w:p>
    <w:p>
      <w:pPr>
        <w:pStyle w:val="ListParagraph"/>
        <w:widowControl w:val="false"/>
        <w:spacing w:before="120" w:after="120"/>
        <w:ind w:left="0" w:right="0" w:hanging="0"/>
        <w:contextualSpacing/>
        <w:jc w:val="both"/>
        <w:rPr>
          <w:rFonts w:ascii="Times New Roman" w:hAnsi="Times New Roman" w:cs="Times New Roman"/>
          <w:sz w:val="20"/>
          <w:szCs w:val="20"/>
        </w:rPr>
      </w:pPr>
      <w:bookmarkStart w:id="1" w:name="_Hlk158891520"/>
      <w:r>
        <w:rPr>
          <w:rFonts w:cs="Times New Roman" w:ascii="Times New Roman" w:hAnsi="Times New Roman"/>
          <w:sz w:val="20"/>
          <w:szCs w:val="20"/>
        </w:rPr>
        <w:t>5</w:t>
      </w:r>
      <w:bookmarkEnd w:id="1"/>
      <w:r>
        <w:rPr>
          <w:rFonts w:cs="Times New Roman" w:ascii="Times New Roman" w:hAnsi="Times New Roman"/>
          <w:sz w:val="20"/>
          <w:szCs w:val="20"/>
        </w:rPr>
        <w:t xml:space="preserve">4. O foro para dirimir questões relativas ao presente contrato será o do município de </w:t>
      </w:r>
      <w:r>
        <w:rPr>
          <w:rFonts w:cs="Times New Roman" w:ascii="Times New Roman" w:hAnsi="Times New Roman"/>
          <w:sz w:val="20"/>
          <w:szCs w:val="20"/>
          <w:shd w:fill="FFFFFF" w:val="clear"/>
        </w:rPr>
        <w:t>Sant'Ana do Livramento</w:t>
      </w:r>
      <w:r>
        <w:rPr>
          <w:rFonts w:eastAsia="" w:cs="Times New Roman" w:ascii="Times New Roman" w:hAnsi="Times New Roman"/>
          <w:sz w:val="20"/>
          <w:szCs w:val="20"/>
          <w:shd w:fill="FFFFFF" w:val="clear"/>
          <w:lang w:eastAsia="pt-BR"/>
        </w:rPr>
        <w:t>/RS</w:t>
      </w:r>
      <w:r>
        <w:rPr>
          <w:rFonts w:cs="Times New Roman" w:ascii="Times New Roman" w:hAnsi="Times New Roman"/>
          <w:sz w:val="20"/>
          <w:szCs w:val="20"/>
          <w:shd w:fill="FFFFFF" w:val="clear"/>
        </w:rPr>
        <w:t xml:space="preserve">, </w:t>
      </w:r>
      <w:r>
        <w:rPr>
          <w:rFonts w:cs="Times New Roman" w:ascii="Times New Roman" w:hAnsi="Times New Roman"/>
          <w:sz w:val="20"/>
          <w:szCs w:val="20"/>
        </w:rPr>
        <w:t>com exclusão de qualquer outro, por mais privilegiado que seja.</w:t>
      </w:r>
    </w:p>
    <w:p>
      <w:pPr>
        <w:pStyle w:val="ListParagraph"/>
        <w:widowControl w:val="false"/>
        <w:spacing w:before="120" w:after="120"/>
        <w:ind w:left="0" w:right="0" w:hanging="0"/>
        <w:contextualSpacing/>
        <w:jc w:val="both"/>
        <w:rPr>
          <w:rFonts w:ascii="Times New Roman" w:hAnsi="Times New Roman" w:cs="Times New Roman"/>
          <w:sz w:val="20"/>
          <w:szCs w:val="20"/>
        </w:rPr>
      </w:pPr>
      <w:r>
        <w:rPr>
          <w:rFonts w:cs="Times New Roman" w:ascii="Times New Roman" w:hAnsi="Times New Roman"/>
          <w:sz w:val="20"/>
          <w:szCs w:val="20"/>
        </w:rPr>
        <w:t>55. E, por estarem justos e contratados, preparam o presente Termo de Contrato, em 4 (quatro) vias de igual teor, para um só efeito, o qual, depois de lido e achado conforme, vai assinado pelas partes signatárias contratantes e por duas testemunhas, para que produza seus efeitos legais, comprometendo-se as partes, a cumprir e fazer cumprir o que ora é pactuado, em todas suas cláusulas e condições.</w:t>
      </w:r>
    </w:p>
    <w:p>
      <w:pPr>
        <w:pStyle w:val="Normal"/>
        <w:rPr>
          <w:rFonts w:ascii="Times New Roman" w:hAnsi="Times New Roman" w:cs="Times New Roman"/>
          <w:b/>
          <w:b/>
          <w:bCs/>
          <w:sz w:val="20"/>
          <w:szCs w:val="20"/>
        </w:rPr>
      </w:pPr>
      <w:r>
        <w:rPr>
          <w:rFonts w:cs="Times New Roman" w:ascii="Times New Roman" w:hAnsi="Times New Roman"/>
          <w:b/>
          <w:bCs/>
          <w:sz w:val="20"/>
          <w:szCs w:val="20"/>
        </w:rPr>
      </w:r>
    </w:p>
    <w:p>
      <w:pPr>
        <w:pStyle w:val="Normal"/>
        <w:widowControl w:val="false"/>
        <w:spacing w:before="120" w:after="120"/>
        <w:jc w:val="center"/>
        <w:rPr>
          <w:rFonts w:ascii="Times New Roman" w:hAnsi="Times New Roman" w:cs="Times New Roman"/>
          <w:sz w:val="20"/>
          <w:szCs w:val="20"/>
        </w:rPr>
      </w:pPr>
      <w:r>
        <w:rPr>
          <w:rFonts w:eastAsia="" w:cs="Times New Roman" w:ascii="Times New Roman" w:hAnsi="Times New Roman"/>
          <w:sz w:val="20"/>
          <w:szCs w:val="20"/>
          <w:shd w:fill="FFFFFF" w:val="clear"/>
          <w:lang w:eastAsia="pt-BR"/>
        </w:rPr>
        <w:t>Sant'Ana do Livramento/RS</w:t>
      </w:r>
      <w:r>
        <w:rPr>
          <w:rFonts w:cs="Times New Roman" w:ascii="Times New Roman" w:hAnsi="Times New Roman"/>
          <w:sz w:val="20"/>
          <w:szCs w:val="20"/>
          <w:shd w:fill="FFFFFF" w:val="clear"/>
        </w:rPr>
        <w:t>, ___ de _____________ de 20___</w:t>
      </w:r>
      <w:r>
        <w:rPr>
          <w:rFonts w:cs="Times New Roman" w:ascii="Times New Roman" w:hAnsi="Times New Roman"/>
          <w:sz w:val="20"/>
          <w:szCs w:val="20"/>
        </w:rPr>
        <w:t>.</w:t>
      </w:r>
    </w:p>
    <w:p>
      <w:pPr>
        <w:pStyle w:val="Normal"/>
        <w:widowControl w:val="false"/>
        <w:spacing w:before="120" w:after="120"/>
        <w:jc w:val="center"/>
        <w:rPr>
          <w:rFonts w:ascii="Times New Roman" w:hAnsi="Times New Roman" w:cs="Times New Roman"/>
          <w:sz w:val="20"/>
          <w:szCs w:val="20"/>
        </w:rPr>
      </w:pPr>
      <w:r>
        <w:rPr>
          <w:rFonts w:cs="Times New Roman" w:ascii="Times New Roman" w:hAnsi="Times New Roman"/>
          <w:sz w:val="20"/>
          <w:szCs w:val="20"/>
        </w:rPr>
      </w:r>
    </w:p>
    <w:p>
      <w:pPr>
        <w:pStyle w:val="Normal"/>
        <w:widowControl w:val="false"/>
        <w:spacing w:before="120" w:after="120"/>
        <w:jc w:val="center"/>
        <w:rPr>
          <w:rFonts w:ascii="Times New Roman" w:hAnsi="Times New Roman" w:cs="Times New Roman"/>
          <w:sz w:val="20"/>
          <w:szCs w:val="20"/>
        </w:rPr>
      </w:pPr>
      <w:r>
        <w:rPr>
          <w:rFonts w:cs="Times New Roman" w:ascii="Times New Roman" w:hAnsi="Times New Roman"/>
          <w:sz w:val="20"/>
          <w:szCs w:val="20"/>
        </w:rPr>
        <w:t>Pelo CONTRATANTE:</w:t>
      </w:r>
    </w:p>
    <w:p>
      <w:pPr>
        <w:pStyle w:val="Normal"/>
        <w:widowControl w:val="false"/>
        <w:spacing w:before="120" w:after="120"/>
        <w:jc w:val="center"/>
        <w:rPr>
          <w:rFonts w:ascii="Times New Roman" w:hAnsi="Times New Roman" w:cs="Times New Roman"/>
          <w:b/>
          <w:b/>
          <w:bCs/>
          <w:sz w:val="20"/>
          <w:szCs w:val="20"/>
          <w:highlight w:val="white"/>
        </w:rPr>
      </w:pPr>
      <w:r>
        <w:rPr>
          <w:rFonts w:cs="Times New Roman" w:ascii="Times New Roman" w:hAnsi="Times New Roman"/>
          <w:b/>
          <w:bCs/>
          <w:sz w:val="20"/>
          <w:szCs w:val="20"/>
          <w:shd w:fill="FFFFFF" w:val="clear"/>
        </w:rPr>
        <w:t>____________________________________________</w:t>
      </w:r>
    </w:p>
    <w:p>
      <w:pPr>
        <w:pStyle w:val="Normal"/>
        <w:widowControl w:val="false"/>
        <w:spacing w:before="120" w:after="12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Ordenador de Despesas do 7º R C Mec</w:t>
      </w:r>
    </w:p>
    <w:p>
      <w:pPr>
        <w:pStyle w:val="Normal"/>
        <w:widowControl w:val="false"/>
        <w:tabs>
          <w:tab w:val="clear" w:pos="680"/>
          <w:tab w:val="left" w:pos="4560" w:leader="none"/>
        </w:tabs>
        <w:spacing w:before="120" w:after="12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Pelo CONTRATADO:</w:t>
      </w:r>
    </w:p>
    <w:p>
      <w:pPr>
        <w:pStyle w:val="Normal"/>
        <w:widowControl w:val="false"/>
        <w:tabs>
          <w:tab w:val="clear" w:pos="680"/>
          <w:tab w:val="left" w:pos="4560" w:leader="none"/>
        </w:tabs>
        <w:spacing w:before="120" w:after="12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_________________________________</w:t>
      </w:r>
    </w:p>
    <w:p>
      <w:pPr>
        <w:pStyle w:val="Normal"/>
        <w:widowControl w:val="false"/>
        <w:tabs>
          <w:tab w:val="clear" w:pos="680"/>
          <w:tab w:val="left" w:pos="4560" w:leader="none"/>
        </w:tabs>
        <w:spacing w:before="120" w:after="12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Representante legal</w:t>
      </w:r>
    </w:p>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t>TESTEMUNHAS:</w:t>
      </w:r>
    </w:p>
    <w:p>
      <w:pPr>
        <w:pStyle w:val="Normal"/>
        <w:rPr>
          <w:rFonts w:ascii="Times New Roman" w:hAnsi="Times New Roman" w:cs="Times New Roman"/>
          <w:b/>
          <w:b/>
          <w:bCs/>
          <w:sz w:val="20"/>
          <w:szCs w:val="20"/>
        </w:rPr>
      </w:pPr>
      <w:r>
        <w:rPr>
          <w:rFonts w:cs="Times New Roman" w:ascii="Times New Roman" w:hAnsi="Times New Roman"/>
          <w:b/>
          <w:bCs/>
          <w:sz w:val="20"/>
          <w:szCs w:val="20"/>
        </w:rPr>
      </w:r>
    </w:p>
    <w:p>
      <w:pPr>
        <w:pStyle w:val="Corpodotexto"/>
        <w:spacing w:lineRule="auto" w:line="276" w:before="120" w:after="120"/>
        <w:jc w:val="center"/>
        <w:rPr>
          <w:bCs/>
          <w:sz w:val="20"/>
        </w:rPr>
      </w:pPr>
      <w:r>
        <w:rPr>
          <w:bCs/>
          <w:sz w:val="20"/>
        </w:rPr>
      </w:r>
      <w:r>
        <w:br w:type="page"/>
      </w:r>
    </w:p>
    <w:p>
      <w:pPr>
        <w:pStyle w:val="Corpodotexto"/>
        <w:spacing w:lineRule="auto" w:line="276" w:before="120" w:after="120"/>
        <w:jc w:val="center"/>
        <w:rPr>
          <w:bCs/>
          <w:sz w:val="20"/>
        </w:rPr>
      </w:pPr>
      <w:r>
        <w:rPr>
          <w:bCs/>
          <w:sz w:val="20"/>
        </w:rPr>
        <w:t>ANEXO I à Minuta de Contrato para Clínicas Odontológicas</w:t>
      </w:r>
    </w:p>
    <w:p>
      <w:pPr>
        <w:pStyle w:val="Normal"/>
        <w:widowControl w:val="false"/>
        <w:spacing w:before="120" w:after="120"/>
        <w:jc w:val="center"/>
        <w:rPr>
          <w:rFonts w:ascii="Times New Roman" w:hAnsi="Times New Roman" w:cs="Times New Roman"/>
          <w:sz w:val="20"/>
          <w:szCs w:val="20"/>
        </w:rPr>
      </w:pPr>
      <w:r>
        <w:rPr/>
        <w:drawing>
          <wp:inline distT="0" distB="0" distL="0" distR="0">
            <wp:extent cx="899795" cy="899795"/>
            <wp:effectExtent l="0" t="0" r="0" b="0"/>
            <wp:docPr id="2"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1" descr=""/>
                    <pic:cNvPicPr>
                      <a:picLocks noChangeAspect="1" noChangeArrowheads="1"/>
                    </pic:cNvPicPr>
                  </pic:nvPicPr>
                  <pic:blipFill>
                    <a:blip r:embed="rId3"/>
                    <a:stretch>
                      <a:fillRect/>
                    </a:stretch>
                  </pic:blipFill>
                  <pic:spPr bwMode="auto">
                    <a:xfrm>
                      <a:off x="0" y="0"/>
                      <a:ext cx="899795" cy="899795"/>
                    </a:xfrm>
                    <a:prstGeom prst="rect">
                      <a:avLst/>
                    </a:prstGeom>
                  </pic:spPr>
                </pic:pic>
              </a:graphicData>
            </a:graphic>
          </wp:inline>
        </w:drawing>
      </w:r>
    </w:p>
    <w:p>
      <w:pPr>
        <w:pStyle w:val="Normal"/>
        <w:spacing w:lineRule="auto" w:line="240" w:before="0" w:after="0"/>
        <w:jc w:val="center"/>
        <w:rPr>
          <w:b/>
          <w:b/>
          <w:bCs/>
          <w:sz w:val="20"/>
          <w:szCs w:val="20"/>
        </w:rPr>
      </w:pPr>
      <w:r>
        <w:rPr>
          <w:rFonts w:cs="Times New Roman" w:ascii="Times New Roman" w:hAnsi="Times New Roman"/>
          <w:b/>
          <w:bCs/>
          <w:color w:val="000000"/>
          <w:sz w:val="20"/>
          <w:szCs w:val="20"/>
        </w:rPr>
        <w:t>MINISTÉRIO DA DEFESA</w:t>
      </w:r>
    </w:p>
    <w:p>
      <w:pPr>
        <w:pStyle w:val="Normal"/>
        <w:spacing w:lineRule="auto" w:line="240" w:before="0" w:after="0"/>
        <w:jc w:val="center"/>
        <w:rPr>
          <w:b/>
          <w:b/>
          <w:bCs/>
          <w:sz w:val="20"/>
          <w:szCs w:val="20"/>
        </w:rPr>
      </w:pPr>
      <w:r>
        <w:rPr>
          <w:rFonts w:cs="Times New Roman" w:ascii="Times New Roman" w:hAnsi="Times New Roman"/>
          <w:b/>
          <w:bCs/>
          <w:color w:val="000000"/>
          <w:sz w:val="20"/>
          <w:szCs w:val="20"/>
        </w:rPr>
        <w:t>EXÉRCITO BRASILEIRO</w:t>
      </w:r>
    </w:p>
    <w:p>
      <w:pPr>
        <w:pStyle w:val="Normal"/>
        <w:spacing w:lineRule="auto" w:line="240" w:before="0" w:after="0"/>
        <w:jc w:val="center"/>
        <w:rPr>
          <w:b/>
          <w:b/>
          <w:bCs/>
          <w:sz w:val="20"/>
          <w:szCs w:val="20"/>
        </w:rPr>
      </w:pPr>
      <w:r>
        <w:rPr>
          <w:rFonts w:cs="Times New Roman" w:ascii="Times New Roman" w:hAnsi="Times New Roman"/>
          <w:b/>
          <w:bCs/>
          <w:sz w:val="20"/>
          <w:szCs w:val="20"/>
        </w:rPr>
        <w:t>7º REGIMENTO DE CAVALARIA MECANIZADO</w:t>
      </w:r>
    </w:p>
    <w:p>
      <w:pPr>
        <w:pStyle w:val="Normal"/>
        <w:widowControl w:val="false"/>
        <w:spacing w:lineRule="auto" w:line="240" w:before="0" w:after="0"/>
        <w:jc w:val="center"/>
        <w:rPr>
          <w:b/>
          <w:b/>
          <w:bCs/>
          <w:sz w:val="20"/>
          <w:szCs w:val="20"/>
        </w:rPr>
      </w:pPr>
      <w:r>
        <w:rPr>
          <w:rFonts w:cs="Times New Roman" w:ascii="Times New Roman" w:hAnsi="Times New Roman"/>
          <w:b/>
          <w:bCs/>
          <w:sz w:val="20"/>
          <w:szCs w:val="20"/>
          <w:shd w:fill="FFFFFF" w:val="clear"/>
        </w:rPr>
        <w:t>REGIMENTO BRIGADEIRO VASCO ALVES PEREIRA</w:t>
      </w:r>
    </w:p>
    <w:p>
      <w:pPr>
        <w:pStyle w:val="Normal"/>
        <w:widowControl w:val="false"/>
        <w:spacing w:lineRule="auto" w:line="240" w:before="120" w:after="120"/>
        <w:jc w:val="both"/>
        <w:rPr>
          <w:rFonts w:ascii="Times new roman" w:hAnsi="Times new roman"/>
          <w:b w:val="false"/>
          <w:b w:val="false"/>
          <w:bCs w:val="false"/>
          <w:sz w:val="20"/>
          <w:szCs w:val="20"/>
          <w:highlight w:val="white"/>
        </w:rPr>
      </w:pPr>
      <w:r>
        <w:rPr>
          <w:rFonts w:ascii="Times new roman" w:hAnsi="Times new roman"/>
          <w:b w:val="false"/>
          <w:bCs w:val="false"/>
          <w:sz w:val="20"/>
          <w:szCs w:val="20"/>
          <w:highlight w:val="white"/>
        </w:rPr>
      </w:r>
    </w:p>
    <w:p>
      <w:pPr>
        <w:pStyle w:val="Ttulododocumento"/>
        <w:spacing w:lineRule="auto" w:line="276" w:before="120" w:after="120"/>
        <w:rPr>
          <w:b/>
          <w:b/>
          <w:bCs/>
          <w:sz w:val="20"/>
          <w:u w:val="single"/>
        </w:rPr>
      </w:pPr>
      <w:r>
        <w:rPr>
          <w:b/>
          <w:bCs/>
          <w:sz w:val="20"/>
          <w:u w:val="single"/>
        </w:rPr>
        <w:t>TABELA DE IMPLANTODONTIA</w:t>
      </w:r>
    </w:p>
    <w:tbl>
      <w:tblPr>
        <w:tblW w:w="8986" w:type="dxa"/>
        <w:jc w:val="left"/>
        <w:tblInd w:w="-5" w:type="dxa"/>
        <w:tblCellMar>
          <w:top w:w="0" w:type="dxa"/>
          <w:left w:w="65" w:type="dxa"/>
          <w:bottom w:w="0" w:type="dxa"/>
          <w:right w:w="70" w:type="dxa"/>
        </w:tblCellMar>
      </w:tblPr>
      <w:tblGrid>
        <w:gridCol w:w="1062"/>
        <w:gridCol w:w="6658"/>
        <w:gridCol w:w="1266"/>
      </w:tblGrid>
      <w:tr>
        <w:trPr/>
        <w:tc>
          <w:tcPr>
            <w:tcW w:w="1062" w:type="dxa"/>
            <w:tcBorders>
              <w:top w:val="single" w:sz="4" w:space="0" w:color="000001"/>
              <w:left w:val="single" w:sz="4" w:space="0" w:color="000001"/>
              <w:bottom w:val="single" w:sz="4" w:space="0" w:color="000001"/>
            </w:tcBorders>
            <w:shd w:fill="auto" w:val="clear"/>
            <w:vAlign w:val="center"/>
          </w:tcPr>
          <w:p>
            <w:pPr>
              <w:pStyle w:val="Normal"/>
              <w:widowControl w:val="false"/>
              <w:spacing w:before="0" w:after="0"/>
              <w:jc w:val="center"/>
              <w:rPr>
                <w:rFonts w:ascii="Times New Roman" w:hAnsi="Times New Roman" w:cs="Times New Roman"/>
                <w:sz w:val="20"/>
                <w:szCs w:val="20"/>
              </w:rPr>
            </w:pPr>
            <w:r>
              <w:rPr>
                <w:rFonts w:cs="Times New Roman" w:ascii="Times New Roman" w:hAnsi="Times New Roman"/>
                <w:sz w:val="20"/>
                <w:szCs w:val="20"/>
              </w:rPr>
              <w:t>Código</w:t>
            </w:r>
          </w:p>
        </w:tc>
        <w:tc>
          <w:tcPr>
            <w:tcW w:w="6658" w:type="dxa"/>
            <w:tcBorders>
              <w:top w:val="single" w:sz="4" w:space="0" w:color="000001"/>
              <w:left w:val="single" w:sz="4" w:space="0" w:color="000001"/>
              <w:bottom w:val="single" w:sz="4" w:space="0" w:color="000001"/>
            </w:tcBorders>
            <w:shd w:fill="auto" w:val="clear"/>
            <w:vAlign w:val="center"/>
          </w:tcPr>
          <w:p>
            <w:pPr>
              <w:pStyle w:val="Ttulo2"/>
              <w:widowControl w:val="false"/>
              <w:spacing w:lineRule="auto" w:line="276"/>
              <w:rPr>
                <w:rFonts w:ascii="Times New Roman" w:hAnsi="Times New Roman"/>
                <w:b w:val="false"/>
                <w:b w:val="false"/>
                <w:sz w:val="20"/>
              </w:rPr>
            </w:pPr>
            <w:r>
              <w:rPr>
                <w:rFonts w:ascii="Times New Roman" w:hAnsi="Times New Roman"/>
                <w:b w:val="false"/>
                <w:sz w:val="20"/>
              </w:rPr>
              <w:t>Procedimento</w:t>
            </w:r>
          </w:p>
        </w:tc>
        <w:tc>
          <w:tcPr>
            <w:tcW w:w="1266" w:type="dxa"/>
            <w:tcBorders>
              <w:top w:val="single" w:sz="4" w:space="0" w:color="000001"/>
              <w:left w:val="single" w:sz="4" w:space="0" w:color="000001"/>
              <w:bottom w:val="single" w:sz="4" w:space="0" w:color="000001"/>
              <w:right w:val="single" w:sz="4" w:space="0" w:color="000001"/>
            </w:tcBorders>
            <w:shd w:fill="auto" w:val="clear"/>
          </w:tcPr>
          <w:p>
            <w:pPr>
              <w:pStyle w:val="Ttulo2"/>
              <w:widowControl w:val="false"/>
              <w:spacing w:lineRule="auto" w:line="276"/>
              <w:jc w:val="center"/>
              <w:rPr>
                <w:rFonts w:ascii="Times New Roman" w:hAnsi="Times New Roman"/>
                <w:b w:val="false"/>
                <w:b w:val="false"/>
                <w:sz w:val="20"/>
              </w:rPr>
            </w:pPr>
            <w:r>
              <w:rPr>
                <w:rFonts w:ascii="Times New Roman" w:hAnsi="Times New Roman"/>
                <w:b w:val="false"/>
                <w:sz w:val="20"/>
              </w:rPr>
              <w:t>Valor Unitário</w:t>
            </w:r>
          </w:p>
        </w:tc>
      </w:tr>
      <w:tr>
        <w:trPr/>
        <w:tc>
          <w:tcPr>
            <w:tcW w:w="1062" w:type="dxa"/>
            <w:tcBorders>
              <w:left w:val="single" w:sz="4" w:space="0" w:color="000001"/>
              <w:bottom w:val="single" w:sz="4" w:space="0" w:color="000001"/>
            </w:tcBorders>
            <w:shd w:fill="auto" w:val="clear"/>
          </w:tcPr>
          <w:p>
            <w:pPr>
              <w:pStyle w:val="Normal"/>
              <w:widowControl w:val="false"/>
              <w:spacing w:before="0" w:after="0"/>
              <w:jc w:val="center"/>
              <w:rPr>
                <w:rFonts w:ascii="Times New Roman" w:hAnsi="Times New Roman" w:cs="Times New Roman"/>
                <w:sz w:val="20"/>
                <w:szCs w:val="20"/>
              </w:rPr>
            </w:pPr>
            <w:r>
              <w:rPr>
                <w:rFonts w:cs="Times New Roman" w:ascii="Times New Roman" w:hAnsi="Times New Roman"/>
                <w:sz w:val="20"/>
                <w:szCs w:val="20"/>
              </w:rPr>
              <w:t>7000</w:t>
            </w:r>
          </w:p>
        </w:tc>
        <w:tc>
          <w:tcPr>
            <w:tcW w:w="6658" w:type="dxa"/>
            <w:tcBorders>
              <w:left w:val="single" w:sz="4" w:space="0" w:color="000001"/>
              <w:bottom w:val="single" w:sz="4" w:space="0" w:color="000001"/>
            </w:tcBorders>
            <w:shd w:fill="auto" w:val="clear"/>
          </w:tcPr>
          <w:p>
            <w:pPr>
              <w:pStyle w:val="Ttulo1"/>
              <w:widowControl w:val="false"/>
              <w:spacing w:lineRule="auto" w:line="276"/>
              <w:jc w:val="left"/>
              <w:rPr>
                <w:rFonts w:ascii="Times New Roman" w:hAnsi="Times New Roman"/>
                <w:sz w:val="20"/>
              </w:rPr>
            </w:pPr>
            <w:r>
              <w:rPr>
                <w:rFonts w:ascii="Times New Roman" w:hAnsi="Times New Roman"/>
                <w:sz w:val="20"/>
              </w:rPr>
              <w:t>Cirurgia de implante por elemento</w:t>
            </w:r>
          </w:p>
        </w:tc>
        <w:tc>
          <w:tcPr>
            <w:tcW w:w="1266" w:type="dxa"/>
            <w:tcBorders>
              <w:left w:val="single" w:sz="4" w:space="0" w:color="000001"/>
              <w:bottom w:val="single" w:sz="4" w:space="0" w:color="000001"/>
              <w:right w:val="single" w:sz="4" w:space="0" w:color="000001"/>
            </w:tcBorders>
            <w:shd w:fill="auto" w:val="clear"/>
            <w:vAlign w:val="center"/>
          </w:tcPr>
          <w:p>
            <w:pPr>
              <w:pStyle w:val="Normal"/>
              <w:widowControl w:val="false"/>
              <w:spacing w:before="0" w:after="0"/>
              <w:jc w:val="center"/>
              <w:rPr>
                <w:rFonts w:ascii="Times New Roman" w:hAnsi="Times New Roman" w:cs="Times New Roman"/>
                <w:sz w:val="20"/>
                <w:szCs w:val="20"/>
                <w:highlight w:val="lightGray"/>
              </w:rPr>
            </w:pPr>
            <w:r>
              <w:rPr>
                <w:rFonts w:cs="Times New Roman" w:ascii="Times New Roman" w:hAnsi="Times New Roman"/>
                <w:sz w:val="20"/>
                <w:szCs w:val="20"/>
                <w:shd w:fill="C0C0C0" w:val="clear"/>
              </w:rPr>
              <w:t>00</w:t>
            </w:r>
          </w:p>
        </w:tc>
      </w:tr>
      <w:tr>
        <w:trPr/>
        <w:tc>
          <w:tcPr>
            <w:tcW w:w="1062" w:type="dxa"/>
            <w:tcBorders>
              <w:left w:val="single" w:sz="4" w:space="0" w:color="000001"/>
              <w:bottom w:val="single" w:sz="4" w:space="0" w:color="000001"/>
            </w:tcBorders>
            <w:shd w:fill="auto" w:val="clear"/>
          </w:tcPr>
          <w:p>
            <w:pPr>
              <w:pStyle w:val="Normal"/>
              <w:widowControl w:val="false"/>
              <w:spacing w:before="0" w:after="0"/>
              <w:jc w:val="center"/>
              <w:rPr>
                <w:rFonts w:ascii="Times New Roman" w:hAnsi="Times New Roman" w:cs="Times New Roman"/>
                <w:sz w:val="20"/>
                <w:szCs w:val="20"/>
              </w:rPr>
            </w:pPr>
            <w:r>
              <w:rPr>
                <w:rFonts w:cs="Times New Roman" w:ascii="Times New Roman" w:hAnsi="Times New Roman"/>
                <w:sz w:val="20"/>
                <w:szCs w:val="20"/>
              </w:rPr>
              <w:t>7040</w:t>
            </w:r>
          </w:p>
        </w:tc>
        <w:tc>
          <w:tcPr>
            <w:tcW w:w="6658" w:type="dxa"/>
            <w:tcBorders>
              <w:left w:val="single" w:sz="4" w:space="0" w:color="000001"/>
              <w:bottom w:val="single" w:sz="4" w:space="0" w:color="000001"/>
            </w:tcBorders>
            <w:shd w:fill="auto" w:val="clear"/>
          </w:tcPr>
          <w:p>
            <w:pPr>
              <w:pStyle w:val="Normal"/>
              <w:widowControl w:val="false"/>
              <w:spacing w:before="0" w:after="0"/>
              <w:rPr>
                <w:rFonts w:ascii="Times New Roman" w:hAnsi="Times New Roman" w:cs="Times New Roman"/>
                <w:sz w:val="20"/>
                <w:szCs w:val="20"/>
              </w:rPr>
            </w:pPr>
            <w:r>
              <w:rPr>
                <w:rFonts w:cs="Times New Roman" w:ascii="Times New Roman" w:hAnsi="Times New Roman"/>
                <w:sz w:val="20"/>
                <w:szCs w:val="20"/>
              </w:rPr>
              <w:t>Implante provisório</w:t>
            </w:r>
          </w:p>
        </w:tc>
        <w:tc>
          <w:tcPr>
            <w:tcW w:w="1266" w:type="dxa"/>
            <w:tcBorders>
              <w:left w:val="single" w:sz="4" w:space="0" w:color="000001"/>
              <w:bottom w:val="single" w:sz="4" w:space="0" w:color="000001"/>
              <w:right w:val="single" w:sz="4" w:space="0" w:color="000001"/>
            </w:tcBorders>
            <w:shd w:fill="auto" w:val="clear"/>
            <w:vAlign w:val="center"/>
          </w:tcPr>
          <w:p>
            <w:pPr>
              <w:pStyle w:val="Normal"/>
              <w:widowControl w:val="false"/>
              <w:spacing w:before="0" w:after="0"/>
              <w:jc w:val="center"/>
              <w:rPr>
                <w:rFonts w:ascii="Times New Roman" w:hAnsi="Times New Roman" w:cs="Times New Roman"/>
                <w:sz w:val="20"/>
                <w:szCs w:val="20"/>
                <w:highlight w:val="lightGray"/>
              </w:rPr>
            </w:pPr>
            <w:r>
              <w:rPr>
                <w:rFonts w:cs="Times New Roman" w:ascii="Times New Roman" w:hAnsi="Times New Roman"/>
                <w:sz w:val="20"/>
                <w:szCs w:val="20"/>
                <w:shd w:fill="C0C0C0" w:val="clear"/>
              </w:rPr>
              <w:t>00</w:t>
            </w:r>
          </w:p>
        </w:tc>
      </w:tr>
      <w:tr>
        <w:trPr/>
        <w:tc>
          <w:tcPr>
            <w:tcW w:w="1062" w:type="dxa"/>
            <w:tcBorders>
              <w:left w:val="single" w:sz="4" w:space="0" w:color="000001"/>
              <w:bottom w:val="single" w:sz="4" w:space="0" w:color="000001"/>
            </w:tcBorders>
            <w:shd w:fill="auto" w:val="clear"/>
          </w:tcPr>
          <w:p>
            <w:pPr>
              <w:pStyle w:val="Normal"/>
              <w:widowControl w:val="false"/>
              <w:spacing w:before="0" w:after="0"/>
              <w:jc w:val="center"/>
              <w:rPr>
                <w:rFonts w:ascii="Times New Roman" w:hAnsi="Times New Roman" w:cs="Times New Roman"/>
                <w:sz w:val="20"/>
                <w:szCs w:val="20"/>
              </w:rPr>
            </w:pPr>
            <w:r>
              <w:rPr>
                <w:rFonts w:cs="Times New Roman" w:ascii="Times New Roman" w:hAnsi="Times New Roman"/>
                <w:sz w:val="20"/>
                <w:szCs w:val="20"/>
              </w:rPr>
              <w:t>7050</w:t>
            </w:r>
          </w:p>
        </w:tc>
        <w:tc>
          <w:tcPr>
            <w:tcW w:w="6658" w:type="dxa"/>
            <w:tcBorders>
              <w:left w:val="single" w:sz="4" w:space="0" w:color="000001"/>
              <w:bottom w:val="single" w:sz="4" w:space="0" w:color="000001"/>
            </w:tcBorders>
            <w:shd w:fill="auto" w:val="clear"/>
          </w:tcPr>
          <w:p>
            <w:pPr>
              <w:pStyle w:val="Normal"/>
              <w:widowControl w:val="false"/>
              <w:spacing w:before="0" w:after="0"/>
              <w:rPr>
                <w:rFonts w:ascii="Times New Roman" w:hAnsi="Times New Roman" w:cs="Times New Roman"/>
                <w:sz w:val="20"/>
                <w:szCs w:val="20"/>
              </w:rPr>
            </w:pPr>
            <w:r>
              <w:rPr>
                <w:rFonts w:cs="Times New Roman" w:ascii="Times New Roman" w:hAnsi="Times New Roman"/>
                <w:sz w:val="20"/>
                <w:szCs w:val="20"/>
              </w:rPr>
              <w:t>Mini implantes para tratamento ortodôntico</w:t>
            </w:r>
          </w:p>
        </w:tc>
        <w:tc>
          <w:tcPr>
            <w:tcW w:w="1266" w:type="dxa"/>
            <w:tcBorders>
              <w:left w:val="single" w:sz="4" w:space="0" w:color="000001"/>
              <w:bottom w:val="single" w:sz="4" w:space="0" w:color="000001"/>
              <w:right w:val="single" w:sz="4" w:space="0" w:color="000001"/>
            </w:tcBorders>
            <w:shd w:fill="auto" w:val="clear"/>
            <w:vAlign w:val="center"/>
          </w:tcPr>
          <w:p>
            <w:pPr>
              <w:pStyle w:val="Normal"/>
              <w:widowControl w:val="false"/>
              <w:spacing w:before="0" w:after="0"/>
              <w:jc w:val="center"/>
              <w:rPr>
                <w:rFonts w:ascii="Times New Roman" w:hAnsi="Times New Roman" w:cs="Times New Roman"/>
                <w:sz w:val="20"/>
                <w:szCs w:val="20"/>
                <w:highlight w:val="lightGray"/>
              </w:rPr>
            </w:pPr>
            <w:r>
              <w:rPr>
                <w:rFonts w:cs="Times New Roman" w:ascii="Times New Roman" w:hAnsi="Times New Roman"/>
                <w:sz w:val="20"/>
                <w:szCs w:val="20"/>
                <w:shd w:fill="C0C0C0" w:val="clear"/>
              </w:rPr>
              <w:t>00</w:t>
            </w:r>
          </w:p>
        </w:tc>
      </w:tr>
    </w:tbl>
    <w:p>
      <w:pPr>
        <w:pStyle w:val="Normal"/>
        <w:spacing w:before="120" w:after="120"/>
        <w:jc w:val="center"/>
        <w:rPr>
          <w:rFonts w:ascii="Times New Roman" w:hAnsi="Times New Roman" w:cs="Times New Roman"/>
          <w:b/>
          <w:b/>
          <w:bCs/>
          <w:sz w:val="20"/>
          <w:szCs w:val="20"/>
        </w:rPr>
      </w:pPr>
      <w:r>
        <w:rPr>
          <w:rFonts w:cs="Times New Roman" w:ascii="Times New Roman" w:hAnsi="Times New Roman"/>
          <w:b/>
          <w:bCs/>
          <w:sz w:val="20"/>
          <w:szCs w:val="20"/>
        </w:rPr>
      </w:r>
    </w:p>
    <w:p>
      <w:pPr>
        <w:pStyle w:val="Normal"/>
        <w:rPr>
          <w:rFonts w:ascii="Times New Roman" w:hAnsi="Times New Roman" w:cs="Times New Roman"/>
          <w:b/>
          <w:b/>
          <w:bCs/>
          <w:sz w:val="20"/>
          <w:szCs w:val="20"/>
        </w:rPr>
      </w:pPr>
      <w:r>
        <w:rPr>
          <w:rFonts w:cs="Times New Roman" w:ascii="Times New Roman" w:hAnsi="Times New Roman"/>
          <w:b/>
          <w:bCs/>
          <w:sz w:val="20"/>
          <w:szCs w:val="20"/>
        </w:rPr>
        <w:t>OBS: Serviço não consta do Roll do credenciados na Guarnição</w:t>
      </w:r>
      <w:r>
        <w:br w:type="page"/>
      </w:r>
    </w:p>
    <w:p>
      <w:pPr>
        <w:pStyle w:val="Corpodotexto"/>
        <w:spacing w:before="120" w:after="120"/>
        <w:jc w:val="center"/>
        <w:rPr>
          <w:bCs/>
          <w:sz w:val="20"/>
        </w:rPr>
      </w:pPr>
      <w:r>
        <w:rPr>
          <w:bCs/>
          <w:sz w:val="20"/>
        </w:rPr>
        <w:t>ANEXO II à Minuta de Termo de Contrato para Clínicas Odontológicas</w:t>
      </w:r>
    </w:p>
    <w:p>
      <w:pPr>
        <w:pStyle w:val="Normal"/>
        <w:spacing w:before="120" w:after="120"/>
        <w:jc w:val="center"/>
        <w:rPr>
          <w:rFonts w:ascii="Times New Roman" w:hAnsi="Times New Roman" w:cs="Times New Roman"/>
          <w:sz w:val="20"/>
          <w:szCs w:val="20"/>
        </w:rPr>
      </w:pPr>
      <w:r>
        <w:rPr/>
        <w:drawing>
          <wp:inline distT="0" distB="0" distL="0" distR="0">
            <wp:extent cx="899795" cy="899795"/>
            <wp:effectExtent l="0" t="0" r="0" b="0"/>
            <wp:docPr id="3" name="Figura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2" descr=""/>
                    <pic:cNvPicPr>
                      <a:picLocks noChangeAspect="1" noChangeArrowheads="1"/>
                    </pic:cNvPicPr>
                  </pic:nvPicPr>
                  <pic:blipFill>
                    <a:blip r:embed="rId4"/>
                    <a:stretch>
                      <a:fillRect/>
                    </a:stretch>
                  </pic:blipFill>
                  <pic:spPr bwMode="auto">
                    <a:xfrm>
                      <a:off x="0" y="0"/>
                      <a:ext cx="899795" cy="899795"/>
                    </a:xfrm>
                    <a:prstGeom prst="rect">
                      <a:avLst/>
                    </a:prstGeom>
                  </pic:spPr>
                </pic:pic>
              </a:graphicData>
            </a:graphic>
          </wp:inline>
        </w:drawing>
      </w:r>
    </w:p>
    <w:p>
      <w:pPr>
        <w:pStyle w:val="Normal"/>
        <w:spacing w:lineRule="auto" w:line="240" w:before="0" w:after="0"/>
        <w:jc w:val="center"/>
        <w:rPr>
          <w:b/>
          <w:b/>
          <w:bCs/>
          <w:sz w:val="20"/>
          <w:szCs w:val="20"/>
        </w:rPr>
      </w:pPr>
      <w:r>
        <w:rPr>
          <w:rFonts w:cs="Times New Roman" w:ascii="Times New Roman" w:hAnsi="Times New Roman"/>
          <w:b/>
          <w:bCs/>
          <w:color w:val="000000"/>
          <w:sz w:val="20"/>
          <w:szCs w:val="20"/>
        </w:rPr>
        <w:t>MINISTÉRIO DA DEFESA</w:t>
      </w:r>
    </w:p>
    <w:p>
      <w:pPr>
        <w:pStyle w:val="Normal"/>
        <w:spacing w:lineRule="auto" w:line="240" w:before="0" w:after="0"/>
        <w:jc w:val="center"/>
        <w:rPr>
          <w:b/>
          <w:b/>
          <w:bCs/>
          <w:sz w:val="20"/>
          <w:szCs w:val="20"/>
        </w:rPr>
      </w:pPr>
      <w:r>
        <w:rPr>
          <w:rFonts w:cs="Times New Roman" w:ascii="Times New Roman" w:hAnsi="Times New Roman"/>
          <w:b/>
          <w:bCs/>
          <w:color w:val="000000"/>
          <w:sz w:val="20"/>
          <w:szCs w:val="20"/>
        </w:rPr>
        <w:t>EXÉRCITO BRASILEIRO</w:t>
      </w:r>
    </w:p>
    <w:p>
      <w:pPr>
        <w:pStyle w:val="Normal"/>
        <w:spacing w:lineRule="auto" w:line="240" w:before="0" w:after="0"/>
        <w:jc w:val="center"/>
        <w:rPr>
          <w:b/>
          <w:b/>
          <w:bCs/>
          <w:sz w:val="20"/>
          <w:szCs w:val="20"/>
        </w:rPr>
      </w:pPr>
      <w:r>
        <w:rPr>
          <w:rFonts w:cs="Times New Roman" w:ascii="Times New Roman" w:hAnsi="Times New Roman"/>
          <w:b/>
          <w:bCs/>
          <w:sz w:val="20"/>
          <w:szCs w:val="20"/>
        </w:rPr>
        <w:t>7º REGIMENTO DE CAVALARIA MECANIZADO</w:t>
      </w:r>
    </w:p>
    <w:p>
      <w:pPr>
        <w:pStyle w:val="Normal"/>
        <w:widowControl w:val="false"/>
        <w:spacing w:lineRule="auto" w:line="240" w:before="0" w:after="0"/>
        <w:jc w:val="center"/>
        <w:rPr>
          <w:b/>
          <w:b/>
          <w:bCs/>
          <w:sz w:val="20"/>
          <w:szCs w:val="20"/>
        </w:rPr>
      </w:pPr>
      <w:r>
        <w:rPr>
          <w:rFonts w:cs="Times New Roman" w:ascii="Times New Roman" w:hAnsi="Times New Roman"/>
          <w:b/>
          <w:bCs/>
          <w:sz w:val="20"/>
          <w:szCs w:val="20"/>
          <w:shd w:fill="FFFFFF" w:val="clear"/>
        </w:rPr>
        <w:t>REGIMENTO BRIGADEIRO VASCO ALVES PEREIRA</w:t>
      </w:r>
    </w:p>
    <w:p>
      <w:pPr>
        <w:pStyle w:val="Normal"/>
        <w:widowControl w:val="false"/>
        <w:spacing w:lineRule="auto" w:line="240" w:before="120" w:after="120"/>
        <w:jc w:val="both"/>
        <w:rPr>
          <w:rFonts w:ascii="Times new roman" w:hAnsi="Times new roman"/>
          <w:b w:val="false"/>
          <w:b w:val="false"/>
          <w:bCs w:val="false"/>
          <w:sz w:val="20"/>
          <w:szCs w:val="20"/>
          <w:highlight w:val="white"/>
        </w:rPr>
      </w:pPr>
      <w:r>
        <w:rPr>
          <w:rFonts w:ascii="Times new roman" w:hAnsi="Times new roman"/>
          <w:b w:val="false"/>
          <w:bCs w:val="false"/>
          <w:sz w:val="20"/>
          <w:szCs w:val="20"/>
          <w:highlight w:val="white"/>
        </w:rPr>
      </w:r>
    </w:p>
    <w:p>
      <w:pPr>
        <w:pStyle w:val="Corpodotexto"/>
        <w:spacing w:before="120" w:after="120"/>
        <w:jc w:val="center"/>
        <w:rPr>
          <w:b/>
          <w:b/>
          <w:sz w:val="20"/>
          <w:u w:val="single"/>
        </w:rPr>
      </w:pPr>
      <w:r>
        <w:rPr>
          <w:b/>
          <w:sz w:val="20"/>
          <w:u w:val="single"/>
        </w:rPr>
        <w:t xml:space="preserve">Lista – Índice de Glosa </w:t>
      </w:r>
    </w:p>
    <w:p>
      <w:pPr>
        <w:pStyle w:val="Normal"/>
        <w:pBdr>
          <w:top w:val="single" w:sz="4" w:space="1" w:color="000001"/>
          <w:left w:val="single" w:sz="4" w:space="4" w:color="000001"/>
          <w:bottom w:val="single" w:sz="4" w:space="0" w:color="000001"/>
          <w:right w:val="single" w:sz="4" w:space="4" w:color="000001"/>
        </w:pBdr>
        <w:spacing w:before="120" w:after="120"/>
        <w:jc w:val="center"/>
        <w:rPr>
          <w:rFonts w:ascii="Times New Roman" w:hAnsi="Times New Roman" w:cs="Times New Roman"/>
          <w:sz w:val="20"/>
          <w:szCs w:val="20"/>
        </w:rPr>
      </w:pPr>
      <w:r>
        <w:rPr>
          <w:rFonts w:cs="Times New Roman" w:ascii="Times New Roman" w:hAnsi="Times New Roman"/>
          <w:sz w:val="20"/>
          <w:szCs w:val="20"/>
        </w:rPr>
        <w:t>Tabela de Glosa do FuSEx</w:t>
      </w:r>
    </w:p>
    <w:tbl>
      <w:tblPr>
        <w:tblW w:w="8670" w:type="dxa"/>
        <w:jc w:val="left"/>
        <w:tblInd w:w="0" w:type="dxa"/>
        <w:tblCellMar>
          <w:top w:w="0" w:type="dxa"/>
          <w:left w:w="103" w:type="dxa"/>
          <w:bottom w:w="0" w:type="dxa"/>
          <w:right w:w="108" w:type="dxa"/>
        </w:tblCellMar>
      </w:tblPr>
      <w:tblGrid>
        <w:gridCol w:w="415"/>
        <w:gridCol w:w="3838"/>
        <w:gridCol w:w="464"/>
        <w:gridCol w:w="3952"/>
      </w:tblGrid>
      <w:tr>
        <w:trPr/>
        <w:tc>
          <w:tcPr>
            <w:tcW w:w="41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1</w:t>
            </w:r>
          </w:p>
        </w:tc>
        <w:tc>
          <w:tcPr>
            <w:tcW w:w="3838"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Atendimento não caracterizando urgência</w:t>
            </w:r>
          </w:p>
        </w:tc>
        <w:tc>
          <w:tcPr>
            <w:tcW w:w="464"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41</w:t>
            </w:r>
          </w:p>
        </w:tc>
        <w:tc>
          <w:tcPr>
            <w:tcW w:w="3952"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Material incluso no procedimento</w:t>
            </w:r>
          </w:p>
        </w:tc>
      </w:tr>
      <w:tr>
        <w:trPr/>
        <w:tc>
          <w:tcPr>
            <w:tcW w:w="41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2</w:t>
            </w:r>
          </w:p>
        </w:tc>
        <w:tc>
          <w:tcPr>
            <w:tcW w:w="3838"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Acomodação acima da autorizada</w:t>
            </w:r>
          </w:p>
        </w:tc>
        <w:tc>
          <w:tcPr>
            <w:tcW w:w="464"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42</w:t>
            </w:r>
          </w:p>
        </w:tc>
        <w:tc>
          <w:tcPr>
            <w:tcW w:w="3952"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Material não coberto (ver relação anexa)</w:t>
            </w:r>
          </w:p>
        </w:tc>
      </w:tr>
      <w:tr>
        <w:trPr/>
        <w:tc>
          <w:tcPr>
            <w:tcW w:w="41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3</w:t>
            </w:r>
          </w:p>
        </w:tc>
        <w:tc>
          <w:tcPr>
            <w:tcW w:w="3838"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Atendimento por médico militar</w:t>
            </w:r>
          </w:p>
        </w:tc>
        <w:tc>
          <w:tcPr>
            <w:tcW w:w="464"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43</w:t>
            </w:r>
          </w:p>
        </w:tc>
        <w:tc>
          <w:tcPr>
            <w:tcW w:w="3952"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Material não justificado para o caso</w:t>
            </w:r>
          </w:p>
        </w:tc>
      </w:tr>
      <w:tr>
        <w:trPr/>
        <w:tc>
          <w:tcPr>
            <w:tcW w:w="41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4</w:t>
            </w:r>
          </w:p>
        </w:tc>
        <w:tc>
          <w:tcPr>
            <w:tcW w:w="3838"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Cobrança de mais de30% em dia e hora normais</w:t>
            </w:r>
          </w:p>
        </w:tc>
        <w:tc>
          <w:tcPr>
            <w:tcW w:w="464"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44</w:t>
            </w:r>
          </w:p>
        </w:tc>
        <w:tc>
          <w:tcPr>
            <w:tcW w:w="3952"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Material não utilizado</w:t>
            </w:r>
          </w:p>
        </w:tc>
      </w:tr>
      <w:tr>
        <w:trPr/>
        <w:tc>
          <w:tcPr>
            <w:tcW w:w="41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5</w:t>
            </w:r>
          </w:p>
        </w:tc>
        <w:tc>
          <w:tcPr>
            <w:tcW w:w="3838"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Cobrança de 30 % não caracterizado urgência ou emergência</w:t>
            </w:r>
          </w:p>
        </w:tc>
        <w:tc>
          <w:tcPr>
            <w:tcW w:w="464"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45</w:t>
            </w:r>
          </w:p>
        </w:tc>
        <w:tc>
          <w:tcPr>
            <w:tcW w:w="3952"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Material reutilizável – pagamento parcial</w:t>
            </w:r>
          </w:p>
        </w:tc>
      </w:tr>
      <w:tr>
        <w:trPr/>
        <w:tc>
          <w:tcPr>
            <w:tcW w:w="41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6</w:t>
            </w:r>
          </w:p>
        </w:tc>
        <w:tc>
          <w:tcPr>
            <w:tcW w:w="3838"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Consulta inclusa no procedimento cirúrgico</w:t>
            </w:r>
          </w:p>
        </w:tc>
        <w:tc>
          <w:tcPr>
            <w:tcW w:w="464"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46</w:t>
            </w:r>
          </w:p>
        </w:tc>
        <w:tc>
          <w:tcPr>
            <w:tcW w:w="3952"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Medicação não considerada de urgência</w:t>
            </w:r>
          </w:p>
        </w:tc>
      </w:tr>
      <w:tr>
        <w:trPr/>
        <w:tc>
          <w:tcPr>
            <w:tcW w:w="41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7</w:t>
            </w:r>
          </w:p>
        </w:tc>
        <w:tc>
          <w:tcPr>
            <w:tcW w:w="3838"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Curativo incluso no procedimento cirúrgico</w:t>
            </w:r>
          </w:p>
        </w:tc>
        <w:tc>
          <w:tcPr>
            <w:tcW w:w="464"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47</w:t>
            </w:r>
          </w:p>
        </w:tc>
        <w:tc>
          <w:tcPr>
            <w:tcW w:w="3952"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Medicação em desacordo com a prescrição</w:t>
            </w:r>
          </w:p>
        </w:tc>
      </w:tr>
      <w:tr>
        <w:trPr/>
        <w:tc>
          <w:tcPr>
            <w:tcW w:w="41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8</w:t>
            </w:r>
          </w:p>
        </w:tc>
        <w:tc>
          <w:tcPr>
            <w:tcW w:w="3838"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Data de atendimento fora da sequencia na planilha</w:t>
            </w:r>
          </w:p>
        </w:tc>
        <w:tc>
          <w:tcPr>
            <w:tcW w:w="464"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48</w:t>
            </w:r>
          </w:p>
        </w:tc>
        <w:tc>
          <w:tcPr>
            <w:tcW w:w="3952"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Medicação em excesso</w:t>
            </w:r>
          </w:p>
        </w:tc>
      </w:tr>
      <w:tr>
        <w:trPr/>
        <w:tc>
          <w:tcPr>
            <w:tcW w:w="41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9</w:t>
            </w:r>
          </w:p>
        </w:tc>
        <w:tc>
          <w:tcPr>
            <w:tcW w:w="3838"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Data de atendimento fora da competência</w:t>
            </w:r>
          </w:p>
        </w:tc>
        <w:tc>
          <w:tcPr>
            <w:tcW w:w="464"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49</w:t>
            </w:r>
          </w:p>
        </w:tc>
        <w:tc>
          <w:tcPr>
            <w:tcW w:w="3952"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Medicação não justificada para o caso</w:t>
            </w:r>
          </w:p>
        </w:tc>
      </w:tr>
      <w:tr>
        <w:trPr/>
        <w:tc>
          <w:tcPr>
            <w:tcW w:w="41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10</w:t>
            </w:r>
          </w:p>
        </w:tc>
        <w:tc>
          <w:tcPr>
            <w:tcW w:w="3838"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Diagnóstico ilegível</w:t>
            </w:r>
          </w:p>
        </w:tc>
        <w:tc>
          <w:tcPr>
            <w:tcW w:w="464"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50</w:t>
            </w:r>
          </w:p>
        </w:tc>
        <w:tc>
          <w:tcPr>
            <w:tcW w:w="3952"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Medicação não prescrita</w:t>
            </w:r>
          </w:p>
        </w:tc>
      </w:tr>
      <w:tr>
        <w:trPr/>
        <w:tc>
          <w:tcPr>
            <w:tcW w:w="41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11</w:t>
            </w:r>
          </w:p>
        </w:tc>
        <w:tc>
          <w:tcPr>
            <w:tcW w:w="3838"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Diárias em excesso</w:t>
            </w:r>
          </w:p>
        </w:tc>
        <w:tc>
          <w:tcPr>
            <w:tcW w:w="464"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51</w:t>
            </w:r>
          </w:p>
        </w:tc>
        <w:tc>
          <w:tcPr>
            <w:tcW w:w="3952"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Medicação não utilizada</w:t>
            </w:r>
          </w:p>
        </w:tc>
      </w:tr>
      <w:tr>
        <w:trPr/>
        <w:tc>
          <w:tcPr>
            <w:tcW w:w="41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12</w:t>
            </w:r>
          </w:p>
        </w:tc>
        <w:tc>
          <w:tcPr>
            <w:tcW w:w="3838"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Diárias fora da tabela acordada</w:t>
            </w:r>
          </w:p>
        </w:tc>
        <w:tc>
          <w:tcPr>
            <w:tcW w:w="464"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52</w:t>
            </w:r>
          </w:p>
        </w:tc>
        <w:tc>
          <w:tcPr>
            <w:tcW w:w="3952"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Medicamento acima do preço de mercado</w:t>
            </w:r>
          </w:p>
        </w:tc>
      </w:tr>
      <w:tr>
        <w:trPr/>
        <w:tc>
          <w:tcPr>
            <w:tcW w:w="41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13</w:t>
            </w:r>
          </w:p>
        </w:tc>
        <w:tc>
          <w:tcPr>
            <w:tcW w:w="3838"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Documento sem assinatura/ carimbo do médico assistente</w:t>
            </w:r>
          </w:p>
        </w:tc>
        <w:tc>
          <w:tcPr>
            <w:tcW w:w="464"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53</w:t>
            </w:r>
          </w:p>
        </w:tc>
        <w:tc>
          <w:tcPr>
            <w:tcW w:w="3952"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Medicamento não coberto</w:t>
            </w:r>
          </w:p>
        </w:tc>
      </w:tr>
      <w:tr>
        <w:trPr/>
        <w:tc>
          <w:tcPr>
            <w:tcW w:w="41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14</w:t>
            </w:r>
          </w:p>
        </w:tc>
        <w:tc>
          <w:tcPr>
            <w:tcW w:w="3838"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EPI de responsabilidade do prestador</w:t>
            </w:r>
          </w:p>
        </w:tc>
        <w:tc>
          <w:tcPr>
            <w:tcW w:w="464"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54</w:t>
            </w:r>
          </w:p>
        </w:tc>
        <w:tc>
          <w:tcPr>
            <w:tcW w:w="3952"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Medicamento suspenso</w:t>
            </w:r>
          </w:p>
        </w:tc>
      </w:tr>
      <w:tr>
        <w:trPr/>
        <w:tc>
          <w:tcPr>
            <w:tcW w:w="41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15</w:t>
            </w:r>
          </w:p>
        </w:tc>
        <w:tc>
          <w:tcPr>
            <w:tcW w:w="3838"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Especialidade não autorizada</w:t>
            </w:r>
          </w:p>
        </w:tc>
        <w:tc>
          <w:tcPr>
            <w:tcW w:w="464"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55</w:t>
            </w:r>
          </w:p>
        </w:tc>
        <w:tc>
          <w:tcPr>
            <w:tcW w:w="3952"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Paciente não é beneficiário FuSEx/PASS</w:t>
            </w:r>
          </w:p>
        </w:tc>
      </w:tr>
      <w:tr>
        <w:trPr/>
        <w:tc>
          <w:tcPr>
            <w:tcW w:w="41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16</w:t>
            </w:r>
          </w:p>
        </w:tc>
        <w:tc>
          <w:tcPr>
            <w:tcW w:w="3838"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Evento incluso no pacote acordado</w:t>
            </w:r>
          </w:p>
        </w:tc>
        <w:tc>
          <w:tcPr>
            <w:tcW w:w="464"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56</w:t>
            </w:r>
          </w:p>
        </w:tc>
        <w:tc>
          <w:tcPr>
            <w:tcW w:w="3952"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Prescrição médica cm rasura ou ilegível</w:t>
            </w:r>
          </w:p>
        </w:tc>
      </w:tr>
      <w:tr>
        <w:trPr/>
        <w:tc>
          <w:tcPr>
            <w:tcW w:w="41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17</w:t>
            </w:r>
          </w:p>
        </w:tc>
        <w:tc>
          <w:tcPr>
            <w:tcW w:w="3838"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Evento que não comporta cobrança</w:t>
            </w:r>
          </w:p>
        </w:tc>
        <w:tc>
          <w:tcPr>
            <w:tcW w:w="464"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57</w:t>
            </w:r>
          </w:p>
        </w:tc>
        <w:tc>
          <w:tcPr>
            <w:tcW w:w="3952"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Prestador descredenciado</w:t>
            </w:r>
          </w:p>
        </w:tc>
      </w:tr>
      <w:tr>
        <w:trPr/>
        <w:tc>
          <w:tcPr>
            <w:tcW w:w="41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18</w:t>
            </w:r>
          </w:p>
        </w:tc>
        <w:tc>
          <w:tcPr>
            <w:tcW w:w="3838"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Exame não prevê cobrança contraste</w:t>
            </w:r>
          </w:p>
        </w:tc>
        <w:tc>
          <w:tcPr>
            <w:tcW w:w="464"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58</w:t>
            </w:r>
          </w:p>
        </w:tc>
        <w:tc>
          <w:tcPr>
            <w:tcW w:w="3952"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Procedimento/exames em excesso</w:t>
            </w:r>
          </w:p>
        </w:tc>
      </w:tr>
      <w:tr>
        <w:trPr/>
        <w:tc>
          <w:tcPr>
            <w:tcW w:w="41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19</w:t>
            </w:r>
          </w:p>
        </w:tc>
        <w:tc>
          <w:tcPr>
            <w:tcW w:w="3838"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Exame sem laudo</w:t>
            </w:r>
          </w:p>
        </w:tc>
        <w:tc>
          <w:tcPr>
            <w:tcW w:w="464"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59</w:t>
            </w:r>
          </w:p>
        </w:tc>
        <w:tc>
          <w:tcPr>
            <w:tcW w:w="3952"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Procedimento/exame incompatível com o diagnóstico</w:t>
            </w:r>
          </w:p>
        </w:tc>
      </w:tr>
      <w:tr>
        <w:trPr/>
        <w:tc>
          <w:tcPr>
            <w:tcW w:w="41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20</w:t>
            </w:r>
          </w:p>
        </w:tc>
        <w:tc>
          <w:tcPr>
            <w:tcW w:w="3838"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Exames/procedimentos não requisitados</w:t>
            </w:r>
          </w:p>
        </w:tc>
        <w:tc>
          <w:tcPr>
            <w:tcW w:w="464"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60</w:t>
            </w:r>
          </w:p>
        </w:tc>
        <w:tc>
          <w:tcPr>
            <w:tcW w:w="3952"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Procedimento/exame em duplicidade</w:t>
            </w:r>
          </w:p>
        </w:tc>
      </w:tr>
      <w:tr>
        <w:trPr/>
        <w:tc>
          <w:tcPr>
            <w:tcW w:w="41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21</w:t>
            </w:r>
          </w:p>
        </w:tc>
        <w:tc>
          <w:tcPr>
            <w:tcW w:w="3838"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Falta de discriminação dos serviços executados</w:t>
            </w:r>
          </w:p>
        </w:tc>
        <w:tc>
          <w:tcPr>
            <w:tcW w:w="464"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61</w:t>
            </w:r>
          </w:p>
        </w:tc>
        <w:tc>
          <w:tcPr>
            <w:tcW w:w="3952"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Procedimento/exame não coberto</w:t>
            </w:r>
          </w:p>
        </w:tc>
      </w:tr>
      <w:tr>
        <w:trPr/>
        <w:tc>
          <w:tcPr>
            <w:tcW w:w="41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 xml:space="preserve"> </w:t>
            </w:r>
            <w:r>
              <w:rPr>
                <w:rFonts w:cs="Times New Roman" w:ascii="Times New Roman" w:hAnsi="Times New Roman"/>
                <w:sz w:val="20"/>
                <w:szCs w:val="20"/>
                <w:shd w:fill="FFFFFF" w:val="clear"/>
              </w:rPr>
              <w:t>22</w:t>
            </w:r>
          </w:p>
        </w:tc>
        <w:tc>
          <w:tcPr>
            <w:tcW w:w="3838"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Falta do registro de evolução médica e/ou de enfermagem</w:t>
            </w:r>
          </w:p>
        </w:tc>
        <w:tc>
          <w:tcPr>
            <w:tcW w:w="464"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62</w:t>
            </w:r>
          </w:p>
        </w:tc>
        <w:tc>
          <w:tcPr>
            <w:tcW w:w="3952"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Procedimento/exame não realizado</w:t>
            </w:r>
          </w:p>
        </w:tc>
      </w:tr>
      <w:tr>
        <w:trPr/>
        <w:tc>
          <w:tcPr>
            <w:tcW w:w="41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23</w:t>
            </w:r>
          </w:p>
        </w:tc>
        <w:tc>
          <w:tcPr>
            <w:tcW w:w="3838"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Fatura sem separar (FuSEx – PASS – Fator de Custo)</w:t>
            </w:r>
          </w:p>
        </w:tc>
        <w:tc>
          <w:tcPr>
            <w:tcW w:w="464"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63</w:t>
            </w:r>
          </w:p>
        </w:tc>
        <w:tc>
          <w:tcPr>
            <w:tcW w:w="3952"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Prontuário/ficha/boletim ilegível</w:t>
            </w:r>
          </w:p>
        </w:tc>
      </w:tr>
      <w:tr>
        <w:trPr/>
        <w:tc>
          <w:tcPr>
            <w:tcW w:w="41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24</w:t>
            </w:r>
          </w:p>
        </w:tc>
        <w:tc>
          <w:tcPr>
            <w:tcW w:w="3838"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Filme –cobrança em desacordo com CBR</w:t>
            </w:r>
          </w:p>
        </w:tc>
        <w:tc>
          <w:tcPr>
            <w:tcW w:w="464"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64</w:t>
            </w:r>
          </w:p>
        </w:tc>
        <w:tc>
          <w:tcPr>
            <w:tcW w:w="3952"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Prontuário/ficha/boletim rasurados</w:t>
            </w:r>
          </w:p>
        </w:tc>
      </w:tr>
      <w:tr>
        <w:trPr/>
        <w:tc>
          <w:tcPr>
            <w:tcW w:w="41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25</w:t>
            </w:r>
          </w:p>
        </w:tc>
        <w:tc>
          <w:tcPr>
            <w:tcW w:w="3838"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Guia/Ofício de encaminhamento ilegível</w:t>
            </w:r>
          </w:p>
        </w:tc>
        <w:tc>
          <w:tcPr>
            <w:tcW w:w="464"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65</w:t>
            </w:r>
          </w:p>
        </w:tc>
        <w:tc>
          <w:tcPr>
            <w:tcW w:w="3952"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Retorno de consulta</w:t>
            </w:r>
          </w:p>
        </w:tc>
      </w:tr>
      <w:tr>
        <w:trPr/>
        <w:tc>
          <w:tcPr>
            <w:tcW w:w="41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26</w:t>
            </w:r>
          </w:p>
        </w:tc>
        <w:tc>
          <w:tcPr>
            <w:tcW w:w="3838"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Guia/Ofício de encaminhamento sem assinatura do paciente ou responsável</w:t>
            </w:r>
          </w:p>
        </w:tc>
        <w:tc>
          <w:tcPr>
            <w:tcW w:w="464"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66</w:t>
            </w:r>
          </w:p>
        </w:tc>
        <w:tc>
          <w:tcPr>
            <w:tcW w:w="3952"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SADT/exames fora da tabela acordada</w:t>
            </w:r>
          </w:p>
        </w:tc>
      </w:tr>
      <w:tr>
        <w:trPr/>
        <w:tc>
          <w:tcPr>
            <w:tcW w:w="41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27</w:t>
            </w:r>
          </w:p>
        </w:tc>
        <w:tc>
          <w:tcPr>
            <w:tcW w:w="3838"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Guia autorizada para outro prestador</w:t>
            </w:r>
          </w:p>
        </w:tc>
        <w:tc>
          <w:tcPr>
            <w:tcW w:w="464"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67</w:t>
            </w:r>
          </w:p>
        </w:tc>
        <w:tc>
          <w:tcPr>
            <w:tcW w:w="3952"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Sem autorização para procedimento ou exame</w:t>
            </w:r>
          </w:p>
        </w:tc>
      </w:tr>
      <w:tr>
        <w:trPr/>
        <w:tc>
          <w:tcPr>
            <w:tcW w:w="41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28</w:t>
            </w:r>
          </w:p>
        </w:tc>
        <w:tc>
          <w:tcPr>
            <w:tcW w:w="3838"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Guia de encaminhamento fora da validade</w:t>
            </w:r>
          </w:p>
        </w:tc>
        <w:tc>
          <w:tcPr>
            <w:tcW w:w="464"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68</w:t>
            </w:r>
          </w:p>
        </w:tc>
        <w:tc>
          <w:tcPr>
            <w:tcW w:w="3952"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Sem diagnóstico</w:t>
            </w:r>
          </w:p>
        </w:tc>
      </w:tr>
      <w:tr>
        <w:trPr/>
        <w:tc>
          <w:tcPr>
            <w:tcW w:w="41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29</w:t>
            </w:r>
          </w:p>
        </w:tc>
        <w:tc>
          <w:tcPr>
            <w:tcW w:w="3838"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Guia não autorizada pelo FuSEx</w:t>
            </w:r>
          </w:p>
        </w:tc>
        <w:tc>
          <w:tcPr>
            <w:tcW w:w="464"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69</w:t>
            </w:r>
          </w:p>
        </w:tc>
        <w:tc>
          <w:tcPr>
            <w:tcW w:w="3952"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Sem guia/ofício de encaminhamento</w:t>
            </w:r>
          </w:p>
        </w:tc>
      </w:tr>
      <w:tr>
        <w:trPr/>
        <w:tc>
          <w:tcPr>
            <w:tcW w:w="41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30</w:t>
            </w:r>
          </w:p>
        </w:tc>
        <w:tc>
          <w:tcPr>
            <w:tcW w:w="3838"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Guia autorizada para outro beneficiário</w:t>
            </w:r>
          </w:p>
        </w:tc>
        <w:tc>
          <w:tcPr>
            <w:tcW w:w="464"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70</w:t>
            </w:r>
          </w:p>
        </w:tc>
        <w:tc>
          <w:tcPr>
            <w:tcW w:w="3952"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Solicitação médica com data rasurada</w:t>
            </w:r>
          </w:p>
        </w:tc>
      </w:tr>
      <w:tr>
        <w:trPr/>
        <w:tc>
          <w:tcPr>
            <w:tcW w:w="41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31</w:t>
            </w:r>
          </w:p>
        </w:tc>
        <w:tc>
          <w:tcPr>
            <w:tcW w:w="3838"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Guia autorizada para outro procedimento</w:t>
            </w:r>
          </w:p>
        </w:tc>
        <w:tc>
          <w:tcPr>
            <w:tcW w:w="464"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71</w:t>
            </w:r>
          </w:p>
        </w:tc>
        <w:tc>
          <w:tcPr>
            <w:tcW w:w="3952"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Solicitação com data posterior ao exame</w:t>
            </w:r>
          </w:p>
        </w:tc>
      </w:tr>
      <w:tr>
        <w:trPr/>
        <w:tc>
          <w:tcPr>
            <w:tcW w:w="41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32</w:t>
            </w:r>
          </w:p>
        </w:tc>
        <w:tc>
          <w:tcPr>
            <w:tcW w:w="3838"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Guia sem carimbo de autorização</w:t>
            </w:r>
          </w:p>
        </w:tc>
        <w:tc>
          <w:tcPr>
            <w:tcW w:w="464"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72</w:t>
            </w:r>
          </w:p>
        </w:tc>
        <w:tc>
          <w:tcPr>
            <w:tcW w:w="3952"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Solicitação médica com data vencida</w:t>
            </w:r>
          </w:p>
        </w:tc>
      </w:tr>
      <w:tr>
        <w:trPr/>
        <w:tc>
          <w:tcPr>
            <w:tcW w:w="41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33</w:t>
            </w:r>
          </w:p>
        </w:tc>
        <w:tc>
          <w:tcPr>
            <w:tcW w:w="3838"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Guia/Ofício de encaminhamento carbonados ou fotocopiados</w:t>
            </w:r>
          </w:p>
        </w:tc>
        <w:tc>
          <w:tcPr>
            <w:tcW w:w="464"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73</w:t>
            </w:r>
          </w:p>
        </w:tc>
        <w:tc>
          <w:tcPr>
            <w:tcW w:w="3952"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Solicitação médica sem data</w:t>
            </w:r>
          </w:p>
        </w:tc>
      </w:tr>
      <w:tr>
        <w:trPr/>
        <w:tc>
          <w:tcPr>
            <w:tcW w:w="41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34</w:t>
            </w:r>
          </w:p>
        </w:tc>
        <w:tc>
          <w:tcPr>
            <w:tcW w:w="3838"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Honorários médicos fora da tabela ou em excesso</w:t>
            </w:r>
          </w:p>
        </w:tc>
        <w:tc>
          <w:tcPr>
            <w:tcW w:w="464"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74</w:t>
            </w:r>
          </w:p>
        </w:tc>
        <w:tc>
          <w:tcPr>
            <w:tcW w:w="3952"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Soma errada – cálculo</w:t>
            </w:r>
          </w:p>
        </w:tc>
      </w:tr>
      <w:tr>
        <w:trPr/>
        <w:tc>
          <w:tcPr>
            <w:tcW w:w="41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35</w:t>
            </w:r>
          </w:p>
        </w:tc>
        <w:tc>
          <w:tcPr>
            <w:tcW w:w="3838"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Justificar cobrança</w:t>
            </w:r>
          </w:p>
        </w:tc>
        <w:tc>
          <w:tcPr>
            <w:tcW w:w="464"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75</w:t>
            </w:r>
          </w:p>
        </w:tc>
        <w:tc>
          <w:tcPr>
            <w:tcW w:w="3952"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Taxas fora da tabela acordada</w:t>
            </w:r>
          </w:p>
        </w:tc>
      </w:tr>
      <w:tr>
        <w:trPr/>
        <w:tc>
          <w:tcPr>
            <w:tcW w:w="41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36</w:t>
            </w:r>
          </w:p>
        </w:tc>
        <w:tc>
          <w:tcPr>
            <w:tcW w:w="3838"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Material ou medicamento adquirido por familiar a seu critério</w:t>
            </w:r>
          </w:p>
        </w:tc>
        <w:tc>
          <w:tcPr>
            <w:tcW w:w="464"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76</w:t>
            </w:r>
          </w:p>
        </w:tc>
        <w:tc>
          <w:tcPr>
            <w:tcW w:w="3952"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Taxas indevidas ou em excesso</w:t>
            </w:r>
          </w:p>
        </w:tc>
      </w:tr>
      <w:tr>
        <w:trPr/>
        <w:tc>
          <w:tcPr>
            <w:tcW w:w="41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37</w:t>
            </w:r>
          </w:p>
        </w:tc>
        <w:tc>
          <w:tcPr>
            <w:tcW w:w="3838"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Material acima do preço de mercado</w:t>
            </w:r>
          </w:p>
        </w:tc>
        <w:tc>
          <w:tcPr>
            <w:tcW w:w="464"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77</w:t>
            </w:r>
          </w:p>
        </w:tc>
        <w:tc>
          <w:tcPr>
            <w:tcW w:w="3952"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Visita hospitalar em duplicidade</w:t>
            </w:r>
          </w:p>
        </w:tc>
      </w:tr>
      <w:tr>
        <w:trPr/>
        <w:tc>
          <w:tcPr>
            <w:tcW w:w="41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38</w:t>
            </w:r>
          </w:p>
        </w:tc>
        <w:tc>
          <w:tcPr>
            <w:tcW w:w="3838"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Material de alto custo sem nota fical</w:t>
            </w:r>
          </w:p>
        </w:tc>
        <w:tc>
          <w:tcPr>
            <w:tcW w:w="464"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78</w:t>
            </w:r>
          </w:p>
        </w:tc>
        <w:tc>
          <w:tcPr>
            <w:tcW w:w="3952"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 xml:space="preserve">Visitas inclusas no procedimento cirúrgico </w:t>
            </w:r>
          </w:p>
        </w:tc>
      </w:tr>
      <w:tr>
        <w:trPr/>
        <w:tc>
          <w:tcPr>
            <w:tcW w:w="41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39</w:t>
            </w:r>
          </w:p>
        </w:tc>
        <w:tc>
          <w:tcPr>
            <w:tcW w:w="3838"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Material em excesso</w:t>
            </w:r>
          </w:p>
        </w:tc>
        <w:tc>
          <w:tcPr>
            <w:tcW w:w="464"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79</w:t>
            </w:r>
          </w:p>
        </w:tc>
        <w:tc>
          <w:tcPr>
            <w:tcW w:w="3952"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Visita de especialista sem autorização prévia</w:t>
            </w:r>
          </w:p>
        </w:tc>
      </w:tr>
      <w:tr>
        <w:trPr/>
        <w:tc>
          <w:tcPr>
            <w:tcW w:w="41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40</w:t>
            </w:r>
          </w:p>
        </w:tc>
        <w:tc>
          <w:tcPr>
            <w:tcW w:w="3838"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Material fixo</w:t>
            </w:r>
          </w:p>
        </w:tc>
        <w:tc>
          <w:tcPr>
            <w:tcW w:w="464"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80</w:t>
            </w:r>
          </w:p>
        </w:tc>
        <w:tc>
          <w:tcPr>
            <w:tcW w:w="3952"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Outros</w:t>
            </w:r>
          </w:p>
        </w:tc>
      </w:tr>
    </w:tbl>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r>
    </w:p>
    <w:p>
      <w:pPr>
        <w:pStyle w:val="Corpodotexto"/>
        <w:spacing w:before="120" w:after="120"/>
        <w:jc w:val="center"/>
        <w:rPr>
          <w:bCs/>
          <w:color w:val="FF0000"/>
          <w:sz w:val="20"/>
        </w:rPr>
      </w:pPr>
      <w:r>
        <w:rPr>
          <w:bCs/>
          <w:color w:val="FF0000"/>
          <w:sz w:val="20"/>
        </w:rPr>
      </w:r>
    </w:p>
    <w:p>
      <w:pPr>
        <w:pStyle w:val="Corpodotexto"/>
        <w:spacing w:before="120" w:after="120"/>
        <w:jc w:val="center"/>
        <w:rPr>
          <w:bCs/>
          <w:color w:val="FF0000"/>
          <w:sz w:val="20"/>
        </w:rPr>
      </w:pPr>
      <w:r>
        <w:rPr>
          <w:bCs/>
          <w:color w:val="FF0000"/>
          <w:sz w:val="20"/>
        </w:rPr>
      </w:r>
    </w:p>
    <w:p>
      <w:pPr>
        <w:pStyle w:val="Corpodotexto"/>
        <w:spacing w:before="120" w:after="120"/>
        <w:jc w:val="center"/>
        <w:rPr>
          <w:bCs/>
          <w:color w:val="FF0000"/>
          <w:sz w:val="20"/>
        </w:rPr>
      </w:pPr>
      <w:r>
        <w:rPr>
          <w:bCs/>
          <w:color w:val="FF0000"/>
          <w:sz w:val="20"/>
        </w:rPr>
      </w:r>
    </w:p>
    <w:p>
      <w:pPr>
        <w:pStyle w:val="Corpodotexto"/>
        <w:spacing w:before="120" w:after="120"/>
        <w:jc w:val="center"/>
        <w:rPr>
          <w:bCs/>
          <w:color w:val="FF0000"/>
          <w:sz w:val="20"/>
        </w:rPr>
      </w:pPr>
      <w:r>
        <w:rPr>
          <w:bCs/>
          <w:color w:val="FF0000"/>
          <w:sz w:val="20"/>
        </w:rPr>
      </w:r>
    </w:p>
    <w:p>
      <w:pPr>
        <w:pStyle w:val="Corpodotexto"/>
        <w:spacing w:before="120" w:after="120"/>
        <w:jc w:val="center"/>
        <w:rPr>
          <w:bCs/>
          <w:color w:val="FF0000"/>
          <w:sz w:val="20"/>
        </w:rPr>
      </w:pPr>
      <w:r>
        <w:rPr>
          <w:bCs/>
          <w:color w:val="FF0000"/>
          <w:sz w:val="20"/>
        </w:rPr>
      </w:r>
    </w:p>
    <w:p>
      <w:pPr>
        <w:pStyle w:val="Corpodotexto"/>
        <w:spacing w:before="120" w:after="120"/>
        <w:jc w:val="center"/>
        <w:rPr>
          <w:bCs/>
          <w:color w:val="FF0000"/>
          <w:sz w:val="20"/>
        </w:rPr>
      </w:pPr>
      <w:r>
        <w:rPr>
          <w:bCs/>
          <w:color w:val="FF0000"/>
          <w:sz w:val="20"/>
        </w:rPr>
      </w:r>
    </w:p>
    <w:p>
      <w:pPr>
        <w:pStyle w:val="Corpodotexto"/>
        <w:spacing w:before="120" w:after="120"/>
        <w:jc w:val="center"/>
        <w:rPr>
          <w:bCs/>
          <w:color w:val="FF0000"/>
          <w:sz w:val="20"/>
        </w:rPr>
      </w:pPr>
      <w:r>
        <w:rPr>
          <w:bCs/>
          <w:color w:val="FF0000"/>
          <w:sz w:val="20"/>
        </w:rPr>
      </w:r>
    </w:p>
    <w:p>
      <w:pPr>
        <w:pStyle w:val="Corpodotexto"/>
        <w:spacing w:before="120" w:after="120"/>
        <w:jc w:val="center"/>
        <w:rPr>
          <w:bCs/>
          <w:color w:val="FF0000"/>
          <w:sz w:val="20"/>
        </w:rPr>
      </w:pPr>
      <w:r>
        <w:rPr>
          <w:bCs/>
          <w:color w:val="FF0000"/>
          <w:sz w:val="20"/>
        </w:rPr>
      </w:r>
    </w:p>
    <w:p>
      <w:pPr>
        <w:pStyle w:val="Corpodotexto"/>
        <w:spacing w:before="120" w:after="120"/>
        <w:jc w:val="center"/>
        <w:rPr>
          <w:bCs/>
          <w:color w:val="FF0000"/>
          <w:sz w:val="20"/>
        </w:rPr>
      </w:pPr>
      <w:r>
        <w:rPr>
          <w:bCs/>
          <w:color w:val="FF0000"/>
          <w:sz w:val="20"/>
        </w:rPr>
      </w:r>
    </w:p>
    <w:p>
      <w:pPr>
        <w:pStyle w:val="Corpodotexto"/>
        <w:spacing w:before="120" w:after="120"/>
        <w:jc w:val="center"/>
        <w:rPr>
          <w:bCs/>
          <w:color w:val="FF0000"/>
          <w:sz w:val="20"/>
        </w:rPr>
      </w:pPr>
      <w:r>
        <w:rPr>
          <w:bCs/>
          <w:color w:val="FF0000"/>
          <w:sz w:val="20"/>
        </w:rPr>
      </w:r>
    </w:p>
    <w:p>
      <w:pPr>
        <w:pStyle w:val="Corpodotexto"/>
        <w:spacing w:before="120" w:after="120"/>
        <w:jc w:val="center"/>
        <w:rPr>
          <w:bCs/>
          <w:color w:val="FF0000"/>
          <w:sz w:val="20"/>
        </w:rPr>
      </w:pPr>
      <w:r>
        <w:rPr>
          <w:bCs/>
          <w:color w:val="FF0000"/>
          <w:sz w:val="20"/>
        </w:rPr>
      </w:r>
    </w:p>
    <w:p>
      <w:pPr>
        <w:pStyle w:val="Corpodotexto"/>
        <w:spacing w:before="120" w:after="120"/>
        <w:jc w:val="center"/>
        <w:rPr>
          <w:bCs/>
          <w:color w:val="FF0000"/>
          <w:sz w:val="20"/>
        </w:rPr>
      </w:pPr>
      <w:r>
        <w:rPr>
          <w:bCs/>
          <w:color w:val="FF0000"/>
          <w:sz w:val="20"/>
        </w:rPr>
      </w:r>
    </w:p>
    <w:p>
      <w:pPr>
        <w:pStyle w:val="Corpodotexto"/>
        <w:spacing w:before="120" w:after="120"/>
        <w:jc w:val="center"/>
        <w:rPr>
          <w:bCs/>
          <w:color w:val="FF0000"/>
          <w:sz w:val="20"/>
        </w:rPr>
      </w:pPr>
      <w:r>
        <w:rPr>
          <w:bCs/>
          <w:color w:val="FF0000"/>
          <w:sz w:val="20"/>
        </w:rPr>
      </w:r>
    </w:p>
    <w:p>
      <w:pPr>
        <w:pStyle w:val="Corpodotexto"/>
        <w:spacing w:before="120" w:after="120"/>
        <w:jc w:val="center"/>
        <w:rPr>
          <w:bCs/>
          <w:color w:val="FF0000"/>
          <w:sz w:val="20"/>
        </w:rPr>
      </w:pPr>
      <w:r>
        <w:rPr>
          <w:bCs/>
          <w:color w:val="FF0000"/>
          <w:sz w:val="20"/>
        </w:rPr>
      </w:r>
    </w:p>
    <w:p>
      <w:pPr>
        <w:pStyle w:val="Corpodotexto"/>
        <w:spacing w:before="120" w:after="120"/>
        <w:jc w:val="center"/>
        <w:rPr>
          <w:bCs/>
          <w:color w:val="FF0000"/>
          <w:sz w:val="20"/>
        </w:rPr>
      </w:pPr>
      <w:r>
        <w:rPr>
          <w:bCs/>
          <w:color w:val="FF0000"/>
          <w:sz w:val="20"/>
        </w:rPr>
      </w:r>
    </w:p>
    <w:p>
      <w:pPr>
        <w:pStyle w:val="Corpodotexto"/>
        <w:spacing w:before="120" w:after="120"/>
        <w:jc w:val="center"/>
        <w:rPr>
          <w:bCs/>
          <w:color w:val="FF0000"/>
          <w:sz w:val="20"/>
        </w:rPr>
      </w:pPr>
      <w:r>
        <w:rPr>
          <w:bCs/>
          <w:color w:val="FF0000"/>
          <w:sz w:val="20"/>
        </w:rPr>
      </w:r>
    </w:p>
    <w:p>
      <w:pPr>
        <w:pStyle w:val="Corpodotexto"/>
        <w:spacing w:before="120" w:after="120"/>
        <w:jc w:val="center"/>
        <w:rPr>
          <w:bCs/>
          <w:color w:val="FF0000"/>
          <w:sz w:val="20"/>
        </w:rPr>
      </w:pPr>
      <w:r>
        <w:rPr>
          <w:bCs/>
          <w:color w:val="FF0000"/>
          <w:sz w:val="20"/>
        </w:rPr>
      </w:r>
    </w:p>
    <w:p>
      <w:pPr>
        <w:pStyle w:val="Corpodotexto"/>
        <w:spacing w:before="120" w:after="120"/>
        <w:jc w:val="center"/>
        <w:rPr>
          <w:bCs/>
          <w:color w:val="FF0000"/>
          <w:sz w:val="20"/>
        </w:rPr>
      </w:pPr>
      <w:r>
        <w:rPr>
          <w:bCs/>
          <w:color w:val="FF0000"/>
          <w:sz w:val="20"/>
        </w:rPr>
      </w:r>
    </w:p>
    <w:p>
      <w:pPr>
        <w:pStyle w:val="Corpodotexto"/>
        <w:spacing w:before="120" w:after="120"/>
        <w:jc w:val="center"/>
        <w:rPr>
          <w:bCs/>
          <w:color w:val="FF0000"/>
          <w:sz w:val="20"/>
        </w:rPr>
      </w:pPr>
      <w:r>
        <w:rPr>
          <w:bCs/>
          <w:color w:val="FF0000"/>
          <w:sz w:val="20"/>
        </w:rPr>
      </w:r>
    </w:p>
    <w:p>
      <w:pPr>
        <w:pStyle w:val="Corpodotexto"/>
        <w:spacing w:before="120" w:after="120"/>
        <w:jc w:val="center"/>
        <w:rPr>
          <w:bCs/>
          <w:color w:val="FF0000"/>
          <w:sz w:val="20"/>
        </w:rPr>
      </w:pPr>
      <w:r>
        <w:rPr>
          <w:bCs/>
          <w:color w:val="FF0000"/>
          <w:sz w:val="20"/>
        </w:rPr>
      </w:r>
    </w:p>
    <w:p>
      <w:pPr>
        <w:pStyle w:val="Corpodotexto"/>
        <w:spacing w:before="120" w:after="120"/>
        <w:jc w:val="center"/>
        <w:rPr>
          <w:bCs/>
          <w:color w:val="FF0000"/>
          <w:sz w:val="20"/>
        </w:rPr>
      </w:pPr>
      <w:r>
        <w:rPr>
          <w:bCs/>
          <w:color w:val="FF0000"/>
          <w:sz w:val="20"/>
        </w:rPr>
      </w:r>
    </w:p>
    <w:p>
      <w:pPr>
        <w:pStyle w:val="Corpodotexto"/>
        <w:spacing w:before="120" w:after="120"/>
        <w:jc w:val="center"/>
        <w:rPr>
          <w:bCs/>
          <w:color w:val="FF0000"/>
          <w:sz w:val="20"/>
        </w:rPr>
      </w:pPr>
      <w:r>
        <w:rPr>
          <w:bCs/>
          <w:color w:val="FF0000"/>
          <w:sz w:val="20"/>
        </w:rPr>
      </w:r>
    </w:p>
    <w:p>
      <w:pPr>
        <w:pStyle w:val="Corpodotexto"/>
        <w:spacing w:before="120" w:after="120"/>
        <w:jc w:val="center"/>
        <w:rPr>
          <w:bCs/>
          <w:color w:val="FF0000"/>
          <w:sz w:val="20"/>
        </w:rPr>
      </w:pPr>
      <w:r>
        <w:rPr>
          <w:bCs/>
          <w:color w:val="FF0000"/>
          <w:sz w:val="20"/>
        </w:rPr>
      </w:r>
    </w:p>
    <w:p>
      <w:pPr>
        <w:pStyle w:val="Corpodotexto"/>
        <w:spacing w:before="120" w:after="120"/>
        <w:jc w:val="center"/>
        <w:rPr>
          <w:bCs/>
          <w:color w:val="FF0000"/>
          <w:sz w:val="20"/>
        </w:rPr>
      </w:pPr>
      <w:r>
        <w:rPr>
          <w:bCs/>
          <w:color w:val="FF0000"/>
          <w:sz w:val="20"/>
        </w:rPr>
      </w:r>
    </w:p>
    <w:p>
      <w:pPr>
        <w:pStyle w:val="Corpodotexto"/>
        <w:spacing w:before="120" w:after="120"/>
        <w:jc w:val="center"/>
        <w:rPr>
          <w:bCs/>
          <w:color w:val="00000A"/>
          <w:sz w:val="20"/>
        </w:rPr>
      </w:pPr>
      <w:r>
        <w:rPr>
          <w:bCs/>
          <w:color w:val="00000A"/>
          <w:sz w:val="20"/>
        </w:rPr>
        <w:t>ANEXO III à Minuta de Termo de Contrato para Clínicas Odontológicas</w:t>
      </w:r>
    </w:p>
    <w:p>
      <w:pPr>
        <w:pStyle w:val="Corpodotexto"/>
        <w:spacing w:lineRule="auto" w:line="276" w:before="120" w:after="120"/>
        <w:jc w:val="center"/>
        <w:rPr>
          <w:b/>
          <w:b/>
          <w:color w:val="00000A"/>
          <w:sz w:val="20"/>
          <w:u w:val="single"/>
        </w:rPr>
      </w:pPr>
      <w:r>
        <w:rPr/>
        <w:drawing>
          <wp:inline distT="0" distB="0" distL="0" distR="0">
            <wp:extent cx="899795" cy="899795"/>
            <wp:effectExtent l="0" t="0" r="0" b="0"/>
            <wp:docPr id="4" name="Figura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a3" descr=""/>
                    <pic:cNvPicPr>
                      <a:picLocks noChangeAspect="1" noChangeArrowheads="1"/>
                    </pic:cNvPicPr>
                  </pic:nvPicPr>
                  <pic:blipFill>
                    <a:blip r:embed="rId5"/>
                    <a:stretch>
                      <a:fillRect/>
                    </a:stretch>
                  </pic:blipFill>
                  <pic:spPr bwMode="auto">
                    <a:xfrm>
                      <a:off x="0" y="0"/>
                      <a:ext cx="899795" cy="899795"/>
                    </a:xfrm>
                    <a:prstGeom prst="rect">
                      <a:avLst/>
                    </a:prstGeom>
                  </pic:spPr>
                </pic:pic>
              </a:graphicData>
            </a:graphic>
          </wp:inline>
        </w:drawing>
      </w:r>
    </w:p>
    <w:p>
      <w:pPr>
        <w:pStyle w:val="Normal"/>
        <w:spacing w:lineRule="auto" w:line="240" w:before="0" w:after="0"/>
        <w:jc w:val="center"/>
        <w:rPr>
          <w:b/>
          <w:b/>
          <w:bCs/>
          <w:sz w:val="20"/>
          <w:szCs w:val="20"/>
        </w:rPr>
      </w:pPr>
      <w:r>
        <w:rPr>
          <w:rFonts w:cs="Times New Roman" w:ascii="Times New Roman" w:hAnsi="Times New Roman"/>
          <w:b/>
          <w:bCs/>
          <w:color w:val="000000"/>
          <w:sz w:val="20"/>
          <w:szCs w:val="20"/>
        </w:rPr>
        <w:t>MINISTÉRIO DA DEFESA</w:t>
      </w:r>
    </w:p>
    <w:p>
      <w:pPr>
        <w:pStyle w:val="Normal"/>
        <w:spacing w:lineRule="auto" w:line="240" w:before="0" w:after="0"/>
        <w:jc w:val="center"/>
        <w:rPr>
          <w:b/>
          <w:b/>
          <w:bCs/>
          <w:sz w:val="20"/>
          <w:szCs w:val="20"/>
        </w:rPr>
      </w:pPr>
      <w:r>
        <w:rPr>
          <w:rFonts w:cs="Times New Roman" w:ascii="Times New Roman" w:hAnsi="Times New Roman"/>
          <w:b/>
          <w:bCs/>
          <w:color w:val="000000"/>
          <w:sz w:val="20"/>
          <w:szCs w:val="20"/>
        </w:rPr>
        <w:t>EXÉRCITO BRASILEIRO</w:t>
      </w:r>
    </w:p>
    <w:p>
      <w:pPr>
        <w:pStyle w:val="Normal"/>
        <w:spacing w:lineRule="auto" w:line="240" w:before="0" w:after="0"/>
        <w:jc w:val="center"/>
        <w:rPr>
          <w:b/>
          <w:b/>
          <w:bCs/>
          <w:sz w:val="20"/>
          <w:szCs w:val="20"/>
        </w:rPr>
      </w:pPr>
      <w:r>
        <w:rPr>
          <w:rFonts w:cs="Times New Roman" w:ascii="Times New Roman" w:hAnsi="Times New Roman"/>
          <w:b/>
          <w:bCs/>
          <w:sz w:val="20"/>
          <w:szCs w:val="20"/>
        </w:rPr>
        <w:t>7º REGIMENTO DE CAVALARIA MECANIZADO</w:t>
      </w:r>
    </w:p>
    <w:p>
      <w:pPr>
        <w:pStyle w:val="Normal"/>
        <w:widowControl w:val="false"/>
        <w:spacing w:lineRule="auto" w:line="240" w:before="0" w:after="0"/>
        <w:jc w:val="center"/>
        <w:rPr>
          <w:b/>
          <w:b/>
          <w:color w:val="00000A"/>
          <w:sz w:val="20"/>
          <w:u w:val="single"/>
        </w:rPr>
      </w:pPr>
      <w:r>
        <w:rPr>
          <w:rFonts w:cs="Times New Roman" w:ascii="Times New Roman" w:hAnsi="Times New Roman"/>
          <w:b/>
          <w:bCs/>
          <w:color w:val="00000A"/>
          <w:sz w:val="20"/>
          <w:szCs w:val="20"/>
          <w:u w:val="single"/>
          <w:shd w:fill="FFFFFF" w:val="clear"/>
        </w:rPr>
        <w:t>REGIMENTO BRIGADEIRO VASCO ALVES PEREIRA</w:t>
      </w:r>
    </w:p>
    <w:p>
      <w:pPr>
        <w:pStyle w:val="Normal"/>
        <w:widowControl w:val="false"/>
        <w:spacing w:lineRule="auto" w:line="240" w:before="0" w:after="0"/>
        <w:jc w:val="center"/>
        <w:rPr>
          <w:b/>
          <w:b/>
          <w:color w:val="00000A"/>
          <w:sz w:val="20"/>
          <w:u w:val="single"/>
        </w:rPr>
      </w:pPr>
      <w:r>
        <w:rPr>
          <w:b/>
          <w:color w:val="00000A"/>
          <w:sz w:val="20"/>
          <w:u w:val="single"/>
        </w:rPr>
      </w:r>
    </w:p>
    <w:p>
      <w:pPr>
        <w:pStyle w:val="Corpodotexto"/>
        <w:spacing w:lineRule="auto" w:line="276" w:before="120" w:after="120"/>
        <w:jc w:val="center"/>
        <w:rPr>
          <w:b/>
          <w:b/>
          <w:color w:val="00000A"/>
          <w:sz w:val="20"/>
          <w:u w:val="single"/>
        </w:rPr>
      </w:pPr>
      <w:r>
        <w:rPr>
          <w:b/>
          <w:color w:val="00000A"/>
          <w:sz w:val="20"/>
          <w:u w:val="single"/>
        </w:rPr>
        <w:t xml:space="preserve">TERMO DE COMPROMISSO PARA ENTREGA DA GUIA DE ENCAMINHAMENTO </w:t>
      </w:r>
    </w:p>
    <w:p>
      <w:pPr>
        <w:pStyle w:val="Normal"/>
        <w:spacing w:before="120" w:after="120"/>
        <w:jc w:val="center"/>
        <w:rPr>
          <w:color w:val="00000A"/>
        </w:rPr>
      </w:pPr>
      <w:r>
        <w:rPr>
          <w:color w:val="00000A"/>
        </w:rPr>
      </w:r>
    </w:p>
    <w:p>
      <w:pPr>
        <w:pStyle w:val="Normal"/>
        <w:spacing w:before="0" w:after="0"/>
        <w:jc w:val="both"/>
        <w:rPr>
          <w:rFonts w:ascii="Times New Roman" w:hAnsi="Times New Roman" w:cs="Times New Roman"/>
          <w:color w:val="00000A"/>
          <w:sz w:val="20"/>
          <w:szCs w:val="20"/>
        </w:rPr>
      </w:pPr>
      <w:r>
        <w:rPr>
          <w:rFonts w:cs="Times New Roman" w:ascii="Times New Roman" w:hAnsi="Times New Roman"/>
          <w:color w:val="00000A"/>
          <w:sz w:val="20"/>
          <w:szCs w:val="20"/>
        </w:rPr>
        <w:t>Nome do titular do FUSEx: ______________________________________________________________</w:t>
      </w:r>
    </w:p>
    <w:p>
      <w:pPr>
        <w:pStyle w:val="Normal"/>
        <w:spacing w:before="0" w:after="0"/>
        <w:jc w:val="both"/>
        <w:rPr>
          <w:rFonts w:ascii="Times New Roman" w:hAnsi="Times New Roman" w:cs="Times New Roman"/>
          <w:color w:val="00000A"/>
          <w:sz w:val="20"/>
          <w:szCs w:val="20"/>
        </w:rPr>
      </w:pPr>
      <w:r>
        <w:rPr>
          <w:rFonts w:cs="Times New Roman" w:ascii="Times New Roman" w:hAnsi="Times New Roman"/>
          <w:color w:val="00000A"/>
          <w:sz w:val="20"/>
          <w:szCs w:val="20"/>
        </w:rPr>
        <w:t>Nome do dependente (paciente): __________________________________________________________</w:t>
      </w:r>
    </w:p>
    <w:p>
      <w:pPr>
        <w:pStyle w:val="Normal"/>
        <w:spacing w:before="0" w:after="0"/>
        <w:jc w:val="both"/>
        <w:rPr>
          <w:rFonts w:ascii="Times New Roman" w:hAnsi="Times New Roman" w:cs="Times New Roman"/>
          <w:color w:val="00000A"/>
          <w:sz w:val="20"/>
          <w:szCs w:val="20"/>
        </w:rPr>
      </w:pPr>
      <w:r>
        <w:rPr>
          <w:rFonts w:cs="Times New Roman" w:ascii="Times New Roman" w:hAnsi="Times New Roman"/>
          <w:color w:val="00000A"/>
          <w:sz w:val="20"/>
          <w:szCs w:val="20"/>
        </w:rPr>
        <w:t>PrecCp: ______________________________________________________________________________</w:t>
      </w:r>
    </w:p>
    <w:p>
      <w:pPr>
        <w:pStyle w:val="Normal"/>
        <w:spacing w:before="0" w:after="0"/>
        <w:jc w:val="both"/>
        <w:rPr>
          <w:rFonts w:ascii="Times New Roman" w:hAnsi="Times New Roman" w:cs="Times New Roman"/>
          <w:color w:val="00000A"/>
          <w:sz w:val="20"/>
          <w:szCs w:val="20"/>
        </w:rPr>
      </w:pPr>
      <w:r>
        <w:rPr>
          <w:rFonts w:cs="Times New Roman" w:ascii="Times New Roman" w:hAnsi="Times New Roman"/>
          <w:color w:val="00000A"/>
          <w:sz w:val="20"/>
          <w:szCs w:val="20"/>
        </w:rPr>
        <w:t>Especialidade atendida: _________________________________________________________________</w:t>
      </w:r>
    </w:p>
    <w:p>
      <w:pPr>
        <w:pStyle w:val="Normal"/>
        <w:spacing w:before="0" w:after="0"/>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Data de atendimento: ___/___/___ </w:t>
        <w:tab/>
        <w:tab/>
        <w:tab/>
        <w:t>Hora de emissão: ___/___/___</w:t>
      </w:r>
    </w:p>
    <w:p>
      <w:pPr>
        <w:pStyle w:val="Normal"/>
        <w:spacing w:before="0" w:after="0"/>
        <w:jc w:val="both"/>
        <w:rPr>
          <w:rFonts w:ascii="Times New Roman" w:hAnsi="Times New Roman" w:cs="Times New Roman"/>
          <w:color w:val="00000A"/>
          <w:sz w:val="20"/>
          <w:szCs w:val="20"/>
        </w:rPr>
      </w:pPr>
      <w:r>
        <w:rPr>
          <w:rFonts w:cs="Times New Roman" w:ascii="Times New Roman" w:hAnsi="Times New Roman"/>
          <w:color w:val="00000A"/>
          <w:sz w:val="20"/>
          <w:szCs w:val="20"/>
        </w:rPr>
        <w:t>Telefone de contato do responsável: _____________________________</w:t>
      </w:r>
    </w:p>
    <w:p>
      <w:pPr>
        <w:pStyle w:val="Normal"/>
        <w:spacing w:before="0" w:after="0"/>
        <w:jc w:val="both"/>
        <w:rPr>
          <w:rFonts w:ascii="Times New Roman" w:hAnsi="Times New Roman" w:cs="Times New Roman"/>
          <w:color w:val="00000A"/>
          <w:sz w:val="20"/>
          <w:szCs w:val="20"/>
        </w:rPr>
      </w:pPr>
      <w:r>
        <w:rPr>
          <w:rFonts w:cs="Times New Roman" w:ascii="Times New Roman" w:hAnsi="Times New Roman"/>
          <w:color w:val="00000A"/>
          <w:sz w:val="20"/>
          <w:szCs w:val="20"/>
        </w:rPr>
      </w:r>
    </w:p>
    <w:p>
      <w:pPr>
        <w:pStyle w:val="Normal"/>
        <w:spacing w:before="0" w:after="0"/>
        <w:jc w:val="both"/>
        <w:rPr>
          <w:rFonts w:ascii="Times New Roman" w:hAnsi="Times New Roman" w:cs="Times New Roman"/>
          <w:color w:val="00000A"/>
          <w:sz w:val="20"/>
          <w:szCs w:val="20"/>
        </w:rPr>
      </w:pPr>
      <w:r>
        <w:rPr>
          <w:rFonts w:cs="Times New Roman" w:ascii="Times New Roman" w:hAnsi="Times New Roman"/>
          <w:color w:val="00000A"/>
          <w:sz w:val="20"/>
          <w:szCs w:val="20"/>
        </w:rPr>
        <w:t>Declaro que fui atendido(a), em caráter de URGÊNCIA e ou EMERGÊNCIA pelo Hospital _________________________________________________________, e me comprometo a providenciar em até 48 (quarenta e oito) horas ou 2 (dois) dias úteis, a contar da data do atendimento, a Guia de Encaminhamento (Autorização).</w:t>
      </w:r>
    </w:p>
    <w:p>
      <w:pPr>
        <w:pStyle w:val="Normal"/>
        <w:spacing w:before="0" w:after="0"/>
        <w:jc w:val="both"/>
        <w:rPr>
          <w:rFonts w:ascii="Times New Roman" w:hAnsi="Times New Roman" w:cs="Times New Roman"/>
          <w:color w:val="00000A"/>
          <w:sz w:val="20"/>
          <w:szCs w:val="20"/>
        </w:rPr>
      </w:pPr>
      <w:r>
        <w:rPr>
          <w:rFonts w:cs="Times New Roman" w:ascii="Times New Roman" w:hAnsi="Times New Roman"/>
          <w:color w:val="00000A"/>
          <w:sz w:val="20"/>
          <w:szCs w:val="20"/>
        </w:rPr>
      </w:r>
    </w:p>
    <w:p>
      <w:pPr>
        <w:pStyle w:val="Normal"/>
        <w:spacing w:before="0" w:after="0"/>
        <w:jc w:val="both"/>
        <w:rPr>
          <w:rFonts w:ascii="Times New Roman" w:hAnsi="Times New Roman" w:cs="Times New Roman"/>
          <w:color w:val="00000A"/>
          <w:sz w:val="20"/>
          <w:szCs w:val="20"/>
        </w:rPr>
      </w:pPr>
      <w:r>
        <w:rPr>
          <w:rFonts w:cs="Times New Roman" w:ascii="Times New Roman" w:hAnsi="Times New Roman"/>
          <w:color w:val="00000A"/>
          <w:sz w:val="20"/>
          <w:szCs w:val="20"/>
        </w:rPr>
        <w:t>Estou ciente que o não cumprimento deste termo acarretará o pagamento integral das despesas realizadas, conforme Capítulo III da Urgência e Emergência previstas nas Instruções Reguladoras para Assistência Médico Hospitalar aos Beneficiários do Fundo de Saúde do Exército (IR 30-38):</w:t>
      </w:r>
    </w:p>
    <w:p>
      <w:pPr>
        <w:pStyle w:val="Normal"/>
        <w:spacing w:before="0" w:after="0"/>
        <w:jc w:val="both"/>
        <w:rPr>
          <w:rFonts w:ascii="Times New Roman" w:hAnsi="Times New Roman" w:cs="Times New Roman"/>
          <w:color w:val="00000A"/>
          <w:sz w:val="20"/>
          <w:szCs w:val="20"/>
        </w:rPr>
      </w:pPr>
      <w:r>
        <w:rPr>
          <w:rFonts w:cs="Times New Roman" w:ascii="Times New Roman" w:hAnsi="Times New Roman"/>
          <w:color w:val="00000A"/>
          <w:sz w:val="20"/>
          <w:szCs w:val="20"/>
        </w:rPr>
      </w:r>
    </w:p>
    <w:p>
      <w:pPr>
        <w:pStyle w:val="Normal"/>
        <w:spacing w:before="0" w:after="0"/>
        <w:jc w:val="both"/>
        <w:rPr>
          <w:rFonts w:ascii="Times New Roman" w:hAnsi="Times New Roman" w:cs="Times New Roman"/>
          <w:color w:val="00000A"/>
          <w:sz w:val="20"/>
          <w:szCs w:val="20"/>
        </w:rPr>
      </w:pPr>
      <w:r>
        <w:rPr>
          <w:rFonts w:cs="Times New Roman" w:ascii="Times New Roman" w:hAnsi="Times New Roman"/>
          <w:color w:val="00000A"/>
          <w:sz w:val="20"/>
          <w:szCs w:val="20"/>
          <w:u w:val="single"/>
        </w:rPr>
        <w:t>“</w:t>
      </w:r>
      <w:r>
        <w:rPr>
          <w:rFonts w:cs="Times New Roman" w:ascii="Times New Roman" w:hAnsi="Times New Roman"/>
          <w:color w:val="00000A"/>
          <w:sz w:val="20"/>
          <w:szCs w:val="20"/>
          <w:u w:val="single"/>
        </w:rPr>
        <w:t>Art. 20. O FUSEx não se responsabilizará ou ressarcirá as despesas, caso não comprovada a urgência e (ou) a emergência ou não tenham sido cumpridas as providências previstas nos arts. 18 e 19 da IR 30-38.</w:t>
      </w:r>
      <w:r>
        <w:rPr>
          <w:rFonts w:cs="Times New Roman" w:ascii="Times New Roman" w:hAnsi="Times New Roman"/>
          <w:color w:val="00000A"/>
          <w:sz w:val="20"/>
          <w:szCs w:val="20"/>
        </w:rPr>
        <w:t>”</w:t>
      </w:r>
    </w:p>
    <w:p>
      <w:pPr>
        <w:pStyle w:val="Normal"/>
        <w:spacing w:before="0" w:after="0"/>
        <w:jc w:val="both"/>
        <w:rPr>
          <w:rFonts w:ascii="Times New Roman" w:hAnsi="Times New Roman" w:cs="Times New Roman"/>
          <w:color w:val="00000A"/>
          <w:sz w:val="20"/>
          <w:szCs w:val="20"/>
        </w:rPr>
      </w:pPr>
      <w:r>
        <w:rPr>
          <w:rFonts w:cs="Times New Roman" w:ascii="Times New Roman" w:hAnsi="Times New Roman"/>
          <w:color w:val="00000A"/>
          <w:sz w:val="20"/>
          <w:szCs w:val="20"/>
        </w:rPr>
      </w:r>
    </w:p>
    <w:p>
      <w:pPr>
        <w:pStyle w:val="Normal"/>
        <w:spacing w:before="0" w:after="0"/>
        <w:jc w:val="center"/>
        <w:rPr>
          <w:rFonts w:ascii="Times New Roman" w:hAnsi="Times New Roman" w:cs="Times New Roman"/>
          <w:color w:val="00000A"/>
          <w:sz w:val="20"/>
          <w:szCs w:val="20"/>
        </w:rPr>
      </w:pPr>
      <w:r>
        <w:rPr>
          <w:rFonts w:cs="Times New Roman" w:ascii="Times New Roman" w:hAnsi="Times New Roman"/>
          <w:color w:val="00000A"/>
          <w:sz w:val="20"/>
          <w:szCs w:val="20"/>
        </w:rPr>
      </w:r>
    </w:p>
    <w:p>
      <w:pPr>
        <w:pStyle w:val="Normal"/>
        <w:spacing w:before="0" w:after="0"/>
        <w:jc w:val="center"/>
        <w:rPr>
          <w:rFonts w:ascii="Times New Roman" w:hAnsi="Times New Roman" w:cs="Times New Roman"/>
          <w:color w:val="00000A"/>
          <w:sz w:val="20"/>
          <w:szCs w:val="20"/>
        </w:rPr>
      </w:pPr>
      <w:r>
        <w:rPr>
          <w:rFonts w:cs="Times New Roman" w:ascii="Times New Roman" w:hAnsi="Times New Roman"/>
          <w:color w:val="00000A"/>
          <w:sz w:val="20"/>
          <w:szCs w:val="20"/>
        </w:rPr>
      </w:r>
    </w:p>
    <w:p>
      <w:pPr>
        <w:pStyle w:val="Normal"/>
        <w:spacing w:before="0" w:after="0"/>
        <w:jc w:val="center"/>
        <w:rPr>
          <w:rFonts w:ascii="Times New Roman" w:hAnsi="Times New Roman" w:cs="Times New Roman"/>
          <w:color w:val="00000A"/>
          <w:sz w:val="20"/>
          <w:szCs w:val="20"/>
        </w:rPr>
      </w:pPr>
      <w:r>
        <w:rPr>
          <w:rFonts w:cs="Times New Roman" w:ascii="Times New Roman" w:hAnsi="Times New Roman"/>
          <w:color w:val="00000A"/>
          <w:sz w:val="20"/>
          <w:szCs w:val="20"/>
        </w:rPr>
        <w:t>Assinatura do beneficiário ou responsável</w:t>
      </w:r>
    </w:p>
    <w:p>
      <w:pPr>
        <w:pStyle w:val="Normal"/>
        <w:spacing w:before="0" w:after="0"/>
        <w:jc w:val="center"/>
        <w:rPr>
          <w:rFonts w:ascii="Times New Roman" w:hAnsi="Times New Roman" w:cs="Times New Roman"/>
          <w:color w:val="00000A"/>
          <w:sz w:val="20"/>
          <w:szCs w:val="20"/>
        </w:rPr>
      </w:pPr>
      <w:r>
        <w:rPr>
          <w:rFonts w:cs="Times New Roman" w:ascii="Times New Roman" w:hAnsi="Times New Roman"/>
          <w:color w:val="00000A"/>
          <w:sz w:val="20"/>
          <w:szCs w:val="20"/>
        </w:rPr>
      </w:r>
    </w:p>
    <w:tbl>
      <w:tblPr>
        <w:tblW w:w="8494" w:type="dxa"/>
        <w:jc w:val="left"/>
        <w:tblInd w:w="0" w:type="dxa"/>
        <w:tblCellMar>
          <w:top w:w="0" w:type="dxa"/>
          <w:left w:w="108" w:type="dxa"/>
          <w:bottom w:w="0" w:type="dxa"/>
          <w:right w:w="108" w:type="dxa"/>
        </w:tblCellMar>
      </w:tblPr>
      <w:tblGrid>
        <w:gridCol w:w="8494"/>
      </w:tblGrid>
      <w:tr>
        <w:trPr/>
        <w:tc>
          <w:tcPr>
            <w:tcW w:w="8494" w:type="dxa"/>
            <w:tcBorders>
              <w:top w:val="single" w:sz="4" w:space="0" w:color="00000A"/>
              <w:left w:val="single" w:sz="4" w:space="0" w:color="00000A"/>
              <w:bottom w:val="single" w:sz="4" w:space="0" w:color="00000A"/>
              <w:right w:val="single" w:sz="4" w:space="0" w:color="00000A"/>
            </w:tcBorders>
            <w:shd w:fill="auto" w:val="clear"/>
          </w:tcPr>
          <w:p>
            <w:pPr>
              <w:pStyle w:val="Normal"/>
              <w:widowControl/>
              <w:spacing w:lineRule="auto" w:line="240" w:before="0" w:after="0"/>
              <w:jc w:val="center"/>
              <w:rPr>
                <w:rFonts w:ascii="Times New Roman" w:hAnsi="Times New Roman" w:cs="Times New Roman"/>
                <w:b/>
                <w:b/>
                <w:color w:val="00000A"/>
                <w:sz w:val="20"/>
                <w:szCs w:val="20"/>
                <w:lang w:val="pt-BR" w:bidi="ar-SA"/>
              </w:rPr>
            </w:pPr>
            <w:r>
              <w:rPr>
                <w:rFonts w:cs="Times New Roman" w:ascii="Times New Roman" w:hAnsi="Times New Roman"/>
                <w:b/>
                <w:color w:val="00000A"/>
                <w:sz w:val="20"/>
                <w:szCs w:val="20"/>
                <w:lang w:val="pt-BR" w:bidi="ar-SA"/>
              </w:rPr>
              <w:t>A ser preenchido pela Organização Civil de Saúde /OCS</w:t>
            </w:r>
          </w:p>
        </w:tc>
      </w:tr>
      <w:tr>
        <w:trPr/>
        <w:tc>
          <w:tcPr>
            <w:tcW w:w="8494" w:type="dxa"/>
            <w:tcBorders>
              <w:top w:val="single" w:sz="4" w:space="0" w:color="00000A"/>
              <w:left w:val="single" w:sz="4" w:space="0" w:color="00000A"/>
              <w:bottom w:val="single" w:sz="4" w:space="0" w:color="00000A"/>
              <w:right w:val="single" w:sz="4" w:space="0" w:color="00000A"/>
            </w:tcBorders>
            <w:shd w:fill="auto" w:val="clear"/>
          </w:tcPr>
          <w:p>
            <w:pPr>
              <w:pStyle w:val="Normal"/>
              <w:widowControl/>
              <w:spacing w:lineRule="auto" w:line="240" w:before="0" w:after="0"/>
              <w:jc w:val="both"/>
              <w:rPr>
                <w:rFonts w:ascii="Times New Roman" w:hAnsi="Times New Roman" w:cs="Times New Roman"/>
                <w:color w:val="00000A"/>
                <w:sz w:val="20"/>
                <w:szCs w:val="20"/>
                <w:lang w:val="pt-BR" w:bidi="ar-SA"/>
              </w:rPr>
            </w:pPr>
            <w:r>
              <w:rPr>
                <w:rFonts w:cs="Times New Roman" w:ascii="Times New Roman" w:hAnsi="Times New Roman"/>
                <w:color w:val="00000A"/>
                <w:sz w:val="20"/>
                <w:szCs w:val="20"/>
                <w:lang w:val="pt-BR" w:bidi="ar-SA"/>
              </w:rPr>
              <w:t>Horário limite para a troca do tempo para a Guia autorizada do FUSEx_________________</w:t>
            </w:r>
          </w:p>
          <w:p>
            <w:pPr>
              <w:pStyle w:val="Normal"/>
              <w:widowControl/>
              <w:spacing w:lineRule="auto" w:line="240" w:before="0" w:after="0"/>
              <w:jc w:val="both"/>
              <w:rPr>
                <w:rFonts w:ascii="Times New Roman" w:hAnsi="Times New Roman" w:cs="Times New Roman"/>
                <w:color w:val="00000A"/>
                <w:sz w:val="20"/>
                <w:szCs w:val="20"/>
                <w:lang w:val="pt-BR" w:bidi="ar-SA"/>
              </w:rPr>
            </w:pPr>
            <w:r>
              <w:rPr>
                <w:rFonts w:cs="Times New Roman" w:ascii="Times New Roman" w:hAnsi="Times New Roman"/>
                <w:color w:val="00000A"/>
                <w:sz w:val="20"/>
                <w:szCs w:val="20"/>
                <w:lang w:val="pt-BR" w:bidi="ar-SA"/>
              </w:rPr>
              <w:t>Srs. Beneficiários, a troca somente será realizada dentro do prazo e horários estabelecidos acima.</w:t>
            </w:r>
          </w:p>
          <w:p>
            <w:pPr>
              <w:pStyle w:val="Normal"/>
              <w:widowControl/>
              <w:spacing w:lineRule="auto" w:line="240" w:before="0" w:after="0"/>
              <w:jc w:val="both"/>
              <w:rPr>
                <w:rFonts w:ascii="Times New Roman" w:hAnsi="Times New Roman" w:cs="Times New Roman"/>
                <w:color w:val="00000A"/>
                <w:sz w:val="22"/>
                <w:szCs w:val="22"/>
                <w:lang w:val="pt-BR" w:bidi="ar-SA"/>
              </w:rPr>
            </w:pPr>
            <w:r>
              <w:rPr>
                <w:rFonts w:cs="Times New Roman" w:ascii="Times New Roman" w:hAnsi="Times New Roman"/>
                <w:color w:val="00000A"/>
                <w:sz w:val="22"/>
                <w:szCs w:val="22"/>
                <w:lang w:val="pt-BR" w:bidi="ar-SA"/>
              </w:rPr>
            </w:r>
          </w:p>
          <w:p>
            <w:pPr>
              <w:pStyle w:val="Normal"/>
              <w:widowControl/>
              <w:spacing w:lineRule="auto" w:line="240" w:before="0" w:after="0"/>
              <w:jc w:val="center"/>
              <w:rPr>
                <w:rFonts w:ascii="Times New Roman" w:hAnsi="Times New Roman" w:cs="Times New Roman"/>
                <w:color w:val="00000A"/>
                <w:sz w:val="20"/>
                <w:szCs w:val="20"/>
                <w:lang w:val="pt-BR" w:bidi="ar-SA"/>
              </w:rPr>
            </w:pPr>
            <w:r>
              <w:rPr>
                <w:rFonts w:cs="Times New Roman" w:ascii="Times New Roman" w:hAnsi="Times New Roman"/>
                <w:color w:val="00000A"/>
                <w:sz w:val="20"/>
                <w:szCs w:val="20"/>
                <w:lang w:val="pt-BR" w:bidi="ar-SA"/>
              </w:rPr>
              <w:t>Assinatura da recepcionista responsável pelo atendimento (legível)</w:t>
            </w:r>
          </w:p>
          <w:p>
            <w:pPr>
              <w:pStyle w:val="Normal"/>
              <w:widowControl/>
              <w:spacing w:lineRule="auto" w:line="240" w:before="0" w:after="0"/>
              <w:jc w:val="center"/>
              <w:rPr>
                <w:rFonts w:ascii="Times New Roman" w:hAnsi="Times New Roman" w:cs="Times New Roman"/>
                <w:color w:val="00000A"/>
                <w:sz w:val="22"/>
                <w:szCs w:val="22"/>
                <w:lang w:val="pt-BR" w:bidi="ar-SA"/>
              </w:rPr>
            </w:pPr>
            <w:r>
              <w:rPr>
                <w:rFonts w:cs="Times New Roman" w:ascii="Times New Roman" w:hAnsi="Times New Roman"/>
                <w:color w:val="00000A"/>
                <w:sz w:val="22"/>
                <w:szCs w:val="22"/>
                <w:lang w:val="pt-BR" w:bidi="ar-SA"/>
              </w:rPr>
            </w:r>
          </w:p>
          <w:p>
            <w:pPr>
              <w:pStyle w:val="Normal"/>
              <w:widowControl/>
              <w:spacing w:lineRule="auto" w:line="240" w:before="0" w:after="0"/>
              <w:jc w:val="both"/>
              <w:rPr>
                <w:rFonts w:ascii="Times New Roman" w:hAnsi="Times New Roman" w:cs="Times New Roman"/>
                <w:color w:val="00000A"/>
                <w:sz w:val="20"/>
                <w:szCs w:val="20"/>
                <w:lang w:val="pt-BR" w:bidi="ar-SA"/>
              </w:rPr>
            </w:pPr>
            <w:r>
              <w:rPr>
                <w:rFonts w:cs="Times New Roman" w:ascii="Times New Roman" w:hAnsi="Times New Roman"/>
                <w:color w:val="00000A"/>
                <w:sz w:val="20"/>
                <w:szCs w:val="20"/>
                <w:lang w:val="pt-BR" w:bidi="ar-SA"/>
              </w:rPr>
              <w:t>OBS: O hospital ficará com o termo original e o responsável pelo paciente ficará com a cópia a ser trocada.</w:t>
            </w:r>
          </w:p>
        </w:tc>
      </w:tr>
    </w:tbl>
    <w:p>
      <w:pPr>
        <w:pStyle w:val="Normal"/>
        <w:spacing w:before="0" w:after="0"/>
        <w:jc w:val="center"/>
        <w:rPr/>
      </w:pPr>
      <w:r>
        <w:rPr/>
      </w:r>
    </w:p>
    <w:sectPr>
      <w:headerReference w:type="default" r:id="rId6"/>
      <w:footerReference w:type="default" r:id="rId7"/>
      <w:type w:val="nextPage"/>
      <w:pgSz w:w="11906" w:h="16838"/>
      <w:pgMar w:left="1701" w:right="1701" w:header="708" w:top="1417" w:footer="708" w:bottom="1417"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Ecofont_Spranq_eco_Sans">
    <w:charset w:val="01"/>
    <w:family w:val="roman"/>
    <w:pitch w:val="variable"/>
  </w:font>
  <w:font w:name="Calibri">
    <w:charset w:val="01"/>
    <w:family w:val="roman"/>
    <w:pitch w:val="variable"/>
  </w:font>
  <w:font w:name="Arial">
    <w:charset w:val="01"/>
    <w:family w:val="roman"/>
    <w:pitch w:val="variable"/>
  </w:font>
  <w:font w:name="Tahoma">
    <w:charset w:val="01"/>
    <w:family w:val="roman"/>
    <w:pitch w:val="variable"/>
  </w:font>
  <w:font w:name="Times New Roman">
    <w:charset w:val="01"/>
    <w:family w:val="roman"/>
    <w:pitch w:val="variable"/>
  </w:font>
  <w:font w:name="Cambria">
    <w:charset w:val="01"/>
    <w:family w:val="roman"/>
    <w:pitch w:val="variable"/>
  </w:font>
  <w:font w:name="Liberation Sans">
    <w:altName w:val="Arial"/>
    <w:charset w:val="01"/>
    <w:family w:val="roman"/>
    <w:pitch w:val="variable"/>
  </w:font>
  <w:font w:name="Times new roman">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rFonts w:ascii="Times New Roman" w:hAnsi="Times New Roman"/>
      </w:rPr>
    </w:pPr>
    <w:r>
      <w:rPr>
        <w:rFonts w:ascii="Times New Roman" w:hAnsi="Times New Roman"/>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jc w:val="right"/>
      <w:rPr>
        <w:rFonts w:ascii="Ecofont_Spranq_eco_Sans" w:hAnsi="Ecofont_Spranq_eco_Sans"/>
        <w:sz w:val="18"/>
        <w:szCs w:val="18"/>
      </w:rPr>
    </w:pPr>
    <w:r>
      <w:rPr/>
      <w:fldChar w:fldCharType="begin"/>
    </w:r>
    <w:r>
      <w:rPr/>
      <w:instrText> PAGE </w:instrText>
    </w:r>
    <w:r>
      <w:rPr/>
      <w:fldChar w:fldCharType="separate"/>
    </w:r>
    <w:r>
      <w:rPr/>
      <w:t>11</w:t>
    </w:r>
    <w:r>
      <w:rPr/>
      <w:fldChar w:fldCharType="end"/>
    </w:r>
    <w:r>
      <w:rPr>
        <w:rFonts w:ascii="Ecofont_Spranq_eco_Sans" w:hAnsi="Ecofont_Spranq_eco_Sans"/>
        <w:sz w:val="18"/>
        <w:szCs w:val="18"/>
      </w:rPr>
      <w:t>/13.</w:t>
    </w:r>
  </w:p>
  <w:p>
    <w:pPr>
      <w:pStyle w:val="Cabealho"/>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tabs>
          <w:tab w:val="num" w:pos="0"/>
        </w:tabs>
        <w:ind w:left="1070" w:hanging="360"/>
      </w:pPr>
    </w:lvl>
    <w:lvl w:ilvl="1">
      <w:start w:val="1"/>
      <w:numFmt w:val="decimal"/>
      <w:lvlText w:val="%1.%2."/>
      <w:lvlJc w:val="left"/>
      <w:pPr>
        <w:tabs>
          <w:tab w:val="num" w:pos="0"/>
        </w:tabs>
        <w:ind w:left="1140"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680"/>
  <w:autoHyphenation w:val="true"/>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Ecofont_Spranq_eco_Sans" w:hAnsi="Ecofont_Spranq_eco_Sans" w:eastAsia="Calibri" w:cs=""/>
        <w:szCs w:val="22"/>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0" w:qFormat="1"/>
    <w:lsdException w:name="heading 2" w:uiPriority="0"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45189"/>
    <w:pPr>
      <w:widowControl/>
      <w:suppressAutoHyphens w:val="true"/>
      <w:bidi w:val="0"/>
      <w:spacing w:lineRule="auto" w:line="276" w:before="0" w:after="200"/>
      <w:jc w:val="left"/>
    </w:pPr>
    <w:rPr>
      <w:rFonts w:ascii="Calibri" w:hAnsi="Calibri" w:eastAsia="" w:cs=""/>
      <w:color w:val="00000A"/>
      <w:kern w:val="0"/>
      <w:sz w:val="22"/>
      <w:szCs w:val="22"/>
      <w:lang w:val="pt-BR" w:eastAsia="pt-BR" w:bidi="ar-SA"/>
    </w:rPr>
  </w:style>
  <w:style w:type="paragraph" w:styleId="Ttulo1">
    <w:name w:val="Heading 1"/>
    <w:basedOn w:val="Normal"/>
    <w:next w:val="Normal"/>
    <w:link w:val="Ttulo1Char"/>
    <w:qFormat/>
    <w:rsid w:val="008963a6"/>
    <w:pPr>
      <w:keepNext w:val="true"/>
      <w:tabs>
        <w:tab w:val="clear" w:pos="680"/>
        <w:tab w:val="left" w:pos="0" w:leader="none"/>
      </w:tabs>
      <w:suppressAutoHyphens w:val="true"/>
      <w:spacing w:lineRule="auto" w:line="240" w:before="0" w:after="0"/>
      <w:jc w:val="center"/>
      <w:outlineLvl w:val="0"/>
    </w:pPr>
    <w:rPr>
      <w:rFonts w:ascii="Arial" w:hAnsi="Arial" w:eastAsia="Times New Roman" w:cs="Times New Roman"/>
      <w:sz w:val="24"/>
      <w:szCs w:val="20"/>
      <w:lang w:eastAsia="ar-SA"/>
    </w:rPr>
  </w:style>
  <w:style w:type="paragraph" w:styleId="Ttulo2">
    <w:name w:val="Heading 2"/>
    <w:basedOn w:val="Normal"/>
    <w:next w:val="Normal"/>
    <w:link w:val="Ttulo2Char"/>
    <w:qFormat/>
    <w:rsid w:val="008963a6"/>
    <w:pPr>
      <w:keepNext w:val="true"/>
      <w:tabs>
        <w:tab w:val="clear" w:pos="680"/>
        <w:tab w:val="left" w:pos="0" w:leader="none"/>
      </w:tabs>
      <w:suppressAutoHyphens w:val="true"/>
      <w:spacing w:lineRule="auto" w:line="240" w:before="0" w:after="0"/>
      <w:outlineLvl w:val="1"/>
    </w:pPr>
    <w:rPr>
      <w:rFonts w:ascii="Arial" w:hAnsi="Arial" w:eastAsia="Times New Roman" w:cs="Times New Roman"/>
      <w:b/>
      <w:sz w:val="24"/>
      <w:szCs w:val="20"/>
      <w:lang w:eastAsia="ar-SA"/>
    </w:rPr>
  </w:style>
  <w:style w:type="character" w:styleId="DefaultParagraphFont" w:default="1">
    <w:name w:val="Default Paragraph Font"/>
    <w:uiPriority w:val="1"/>
    <w:semiHidden/>
    <w:unhideWhenUsed/>
    <w:qFormat/>
    <w:rPr/>
  </w:style>
  <w:style w:type="character" w:styleId="TextodebaloChar" w:customStyle="1">
    <w:name w:val="Texto de balão Char"/>
    <w:basedOn w:val="DefaultParagraphFont"/>
    <w:link w:val="BalloonText"/>
    <w:uiPriority w:val="99"/>
    <w:semiHidden/>
    <w:qFormat/>
    <w:rsid w:val="00e45189"/>
    <w:rPr>
      <w:rFonts w:ascii="Tahoma" w:hAnsi="Tahoma" w:eastAsia="" w:cs="Tahoma"/>
      <w:sz w:val="16"/>
      <w:szCs w:val="16"/>
      <w:lang w:eastAsia="pt-BR"/>
    </w:rPr>
  </w:style>
  <w:style w:type="character" w:styleId="Strong">
    <w:name w:val="Strong"/>
    <w:basedOn w:val="DefaultParagraphFont"/>
    <w:uiPriority w:val="22"/>
    <w:qFormat/>
    <w:rsid w:val="00e7010c"/>
    <w:rPr>
      <w:b/>
      <w:bCs/>
    </w:rPr>
  </w:style>
  <w:style w:type="character" w:styleId="Ttulo1Char" w:customStyle="1">
    <w:name w:val="Título 1 Char"/>
    <w:basedOn w:val="DefaultParagraphFont"/>
    <w:qFormat/>
    <w:rsid w:val="008963a6"/>
    <w:rPr>
      <w:rFonts w:ascii="Arial" w:hAnsi="Arial" w:eastAsia="Times New Roman" w:cs="Times New Roman"/>
      <w:sz w:val="24"/>
      <w:szCs w:val="20"/>
      <w:lang w:eastAsia="ar-SA"/>
    </w:rPr>
  </w:style>
  <w:style w:type="character" w:styleId="Ttulo2Char" w:customStyle="1">
    <w:name w:val="Título 2 Char"/>
    <w:basedOn w:val="DefaultParagraphFont"/>
    <w:qFormat/>
    <w:rsid w:val="008963a6"/>
    <w:rPr>
      <w:rFonts w:ascii="Arial" w:hAnsi="Arial" w:eastAsia="Times New Roman" w:cs="Times New Roman"/>
      <w:b/>
      <w:sz w:val="24"/>
      <w:szCs w:val="20"/>
      <w:lang w:eastAsia="ar-SA"/>
    </w:rPr>
  </w:style>
  <w:style w:type="character" w:styleId="CorpodetextoChar" w:customStyle="1">
    <w:name w:val="Corpo de texto Char"/>
    <w:basedOn w:val="DefaultParagraphFont"/>
    <w:qFormat/>
    <w:rsid w:val="008963a6"/>
    <w:rPr>
      <w:rFonts w:ascii="Times New Roman" w:hAnsi="Times New Roman" w:eastAsia="Times New Roman" w:cs="Times New Roman"/>
      <w:sz w:val="28"/>
      <w:szCs w:val="20"/>
      <w:lang w:eastAsia="ar-SA"/>
    </w:rPr>
  </w:style>
  <w:style w:type="character" w:styleId="TtuloChar" w:customStyle="1">
    <w:name w:val="Título Char"/>
    <w:basedOn w:val="DefaultParagraphFont"/>
    <w:qFormat/>
    <w:rsid w:val="008963a6"/>
    <w:rPr>
      <w:rFonts w:ascii="Times New Roman" w:hAnsi="Times New Roman" w:eastAsia="Times New Roman" w:cs="Times New Roman"/>
      <w:sz w:val="24"/>
      <w:szCs w:val="20"/>
      <w:lang w:eastAsia="ar-SA"/>
    </w:rPr>
  </w:style>
  <w:style w:type="character" w:styleId="SubttuloChar" w:customStyle="1">
    <w:name w:val="Subtítulo Char"/>
    <w:basedOn w:val="DefaultParagraphFont"/>
    <w:uiPriority w:val="11"/>
    <w:qFormat/>
    <w:rsid w:val="008963a6"/>
    <w:rPr>
      <w:rFonts w:ascii="Cambria" w:hAnsi="Cambria" w:eastAsia="" w:cs=""/>
      <w:i/>
      <w:iCs/>
      <w:color w:val="4F81BD"/>
      <w:spacing w:val="15"/>
      <w:sz w:val="24"/>
      <w:szCs w:val="24"/>
      <w:lang w:eastAsia="pt-BR"/>
    </w:rPr>
  </w:style>
  <w:style w:type="character" w:styleId="CabealhoChar" w:customStyle="1">
    <w:name w:val="Cabeçalho Char"/>
    <w:basedOn w:val="DefaultParagraphFont"/>
    <w:uiPriority w:val="99"/>
    <w:qFormat/>
    <w:rsid w:val="004b2e74"/>
    <w:rPr>
      <w:rFonts w:ascii="Calibri" w:hAnsi="Calibri" w:eastAsia="" w:cs=""/>
      <w:lang w:eastAsia="pt-BR"/>
    </w:rPr>
  </w:style>
  <w:style w:type="character" w:styleId="RodapChar" w:customStyle="1">
    <w:name w:val="Rodapé Char"/>
    <w:basedOn w:val="DefaultParagraphFont"/>
    <w:uiPriority w:val="99"/>
    <w:qFormat/>
    <w:rsid w:val="004b2e74"/>
    <w:rPr>
      <w:rFonts w:ascii="Calibri" w:hAnsi="Calibri" w:eastAsia="" w:cs=""/>
      <w:lang w:eastAsia="pt-BR"/>
    </w:rPr>
  </w:style>
  <w:style w:type="paragraph" w:styleId="Ttulo">
    <w:name w:val="Título"/>
    <w:basedOn w:val="Normal"/>
    <w:next w:val="Corpodotexto"/>
    <w:qFormat/>
    <w:pPr>
      <w:keepNext w:val="true"/>
      <w:spacing w:before="240" w:after="120"/>
    </w:pPr>
    <w:rPr>
      <w:rFonts w:ascii="Liberation Sans" w:hAnsi="Liberation Sans" w:eastAsia="Noto Sans CJK SC" w:cs="Lohit Devanagari"/>
      <w:sz w:val="28"/>
      <w:szCs w:val="28"/>
    </w:rPr>
  </w:style>
  <w:style w:type="paragraph" w:styleId="Corpodotexto">
    <w:name w:val="Body Text"/>
    <w:basedOn w:val="Normal"/>
    <w:link w:val="CorpodetextoChar"/>
    <w:rsid w:val="008963a6"/>
    <w:pPr>
      <w:suppressAutoHyphens w:val="true"/>
      <w:spacing w:lineRule="auto" w:line="240" w:before="0" w:after="0"/>
      <w:jc w:val="both"/>
    </w:pPr>
    <w:rPr>
      <w:rFonts w:ascii="Times New Roman" w:hAnsi="Times New Roman" w:eastAsia="Times New Roman" w:cs="Times New Roman"/>
      <w:sz w:val="28"/>
      <w:szCs w:val="20"/>
      <w:lang w:eastAsia="ar-SA"/>
    </w:rPr>
  </w:style>
  <w:style w:type="paragraph" w:styleId="Lista">
    <w:name w:val="List"/>
    <w:basedOn w:val="Corpodotexto"/>
    <w:pPr/>
    <w:rPr>
      <w:rFonts w:cs="Lohit Devanagari"/>
    </w:rPr>
  </w:style>
  <w:style w:type="paragraph" w:styleId="Legenda">
    <w:name w:val="Caption"/>
    <w:basedOn w:val="Normal"/>
    <w:qFormat/>
    <w:pPr>
      <w:suppressLineNumbers/>
      <w:spacing w:before="120" w:after="120"/>
    </w:pPr>
    <w:rPr>
      <w:rFonts w:cs="Lohit Devanagari"/>
      <w:i/>
      <w:iCs/>
      <w:sz w:val="24"/>
      <w:szCs w:val="24"/>
    </w:rPr>
  </w:style>
  <w:style w:type="paragraph" w:styleId="Ndice">
    <w:name w:val="Índice"/>
    <w:basedOn w:val="Normal"/>
    <w:qFormat/>
    <w:pPr>
      <w:suppressLineNumbers/>
    </w:pPr>
    <w:rPr>
      <w:rFonts w:cs="Lohit Devanagari"/>
    </w:rPr>
  </w:style>
  <w:style w:type="paragraph" w:styleId="BalloonText">
    <w:name w:val="Balloon Text"/>
    <w:basedOn w:val="Normal"/>
    <w:link w:val="TextodebaloChar"/>
    <w:uiPriority w:val="99"/>
    <w:semiHidden/>
    <w:unhideWhenUsed/>
    <w:qFormat/>
    <w:rsid w:val="00e45189"/>
    <w:pPr>
      <w:spacing w:lineRule="auto" w:line="240" w:before="0" w:after="0"/>
    </w:pPr>
    <w:rPr>
      <w:rFonts w:ascii="Tahoma" w:hAnsi="Tahoma" w:cs="Tahoma"/>
      <w:sz w:val="16"/>
      <w:szCs w:val="16"/>
    </w:rPr>
  </w:style>
  <w:style w:type="paragraph" w:styleId="ListParagraph">
    <w:name w:val="List Paragraph"/>
    <w:basedOn w:val="Normal"/>
    <w:uiPriority w:val="34"/>
    <w:qFormat/>
    <w:rsid w:val="00b95acb"/>
    <w:pPr>
      <w:spacing w:before="0" w:after="200"/>
      <w:ind w:left="720" w:right="0" w:hanging="0"/>
      <w:contextualSpacing/>
    </w:pPr>
    <w:rPr/>
  </w:style>
  <w:style w:type="paragraph" w:styleId="NormalWeb">
    <w:name w:val="Normal (Web)"/>
    <w:basedOn w:val="Normal"/>
    <w:uiPriority w:val="99"/>
    <w:unhideWhenUsed/>
    <w:qFormat/>
    <w:rsid w:val="00e7010c"/>
    <w:pPr>
      <w:spacing w:before="0" w:after="280"/>
    </w:pPr>
    <w:rPr>
      <w:rFonts w:ascii="Times New Roman" w:hAnsi="Times New Roman" w:eastAsia="Times New Roman" w:cs="Times New Roman"/>
      <w:sz w:val="24"/>
      <w:szCs w:val="24"/>
    </w:rPr>
  </w:style>
  <w:style w:type="paragraph" w:styleId="Recuodecorpodetexto31" w:customStyle="1">
    <w:name w:val="Recuo de corpo de texto 31"/>
    <w:basedOn w:val="Normal"/>
    <w:qFormat/>
    <w:rsid w:val="008f2e47"/>
    <w:pPr>
      <w:suppressAutoHyphens w:val="true"/>
      <w:spacing w:lineRule="auto" w:line="240" w:before="0" w:after="0"/>
      <w:ind w:left="0" w:right="0" w:firstLine="1418"/>
      <w:jc w:val="both"/>
    </w:pPr>
    <w:rPr>
      <w:rFonts w:ascii="Arial" w:hAnsi="Arial" w:eastAsia="Times New Roman" w:cs="Times New Roman"/>
      <w:sz w:val="24"/>
      <w:szCs w:val="20"/>
      <w:lang w:eastAsia="ar-SA"/>
    </w:rPr>
  </w:style>
  <w:style w:type="paragraph" w:styleId="Recuodecorpodetexto32" w:customStyle="1">
    <w:name w:val="Recuo de corpo de texto 32"/>
    <w:basedOn w:val="Normal"/>
    <w:qFormat/>
    <w:rsid w:val="008963a6"/>
    <w:pPr>
      <w:suppressAutoHyphens w:val="true"/>
      <w:spacing w:lineRule="auto" w:line="240" w:before="0" w:after="0"/>
      <w:ind w:left="0" w:right="0" w:firstLine="1418"/>
      <w:jc w:val="both"/>
    </w:pPr>
    <w:rPr>
      <w:rFonts w:ascii="Arial" w:hAnsi="Arial" w:eastAsia="Times New Roman" w:cs="Times New Roman"/>
      <w:sz w:val="24"/>
      <w:szCs w:val="20"/>
      <w:lang w:eastAsia="ar-SA"/>
    </w:rPr>
  </w:style>
  <w:style w:type="paragraph" w:styleId="Ttulododocumento">
    <w:name w:val="Title"/>
    <w:basedOn w:val="Normal"/>
    <w:next w:val="Normal"/>
    <w:link w:val="TtuloChar"/>
    <w:qFormat/>
    <w:rsid w:val="008963a6"/>
    <w:pPr>
      <w:suppressAutoHyphens w:val="true"/>
      <w:spacing w:lineRule="auto" w:line="240" w:before="0" w:after="0"/>
      <w:jc w:val="center"/>
    </w:pPr>
    <w:rPr>
      <w:rFonts w:ascii="Times New Roman" w:hAnsi="Times New Roman" w:eastAsia="Times New Roman" w:cs="Times New Roman"/>
      <w:sz w:val="24"/>
      <w:szCs w:val="20"/>
      <w:lang w:eastAsia="ar-SA"/>
    </w:rPr>
  </w:style>
  <w:style w:type="paragraph" w:styleId="Subttulo">
    <w:name w:val="Subtitle"/>
    <w:basedOn w:val="Normal"/>
    <w:next w:val="Normal"/>
    <w:link w:val="SubttuloChar"/>
    <w:uiPriority w:val="11"/>
    <w:qFormat/>
    <w:rsid w:val="008963a6"/>
    <w:pPr/>
    <w:rPr>
      <w:rFonts w:ascii="Cambria" w:hAnsi="Cambria" w:eastAsia="" w:cs=""/>
      <w:i/>
      <w:iCs/>
      <w:color w:val="4F81BD"/>
      <w:spacing w:val="15"/>
      <w:sz w:val="24"/>
      <w:szCs w:val="24"/>
    </w:rPr>
  </w:style>
  <w:style w:type="paragraph" w:styleId="CabealhoeRodap">
    <w:name w:val="Cabeçalho e Rodapé"/>
    <w:basedOn w:val="Normal"/>
    <w:qFormat/>
    <w:pPr/>
    <w:rPr/>
  </w:style>
  <w:style w:type="paragraph" w:styleId="Cabealho">
    <w:name w:val="Header"/>
    <w:basedOn w:val="Normal"/>
    <w:link w:val="CabealhoChar"/>
    <w:uiPriority w:val="99"/>
    <w:unhideWhenUsed/>
    <w:rsid w:val="004b2e74"/>
    <w:pPr>
      <w:tabs>
        <w:tab w:val="clear" w:pos="680"/>
        <w:tab w:val="center" w:pos="4252" w:leader="none"/>
        <w:tab w:val="right" w:pos="8504" w:leader="none"/>
      </w:tabs>
      <w:spacing w:lineRule="auto" w:line="240" w:before="0" w:after="0"/>
    </w:pPr>
    <w:rPr/>
  </w:style>
  <w:style w:type="paragraph" w:styleId="Rodap">
    <w:name w:val="Footer"/>
    <w:basedOn w:val="Normal"/>
    <w:link w:val="RodapChar"/>
    <w:uiPriority w:val="99"/>
    <w:unhideWhenUsed/>
    <w:rsid w:val="004b2e74"/>
    <w:pPr>
      <w:tabs>
        <w:tab w:val="clear" w:pos="680"/>
        <w:tab w:val="center" w:pos="4252" w:leader="none"/>
        <w:tab w:val="right" w:pos="8504" w:leader="none"/>
      </w:tabs>
      <w:spacing w:lineRule="auto" w:line="240" w:before="0" w:after="0"/>
    </w:pPr>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59"/>
    <w:rsid w:val="00b0648c"/>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image" Target="media/image4.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Relationship Id="rId12" Type="http://schemas.openxmlformats.org/officeDocument/2006/relationships/customXml" Target="../customXml/item1.xml"/><Relationship Id="rId13" Type="http://schemas.openxmlformats.org/officeDocument/2006/relationships/customXml" Target="../customXml/item2.xml"/><Relationship Id="rId14" Type="http://schemas.openxmlformats.org/officeDocument/2006/relationships/customXml" Target="../customXml/item3.xml"/><Relationship Id="rId15" Type="http://schemas.openxmlformats.org/officeDocument/2006/relationships/customXml" Target="../customXml/item4.xml"/>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5A08D7DBFEB39F4993BAF4471592047B" ma:contentTypeVersion="0" ma:contentTypeDescription="Crie um novo documento." ma:contentTypeScope="" ma:versionID="98f0eba75b33292d8b823422c621026f">
  <xsd:schema xmlns:xsd="http://www.w3.org/2001/XMLSchema" xmlns:xs="http://www.w3.org/2001/XMLSchema" xmlns:p="http://schemas.microsoft.com/office/2006/metadata/properties" targetNamespace="http://schemas.microsoft.com/office/2006/metadata/properties" ma:root="true" ma:fieldsID="574c6ccb71ee63fbc30cff3237551ec3">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C18A311-4580-41DE-A93B-188036186025}">
  <ds:schemaRefs>
    <ds:schemaRef ds:uri="http://schemas.microsoft.com/sharepoint/v3/contenttype/forms"/>
  </ds:schemaRefs>
</ds:datastoreItem>
</file>

<file path=customXml/itemProps2.xml><?xml version="1.0" encoding="utf-8"?>
<ds:datastoreItem xmlns:ds="http://schemas.openxmlformats.org/officeDocument/2006/customXml" ds:itemID="{F2E662E6-3903-404B-9832-D7E0885FFD03}"/>
</file>

<file path=customXml/itemProps3.xml><?xml version="1.0" encoding="utf-8"?>
<ds:datastoreItem xmlns:ds="http://schemas.openxmlformats.org/officeDocument/2006/customXml" ds:itemID="{DE840171-B817-48EF-8B37-F45DFCEAAB2E}">
  <ds:schemaRefs>
    <ds:schemaRef ds:uri="http://schemas.openxmlformats.org/officeDocument/2006/bibliography"/>
  </ds:schemaRefs>
</ds:datastoreItem>
</file>

<file path=customXml/itemProps4.xml><?xml version="1.0" encoding="utf-8"?>
<ds:datastoreItem xmlns:ds="http://schemas.openxmlformats.org/officeDocument/2006/customXml" ds:itemID="{9D88004B-1762-4702-B0FC-92A74416EF7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Application>LibreOffice/6.4.7.2$Linux_X86_64 LibreOffice_project/40$Build-2</Application>
  <Pages>11</Pages>
  <Words>3878</Words>
  <Characters>22766</Characters>
  <CharactersWithSpaces>26293</CharactersWithSpaces>
  <Paragraphs>342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2024-02-15T15:13:00Z</dcterms:created>
  <dc:creator>AGU</dc:creator>
  <dc:description/>
  <dc:language>pt-BR</dc:language>
  <cp:lastModifiedBy/>
  <cp:lastPrinted>2011-04-12T16:22:00Z</cp:lastPrinted>
  <dcterms:modified xsi:type="dcterms:W3CDTF">2024-11-10T17:11:54Z</dcterms:modified>
  <cp:revision>13</cp:revision>
  <dc:subject/>
  <dc:title/>
</cp:coreProperties>
</file>