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50EB57" w14:textId="77777777" w:rsidR="003941C7" w:rsidRDefault="006D231B">
      <w:pPr>
        <w:spacing w:after="288" w:line="312" w:lineRule="auto"/>
        <w:jc w:val="center"/>
      </w:pPr>
      <w:r>
        <w:rPr>
          <w:rFonts w:ascii="Arial" w:eastAsia="Arial" w:hAnsi="Arial" w:cs="Arial"/>
          <w:b/>
          <w:bCs/>
          <w:color w:val="000000"/>
          <w:sz w:val="20"/>
          <w:szCs w:val="20"/>
        </w:rPr>
        <w:t xml:space="preserve">MODELO DE ATA DE REGISTRO DE PREÇOS </w:t>
      </w:r>
      <w:r>
        <w:rPr>
          <w:rFonts w:ascii="Arial" w:eastAsia="Arial" w:hAnsi="Arial" w:cs="Arial"/>
          <w:b/>
          <w:bCs/>
          <w:color w:val="000000"/>
          <w:sz w:val="20"/>
          <w:szCs w:val="20"/>
        </w:rPr>
        <w:br/>
        <w:t>Lei nº 14.133, de 1º de abril de 2021</w:t>
      </w:r>
      <w:bookmarkStart w:id="0" w:name="bookmark=id.tacmvlnfq1c1_Copia_1" w:colFirst="0" w:colLast="0"/>
      <w:bookmarkEnd w:id="0"/>
    </w:p>
    <w:p w14:paraId="19616F41" w14:textId="77777777" w:rsidR="003941C7" w:rsidRDefault="006D231B">
      <w:pPr>
        <w:spacing w:after="288" w:line="312" w:lineRule="auto"/>
        <w:jc w:val="center"/>
      </w:pPr>
      <w:r>
        <w:rPr>
          <w:noProof/>
        </w:rPr>
        <w:drawing>
          <wp:inline distT="0" distB="0" distL="0" distR="0" wp14:anchorId="21EBA737" wp14:editId="687AA7B1">
            <wp:extent cx="981075" cy="8382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981075" cy="838200"/>
                    </a:xfrm>
                    <a:prstGeom prst="rect">
                      <a:avLst/>
                    </a:prstGeom>
                    <a:ln/>
                  </pic:spPr>
                </pic:pic>
              </a:graphicData>
            </a:graphic>
          </wp:inline>
        </w:drawing>
      </w:r>
    </w:p>
    <w:p w14:paraId="49F5D3D3" w14:textId="77777777" w:rsidR="003941C7" w:rsidRDefault="006D231B">
      <w:pPr>
        <w:spacing w:line="288" w:lineRule="auto"/>
        <w:jc w:val="center"/>
        <w:rPr>
          <w:color w:val="000000"/>
        </w:rPr>
      </w:pPr>
      <w:r>
        <w:rPr>
          <w:rFonts w:ascii="Arial" w:eastAsia="Arial" w:hAnsi="Arial" w:cs="Arial"/>
          <w:b/>
          <w:bCs/>
          <w:color w:val="000000"/>
        </w:rPr>
        <w:t>MINISTÉRIO DA DEFESA</w:t>
      </w:r>
    </w:p>
    <w:p w14:paraId="76CC1CDE" w14:textId="77777777" w:rsidR="003941C7" w:rsidRDefault="006D231B">
      <w:pPr>
        <w:spacing w:line="288" w:lineRule="auto"/>
        <w:jc w:val="center"/>
        <w:rPr>
          <w:color w:val="000000"/>
        </w:rPr>
      </w:pPr>
      <w:r>
        <w:rPr>
          <w:rFonts w:ascii="Arial" w:eastAsia="Arial" w:hAnsi="Arial" w:cs="Arial"/>
          <w:b/>
          <w:bCs/>
          <w:color w:val="000000"/>
        </w:rPr>
        <w:t>EXÉRCITO BRASILEIRO</w:t>
      </w:r>
    </w:p>
    <w:p w14:paraId="0F7C5AFA" w14:textId="77777777" w:rsidR="003941C7" w:rsidRDefault="006D231B">
      <w:pPr>
        <w:jc w:val="center"/>
        <w:rPr>
          <w:color w:val="000000"/>
        </w:rPr>
      </w:pPr>
      <w:r>
        <w:rPr>
          <w:rFonts w:ascii="Arial" w:eastAsia="Arial" w:hAnsi="Arial" w:cs="Arial"/>
          <w:b/>
          <w:bCs/>
          <w:color w:val="000000"/>
        </w:rPr>
        <w:t>53º BATALHÃO DE INFANTARIA DE SELVA</w:t>
      </w:r>
    </w:p>
    <w:p w14:paraId="30BAD2B5" w14:textId="77777777" w:rsidR="003941C7" w:rsidRDefault="006D231B">
      <w:pPr>
        <w:jc w:val="center"/>
        <w:rPr>
          <w:rFonts w:ascii="Arial" w:eastAsia="Arial" w:hAnsi="Arial" w:cs="Arial"/>
          <w:color w:val="000000"/>
        </w:rPr>
      </w:pPr>
      <w:r>
        <w:rPr>
          <w:rFonts w:ascii="Arial" w:eastAsia="Arial" w:hAnsi="Arial" w:cs="Arial"/>
          <w:b/>
          <w:bCs/>
        </w:rPr>
        <w:t xml:space="preserve"> </w:t>
      </w:r>
      <w:r>
        <w:rPr>
          <w:rFonts w:ascii="Arial" w:eastAsia="Arial" w:hAnsi="Arial" w:cs="Arial"/>
          <w:b/>
          <w:bCs/>
          <w:color w:val="000000"/>
        </w:rPr>
        <w:t xml:space="preserve">(BATALHÃO TENENTE-CORONEL JOAQUIM CAETANO CORRÊA) </w:t>
      </w:r>
      <w:r>
        <w:rPr>
          <w:rFonts w:ascii="Arial" w:eastAsia="Arial" w:hAnsi="Arial" w:cs="Arial"/>
          <w:color w:val="000000"/>
        </w:rPr>
        <w:t>      </w:t>
      </w:r>
    </w:p>
    <w:p w14:paraId="0A3231D7" w14:textId="77777777" w:rsidR="003941C7" w:rsidRDefault="003941C7">
      <w:pPr>
        <w:jc w:val="center"/>
        <w:rPr>
          <w:rFonts w:ascii="Arial" w:eastAsia="Arial" w:hAnsi="Arial" w:cs="Arial"/>
        </w:rPr>
      </w:pPr>
    </w:p>
    <w:p w14:paraId="42AEAE8A" w14:textId="71FD20F1" w:rsidR="003941C7" w:rsidRDefault="006D231B">
      <w:pPr>
        <w:spacing w:before="288"/>
        <w:ind w:firstLine="567"/>
        <w:jc w:val="center"/>
        <w:rPr>
          <w:rFonts w:ascii="Arial" w:eastAsia="Arial" w:hAnsi="Arial" w:cs="Arial"/>
          <w:sz w:val="20"/>
          <w:szCs w:val="20"/>
        </w:rPr>
      </w:pPr>
      <w:r>
        <w:rPr>
          <w:rFonts w:ascii="Arial" w:eastAsia="Arial" w:hAnsi="Arial" w:cs="Arial"/>
          <w:sz w:val="20"/>
          <w:szCs w:val="20"/>
        </w:rPr>
        <w:t xml:space="preserve">DISPENSA ELETRÔNICA SRP Nº </w:t>
      </w:r>
      <w:r w:rsidR="002A43FA">
        <w:rPr>
          <w:rFonts w:ascii="Arial" w:eastAsia="Arial" w:hAnsi="Arial" w:cs="Arial"/>
          <w:sz w:val="20"/>
          <w:szCs w:val="20"/>
        </w:rPr>
        <w:t>38</w:t>
      </w:r>
      <w:r>
        <w:rPr>
          <w:rFonts w:ascii="Arial" w:eastAsia="Arial" w:hAnsi="Arial" w:cs="Arial"/>
          <w:sz w:val="20"/>
          <w:szCs w:val="20"/>
        </w:rPr>
        <w:t>/2026</w:t>
      </w:r>
    </w:p>
    <w:p w14:paraId="426ACF21" w14:textId="38985474" w:rsidR="003941C7" w:rsidRDefault="006D231B">
      <w:pPr>
        <w:spacing w:after="720"/>
        <w:ind w:firstLine="567"/>
        <w:jc w:val="center"/>
        <w:rPr>
          <w:rFonts w:ascii="Arial" w:eastAsia="Arial" w:hAnsi="Arial" w:cs="Arial"/>
          <w:sz w:val="20"/>
          <w:szCs w:val="20"/>
        </w:rPr>
      </w:pPr>
      <w:r>
        <w:rPr>
          <w:rFonts w:ascii="Arial" w:eastAsia="Arial" w:hAnsi="Arial" w:cs="Arial"/>
          <w:sz w:val="20"/>
          <w:szCs w:val="20"/>
        </w:rPr>
        <w:t xml:space="preserve">(Processo Administrativo n° </w:t>
      </w:r>
      <w:r w:rsidR="00634B06" w:rsidRPr="00634B06">
        <w:rPr>
          <w:rFonts w:ascii="Arial" w:eastAsia="Arial" w:hAnsi="Arial" w:cs="Arial"/>
          <w:sz w:val="20"/>
          <w:szCs w:val="20"/>
        </w:rPr>
        <w:t>64121.00</w:t>
      </w:r>
      <w:r w:rsidR="00357840">
        <w:rPr>
          <w:rFonts w:ascii="Arial" w:eastAsia="Arial" w:hAnsi="Arial" w:cs="Arial"/>
          <w:sz w:val="20"/>
          <w:szCs w:val="20"/>
        </w:rPr>
        <w:t>3448/2026-39</w:t>
      </w:r>
      <w:r>
        <w:rPr>
          <w:rFonts w:ascii="Arial" w:eastAsia="Arial" w:hAnsi="Arial" w:cs="Arial"/>
          <w:sz w:val="20"/>
          <w:szCs w:val="20"/>
        </w:rPr>
        <w:t>)</w:t>
      </w:r>
    </w:p>
    <w:p w14:paraId="16990D84" w14:textId="05757557" w:rsidR="003941C7" w:rsidRDefault="006D231B">
      <w:pPr>
        <w:widowControl w:val="0"/>
        <w:tabs>
          <w:tab w:val="center" w:pos="4779"/>
          <w:tab w:val="right" w:pos="9198"/>
        </w:tabs>
        <w:spacing w:before="120" w:after="120" w:line="276" w:lineRule="auto"/>
        <w:ind w:right="-28" w:firstLine="1418"/>
        <w:jc w:val="both"/>
      </w:pPr>
      <w:r>
        <w:rPr>
          <w:rFonts w:ascii="Arial" w:eastAsia="Arial" w:hAnsi="Arial" w:cs="Arial"/>
          <w:sz w:val="20"/>
          <w:szCs w:val="20"/>
        </w:rPr>
        <w:t xml:space="preserve">O 53º Batalhão de Infantaria de Selva, com sede na Estrada do Quinquagésimo terceiro BIS, S/Nº, Bairro Bom jardim, na cidade de Itaituba/PA, CEP: 68181-470, inscrito(a) no CNPJ sob o nº 09.579.843/0001-69, neste ato representado(a) pelo(a) Sr. Tenente Coronel DIOGO FERNANDES FALEIRO VIEIRA, Ordenador de Despesas nomeado pela Portaria Nº 618, de 22 de maio de 2025, do Comandante do Exército, publicada no D.O.U nº 96, de 23 de maio de 2025 portador da matrícula funcional nº 011.419.894-8 (MD), considerando o julgamento da licitação na modalidade Dispensa SRP, na forma eletrônica, para REGISTRO DE PREÇOS nº </w:t>
      </w:r>
      <w:r w:rsidR="007B3B94">
        <w:rPr>
          <w:rFonts w:ascii="Arial" w:eastAsia="Arial" w:hAnsi="Arial" w:cs="Arial"/>
          <w:sz w:val="20"/>
          <w:szCs w:val="20"/>
        </w:rPr>
        <w:t>19</w:t>
      </w:r>
      <w:r>
        <w:rPr>
          <w:rFonts w:ascii="Arial" w:eastAsia="Arial" w:hAnsi="Arial" w:cs="Arial"/>
          <w:sz w:val="20"/>
          <w:szCs w:val="20"/>
        </w:rPr>
        <w:t>/2026, publicada no Portal Nacional de Contratações Públicas (PNCP), processo administrativo n.º 64121.</w:t>
      </w:r>
      <w:r w:rsidR="007B3B94">
        <w:rPr>
          <w:rFonts w:ascii="Arial" w:eastAsia="Arial" w:hAnsi="Arial" w:cs="Arial"/>
          <w:sz w:val="20"/>
          <w:szCs w:val="20"/>
        </w:rPr>
        <w:t>003584/2026-29</w:t>
      </w:r>
      <w:r>
        <w:rPr>
          <w:rFonts w:ascii="Arial" w:eastAsia="Arial" w:hAnsi="Arial" w:cs="Arial"/>
          <w:sz w:val="20"/>
          <w:szCs w:val="20"/>
        </w:rPr>
        <w:t xml:space="preserve">, RESOLVE registrar os preços da(s) empresa(s) indicada(s) e qualificada(s) nesta ATA, de acordo com a classificação por ela(s) alcançada(s) e na(s) quantidade(s) cotada(s), atendendo as condições previstas no </w:t>
      </w:r>
      <w:r>
        <w:rPr>
          <w:rFonts w:ascii="Arial" w:eastAsia="Arial" w:hAnsi="Arial" w:cs="Arial"/>
          <w:color w:val="000000"/>
          <w:sz w:val="20"/>
          <w:szCs w:val="20"/>
        </w:rPr>
        <w:t>aviso de contratação</w:t>
      </w:r>
      <w:r>
        <w:rPr>
          <w:rFonts w:ascii="Arial" w:eastAsia="Arial" w:hAnsi="Arial" w:cs="Arial"/>
          <w:sz w:val="20"/>
          <w:szCs w:val="20"/>
        </w:rPr>
        <w:t>, sujeitando-se as partes às normas constantes na Lei nº 14.133, de 1º de abril de 2021, no Decreto n.º 11.462, de 31 de março de 2023, e em conformidade com as disposições a seguir:</w:t>
      </w:r>
    </w:p>
    <w:p w14:paraId="08A84358" w14:textId="77777777" w:rsidR="003941C7" w:rsidRDefault="006D231B">
      <w:pPr>
        <w:keepNext/>
        <w:keepLines/>
        <w:numPr>
          <w:ilvl w:val="0"/>
          <w:numId w:val="1"/>
        </w:numPr>
        <w:tabs>
          <w:tab w:val="left" w:pos="567"/>
        </w:tabs>
        <w:spacing w:before="120" w:after="120" w:line="276" w:lineRule="auto"/>
        <w:jc w:val="both"/>
      </w:pPr>
      <w:r>
        <w:rPr>
          <w:rFonts w:ascii="Arial" w:eastAsia="Arial" w:hAnsi="Arial" w:cs="Arial"/>
          <w:b/>
          <w:bCs/>
          <w:color w:val="366091"/>
          <w:sz w:val="20"/>
          <w:szCs w:val="20"/>
        </w:rPr>
        <w:t>DO OBJETO</w:t>
      </w:r>
    </w:p>
    <w:p w14:paraId="3A2C37E6" w14:textId="70FFE03A" w:rsidR="003941C7" w:rsidRDefault="006D231B">
      <w:pPr>
        <w:numPr>
          <w:ilvl w:val="1"/>
          <w:numId w:val="1"/>
        </w:numPr>
        <w:pBdr>
          <w:top w:val="nil"/>
          <w:left w:val="nil"/>
          <w:bottom w:val="nil"/>
          <w:right w:val="nil"/>
          <w:between w:val="nil"/>
        </w:pBdr>
        <w:spacing w:before="120" w:after="120" w:line="276" w:lineRule="auto"/>
        <w:jc w:val="both"/>
        <w:rPr>
          <w:rFonts w:ascii="Arial" w:eastAsia="Arial" w:hAnsi="Arial" w:cs="Arial"/>
          <w:color w:val="000000"/>
          <w:sz w:val="20"/>
          <w:szCs w:val="20"/>
        </w:rPr>
      </w:pPr>
      <w:bookmarkStart w:id="1" w:name="bookmark=id.785hm9fj37hw" w:colFirst="0" w:colLast="0"/>
      <w:bookmarkEnd w:id="1"/>
      <w:r>
        <w:rPr>
          <w:rFonts w:ascii="Arial" w:eastAsia="Arial" w:hAnsi="Arial" w:cs="Arial"/>
          <w:color w:val="000000"/>
          <w:sz w:val="20"/>
          <w:szCs w:val="20"/>
        </w:rPr>
        <w:t xml:space="preserve">O objeto do presente procedimento é a escolha da proposta mais vantajosa para </w:t>
      </w:r>
      <w:r w:rsidR="00357840">
        <w:rPr>
          <w:rFonts w:ascii="Arial" w:eastAsia="Arial" w:hAnsi="Arial" w:cs="Arial"/>
          <w:color w:val="000000"/>
          <w:sz w:val="20"/>
          <w:szCs w:val="20"/>
        </w:rPr>
        <w:t>e</w:t>
      </w:r>
      <w:r w:rsidR="00357840" w:rsidRPr="00357840">
        <w:rPr>
          <w:rFonts w:ascii="Arial" w:eastAsia="Arial" w:hAnsi="Arial" w:cs="Arial"/>
          <w:color w:val="000000"/>
          <w:sz w:val="20"/>
          <w:szCs w:val="20"/>
        </w:rPr>
        <w:t>ventual contratação de serviços de empresa especializada em vidraçaria para o setor de aprovisionamento do 53° Batalhão de Infantaria de Selva</w:t>
      </w:r>
      <w:r>
        <w:rPr>
          <w:rFonts w:ascii="Arial" w:eastAsia="Arial" w:hAnsi="Arial" w:cs="Arial"/>
          <w:color w:val="000000"/>
          <w:sz w:val="20"/>
          <w:szCs w:val="20"/>
        </w:rPr>
        <w:t xml:space="preserve">, especificado(s) no(s) item(ns) 1.1 do Termo de Referência, anexo I do </w:t>
      </w:r>
      <w:r>
        <w:rPr>
          <w:rFonts w:ascii="Arial" w:eastAsia="Arial" w:hAnsi="Arial" w:cs="Arial"/>
          <w:sz w:val="20"/>
          <w:szCs w:val="20"/>
        </w:rPr>
        <w:t>A</w:t>
      </w:r>
      <w:r>
        <w:rPr>
          <w:rFonts w:ascii="Arial" w:eastAsia="Arial" w:hAnsi="Arial" w:cs="Arial"/>
          <w:color w:val="000000"/>
          <w:sz w:val="20"/>
          <w:szCs w:val="20"/>
        </w:rPr>
        <w:t xml:space="preserve">viso de </w:t>
      </w:r>
      <w:r>
        <w:rPr>
          <w:rFonts w:ascii="Arial" w:eastAsia="Arial" w:hAnsi="Arial" w:cs="Arial"/>
          <w:sz w:val="20"/>
          <w:szCs w:val="20"/>
        </w:rPr>
        <w:t>C</w:t>
      </w:r>
      <w:r>
        <w:rPr>
          <w:rFonts w:ascii="Arial" w:eastAsia="Arial" w:hAnsi="Arial" w:cs="Arial"/>
          <w:color w:val="000000"/>
          <w:sz w:val="20"/>
          <w:szCs w:val="20"/>
        </w:rPr>
        <w:t>ontratação, que é parte integrante desta Ata, assim como as propostas cujos preços tenham sido registrados, independentemente de transcrição.</w:t>
      </w:r>
    </w:p>
    <w:p w14:paraId="4D693D7C" w14:textId="77777777" w:rsidR="003941C7" w:rsidRDefault="003941C7">
      <w:pPr>
        <w:spacing w:before="120" w:after="120" w:line="276" w:lineRule="auto"/>
        <w:ind w:left="574"/>
        <w:jc w:val="both"/>
        <w:rPr>
          <w:rFonts w:ascii="Arial" w:eastAsia="Arial" w:hAnsi="Arial" w:cs="Arial"/>
          <w:sz w:val="20"/>
          <w:szCs w:val="20"/>
        </w:rPr>
      </w:pPr>
    </w:p>
    <w:p w14:paraId="59688A19" w14:textId="77777777" w:rsidR="003941C7" w:rsidRDefault="006D231B">
      <w:pPr>
        <w:keepNext/>
        <w:keepLines/>
        <w:numPr>
          <w:ilvl w:val="0"/>
          <w:numId w:val="1"/>
        </w:numPr>
        <w:tabs>
          <w:tab w:val="left" w:pos="567"/>
        </w:tabs>
        <w:spacing w:before="120" w:after="120" w:line="276" w:lineRule="auto"/>
        <w:jc w:val="both"/>
      </w:pPr>
      <w:r>
        <w:rPr>
          <w:rFonts w:ascii="Arial" w:eastAsia="Arial" w:hAnsi="Arial" w:cs="Arial"/>
          <w:b/>
          <w:bCs/>
          <w:color w:val="366091"/>
          <w:sz w:val="20"/>
          <w:szCs w:val="20"/>
        </w:rPr>
        <w:t>DOS PREÇOS, ESPECIFICAÇÕES E QUANTITATIVOS</w:t>
      </w:r>
    </w:p>
    <w:p w14:paraId="1A86C8EF" w14:textId="77777777" w:rsidR="003941C7" w:rsidRDefault="003941C7">
      <w:pPr>
        <w:keepNext/>
        <w:keepLines/>
        <w:tabs>
          <w:tab w:val="left" w:pos="567"/>
        </w:tabs>
        <w:spacing w:before="120" w:after="120" w:line="276" w:lineRule="auto"/>
        <w:ind w:left="360"/>
        <w:jc w:val="both"/>
        <w:rPr>
          <w:rFonts w:ascii="Arial" w:eastAsia="Arial" w:hAnsi="Arial" w:cs="Arial"/>
          <w:b/>
          <w:bCs/>
          <w:color w:val="366091"/>
          <w:sz w:val="20"/>
          <w:szCs w:val="20"/>
        </w:rPr>
      </w:pPr>
    </w:p>
    <w:p w14:paraId="3FD74939" w14:textId="77777777" w:rsidR="003941C7" w:rsidRDefault="006D231B">
      <w:pPr>
        <w:numPr>
          <w:ilvl w:val="1"/>
          <w:numId w:val="1"/>
        </w:numPr>
        <w:spacing w:before="120" w:after="120" w:line="276" w:lineRule="auto"/>
        <w:jc w:val="both"/>
      </w:pPr>
      <w:r>
        <w:rPr>
          <w:rFonts w:ascii="Arial" w:eastAsia="Arial" w:hAnsi="Arial" w:cs="Arial"/>
          <w:color w:val="000000"/>
          <w:sz w:val="20"/>
          <w:szCs w:val="20"/>
        </w:rPr>
        <w:t xml:space="preserve">O preço registrado, as especificações do objeto, as quantidades mínimas e máximas de cada item, fornecedor(es) e as demais condições ofertadas na(s) proposta(s) são as que seguem: </w:t>
      </w:r>
    </w:p>
    <w:p w14:paraId="4120E5BA" w14:textId="77777777" w:rsidR="003941C7" w:rsidRDefault="003941C7">
      <w:pPr>
        <w:spacing w:before="120" w:after="120" w:line="276" w:lineRule="auto"/>
        <w:ind w:left="574"/>
        <w:jc w:val="both"/>
        <w:rPr>
          <w:rFonts w:ascii="Arial" w:eastAsia="Arial" w:hAnsi="Arial" w:cs="Arial"/>
          <w:sz w:val="20"/>
          <w:szCs w:val="20"/>
        </w:rPr>
      </w:pPr>
    </w:p>
    <w:sdt>
      <w:sdtPr>
        <w:tag w:val="goog_rdk_0"/>
        <w:id w:val="1477151507"/>
        <w:lock w:val="contentLocked"/>
      </w:sdtPr>
      <w:sdtEndPr/>
      <w:sdtContent>
        <w:tbl>
          <w:tblPr>
            <w:tblStyle w:val="a"/>
            <w:tblW w:w="9045" w:type="dxa"/>
            <w:tblInd w:w="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80"/>
            <w:gridCol w:w="1275"/>
            <w:gridCol w:w="1005"/>
            <w:gridCol w:w="825"/>
            <w:gridCol w:w="1005"/>
            <w:gridCol w:w="1095"/>
            <w:gridCol w:w="1065"/>
            <w:gridCol w:w="855"/>
            <w:gridCol w:w="1140"/>
          </w:tblGrid>
          <w:tr w:rsidR="003941C7" w14:paraId="4F9F662D" w14:textId="77777777">
            <w:trPr>
              <w:trHeight w:val="498"/>
            </w:trPr>
            <w:tc>
              <w:tcPr>
                <w:tcW w:w="780" w:type="dxa"/>
                <w:shd w:val="clear" w:color="auto" w:fill="auto"/>
                <w:tcMar>
                  <w:top w:w="100" w:type="dxa"/>
                  <w:left w:w="100" w:type="dxa"/>
                  <w:bottom w:w="100" w:type="dxa"/>
                  <w:right w:w="100" w:type="dxa"/>
                </w:tcMar>
              </w:tcPr>
              <w:p w14:paraId="2619D821" w14:textId="77777777" w:rsidR="003941C7" w:rsidRDefault="006D231B">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16"/>
                    <w:szCs w:val="16"/>
                  </w:rPr>
                  <w:t>Item do</w:t>
                </w:r>
                <w:r>
                  <w:rPr>
                    <w:rFonts w:ascii="Arial" w:eastAsia="Arial" w:hAnsi="Arial" w:cs="Arial"/>
                    <w:sz w:val="16"/>
                    <w:szCs w:val="16"/>
                  </w:rPr>
                  <w:br/>
                  <w:t>TR</w:t>
                </w:r>
              </w:p>
            </w:tc>
            <w:tc>
              <w:tcPr>
                <w:tcW w:w="8265" w:type="dxa"/>
                <w:gridSpan w:val="8"/>
                <w:shd w:val="clear" w:color="auto" w:fill="auto"/>
                <w:tcMar>
                  <w:top w:w="100" w:type="dxa"/>
                  <w:left w:w="100" w:type="dxa"/>
                  <w:bottom w:w="100" w:type="dxa"/>
                  <w:right w:w="100" w:type="dxa"/>
                </w:tcMar>
              </w:tcPr>
              <w:p w14:paraId="48852F5F" w14:textId="77777777" w:rsidR="003941C7" w:rsidRDefault="006D231B">
                <w:pPr>
                  <w:widowControl w:val="0"/>
                  <w:spacing w:line="276" w:lineRule="auto"/>
                  <w:rPr>
                    <w:rFonts w:ascii="Arial" w:eastAsia="Arial" w:hAnsi="Arial" w:cs="Arial"/>
                    <w:color w:val="FF0000"/>
                    <w:sz w:val="16"/>
                    <w:szCs w:val="16"/>
                  </w:rPr>
                </w:pPr>
                <w:r>
                  <w:rPr>
                    <w:rFonts w:ascii="Arial" w:eastAsia="Arial" w:hAnsi="Arial" w:cs="Arial"/>
                    <w:sz w:val="20"/>
                    <w:szCs w:val="20"/>
                  </w:rPr>
                  <w:t xml:space="preserve">                      </w:t>
                </w:r>
                <w:r>
                  <w:rPr>
                    <w:rFonts w:ascii="Arial" w:eastAsia="Arial" w:hAnsi="Arial" w:cs="Arial"/>
                    <w:sz w:val="16"/>
                    <w:szCs w:val="16"/>
                  </w:rPr>
                  <w:t xml:space="preserve">Fornecedor </w:t>
                </w:r>
                <w:r>
                  <w:rPr>
                    <w:rFonts w:ascii="Arial" w:eastAsia="Arial" w:hAnsi="Arial" w:cs="Arial"/>
                    <w:color w:val="FF0000"/>
                    <w:sz w:val="16"/>
                    <w:szCs w:val="16"/>
                  </w:rPr>
                  <w:t>[razão social, CNPJ/MF, endereço, contatos, representante]</w:t>
                </w:r>
              </w:p>
              <w:p w14:paraId="387730FF" w14:textId="77777777" w:rsidR="003941C7" w:rsidRDefault="003941C7">
                <w:pPr>
                  <w:widowControl w:val="0"/>
                  <w:pBdr>
                    <w:top w:val="nil"/>
                    <w:left w:val="nil"/>
                    <w:bottom w:val="nil"/>
                    <w:right w:val="nil"/>
                    <w:between w:val="nil"/>
                  </w:pBdr>
                  <w:spacing w:line="276" w:lineRule="auto"/>
                  <w:rPr>
                    <w:rFonts w:ascii="Arial" w:eastAsia="Arial" w:hAnsi="Arial" w:cs="Arial"/>
                    <w:sz w:val="20"/>
                    <w:szCs w:val="20"/>
                  </w:rPr>
                </w:pPr>
              </w:p>
            </w:tc>
          </w:tr>
          <w:tr w:rsidR="003941C7" w14:paraId="1C077525" w14:textId="77777777">
            <w:trPr>
              <w:trHeight w:val="400"/>
            </w:trPr>
            <w:tc>
              <w:tcPr>
                <w:tcW w:w="780" w:type="dxa"/>
                <w:vMerge w:val="restart"/>
                <w:shd w:val="clear" w:color="auto" w:fill="auto"/>
                <w:tcMar>
                  <w:top w:w="100" w:type="dxa"/>
                  <w:left w:w="100" w:type="dxa"/>
                  <w:bottom w:w="100" w:type="dxa"/>
                  <w:right w:w="100" w:type="dxa"/>
                </w:tcMar>
              </w:tcPr>
              <w:p w14:paraId="311FA763" w14:textId="77777777" w:rsidR="003941C7" w:rsidRDefault="003941C7">
                <w:pPr>
                  <w:widowControl w:val="0"/>
                  <w:pBdr>
                    <w:top w:val="nil"/>
                    <w:left w:val="nil"/>
                    <w:bottom w:val="nil"/>
                    <w:right w:val="nil"/>
                    <w:between w:val="nil"/>
                  </w:pBdr>
                  <w:rPr>
                    <w:rFonts w:ascii="Arial" w:eastAsia="Arial" w:hAnsi="Arial" w:cs="Arial"/>
                    <w:sz w:val="16"/>
                    <w:szCs w:val="16"/>
                  </w:rPr>
                </w:pPr>
              </w:p>
              <w:p w14:paraId="26654F0B" w14:textId="77777777" w:rsidR="003941C7" w:rsidRDefault="006D231B">
                <w:pPr>
                  <w:widowControl w:val="0"/>
                  <w:pBdr>
                    <w:top w:val="nil"/>
                    <w:left w:val="nil"/>
                    <w:bottom w:val="nil"/>
                    <w:right w:val="nil"/>
                    <w:between w:val="nil"/>
                  </w:pBdr>
                  <w:rPr>
                    <w:rFonts w:ascii="Arial" w:eastAsia="Arial" w:hAnsi="Arial" w:cs="Arial"/>
                    <w:sz w:val="16"/>
                    <w:szCs w:val="16"/>
                  </w:rPr>
                </w:pPr>
                <w:r>
                  <w:rPr>
                    <w:rFonts w:ascii="Arial" w:eastAsia="Arial" w:hAnsi="Arial" w:cs="Arial"/>
                    <w:sz w:val="16"/>
                    <w:szCs w:val="16"/>
                  </w:rPr>
                  <w:t>X</w:t>
                </w:r>
              </w:p>
            </w:tc>
            <w:tc>
              <w:tcPr>
                <w:tcW w:w="1275" w:type="dxa"/>
                <w:shd w:val="clear" w:color="auto" w:fill="auto"/>
                <w:tcMar>
                  <w:top w:w="100" w:type="dxa"/>
                  <w:left w:w="100" w:type="dxa"/>
                  <w:bottom w:w="100" w:type="dxa"/>
                  <w:right w:w="100" w:type="dxa"/>
                </w:tcMar>
              </w:tcPr>
              <w:p w14:paraId="179616D1" w14:textId="77777777" w:rsidR="003941C7" w:rsidRDefault="003941C7">
                <w:pPr>
                  <w:widowControl w:val="0"/>
                  <w:pBdr>
                    <w:top w:val="nil"/>
                    <w:left w:val="nil"/>
                    <w:bottom w:val="nil"/>
                    <w:right w:val="nil"/>
                    <w:between w:val="nil"/>
                  </w:pBdr>
                  <w:jc w:val="center"/>
                  <w:rPr>
                    <w:rFonts w:ascii="Arial" w:eastAsia="Arial" w:hAnsi="Arial" w:cs="Arial"/>
                    <w:sz w:val="16"/>
                    <w:szCs w:val="16"/>
                  </w:rPr>
                </w:pPr>
              </w:p>
              <w:p w14:paraId="73F5FDC7" w14:textId="77777777" w:rsidR="003941C7" w:rsidRDefault="006D231B">
                <w:pPr>
                  <w:widowControl w:val="0"/>
                  <w:pBdr>
                    <w:top w:val="nil"/>
                    <w:left w:val="nil"/>
                    <w:bottom w:val="nil"/>
                    <w:right w:val="nil"/>
                    <w:between w:val="nil"/>
                  </w:pBdr>
                  <w:jc w:val="center"/>
                  <w:rPr>
                    <w:rFonts w:ascii="Arial" w:eastAsia="Arial" w:hAnsi="Arial" w:cs="Arial"/>
                    <w:sz w:val="16"/>
                    <w:szCs w:val="16"/>
                  </w:rPr>
                </w:pPr>
                <w:r>
                  <w:rPr>
                    <w:rFonts w:ascii="Arial" w:eastAsia="Arial" w:hAnsi="Arial" w:cs="Arial"/>
                    <w:sz w:val="16"/>
                    <w:szCs w:val="16"/>
                  </w:rPr>
                  <w:t>Especificação</w:t>
                </w:r>
              </w:p>
            </w:tc>
            <w:tc>
              <w:tcPr>
                <w:tcW w:w="1005" w:type="dxa"/>
                <w:shd w:val="clear" w:color="auto" w:fill="auto"/>
                <w:tcMar>
                  <w:top w:w="100" w:type="dxa"/>
                  <w:left w:w="100" w:type="dxa"/>
                  <w:bottom w:w="100" w:type="dxa"/>
                  <w:right w:w="100" w:type="dxa"/>
                </w:tcMar>
              </w:tcPr>
              <w:p w14:paraId="3F15C1CA" w14:textId="77777777" w:rsidR="003941C7" w:rsidRDefault="003941C7">
                <w:pPr>
                  <w:widowControl w:val="0"/>
                  <w:pBdr>
                    <w:top w:val="nil"/>
                    <w:left w:val="nil"/>
                    <w:bottom w:val="nil"/>
                    <w:right w:val="nil"/>
                    <w:between w:val="nil"/>
                  </w:pBdr>
                  <w:jc w:val="center"/>
                  <w:rPr>
                    <w:rFonts w:ascii="Arial" w:eastAsia="Arial" w:hAnsi="Arial" w:cs="Arial"/>
                    <w:sz w:val="16"/>
                    <w:szCs w:val="16"/>
                  </w:rPr>
                </w:pPr>
              </w:p>
              <w:p w14:paraId="40B83E05" w14:textId="77777777" w:rsidR="003941C7" w:rsidRDefault="006D231B">
                <w:pPr>
                  <w:widowControl w:val="0"/>
                  <w:pBdr>
                    <w:top w:val="nil"/>
                    <w:left w:val="nil"/>
                    <w:bottom w:val="nil"/>
                    <w:right w:val="nil"/>
                    <w:between w:val="nil"/>
                  </w:pBdr>
                  <w:jc w:val="center"/>
                  <w:rPr>
                    <w:rFonts w:ascii="Arial" w:eastAsia="Arial" w:hAnsi="Arial" w:cs="Arial"/>
                    <w:sz w:val="16"/>
                    <w:szCs w:val="16"/>
                  </w:rPr>
                </w:pPr>
                <w:r>
                  <w:rPr>
                    <w:rFonts w:ascii="Arial" w:eastAsia="Arial" w:hAnsi="Arial" w:cs="Arial"/>
                    <w:sz w:val="16"/>
                    <w:szCs w:val="16"/>
                  </w:rPr>
                  <w:t>Marca</w:t>
                </w:r>
              </w:p>
            </w:tc>
            <w:tc>
              <w:tcPr>
                <w:tcW w:w="825" w:type="dxa"/>
                <w:shd w:val="clear" w:color="auto" w:fill="auto"/>
                <w:tcMar>
                  <w:top w:w="100" w:type="dxa"/>
                  <w:left w:w="100" w:type="dxa"/>
                  <w:bottom w:w="100" w:type="dxa"/>
                  <w:right w:w="100" w:type="dxa"/>
                </w:tcMar>
              </w:tcPr>
              <w:p w14:paraId="77302546" w14:textId="77777777" w:rsidR="003941C7" w:rsidRDefault="003941C7">
                <w:pPr>
                  <w:widowControl w:val="0"/>
                  <w:pBdr>
                    <w:top w:val="nil"/>
                    <w:left w:val="nil"/>
                    <w:bottom w:val="nil"/>
                    <w:right w:val="nil"/>
                    <w:between w:val="nil"/>
                  </w:pBdr>
                  <w:jc w:val="center"/>
                  <w:rPr>
                    <w:rFonts w:ascii="Arial" w:eastAsia="Arial" w:hAnsi="Arial" w:cs="Arial"/>
                    <w:sz w:val="16"/>
                    <w:szCs w:val="16"/>
                  </w:rPr>
                </w:pPr>
              </w:p>
              <w:p w14:paraId="0D12D802" w14:textId="77777777" w:rsidR="003941C7" w:rsidRDefault="006D231B">
                <w:pPr>
                  <w:widowControl w:val="0"/>
                  <w:pBdr>
                    <w:top w:val="nil"/>
                    <w:left w:val="nil"/>
                    <w:bottom w:val="nil"/>
                    <w:right w:val="nil"/>
                    <w:between w:val="nil"/>
                  </w:pBdr>
                  <w:jc w:val="center"/>
                  <w:rPr>
                    <w:rFonts w:ascii="Arial" w:eastAsia="Arial" w:hAnsi="Arial" w:cs="Arial"/>
                    <w:sz w:val="16"/>
                    <w:szCs w:val="16"/>
                  </w:rPr>
                </w:pPr>
                <w:r>
                  <w:rPr>
                    <w:rFonts w:ascii="Arial" w:eastAsia="Arial" w:hAnsi="Arial" w:cs="Arial"/>
                    <w:sz w:val="16"/>
                    <w:szCs w:val="16"/>
                  </w:rPr>
                  <w:t>Modelo</w:t>
                </w:r>
              </w:p>
            </w:tc>
            <w:tc>
              <w:tcPr>
                <w:tcW w:w="1005" w:type="dxa"/>
                <w:shd w:val="clear" w:color="auto" w:fill="auto"/>
                <w:tcMar>
                  <w:top w:w="100" w:type="dxa"/>
                  <w:left w:w="100" w:type="dxa"/>
                  <w:bottom w:w="100" w:type="dxa"/>
                  <w:right w:w="100" w:type="dxa"/>
                </w:tcMar>
              </w:tcPr>
              <w:p w14:paraId="26F575A8" w14:textId="77777777" w:rsidR="003941C7" w:rsidRDefault="003941C7">
                <w:pPr>
                  <w:widowControl w:val="0"/>
                  <w:pBdr>
                    <w:top w:val="nil"/>
                    <w:left w:val="nil"/>
                    <w:bottom w:val="nil"/>
                    <w:right w:val="nil"/>
                    <w:between w:val="nil"/>
                  </w:pBdr>
                  <w:jc w:val="center"/>
                  <w:rPr>
                    <w:rFonts w:ascii="Arial" w:eastAsia="Arial" w:hAnsi="Arial" w:cs="Arial"/>
                    <w:sz w:val="16"/>
                    <w:szCs w:val="16"/>
                  </w:rPr>
                </w:pPr>
              </w:p>
              <w:p w14:paraId="31AF78F6" w14:textId="77777777" w:rsidR="003941C7" w:rsidRDefault="006D231B">
                <w:pPr>
                  <w:widowControl w:val="0"/>
                  <w:pBdr>
                    <w:top w:val="nil"/>
                    <w:left w:val="nil"/>
                    <w:bottom w:val="nil"/>
                    <w:right w:val="nil"/>
                    <w:between w:val="nil"/>
                  </w:pBdr>
                  <w:jc w:val="center"/>
                  <w:rPr>
                    <w:rFonts w:ascii="Arial" w:eastAsia="Arial" w:hAnsi="Arial" w:cs="Arial"/>
                    <w:sz w:val="16"/>
                    <w:szCs w:val="16"/>
                  </w:rPr>
                </w:pPr>
                <w:r>
                  <w:rPr>
                    <w:rFonts w:ascii="Arial" w:eastAsia="Arial" w:hAnsi="Arial" w:cs="Arial"/>
                    <w:sz w:val="16"/>
                    <w:szCs w:val="16"/>
                  </w:rPr>
                  <w:t>Unidade</w:t>
                </w:r>
              </w:p>
            </w:tc>
            <w:tc>
              <w:tcPr>
                <w:tcW w:w="1095" w:type="dxa"/>
                <w:shd w:val="clear" w:color="auto" w:fill="auto"/>
                <w:tcMar>
                  <w:top w:w="100" w:type="dxa"/>
                  <w:left w:w="100" w:type="dxa"/>
                  <w:bottom w:w="100" w:type="dxa"/>
                  <w:right w:w="100" w:type="dxa"/>
                </w:tcMar>
              </w:tcPr>
              <w:p w14:paraId="33C0416C" w14:textId="77777777" w:rsidR="003941C7" w:rsidRDefault="003941C7">
                <w:pPr>
                  <w:widowControl w:val="0"/>
                  <w:pBdr>
                    <w:top w:val="nil"/>
                    <w:left w:val="nil"/>
                    <w:bottom w:val="nil"/>
                    <w:right w:val="nil"/>
                    <w:between w:val="nil"/>
                  </w:pBdr>
                  <w:jc w:val="center"/>
                  <w:rPr>
                    <w:rFonts w:ascii="Arial" w:eastAsia="Arial" w:hAnsi="Arial" w:cs="Arial"/>
                    <w:sz w:val="16"/>
                    <w:szCs w:val="16"/>
                  </w:rPr>
                </w:pPr>
              </w:p>
              <w:p w14:paraId="719A8DB8" w14:textId="77777777" w:rsidR="003941C7" w:rsidRDefault="006D231B">
                <w:pPr>
                  <w:widowControl w:val="0"/>
                  <w:pBdr>
                    <w:top w:val="nil"/>
                    <w:left w:val="nil"/>
                    <w:bottom w:val="nil"/>
                    <w:right w:val="nil"/>
                    <w:between w:val="nil"/>
                  </w:pBdr>
                  <w:jc w:val="center"/>
                  <w:rPr>
                    <w:rFonts w:ascii="Arial" w:eastAsia="Arial" w:hAnsi="Arial" w:cs="Arial"/>
                    <w:sz w:val="16"/>
                    <w:szCs w:val="16"/>
                  </w:rPr>
                </w:pPr>
                <w:r>
                  <w:rPr>
                    <w:rFonts w:ascii="Arial" w:eastAsia="Arial" w:hAnsi="Arial" w:cs="Arial"/>
                    <w:sz w:val="16"/>
                    <w:szCs w:val="16"/>
                  </w:rPr>
                  <w:t>Quantidade Minima</w:t>
                </w:r>
              </w:p>
            </w:tc>
            <w:tc>
              <w:tcPr>
                <w:tcW w:w="1065" w:type="dxa"/>
                <w:shd w:val="clear" w:color="auto" w:fill="auto"/>
                <w:tcMar>
                  <w:top w:w="100" w:type="dxa"/>
                  <w:left w:w="100" w:type="dxa"/>
                  <w:bottom w:w="100" w:type="dxa"/>
                  <w:right w:w="100" w:type="dxa"/>
                </w:tcMar>
              </w:tcPr>
              <w:p w14:paraId="513BC29B" w14:textId="77777777" w:rsidR="003941C7" w:rsidRDefault="003941C7">
                <w:pPr>
                  <w:widowControl w:val="0"/>
                  <w:pBdr>
                    <w:top w:val="nil"/>
                    <w:left w:val="nil"/>
                    <w:bottom w:val="nil"/>
                    <w:right w:val="nil"/>
                    <w:between w:val="nil"/>
                  </w:pBdr>
                  <w:jc w:val="center"/>
                  <w:rPr>
                    <w:rFonts w:ascii="Arial" w:eastAsia="Arial" w:hAnsi="Arial" w:cs="Arial"/>
                    <w:sz w:val="16"/>
                    <w:szCs w:val="16"/>
                  </w:rPr>
                </w:pPr>
              </w:p>
              <w:p w14:paraId="7CA58A66" w14:textId="77777777" w:rsidR="003941C7" w:rsidRDefault="006D231B">
                <w:pPr>
                  <w:widowControl w:val="0"/>
                  <w:pBdr>
                    <w:top w:val="nil"/>
                    <w:left w:val="nil"/>
                    <w:bottom w:val="nil"/>
                    <w:right w:val="nil"/>
                    <w:between w:val="nil"/>
                  </w:pBdr>
                  <w:jc w:val="center"/>
                  <w:rPr>
                    <w:rFonts w:ascii="Arial" w:eastAsia="Arial" w:hAnsi="Arial" w:cs="Arial"/>
                    <w:sz w:val="16"/>
                    <w:szCs w:val="16"/>
                  </w:rPr>
                </w:pPr>
                <w:r>
                  <w:rPr>
                    <w:rFonts w:ascii="Arial" w:eastAsia="Arial" w:hAnsi="Arial" w:cs="Arial"/>
                    <w:sz w:val="16"/>
                    <w:szCs w:val="16"/>
                  </w:rPr>
                  <w:t>Quantidade Maxima</w:t>
                </w:r>
              </w:p>
            </w:tc>
            <w:tc>
              <w:tcPr>
                <w:tcW w:w="855" w:type="dxa"/>
                <w:shd w:val="clear" w:color="auto" w:fill="auto"/>
                <w:tcMar>
                  <w:top w:w="100" w:type="dxa"/>
                  <w:left w:w="100" w:type="dxa"/>
                  <w:bottom w:w="100" w:type="dxa"/>
                  <w:right w:w="100" w:type="dxa"/>
                </w:tcMar>
              </w:tcPr>
              <w:p w14:paraId="75BB5FF1" w14:textId="77777777" w:rsidR="003941C7" w:rsidRDefault="003941C7">
                <w:pPr>
                  <w:widowControl w:val="0"/>
                  <w:pBdr>
                    <w:top w:val="nil"/>
                    <w:left w:val="nil"/>
                    <w:bottom w:val="nil"/>
                    <w:right w:val="nil"/>
                    <w:between w:val="nil"/>
                  </w:pBdr>
                  <w:jc w:val="center"/>
                  <w:rPr>
                    <w:rFonts w:ascii="Arial" w:eastAsia="Arial" w:hAnsi="Arial" w:cs="Arial"/>
                    <w:sz w:val="16"/>
                    <w:szCs w:val="16"/>
                  </w:rPr>
                </w:pPr>
              </w:p>
              <w:p w14:paraId="305C882E" w14:textId="77777777" w:rsidR="003941C7" w:rsidRDefault="006D231B">
                <w:pPr>
                  <w:widowControl w:val="0"/>
                  <w:pBdr>
                    <w:top w:val="nil"/>
                    <w:left w:val="nil"/>
                    <w:bottom w:val="nil"/>
                    <w:right w:val="nil"/>
                    <w:between w:val="nil"/>
                  </w:pBdr>
                  <w:jc w:val="center"/>
                  <w:rPr>
                    <w:rFonts w:ascii="Arial" w:eastAsia="Arial" w:hAnsi="Arial" w:cs="Arial"/>
                    <w:sz w:val="16"/>
                    <w:szCs w:val="16"/>
                  </w:rPr>
                </w:pPr>
                <w:r>
                  <w:rPr>
                    <w:rFonts w:ascii="Arial" w:eastAsia="Arial" w:hAnsi="Arial" w:cs="Arial"/>
                    <w:sz w:val="16"/>
                    <w:szCs w:val="16"/>
                  </w:rPr>
                  <w:t>Valor Unitario</w:t>
                </w:r>
              </w:p>
            </w:tc>
            <w:tc>
              <w:tcPr>
                <w:tcW w:w="1140" w:type="dxa"/>
                <w:shd w:val="clear" w:color="auto" w:fill="auto"/>
                <w:tcMar>
                  <w:top w:w="100" w:type="dxa"/>
                  <w:left w:w="100" w:type="dxa"/>
                  <w:bottom w:w="100" w:type="dxa"/>
                  <w:right w:w="100" w:type="dxa"/>
                </w:tcMar>
              </w:tcPr>
              <w:p w14:paraId="68E10847" w14:textId="77777777" w:rsidR="003941C7" w:rsidRDefault="006D231B">
                <w:pPr>
                  <w:widowControl w:val="0"/>
                  <w:pBdr>
                    <w:top w:val="nil"/>
                    <w:left w:val="nil"/>
                    <w:bottom w:val="nil"/>
                    <w:right w:val="nil"/>
                    <w:between w:val="nil"/>
                  </w:pBdr>
                  <w:jc w:val="center"/>
                  <w:rPr>
                    <w:rFonts w:ascii="Arial" w:eastAsia="Arial" w:hAnsi="Arial" w:cs="Arial"/>
                    <w:sz w:val="16"/>
                    <w:szCs w:val="16"/>
                  </w:rPr>
                </w:pPr>
                <w:r>
                  <w:rPr>
                    <w:rFonts w:ascii="Arial" w:eastAsia="Arial" w:hAnsi="Arial" w:cs="Arial"/>
                    <w:sz w:val="16"/>
                    <w:szCs w:val="16"/>
                  </w:rPr>
                  <w:t>Prazo Garantia ou Validade</w:t>
                </w:r>
              </w:p>
            </w:tc>
          </w:tr>
          <w:tr w:rsidR="003941C7" w14:paraId="383AC8FC" w14:textId="77777777">
            <w:trPr>
              <w:trHeight w:val="304"/>
            </w:trPr>
            <w:tc>
              <w:tcPr>
                <w:tcW w:w="780" w:type="dxa"/>
                <w:vMerge/>
                <w:shd w:val="clear" w:color="auto" w:fill="auto"/>
                <w:tcMar>
                  <w:top w:w="100" w:type="dxa"/>
                  <w:left w:w="100" w:type="dxa"/>
                  <w:bottom w:w="100" w:type="dxa"/>
                  <w:right w:w="100" w:type="dxa"/>
                </w:tcMar>
              </w:tcPr>
              <w:p w14:paraId="6525CEC0" w14:textId="77777777" w:rsidR="003941C7" w:rsidRDefault="003941C7">
                <w:pPr>
                  <w:widowControl w:val="0"/>
                  <w:pBdr>
                    <w:top w:val="nil"/>
                    <w:left w:val="nil"/>
                    <w:bottom w:val="nil"/>
                    <w:right w:val="nil"/>
                    <w:between w:val="nil"/>
                  </w:pBdr>
                  <w:rPr>
                    <w:rFonts w:ascii="Arial" w:eastAsia="Arial" w:hAnsi="Arial" w:cs="Arial"/>
                    <w:sz w:val="20"/>
                    <w:szCs w:val="20"/>
                  </w:rPr>
                </w:pPr>
              </w:p>
            </w:tc>
            <w:tc>
              <w:tcPr>
                <w:tcW w:w="1275" w:type="dxa"/>
                <w:shd w:val="clear" w:color="auto" w:fill="auto"/>
                <w:tcMar>
                  <w:top w:w="100" w:type="dxa"/>
                  <w:left w:w="100" w:type="dxa"/>
                  <w:bottom w:w="100" w:type="dxa"/>
                  <w:right w:w="100" w:type="dxa"/>
                </w:tcMar>
              </w:tcPr>
              <w:p w14:paraId="7679926F" w14:textId="77777777" w:rsidR="003941C7" w:rsidRDefault="003941C7">
                <w:pPr>
                  <w:widowControl w:val="0"/>
                  <w:pBdr>
                    <w:top w:val="nil"/>
                    <w:left w:val="nil"/>
                    <w:bottom w:val="nil"/>
                    <w:right w:val="nil"/>
                    <w:between w:val="nil"/>
                  </w:pBdr>
                  <w:rPr>
                    <w:rFonts w:ascii="Arial" w:eastAsia="Arial" w:hAnsi="Arial" w:cs="Arial"/>
                    <w:sz w:val="20"/>
                    <w:szCs w:val="20"/>
                  </w:rPr>
                </w:pPr>
              </w:p>
            </w:tc>
            <w:tc>
              <w:tcPr>
                <w:tcW w:w="1005" w:type="dxa"/>
                <w:shd w:val="clear" w:color="auto" w:fill="auto"/>
                <w:tcMar>
                  <w:top w:w="100" w:type="dxa"/>
                  <w:left w:w="100" w:type="dxa"/>
                  <w:bottom w:w="100" w:type="dxa"/>
                  <w:right w:w="100" w:type="dxa"/>
                </w:tcMar>
              </w:tcPr>
              <w:p w14:paraId="30F3A1BD" w14:textId="77777777" w:rsidR="003941C7" w:rsidRDefault="003941C7">
                <w:pPr>
                  <w:widowControl w:val="0"/>
                  <w:pBdr>
                    <w:top w:val="nil"/>
                    <w:left w:val="nil"/>
                    <w:bottom w:val="nil"/>
                    <w:right w:val="nil"/>
                    <w:between w:val="nil"/>
                  </w:pBdr>
                  <w:rPr>
                    <w:rFonts w:ascii="Arial" w:eastAsia="Arial" w:hAnsi="Arial" w:cs="Arial"/>
                    <w:sz w:val="20"/>
                    <w:szCs w:val="20"/>
                  </w:rPr>
                </w:pPr>
              </w:p>
            </w:tc>
            <w:tc>
              <w:tcPr>
                <w:tcW w:w="825" w:type="dxa"/>
                <w:shd w:val="clear" w:color="auto" w:fill="auto"/>
                <w:tcMar>
                  <w:top w:w="100" w:type="dxa"/>
                  <w:left w:w="100" w:type="dxa"/>
                  <w:bottom w:w="100" w:type="dxa"/>
                  <w:right w:w="100" w:type="dxa"/>
                </w:tcMar>
              </w:tcPr>
              <w:p w14:paraId="0D909B6B" w14:textId="77777777" w:rsidR="003941C7" w:rsidRDefault="003941C7">
                <w:pPr>
                  <w:widowControl w:val="0"/>
                  <w:pBdr>
                    <w:top w:val="nil"/>
                    <w:left w:val="nil"/>
                    <w:bottom w:val="nil"/>
                    <w:right w:val="nil"/>
                    <w:between w:val="nil"/>
                  </w:pBdr>
                  <w:rPr>
                    <w:rFonts w:ascii="Arial" w:eastAsia="Arial" w:hAnsi="Arial" w:cs="Arial"/>
                    <w:sz w:val="20"/>
                    <w:szCs w:val="20"/>
                  </w:rPr>
                </w:pPr>
              </w:p>
            </w:tc>
            <w:tc>
              <w:tcPr>
                <w:tcW w:w="1005" w:type="dxa"/>
                <w:shd w:val="clear" w:color="auto" w:fill="auto"/>
                <w:tcMar>
                  <w:top w:w="100" w:type="dxa"/>
                  <w:left w:w="100" w:type="dxa"/>
                  <w:bottom w:w="100" w:type="dxa"/>
                  <w:right w:w="100" w:type="dxa"/>
                </w:tcMar>
              </w:tcPr>
              <w:p w14:paraId="7FA6FD7B" w14:textId="77777777" w:rsidR="003941C7" w:rsidRDefault="003941C7">
                <w:pPr>
                  <w:widowControl w:val="0"/>
                  <w:pBdr>
                    <w:top w:val="nil"/>
                    <w:left w:val="nil"/>
                    <w:bottom w:val="nil"/>
                    <w:right w:val="nil"/>
                    <w:between w:val="nil"/>
                  </w:pBdr>
                  <w:rPr>
                    <w:rFonts w:ascii="Arial" w:eastAsia="Arial" w:hAnsi="Arial" w:cs="Arial"/>
                    <w:sz w:val="20"/>
                    <w:szCs w:val="20"/>
                  </w:rPr>
                </w:pPr>
              </w:p>
            </w:tc>
            <w:tc>
              <w:tcPr>
                <w:tcW w:w="1095" w:type="dxa"/>
                <w:shd w:val="clear" w:color="auto" w:fill="auto"/>
                <w:tcMar>
                  <w:top w:w="100" w:type="dxa"/>
                  <w:left w:w="100" w:type="dxa"/>
                  <w:bottom w:w="100" w:type="dxa"/>
                  <w:right w:w="100" w:type="dxa"/>
                </w:tcMar>
              </w:tcPr>
              <w:p w14:paraId="44575EEE" w14:textId="77777777" w:rsidR="003941C7" w:rsidRDefault="003941C7">
                <w:pPr>
                  <w:widowControl w:val="0"/>
                  <w:pBdr>
                    <w:top w:val="nil"/>
                    <w:left w:val="nil"/>
                    <w:bottom w:val="nil"/>
                    <w:right w:val="nil"/>
                    <w:between w:val="nil"/>
                  </w:pBdr>
                  <w:rPr>
                    <w:rFonts w:ascii="Arial" w:eastAsia="Arial" w:hAnsi="Arial" w:cs="Arial"/>
                    <w:sz w:val="20"/>
                    <w:szCs w:val="20"/>
                  </w:rPr>
                </w:pPr>
              </w:p>
            </w:tc>
            <w:tc>
              <w:tcPr>
                <w:tcW w:w="1065" w:type="dxa"/>
                <w:shd w:val="clear" w:color="auto" w:fill="auto"/>
                <w:tcMar>
                  <w:top w:w="100" w:type="dxa"/>
                  <w:left w:w="100" w:type="dxa"/>
                  <w:bottom w:w="100" w:type="dxa"/>
                  <w:right w:w="100" w:type="dxa"/>
                </w:tcMar>
              </w:tcPr>
              <w:p w14:paraId="66E1A50E" w14:textId="77777777" w:rsidR="003941C7" w:rsidRDefault="003941C7">
                <w:pPr>
                  <w:widowControl w:val="0"/>
                  <w:pBdr>
                    <w:top w:val="nil"/>
                    <w:left w:val="nil"/>
                    <w:bottom w:val="nil"/>
                    <w:right w:val="nil"/>
                    <w:between w:val="nil"/>
                  </w:pBdr>
                  <w:rPr>
                    <w:rFonts w:ascii="Arial" w:eastAsia="Arial" w:hAnsi="Arial" w:cs="Arial"/>
                    <w:sz w:val="20"/>
                    <w:szCs w:val="20"/>
                  </w:rPr>
                </w:pPr>
              </w:p>
            </w:tc>
            <w:tc>
              <w:tcPr>
                <w:tcW w:w="855" w:type="dxa"/>
                <w:shd w:val="clear" w:color="auto" w:fill="auto"/>
                <w:tcMar>
                  <w:top w:w="100" w:type="dxa"/>
                  <w:left w:w="100" w:type="dxa"/>
                  <w:bottom w:w="100" w:type="dxa"/>
                  <w:right w:w="100" w:type="dxa"/>
                </w:tcMar>
              </w:tcPr>
              <w:p w14:paraId="7985E6B2" w14:textId="77777777" w:rsidR="003941C7" w:rsidRDefault="003941C7">
                <w:pPr>
                  <w:widowControl w:val="0"/>
                  <w:pBdr>
                    <w:top w:val="nil"/>
                    <w:left w:val="nil"/>
                    <w:bottom w:val="nil"/>
                    <w:right w:val="nil"/>
                    <w:between w:val="nil"/>
                  </w:pBdr>
                  <w:rPr>
                    <w:rFonts w:ascii="Arial" w:eastAsia="Arial" w:hAnsi="Arial" w:cs="Arial"/>
                    <w:sz w:val="20"/>
                    <w:szCs w:val="20"/>
                  </w:rPr>
                </w:pPr>
              </w:p>
            </w:tc>
            <w:tc>
              <w:tcPr>
                <w:tcW w:w="1140" w:type="dxa"/>
                <w:shd w:val="clear" w:color="auto" w:fill="auto"/>
                <w:tcMar>
                  <w:top w:w="100" w:type="dxa"/>
                  <w:left w:w="100" w:type="dxa"/>
                  <w:bottom w:w="100" w:type="dxa"/>
                  <w:right w:w="100" w:type="dxa"/>
                </w:tcMar>
              </w:tcPr>
              <w:p w14:paraId="20F027FD" w14:textId="77777777" w:rsidR="003941C7" w:rsidRDefault="004A1EBF">
                <w:pPr>
                  <w:widowControl w:val="0"/>
                  <w:pBdr>
                    <w:top w:val="nil"/>
                    <w:left w:val="nil"/>
                    <w:bottom w:val="nil"/>
                    <w:right w:val="nil"/>
                    <w:between w:val="nil"/>
                  </w:pBdr>
                  <w:rPr>
                    <w:rFonts w:ascii="Arial" w:eastAsia="Arial" w:hAnsi="Arial" w:cs="Arial"/>
                    <w:sz w:val="20"/>
                    <w:szCs w:val="20"/>
                  </w:rPr>
                </w:pPr>
              </w:p>
            </w:tc>
          </w:tr>
        </w:tbl>
      </w:sdtContent>
    </w:sdt>
    <w:p w14:paraId="423D4E9A" w14:textId="77777777" w:rsidR="003941C7" w:rsidRDefault="003941C7">
      <w:pPr>
        <w:spacing w:line="360" w:lineRule="auto"/>
        <w:rPr>
          <w:rFonts w:ascii="Arial" w:eastAsia="Arial" w:hAnsi="Arial" w:cs="Arial"/>
          <w:sz w:val="20"/>
          <w:szCs w:val="20"/>
        </w:rPr>
      </w:pPr>
    </w:p>
    <w:p w14:paraId="44FD48BB" w14:textId="77777777" w:rsidR="003941C7" w:rsidRDefault="006D231B">
      <w:pPr>
        <w:numPr>
          <w:ilvl w:val="1"/>
          <w:numId w:val="1"/>
        </w:numPr>
        <w:spacing w:before="120" w:after="120" w:line="276" w:lineRule="auto"/>
        <w:jc w:val="both"/>
      </w:pPr>
      <w:r>
        <w:rPr>
          <w:rFonts w:ascii="Arial" w:eastAsia="Arial" w:hAnsi="Arial" w:cs="Arial"/>
          <w:color w:val="000000"/>
          <w:sz w:val="20"/>
          <w:szCs w:val="20"/>
        </w:rPr>
        <w:t xml:space="preserve">A garantia dos produtos deverá ser de 90 dias, contados a partir da entrega efetiva do bem, conforme o Art. 26, II e § 1º, do Código de Defesa do Consumidor (CDC) e prolongada enquanto durar a garantia da fabricante. </w:t>
      </w:r>
    </w:p>
    <w:p w14:paraId="43DBFF28" w14:textId="77777777" w:rsidR="003941C7" w:rsidRDefault="006D231B">
      <w:pPr>
        <w:numPr>
          <w:ilvl w:val="1"/>
          <w:numId w:val="1"/>
        </w:numPr>
        <w:spacing w:before="120" w:after="120" w:line="276" w:lineRule="auto"/>
        <w:jc w:val="both"/>
      </w:pPr>
      <w:r>
        <w:rPr>
          <w:rFonts w:ascii="Arial" w:eastAsia="Arial" w:hAnsi="Arial" w:cs="Arial"/>
          <w:color w:val="000000"/>
          <w:sz w:val="20"/>
          <w:szCs w:val="20"/>
        </w:rPr>
        <w:t>A listagem do cadastro de reserva referente ao presente registro de preços consta como anexo a esta Ata.</w:t>
      </w:r>
    </w:p>
    <w:p w14:paraId="69D87779" w14:textId="77777777" w:rsidR="003941C7" w:rsidRDefault="006D231B">
      <w:pPr>
        <w:keepNext/>
        <w:keepLines/>
        <w:numPr>
          <w:ilvl w:val="0"/>
          <w:numId w:val="1"/>
        </w:numPr>
        <w:tabs>
          <w:tab w:val="left" w:pos="567"/>
        </w:tabs>
        <w:spacing w:before="120" w:after="120" w:line="276" w:lineRule="auto"/>
        <w:jc w:val="both"/>
        <w:rPr>
          <w:rFonts w:ascii="Arial" w:eastAsia="Arial" w:hAnsi="Arial" w:cs="Arial"/>
          <w:b/>
          <w:bCs/>
          <w:color w:val="000000"/>
          <w:sz w:val="20"/>
          <w:szCs w:val="20"/>
        </w:rPr>
      </w:pPr>
      <w:r>
        <w:rPr>
          <w:rFonts w:ascii="Arial" w:eastAsia="Arial" w:hAnsi="Arial" w:cs="Arial"/>
          <w:b/>
          <w:bCs/>
          <w:color w:val="000000"/>
          <w:sz w:val="20"/>
          <w:szCs w:val="20"/>
        </w:rPr>
        <w:t>ÓRGÃO(S) GERENCIADOR E PARTICIPANTE(S)</w:t>
      </w:r>
    </w:p>
    <w:p w14:paraId="306C43E9" w14:textId="77777777" w:rsidR="003941C7" w:rsidRDefault="006D231B">
      <w:pPr>
        <w:numPr>
          <w:ilvl w:val="1"/>
          <w:numId w:val="1"/>
        </w:numPr>
        <w:spacing w:before="120" w:after="120" w:line="276" w:lineRule="auto"/>
        <w:jc w:val="both"/>
      </w:pPr>
      <w:r>
        <w:rPr>
          <w:rFonts w:ascii="Arial" w:eastAsia="Arial" w:hAnsi="Arial" w:cs="Arial"/>
          <w:color w:val="000000"/>
          <w:sz w:val="20"/>
          <w:szCs w:val="20"/>
        </w:rPr>
        <w:t>O órgão gerenciador será o(a) O órgão gerenciador será o 53º Batalhão de Infantaria de Selva, situado na Estrada do Quinquagésimo Terceiro Batalhão de Infantaria de Selva, S/N – Bairro Bom Jardim – CEP 68.181 – 470 – Itaituba-PA, instalações do 53º Batalhão de Infantaria de Selva.</w:t>
      </w:r>
    </w:p>
    <w:p w14:paraId="44760B26" w14:textId="77777777" w:rsidR="003941C7" w:rsidRDefault="006D231B">
      <w:pPr>
        <w:numPr>
          <w:ilvl w:val="1"/>
          <w:numId w:val="1"/>
        </w:numPr>
        <w:spacing w:before="120" w:after="120" w:line="276" w:lineRule="auto"/>
        <w:jc w:val="both"/>
        <w:rPr>
          <w:rFonts w:ascii="Arial" w:eastAsia="Arial" w:hAnsi="Arial" w:cs="Arial"/>
          <w:color w:val="000000"/>
          <w:sz w:val="20"/>
          <w:szCs w:val="20"/>
        </w:rPr>
      </w:pPr>
      <w:r>
        <w:rPr>
          <w:rFonts w:ascii="Arial" w:eastAsia="Arial" w:hAnsi="Arial" w:cs="Arial"/>
          <w:color w:val="000000"/>
          <w:sz w:val="20"/>
          <w:szCs w:val="20"/>
        </w:rPr>
        <w:t>Além do gerenciador, não há órgãos e entidades públicas participantes do registro de preços.</w:t>
      </w:r>
    </w:p>
    <w:p w14:paraId="7F9691E8" w14:textId="77777777" w:rsidR="003941C7" w:rsidRDefault="006D231B">
      <w:pPr>
        <w:keepNext/>
        <w:keepLines/>
        <w:numPr>
          <w:ilvl w:val="0"/>
          <w:numId w:val="1"/>
        </w:numPr>
        <w:tabs>
          <w:tab w:val="left" w:pos="567"/>
        </w:tabs>
        <w:spacing w:before="120" w:after="120" w:line="276" w:lineRule="auto"/>
        <w:jc w:val="both"/>
        <w:rPr>
          <w:rFonts w:ascii="Arial" w:eastAsia="Arial" w:hAnsi="Arial" w:cs="Arial"/>
          <w:b/>
          <w:bCs/>
          <w:color w:val="000000"/>
          <w:sz w:val="20"/>
          <w:szCs w:val="20"/>
        </w:rPr>
      </w:pPr>
      <w:r>
        <w:rPr>
          <w:rFonts w:ascii="Arial" w:eastAsia="Arial" w:hAnsi="Arial" w:cs="Arial"/>
          <w:b/>
          <w:bCs/>
          <w:color w:val="000000"/>
          <w:sz w:val="20"/>
          <w:szCs w:val="20"/>
        </w:rPr>
        <w:t>DA ADESÃO À ATA DE REGISTRO DE PREÇOS</w:t>
      </w:r>
    </w:p>
    <w:p w14:paraId="4E688111" w14:textId="77777777" w:rsidR="003941C7" w:rsidRDefault="006D231B">
      <w:pPr>
        <w:numPr>
          <w:ilvl w:val="1"/>
          <w:numId w:val="1"/>
        </w:numPr>
        <w:spacing w:before="120" w:after="120" w:line="276" w:lineRule="auto"/>
        <w:jc w:val="both"/>
        <w:rPr>
          <w:rFonts w:ascii="Arial" w:eastAsia="Arial" w:hAnsi="Arial" w:cs="Arial"/>
          <w:color w:val="000000"/>
          <w:sz w:val="20"/>
          <w:szCs w:val="20"/>
        </w:rPr>
      </w:pPr>
      <w:r>
        <w:rPr>
          <w:rFonts w:ascii="Arial" w:eastAsia="Arial" w:hAnsi="Arial" w:cs="Arial"/>
          <w:color w:val="000000"/>
          <w:sz w:val="20"/>
          <w:szCs w:val="20"/>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1A2C58E6" w14:textId="77777777" w:rsidR="003941C7" w:rsidRDefault="006D231B">
      <w:pPr>
        <w:numPr>
          <w:ilvl w:val="2"/>
          <w:numId w:val="1"/>
        </w:numPr>
        <w:spacing w:before="120" w:after="120" w:line="276" w:lineRule="auto"/>
        <w:jc w:val="both"/>
        <w:rPr>
          <w:rFonts w:ascii="Arial" w:eastAsia="Arial" w:hAnsi="Arial" w:cs="Arial"/>
          <w:color w:val="000000"/>
          <w:sz w:val="20"/>
          <w:szCs w:val="20"/>
        </w:rPr>
      </w:pPr>
      <w:r>
        <w:rPr>
          <w:rFonts w:ascii="Arial" w:eastAsia="Arial" w:hAnsi="Arial" w:cs="Arial"/>
          <w:color w:val="000000"/>
          <w:sz w:val="20"/>
          <w:szCs w:val="20"/>
        </w:rPr>
        <w:t>apresentação de justificativa da vantagem da adesão, inclusive em situações de provável desabastecimento ou descontinuidade de serviço público;</w:t>
      </w:r>
    </w:p>
    <w:p w14:paraId="325B1C5D" w14:textId="77777777" w:rsidR="003941C7" w:rsidRDefault="006D231B">
      <w:pPr>
        <w:numPr>
          <w:ilvl w:val="2"/>
          <w:numId w:val="1"/>
        </w:numPr>
        <w:spacing w:before="120" w:after="120" w:line="276" w:lineRule="auto"/>
        <w:jc w:val="both"/>
        <w:rPr>
          <w:rFonts w:ascii="Arial" w:eastAsia="Arial" w:hAnsi="Arial" w:cs="Arial"/>
          <w:color w:val="000000"/>
          <w:sz w:val="20"/>
          <w:szCs w:val="20"/>
        </w:rPr>
      </w:pPr>
      <w:r>
        <w:rPr>
          <w:rFonts w:ascii="Arial" w:eastAsia="Arial" w:hAnsi="Arial" w:cs="Arial"/>
          <w:color w:val="000000"/>
          <w:sz w:val="20"/>
          <w:szCs w:val="20"/>
        </w:rPr>
        <w:t xml:space="preserve"> demonstração de que os valores registrados estão compatíveis com os valores praticados pelo mercado na forma do art. 23 da Lei nº 14.133, de 2021; e</w:t>
      </w:r>
    </w:p>
    <w:p w14:paraId="6C5BE716" w14:textId="77777777" w:rsidR="003941C7" w:rsidRDefault="006D231B">
      <w:pPr>
        <w:numPr>
          <w:ilvl w:val="2"/>
          <w:numId w:val="1"/>
        </w:numPr>
        <w:spacing w:before="120" w:after="120" w:line="276" w:lineRule="auto"/>
        <w:jc w:val="both"/>
        <w:rPr>
          <w:rFonts w:ascii="Arial" w:eastAsia="Arial" w:hAnsi="Arial" w:cs="Arial"/>
          <w:color w:val="000000"/>
          <w:sz w:val="20"/>
          <w:szCs w:val="20"/>
        </w:rPr>
      </w:pPr>
      <w:r>
        <w:rPr>
          <w:rFonts w:ascii="Arial" w:eastAsia="Arial" w:hAnsi="Arial" w:cs="Arial"/>
          <w:color w:val="000000"/>
          <w:sz w:val="20"/>
          <w:szCs w:val="20"/>
        </w:rPr>
        <w:t xml:space="preserve"> consulta e aceitação prévias do órgão ou da entidade gerenciadora e do fornecedor.</w:t>
      </w:r>
    </w:p>
    <w:p w14:paraId="1CBD25E3" w14:textId="77777777" w:rsidR="003941C7" w:rsidRDefault="006D231B">
      <w:pPr>
        <w:numPr>
          <w:ilvl w:val="1"/>
          <w:numId w:val="1"/>
        </w:numPr>
        <w:spacing w:before="120" w:after="120" w:line="276" w:lineRule="auto"/>
        <w:jc w:val="both"/>
        <w:rPr>
          <w:rFonts w:ascii="Arial" w:eastAsia="Arial" w:hAnsi="Arial" w:cs="Arial"/>
          <w:color w:val="000000"/>
          <w:sz w:val="20"/>
          <w:szCs w:val="20"/>
        </w:rPr>
      </w:pPr>
      <w:r>
        <w:rPr>
          <w:rFonts w:ascii="Arial" w:eastAsia="Arial" w:hAnsi="Arial" w:cs="Arial"/>
          <w:color w:val="000000"/>
          <w:sz w:val="20"/>
          <w:szCs w:val="20"/>
        </w:rPr>
        <w:t>A autorização do órgão ou entidade gerenciadora apenas será realizada após a aceitação da adesão pelo fornecedor.</w:t>
      </w:r>
    </w:p>
    <w:p w14:paraId="1F6348B6" w14:textId="77777777" w:rsidR="003941C7" w:rsidRDefault="006D231B">
      <w:pPr>
        <w:numPr>
          <w:ilvl w:val="2"/>
          <w:numId w:val="1"/>
        </w:numPr>
        <w:spacing w:before="120" w:after="120" w:line="276" w:lineRule="auto"/>
        <w:jc w:val="both"/>
        <w:rPr>
          <w:rFonts w:ascii="Arial" w:eastAsia="Arial" w:hAnsi="Arial" w:cs="Arial"/>
          <w:color w:val="000000"/>
          <w:sz w:val="20"/>
          <w:szCs w:val="20"/>
        </w:rPr>
      </w:pPr>
      <w:r>
        <w:rPr>
          <w:rFonts w:ascii="Arial" w:eastAsia="Arial" w:hAnsi="Arial" w:cs="Arial"/>
          <w:color w:val="000000"/>
          <w:sz w:val="20"/>
          <w:szCs w:val="20"/>
        </w:rPr>
        <w:t>O órgão ou entidade gerenciadora poderá rejeitar adesões caso elas possam acarretar prejuízo à execução de seus próprios contratos ou à sua capacidade de gerenciamento.</w:t>
      </w:r>
    </w:p>
    <w:p w14:paraId="3EE94064" w14:textId="77777777" w:rsidR="003941C7" w:rsidRDefault="006D231B">
      <w:pPr>
        <w:numPr>
          <w:ilvl w:val="1"/>
          <w:numId w:val="1"/>
        </w:numPr>
        <w:spacing w:before="120" w:after="120" w:line="276" w:lineRule="auto"/>
        <w:jc w:val="both"/>
        <w:rPr>
          <w:rFonts w:ascii="Arial" w:eastAsia="Arial" w:hAnsi="Arial" w:cs="Arial"/>
          <w:color w:val="000000"/>
          <w:sz w:val="20"/>
          <w:szCs w:val="20"/>
        </w:rPr>
      </w:pPr>
      <w:r>
        <w:rPr>
          <w:rFonts w:ascii="Arial" w:eastAsia="Arial" w:hAnsi="Arial" w:cs="Arial"/>
          <w:color w:val="000000"/>
          <w:sz w:val="20"/>
          <w:szCs w:val="20"/>
        </w:rPr>
        <w:t xml:space="preserve"> Após a autorização do órgão ou da entidade gerenciadora, o órgão ou entidade não participante deverá efetivar a aquisição ou a contratação solicitada em até noventa dias, observado o prazo de vigência da ata.</w:t>
      </w:r>
    </w:p>
    <w:p w14:paraId="155800BE" w14:textId="77777777" w:rsidR="003941C7" w:rsidRDefault="006D231B">
      <w:pPr>
        <w:numPr>
          <w:ilvl w:val="1"/>
          <w:numId w:val="1"/>
        </w:numPr>
        <w:spacing w:before="120" w:after="120" w:line="276" w:lineRule="auto"/>
        <w:jc w:val="both"/>
        <w:rPr>
          <w:rFonts w:ascii="Arial" w:eastAsia="Arial" w:hAnsi="Arial" w:cs="Arial"/>
          <w:color w:val="000000"/>
          <w:sz w:val="20"/>
          <w:szCs w:val="20"/>
        </w:rPr>
      </w:pPr>
      <w:r>
        <w:rPr>
          <w:rFonts w:ascii="Arial" w:eastAsia="Arial" w:hAnsi="Arial" w:cs="Arial"/>
          <w:color w:val="000000"/>
          <w:sz w:val="20"/>
          <w:szCs w:val="20"/>
        </w:rPr>
        <w:t xml:space="preserve">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6C212647" w14:textId="77777777" w:rsidR="003941C7" w:rsidRDefault="006D231B">
      <w:pPr>
        <w:numPr>
          <w:ilvl w:val="1"/>
          <w:numId w:val="1"/>
        </w:numPr>
        <w:spacing w:before="120" w:after="120" w:line="276" w:lineRule="auto"/>
        <w:jc w:val="both"/>
        <w:rPr>
          <w:rFonts w:ascii="Arial" w:eastAsia="Arial" w:hAnsi="Arial" w:cs="Arial"/>
          <w:color w:val="000000"/>
          <w:sz w:val="20"/>
          <w:szCs w:val="20"/>
        </w:rPr>
      </w:pPr>
      <w:r>
        <w:rPr>
          <w:rFonts w:ascii="Arial" w:eastAsia="Arial" w:hAnsi="Arial" w:cs="Arial"/>
          <w:color w:val="000000"/>
          <w:sz w:val="20"/>
          <w:szCs w:val="20"/>
        </w:rPr>
        <w:t>O órgão ou a entidade poderá aderir a item da ata de registro de preços da qual seja integrante, na qualidade de não participante, para aqueles itens para os quais não tenha quantitativo registrado, observados os requisitos do item 4.1.</w:t>
      </w:r>
    </w:p>
    <w:p w14:paraId="4EC666E8" w14:textId="77777777" w:rsidR="003941C7" w:rsidRDefault="006D231B">
      <w:pPr>
        <w:spacing w:before="240" w:after="120" w:line="276" w:lineRule="auto"/>
        <w:jc w:val="both"/>
        <w:rPr>
          <w:rFonts w:ascii="Arial" w:eastAsia="Arial" w:hAnsi="Arial" w:cs="Arial"/>
          <w:b/>
          <w:bCs/>
          <w:color w:val="000000"/>
          <w:sz w:val="20"/>
          <w:szCs w:val="20"/>
        </w:rPr>
      </w:pPr>
      <w:r>
        <w:rPr>
          <w:rFonts w:ascii="Arial" w:eastAsia="Arial" w:hAnsi="Arial" w:cs="Arial"/>
          <w:b/>
          <w:bCs/>
          <w:color w:val="000000"/>
          <w:sz w:val="20"/>
          <w:szCs w:val="20"/>
        </w:rPr>
        <w:lastRenderedPageBreak/>
        <w:t>Dos limites para as adesões</w:t>
      </w:r>
    </w:p>
    <w:p w14:paraId="2C66A886" w14:textId="77777777" w:rsidR="003941C7" w:rsidRDefault="006D231B">
      <w:pPr>
        <w:numPr>
          <w:ilvl w:val="1"/>
          <w:numId w:val="1"/>
        </w:numPr>
        <w:spacing w:before="120" w:after="120" w:line="276" w:lineRule="auto"/>
        <w:jc w:val="both"/>
        <w:rPr>
          <w:rFonts w:ascii="Arial" w:eastAsia="Arial" w:hAnsi="Arial" w:cs="Arial"/>
          <w:color w:val="000000"/>
          <w:sz w:val="20"/>
          <w:szCs w:val="20"/>
        </w:rPr>
      </w:pPr>
      <w:bookmarkStart w:id="2" w:name="_heading=h.s2m704uwj2fd" w:colFirst="0" w:colLast="0"/>
      <w:bookmarkEnd w:id="2"/>
      <w:r>
        <w:rPr>
          <w:rFonts w:ascii="Arial" w:eastAsia="Arial" w:hAnsi="Arial" w:cs="Arial"/>
          <w:color w:val="000000"/>
          <w:sz w:val="20"/>
          <w:szCs w:val="20"/>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795BF923" w14:textId="77777777" w:rsidR="003941C7" w:rsidRDefault="006D231B">
      <w:pPr>
        <w:numPr>
          <w:ilvl w:val="1"/>
          <w:numId w:val="1"/>
        </w:numPr>
        <w:spacing w:before="120" w:after="120" w:line="276" w:lineRule="auto"/>
        <w:jc w:val="both"/>
        <w:rPr>
          <w:rFonts w:ascii="Arial" w:eastAsia="Arial" w:hAnsi="Arial" w:cs="Arial"/>
          <w:color w:val="000000"/>
          <w:sz w:val="20"/>
          <w:szCs w:val="20"/>
        </w:rPr>
      </w:pPr>
      <w:r>
        <w:rPr>
          <w:rFonts w:ascii="Arial" w:eastAsia="Arial" w:hAnsi="Arial" w:cs="Arial"/>
          <w:color w:val="000000"/>
          <w:sz w:val="20"/>
          <w:szCs w:val="20"/>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5871B976" w14:textId="77777777" w:rsidR="003941C7" w:rsidRDefault="006D231B">
      <w:pPr>
        <w:numPr>
          <w:ilvl w:val="1"/>
          <w:numId w:val="1"/>
        </w:numPr>
        <w:spacing w:before="120" w:after="120" w:line="276" w:lineRule="auto"/>
        <w:jc w:val="both"/>
        <w:rPr>
          <w:rFonts w:ascii="Arial" w:eastAsia="Arial" w:hAnsi="Arial" w:cs="Arial"/>
          <w:color w:val="000000"/>
          <w:sz w:val="20"/>
          <w:szCs w:val="20"/>
        </w:rPr>
      </w:pPr>
      <w:r>
        <w:rPr>
          <w:rFonts w:ascii="Arial" w:eastAsia="Arial" w:hAnsi="Arial" w:cs="Arial"/>
          <w:color w:val="000000"/>
          <w:sz w:val="20"/>
          <w:szCs w:val="20"/>
        </w:rPr>
        <w:t>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previsto no item 4.7.</w:t>
      </w:r>
    </w:p>
    <w:p w14:paraId="1DE4C68D" w14:textId="77777777" w:rsidR="003941C7" w:rsidRDefault="006D231B">
      <w:pPr>
        <w:numPr>
          <w:ilvl w:val="1"/>
          <w:numId w:val="1"/>
        </w:numPr>
        <w:spacing w:before="120" w:after="120" w:line="276" w:lineRule="auto"/>
        <w:jc w:val="both"/>
        <w:rPr>
          <w:rFonts w:ascii="Arial" w:eastAsia="Arial" w:hAnsi="Arial" w:cs="Arial"/>
          <w:color w:val="000000"/>
          <w:sz w:val="20"/>
          <w:szCs w:val="20"/>
        </w:rPr>
      </w:pPr>
      <w:r>
        <w:rPr>
          <w:rFonts w:ascii="Arial" w:eastAsia="Arial" w:hAnsi="Arial" w:cs="Arial"/>
          <w:color w:val="000000"/>
          <w:sz w:val="20"/>
          <w:szCs w:val="20"/>
        </w:rPr>
        <w:t>A adesão à ata de registro de preços por órgãos e entidades da Administração Pública estadual, distrital e municipal poderá ser exigida para fins de transferências voluntárias, não ficando sujeita ao limite de que trata o item 4.6, desde que seja destinada à execução descentralizada de programa ou projeto federal e comprovada a compatibilidade dos preços registrados com os valores praticados no mercado na forma do art. 23 da Lei nº 14.133, de 2021.</w:t>
      </w:r>
    </w:p>
    <w:p w14:paraId="6CA1CB2A" w14:textId="77777777" w:rsidR="003941C7" w:rsidRDefault="006D231B">
      <w:pPr>
        <w:spacing w:before="240" w:after="120" w:line="276" w:lineRule="auto"/>
        <w:jc w:val="both"/>
        <w:rPr>
          <w:rFonts w:ascii="Arial" w:eastAsia="Arial" w:hAnsi="Arial" w:cs="Arial"/>
          <w:b/>
          <w:bCs/>
          <w:color w:val="000000"/>
          <w:sz w:val="20"/>
          <w:szCs w:val="20"/>
        </w:rPr>
      </w:pPr>
      <w:r>
        <w:rPr>
          <w:rFonts w:ascii="Arial" w:eastAsia="Arial" w:hAnsi="Arial" w:cs="Arial"/>
          <w:b/>
          <w:bCs/>
          <w:color w:val="000000"/>
          <w:sz w:val="20"/>
          <w:szCs w:val="20"/>
        </w:rPr>
        <w:t>Vedação a acréscimo de quantitativos</w:t>
      </w:r>
    </w:p>
    <w:p w14:paraId="15FBF017" w14:textId="77777777" w:rsidR="003941C7" w:rsidRDefault="006D231B">
      <w:pPr>
        <w:numPr>
          <w:ilvl w:val="1"/>
          <w:numId w:val="1"/>
        </w:numPr>
        <w:spacing w:before="120" w:after="120" w:line="276" w:lineRule="auto"/>
        <w:jc w:val="both"/>
      </w:pPr>
      <w:r>
        <w:rPr>
          <w:rFonts w:ascii="Arial" w:eastAsia="Arial" w:hAnsi="Arial" w:cs="Arial"/>
          <w:color w:val="000000"/>
          <w:sz w:val="20"/>
          <w:szCs w:val="20"/>
        </w:rPr>
        <w:t>É vedado efetuar acréscimos nos quantitativos fixados na ata de registro de preços.</w:t>
      </w:r>
    </w:p>
    <w:p w14:paraId="7D365022" w14:textId="77777777" w:rsidR="003941C7" w:rsidRDefault="006D231B">
      <w:pPr>
        <w:keepNext/>
        <w:keepLines/>
        <w:numPr>
          <w:ilvl w:val="0"/>
          <w:numId w:val="1"/>
        </w:numPr>
        <w:tabs>
          <w:tab w:val="left" w:pos="567"/>
        </w:tabs>
        <w:spacing w:before="120" w:after="120" w:line="276" w:lineRule="auto"/>
        <w:jc w:val="both"/>
        <w:rPr>
          <w:rFonts w:ascii="Arial" w:eastAsia="Arial" w:hAnsi="Arial" w:cs="Arial"/>
          <w:b/>
          <w:bCs/>
          <w:color w:val="000000"/>
          <w:sz w:val="20"/>
          <w:szCs w:val="20"/>
        </w:rPr>
      </w:pPr>
      <w:r>
        <w:rPr>
          <w:rFonts w:ascii="Arial" w:eastAsia="Arial" w:hAnsi="Arial" w:cs="Arial"/>
          <w:b/>
          <w:bCs/>
          <w:color w:val="000000"/>
          <w:sz w:val="20"/>
          <w:szCs w:val="20"/>
        </w:rPr>
        <w:t>VALIDADE, FORMALIZAÇÃO DA ATA DE REGISTRO DE PREÇOS E CADASTRO RESERVA</w:t>
      </w:r>
    </w:p>
    <w:p w14:paraId="27AD27E2" w14:textId="77777777" w:rsidR="003941C7" w:rsidRDefault="006D231B">
      <w:pPr>
        <w:numPr>
          <w:ilvl w:val="1"/>
          <w:numId w:val="1"/>
        </w:numPr>
        <w:spacing w:before="120" w:after="120" w:line="276" w:lineRule="auto"/>
        <w:jc w:val="both"/>
      </w:pPr>
      <w:r>
        <w:rPr>
          <w:rFonts w:ascii="Arial" w:eastAsia="Arial" w:hAnsi="Arial" w:cs="Arial"/>
          <w:color w:val="000000"/>
          <w:sz w:val="20"/>
          <w:szCs w:val="20"/>
        </w:rPr>
        <w:t>A validade da Ata de Registro de Preços será de 1 (um) ano, contado a partir do primeiro dia útil subsequente à data de divulgação no PNCP, podendo ser prorrogada por igual período, mediante a anuência do fornecedor, desde que comprovado o preço vantajoso.</w:t>
      </w:r>
    </w:p>
    <w:p w14:paraId="38DFC293" w14:textId="77777777" w:rsidR="003941C7" w:rsidRDefault="006D231B">
      <w:pPr>
        <w:numPr>
          <w:ilvl w:val="2"/>
          <w:numId w:val="1"/>
        </w:numPr>
        <w:spacing w:before="120" w:after="120" w:line="276" w:lineRule="auto"/>
        <w:jc w:val="both"/>
        <w:rPr>
          <w:rFonts w:ascii="Arial" w:eastAsia="Arial" w:hAnsi="Arial" w:cs="Arial"/>
          <w:color w:val="000000"/>
          <w:sz w:val="20"/>
          <w:szCs w:val="20"/>
        </w:rPr>
      </w:pPr>
      <w:r>
        <w:rPr>
          <w:rFonts w:ascii="Arial" w:eastAsia="Arial" w:hAnsi="Arial" w:cs="Arial"/>
          <w:color w:val="000000"/>
          <w:sz w:val="20"/>
          <w:szCs w:val="20"/>
        </w:rPr>
        <w:t>Em caso de prorrogação da ata, poderá ser renovado o quantitativo originalmente registrado.</w:t>
      </w:r>
    </w:p>
    <w:p w14:paraId="7B384117" w14:textId="77777777" w:rsidR="003941C7" w:rsidRDefault="006D231B">
      <w:pPr>
        <w:numPr>
          <w:ilvl w:val="2"/>
          <w:numId w:val="1"/>
        </w:numPr>
        <w:spacing w:before="120" w:after="120" w:line="276" w:lineRule="auto"/>
        <w:jc w:val="both"/>
        <w:rPr>
          <w:rFonts w:ascii="Arial" w:eastAsia="Arial" w:hAnsi="Arial" w:cs="Arial"/>
          <w:color w:val="000000"/>
          <w:sz w:val="20"/>
          <w:szCs w:val="20"/>
        </w:rPr>
      </w:pPr>
      <w:r>
        <w:rPr>
          <w:rFonts w:ascii="Arial" w:eastAsia="Arial" w:hAnsi="Arial" w:cs="Arial"/>
          <w:color w:val="000000"/>
          <w:sz w:val="20"/>
          <w:szCs w:val="20"/>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3825F855" w14:textId="77777777" w:rsidR="003941C7" w:rsidRDefault="006D231B">
      <w:pPr>
        <w:numPr>
          <w:ilvl w:val="2"/>
          <w:numId w:val="1"/>
        </w:numPr>
        <w:spacing w:before="120" w:after="120" w:line="276" w:lineRule="auto"/>
        <w:jc w:val="both"/>
        <w:rPr>
          <w:rFonts w:ascii="Arial" w:eastAsia="Arial" w:hAnsi="Arial" w:cs="Arial"/>
          <w:color w:val="000000"/>
          <w:sz w:val="20"/>
          <w:szCs w:val="20"/>
        </w:rPr>
      </w:pPr>
      <w:r>
        <w:rPr>
          <w:rFonts w:ascii="Arial" w:eastAsia="Arial" w:hAnsi="Arial" w:cs="Arial"/>
          <w:color w:val="000000"/>
          <w:sz w:val="20"/>
          <w:szCs w:val="20"/>
        </w:rPr>
        <w:t>Na formalização do contrato ou do instrumento substituto deverá haver a indicação da disponibilidade dos créditos orçamentários respectivos.</w:t>
      </w:r>
    </w:p>
    <w:p w14:paraId="23B49ACA" w14:textId="77777777" w:rsidR="003941C7" w:rsidRDefault="006D231B">
      <w:pPr>
        <w:numPr>
          <w:ilvl w:val="1"/>
          <w:numId w:val="1"/>
        </w:numPr>
        <w:spacing w:before="120" w:after="120" w:line="276" w:lineRule="auto"/>
        <w:jc w:val="both"/>
      </w:pPr>
      <w:r>
        <w:rPr>
          <w:rFonts w:ascii="Arial" w:eastAsia="Arial" w:hAnsi="Arial" w:cs="Arial"/>
          <w:color w:val="000000"/>
          <w:sz w:val="20"/>
          <w:szCs w:val="20"/>
        </w:rPr>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62A2FCEA" w14:textId="77777777" w:rsidR="003941C7" w:rsidRDefault="006D231B">
      <w:pPr>
        <w:spacing w:before="120" w:after="120" w:line="276" w:lineRule="auto"/>
        <w:ind w:left="574"/>
        <w:jc w:val="both"/>
        <w:rPr>
          <w:rFonts w:ascii="Arial" w:eastAsia="Arial" w:hAnsi="Arial" w:cs="Arial"/>
          <w:color w:val="000000"/>
          <w:sz w:val="20"/>
          <w:szCs w:val="20"/>
        </w:rPr>
      </w:pPr>
      <w:r>
        <w:rPr>
          <w:rFonts w:ascii="Arial" w:eastAsia="Arial" w:hAnsi="Arial" w:cs="Arial"/>
          <w:color w:val="000000"/>
          <w:sz w:val="20"/>
          <w:szCs w:val="20"/>
        </w:rPr>
        <w:t>5.2</w:t>
      </w:r>
      <w:r>
        <w:rPr>
          <w:rFonts w:ascii="Arial" w:eastAsia="Arial" w:hAnsi="Arial" w:cs="Arial"/>
          <w:sz w:val="20"/>
          <w:szCs w:val="20"/>
        </w:rPr>
        <w:t>.1</w:t>
      </w:r>
      <w:r>
        <w:rPr>
          <w:rFonts w:ascii="Arial" w:eastAsia="Arial" w:hAnsi="Arial" w:cs="Arial"/>
          <w:color w:val="000000"/>
          <w:sz w:val="20"/>
          <w:szCs w:val="20"/>
        </w:rPr>
        <w:t xml:space="preserve"> O instrumento contratual de que trata o item 5.2. deverá ser assinado no prazo de validade da ata de registro de preços.</w:t>
      </w:r>
    </w:p>
    <w:p w14:paraId="21CD8C6E" w14:textId="77777777" w:rsidR="003941C7" w:rsidRDefault="006D231B">
      <w:pPr>
        <w:numPr>
          <w:ilvl w:val="1"/>
          <w:numId w:val="1"/>
        </w:numPr>
        <w:spacing w:before="120" w:after="120" w:line="276" w:lineRule="auto"/>
        <w:jc w:val="both"/>
      </w:pPr>
      <w:r>
        <w:rPr>
          <w:rFonts w:ascii="Arial" w:eastAsia="Arial" w:hAnsi="Arial" w:cs="Arial"/>
          <w:color w:val="000000"/>
          <w:sz w:val="20"/>
          <w:szCs w:val="20"/>
        </w:rPr>
        <w:t>Os contratos decorrentes do sistema de registro de preços poderão ser alterados, observado o art. 124 da Lei nº 14.133, de 2021.</w:t>
      </w:r>
    </w:p>
    <w:p w14:paraId="65910F42" w14:textId="77777777" w:rsidR="003941C7" w:rsidRDefault="006D231B">
      <w:pPr>
        <w:numPr>
          <w:ilvl w:val="1"/>
          <w:numId w:val="1"/>
        </w:numPr>
        <w:spacing w:before="120" w:after="120" w:line="276" w:lineRule="auto"/>
        <w:jc w:val="both"/>
      </w:pPr>
      <w:r>
        <w:rPr>
          <w:rFonts w:ascii="Arial" w:eastAsia="Arial" w:hAnsi="Arial" w:cs="Arial"/>
          <w:color w:val="000000"/>
          <w:sz w:val="20"/>
          <w:szCs w:val="20"/>
        </w:rPr>
        <w:t>Após a homologação da licitação ou da contratação direta, deverão ser observadas as seguintes condições para formalização da ata de registro de preços:</w:t>
      </w:r>
    </w:p>
    <w:p w14:paraId="090332C4" w14:textId="77777777" w:rsidR="003941C7" w:rsidRDefault="006D231B">
      <w:pPr>
        <w:numPr>
          <w:ilvl w:val="2"/>
          <w:numId w:val="1"/>
        </w:numPr>
        <w:spacing w:before="120" w:after="120" w:line="276" w:lineRule="auto"/>
        <w:jc w:val="both"/>
      </w:pPr>
      <w:r>
        <w:rPr>
          <w:rFonts w:ascii="Arial" w:eastAsia="Arial" w:hAnsi="Arial" w:cs="Arial"/>
          <w:color w:val="000000"/>
          <w:sz w:val="20"/>
          <w:szCs w:val="20"/>
        </w:rPr>
        <w:t xml:space="preserve">Serão registrados na ata os preços e os quantitativos do adjudicatário, devendo ser observada a possibilidade de o licitante oferecer ou não proposta em </w:t>
      </w:r>
      <w:r>
        <w:rPr>
          <w:rFonts w:ascii="Arial" w:eastAsia="Arial" w:hAnsi="Arial" w:cs="Arial"/>
          <w:color w:val="000000"/>
          <w:sz w:val="20"/>
          <w:szCs w:val="20"/>
        </w:rPr>
        <w:lastRenderedPageBreak/>
        <w:t>quantitativo inferior ao máximo previsto no aviso de contratação e se obrigar nos limites dela;</w:t>
      </w:r>
    </w:p>
    <w:p w14:paraId="5ABF503C" w14:textId="77777777" w:rsidR="003941C7" w:rsidRDefault="006D231B">
      <w:pPr>
        <w:numPr>
          <w:ilvl w:val="2"/>
          <w:numId w:val="1"/>
        </w:numPr>
        <w:spacing w:before="120" w:after="120" w:line="276" w:lineRule="auto"/>
        <w:jc w:val="both"/>
      </w:pPr>
      <w:r>
        <w:rPr>
          <w:rFonts w:ascii="Arial" w:eastAsia="Arial" w:hAnsi="Arial" w:cs="Arial"/>
          <w:color w:val="000000"/>
          <w:sz w:val="20"/>
          <w:szCs w:val="20"/>
        </w:rPr>
        <w:t>Será incluído na ata, na forma de anexo, o registro dos licitantes ou dos fornecedores que:</w:t>
      </w:r>
    </w:p>
    <w:p w14:paraId="7875EF20" w14:textId="77777777" w:rsidR="003941C7" w:rsidRDefault="006D231B">
      <w:pPr>
        <w:numPr>
          <w:ilvl w:val="3"/>
          <w:numId w:val="1"/>
        </w:numPr>
        <w:spacing w:before="120" w:after="120" w:line="276" w:lineRule="auto"/>
        <w:ind w:left="567" w:firstLine="0"/>
        <w:jc w:val="both"/>
      </w:pPr>
      <w:r>
        <w:rPr>
          <w:rFonts w:ascii="Arial" w:eastAsia="Arial" w:hAnsi="Arial" w:cs="Arial"/>
          <w:color w:val="000000"/>
          <w:sz w:val="20"/>
          <w:szCs w:val="20"/>
        </w:rPr>
        <w:t xml:space="preserve">Aceitarem cotar os bens, as obras ou os serviços com preços iguais aos do adjudicatário, observada a classificação da licitação; e </w:t>
      </w:r>
    </w:p>
    <w:p w14:paraId="5F639CF4" w14:textId="77777777" w:rsidR="003941C7" w:rsidRDefault="006D231B">
      <w:pPr>
        <w:numPr>
          <w:ilvl w:val="3"/>
          <w:numId w:val="1"/>
        </w:numPr>
        <w:spacing w:before="120" w:after="120" w:line="276" w:lineRule="auto"/>
        <w:ind w:left="567" w:firstLine="0"/>
        <w:jc w:val="both"/>
      </w:pPr>
      <w:r>
        <w:rPr>
          <w:rFonts w:ascii="Arial" w:eastAsia="Arial" w:hAnsi="Arial" w:cs="Arial"/>
          <w:color w:val="000000"/>
          <w:sz w:val="20"/>
          <w:szCs w:val="20"/>
        </w:rPr>
        <w:t xml:space="preserve">Mantiverem sua proposta original. </w:t>
      </w:r>
      <w:bookmarkStart w:id="3" w:name="bookmark=id.ooi32gajcte" w:colFirst="0" w:colLast="0"/>
      <w:bookmarkEnd w:id="3"/>
    </w:p>
    <w:p w14:paraId="0B892013" w14:textId="77777777" w:rsidR="003941C7" w:rsidRDefault="006D231B">
      <w:pPr>
        <w:numPr>
          <w:ilvl w:val="2"/>
          <w:numId w:val="1"/>
        </w:numPr>
        <w:spacing w:before="120" w:after="120" w:line="276" w:lineRule="auto"/>
        <w:jc w:val="both"/>
      </w:pPr>
      <w:r>
        <w:rPr>
          <w:rFonts w:ascii="Arial" w:eastAsia="Arial" w:hAnsi="Arial" w:cs="Arial"/>
          <w:color w:val="000000"/>
          <w:sz w:val="20"/>
          <w:szCs w:val="20"/>
        </w:rPr>
        <w:t>Será respeitada, nas contratações, a ordem de classificação dos licitantes ou dos fornecedores registrados na ata.</w:t>
      </w:r>
    </w:p>
    <w:p w14:paraId="26A02DCE" w14:textId="77777777" w:rsidR="003941C7" w:rsidRDefault="006D231B">
      <w:pPr>
        <w:numPr>
          <w:ilvl w:val="1"/>
          <w:numId w:val="1"/>
        </w:numPr>
        <w:spacing w:before="120" w:after="120" w:line="276" w:lineRule="auto"/>
        <w:jc w:val="both"/>
      </w:pPr>
      <w:r>
        <w:rPr>
          <w:rFonts w:ascii="Arial" w:eastAsia="Arial" w:hAnsi="Arial" w:cs="Arial"/>
          <w:color w:val="000000"/>
          <w:sz w:val="20"/>
          <w:szCs w:val="20"/>
        </w:rPr>
        <w:t>O registro a que se refere o item 5.4.2</w:t>
      </w:r>
      <w:r>
        <w:rPr>
          <w:rFonts w:ascii="Arial" w:eastAsia="Arial" w:hAnsi="Arial" w:cs="Arial"/>
          <w:b/>
          <w:bCs/>
          <w:color w:val="000000"/>
          <w:sz w:val="20"/>
          <w:szCs w:val="20"/>
        </w:rPr>
        <w:t xml:space="preserve"> </w:t>
      </w:r>
      <w:r>
        <w:rPr>
          <w:rFonts w:ascii="Arial" w:eastAsia="Arial" w:hAnsi="Arial" w:cs="Arial"/>
          <w:color w:val="000000"/>
          <w:sz w:val="20"/>
          <w:szCs w:val="20"/>
        </w:rPr>
        <w:t>tem por objetivo a formação de cadastro de reserva para o caso de impossibilidade de atendimento pelo signatário da ata.</w:t>
      </w:r>
    </w:p>
    <w:p w14:paraId="6A09F473" w14:textId="77777777" w:rsidR="003941C7" w:rsidRDefault="006D231B">
      <w:pPr>
        <w:numPr>
          <w:ilvl w:val="1"/>
          <w:numId w:val="1"/>
        </w:numPr>
        <w:spacing w:before="120" w:after="120" w:line="276" w:lineRule="auto"/>
        <w:jc w:val="both"/>
      </w:pPr>
      <w:r>
        <w:rPr>
          <w:rFonts w:ascii="Arial" w:eastAsia="Arial" w:hAnsi="Arial" w:cs="Arial"/>
          <w:color w:val="000000"/>
          <w:sz w:val="20"/>
          <w:szCs w:val="20"/>
        </w:rPr>
        <w:t>Para fins da ordem de classificação, os licitantes ou fornecedores que aceitarem reduzir suas propostas para o preço do adjudicatário antecederão aqueles que mantiverem sua proposta original.</w:t>
      </w:r>
    </w:p>
    <w:p w14:paraId="1AF3DDF6" w14:textId="77777777" w:rsidR="003941C7" w:rsidRDefault="006D231B">
      <w:pPr>
        <w:numPr>
          <w:ilvl w:val="1"/>
          <w:numId w:val="1"/>
        </w:numPr>
        <w:spacing w:before="120" w:after="120" w:line="276" w:lineRule="auto"/>
        <w:jc w:val="both"/>
      </w:pPr>
      <w:r>
        <w:rPr>
          <w:rFonts w:ascii="Arial" w:eastAsia="Arial" w:hAnsi="Arial" w:cs="Arial"/>
          <w:color w:val="000000"/>
          <w:sz w:val="20"/>
          <w:szCs w:val="20"/>
        </w:rPr>
        <w:t>A habilitação dos licitantes que comporão o cadastro de reserva a que se refere o item 5.4.2.2 somente será efetuada quando houver necessidade de contratação dos licitantes remanescentes, nas seguintes hipóteses:</w:t>
      </w:r>
    </w:p>
    <w:p w14:paraId="1896D55A" w14:textId="77777777" w:rsidR="003941C7" w:rsidRDefault="006D231B">
      <w:pPr>
        <w:numPr>
          <w:ilvl w:val="2"/>
          <w:numId w:val="1"/>
        </w:numPr>
        <w:spacing w:before="120" w:after="120" w:line="276" w:lineRule="auto"/>
        <w:jc w:val="both"/>
      </w:pPr>
      <w:r>
        <w:rPr>
          <w:rFonts w:ascii="Arial" w:eastAsia="Arial" w:hAnsi="Arial" w:cs="Arial"/>
          <w:color w:val="000000"/>
          <w:sz w:val="20"/>
          <w:szCs w:val="20"/>
        </w:rPr>
        <w:t>Quando o licitante vencedor não assinar a ata de registro de preços, no prazo e nas condições estabelecidos no aviso de contratação; e</w:t>
      </w:r>
    </w:p>
    <w:p w14:paraId="6D838CE6" w14:textId="77777777" w:rsidR="003941C7" w:rsidRDefault="006D231B">
      <w:pPr>
        <w:numPr>
          <w:ilvl w:val="2"/>
          <w:numId w:val="1"/>
        </w:numPr>
        <w:spacing w:before="120" w:after="120" w:line="276" w:lineRule="auto"/>
        <w:jc w:val="both"/>
      </w:pPr>
      <w:r>
        <w:rPr>
          <w:rFonts w:ascii="Arial" w:eastAsia="Arial" w:hAnsi="Arial" w:cs="Arial"/>
          <w:color w:val="000000"/>
          <w:sz w:val="20"/>
          <w:szCs w:val="20"/>
        </w:rPr>
        <w:t>Quando houver o cancelamento do registro do licitante ou do registro de preços nas hipóteses previstas no item 9.</w:t>
      </w:r>
    </w:p>
    <w:p w14:paraId="6AC13E07" w14:textId="77777777" w:rsidR="003941C7" w:rsidRDefault="006D231B">
      <w:pPr>
        <w:numPr>
          <w:ilvl w:val="1"/>
          <w:numId w:val="1"/>
        </w:numPr>
        <w:spacing w:before="120" w:after="120" w:line="276" w:lineRule="auto"/>
        <w:jc w:val="both"/>
      </w:pPr>
      <w:r>
        <w:rPr>
          <w:rFonts w:ascii="Arial" w:eastAsia="Arial" w:hAnsi="Arial" w:cs="Arial"/>
          <w:color w:val="000000"/>
          <w:sz w:val="20"/>
          <w:szCs w:val="20"/>
        </w:rPr>
        <w:t>O preço registrado com indicação dos licitantes e fornecedores será divulgado no PNCP e ficará disponibilizado durante a vigência da ata de registro de preços.</w:t>
      </w:r>
    </w:p>
    <w:p w14:paraId="127570BB" w14:textId="77777777" w:rsidR="003941C7" w:rsidRDefault="006D231B">
      <w:pPr>
        <w:numPr>
          <w:ilvl w:val="1"/>
          <w:numId w:val="1"/>
        </w:numPr>
        <w:spacing w:before="120" w:after="120" w:line="276" w:lineRule="auto"/>
        <w:jc w:val="both"/>
      </w:pPr>
      <w:r>
        <w:rPr>
          <w:rFonts w:ascii="Arial" w:eastAsia="Arial" w:hAnsi="Arial" w:cs="Arial"/>
          <w:color w:val="000000"/>
          <w:sz w:val="20"/>
          <w:szCs w:val="20"/>
        </w:rPr>
        <w:t>Após a homologação da licitação ou da contratação direta, o licitante mais bem classificado ou o fornecedor, no caso da contratação direta, será convocado para assinar a ata de registro de preços, no prazo e nas condições estabelecidas no aviso de contratação direta, sob pena de decair o direito, sem prejuízo das sanções previstas na Lei nº 14.133, de 2021.</w:t>
      </w:r>
    </w:p>
    <w:p w14:paraId="3E7275C6" w14:textId="77777777" w:rsidR="003941C7" w:rsidRDefault="006D231B">
      <w:pPr>
        <w:spacing w:before="120" w:after="120" w:line="276" w:lineRule="auto"/>
        <w:ind w:left="574"/>
        <w:jc w:val="both"/>
        <w:rPr>
          <w:rFonts w:ascii="Arial" w:eastAsia="Arial" w:hAnsi="Arial" w:cs="Arial"/>
          <w:color w:val="000000"/>
          <w:sz w:val="20"/>
          <w:szCs w:val="20"/>
        </w:rPr>
      </w:pPr>
      <w:r>
        <w:rPr>
          <w:rFonts w:ascii="Arial" w:eastAsia="Arial" w:hAnsi="Arial" w:cs="Arial"/>
          <w:sz w:val="20"/>
          <w:szCs w:val="20"/>
        </w:rPr>
        <w:t xml:space="preserve">5.9.1 </w:t>
      </w:r>
      <w:r>
        <w:rPr>
          <w:rFonts w:ascii="Arial" w:eastAsia="Arial" w:hAnsi="Arial" w:cs="Arial"/>
          <w:color w:val="000000"/>
          <w:sz w:val="20"/>
          <w:szCs w:val="20"/>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481CFD7A" w14:textId="77777777" w:rsidR="003941C7" w:rsidRDefault="006D231B">
      <w:pPr>
        <w:numPr>
          <w:ilvl w:val="1"/>
          <w:numId w:val="1"/>
        </w:numPr>
        <w:spacing w:before="120" w:after="120" w:line="276" w:lineRule="auto"/>
        <w:jc w:val="both"/>
      </w:pPr>
      <w:r>
        <w:rPr>
          <w:rFonts w:ascii="Arial" w:eastAsia="Arial" w:hAnsi="Arial" w:cs="Arial"/>
          <w:color w:val="000000"/>
          <w:sz w:val="20"/>
          <w:szCs w:val="20"/>
        </w:rPr>
        <w:t>A ata de registro de preços será assinada por meio de assinatura digital e disponibilizada no Sistema de Registro de Preços.</w:t>
      </w:r>
    </w:p>
    <w:p w14:paraId="1B351547" w14:textId="77777777" w:rsidR="003941C7" w:rsidRDefault="006D231B">
      <w:pPr>
        <w:numPr>
          <w:ilvl w:val="1"/>
          <w:numId w:val="1"/>
        </w:numPr>
        <w:spacing w:before="120" w:after="120" w:line="276" w:lineRule="auto"/>
        <w:jc w:val="both"/>
      </w:pPr>
      <w:r>
        <w:rPr>
          <w:rFonts w:ascii="Arial" w:eastAsia="Arial" w:hAnsi="Arial" w:cs="Arial"/>
          <w:color w:val="000000"/>
          <w:sz w:val="20"/>
          <w:szCs w:val="20"/>
        </w:rPr>
        <w:t>Quando o convocado não assinar a ata de registro de preços no prazo e nas condições estabelecidos no aviso de contratação, observando o item 5.7 e subitens, fica facultado à Administração convocar os licitantes remanescentes do cadastro de reserva, na ordem de classificação, para fazê-lo em igual prazo e nas condições propostas pelo primeiro classificado.</w:t>
      </w:r>
    </w:p>
    <w:p w14:paraId="5E7E041B" w14:textId="77777777" w:rsidR="003941C7" w:rsidRDefault="006D231B">
      <w:pPr>
        <w:numPr>
          <w:ilvl w:val="1"/>
          <w:numId w:val="1"/>
        </w:numPr>
        <w:spacing w:before="120" w:after="120" w:line="276" w:lineRule="auto"/>
        <w:jc w:val="both"/>
      </w:pPr>
      <w:r>
        <w:rPr>
          <w:rFonts w:ascii="Arial" w:eastAsia="Arial" w:hAnsi="Arial" w:cs="Arial"/>
          <w:color w:val="000000"/>
          <w:sz w:val="20"/>
          <w:szCs w:val="20"/>
        </w:rPr>
        <w:t>Na hipótese de nenhum dos licitantes que trata o item 5.4.2.1, aceitar a contratação nos termos do item anterior, a Administração, observados o valor estimado e sua eventual atualização nos termos do aviso de contratação, poderá:</w:t>
      </w:r>
    </w:p>
    <w:p w14:paraId="23706C4F" w14:textId="77777777" w:rsidR="003941C7" w:rsidRDefault="006D231B">
      <w:pPr>
        <w:numPr>
          <w:ilvl w:val="2"/>
          <w:numId w:val="1"/>
        </w:numPr>
        <w:spacing w:before="120" w:after="120" w:line="276" w:lineRule="auto"/>
        <w:jc w:val="both"/>
      </w:pPr>
      <w:r>
        <w:rPr>
          <w:rFonts w:ascii="Arial" w:eastAsia="Arial" w:hAnsi="Arial" w:cs="Arial"/>
          <w:color w:val="000000"/>
          <w:sz w:val="20"/>
          <w:szCs w:val="20"/>
        </w:rPr>
        <w:t xml:space="preserve">Convocar para negociação os demais licitantes ou fornecedores remanescentes cujos preços foram registrados sem redução, observada a ordem de </w:t>
      </w:r>
      <w:r>
        <w:rPr>
          <w:rFonts w:ascii="Arial" w:eastAsia="Arial" w:hAnsi="Arial" w:cs="Arial"/>
          <w:color w:val="000000"/>
          <w:sz w:val="20"/>
          <w:szCs w:val="20"/>
        </w:rPr>
        <w:lastRenderedPageBreak/>
        <w:t>classificação, com vistas à obtenção de preço melhor, mesmo que acima do preço do adjudicatário; ou</w:t>
      </w:r>
    </w:p>
    <w:p w14:paraId="2AF7C6C7" w14:textId="77777777" w:rsidR="003941C7" w:rsidRDefault="006D231B">
      <w:pPr>
        <w:numPr>
          <w:ilvl w:val="2"/>
          <w:numId w:val="1"/>
        </w:numPr>
        <w:spacing w:before="120" w:after="120" w:line="276" w:lineRule="auto"/>
        <w:jc w:val="both"/>
      </w:pPr>
      <w:r>
        <w:rPr>
          <w:rFonts w:ascii="Arial" w:eastAsia="Arial" w:hAnsi="Arial" w:cs="Arial"/>
          <w:color w:val="000000"/>
          <w:sz w:val="20"/>
          <w:szCs w:val="20"/>
        </w:rPr>
        <w:t>Adjudicar e firmar o contrato nas condições ofertadas pelos licitantes ou fornecedores remanescentes, atendida a ordem classificatória, quando frustrada a negociação de melhor condição.</w:t>
      </w:r>
    </w:p>
    <w:p w14:paraId="7E917CFB" w14:textId="77777777" w:rsidR="003941C7" w:rsidRDefault="006D231B">
      <w:pPr>
        <w:numPr>
          <w:ilvl w:val="1"/>
          <w:numId w:val="1"/>
        </w:numPr>
        <w:spacing w:before="120" w:after="120" w:line="276" w:lineRule="auto"/>
        <w:jc w:val="both"/>
      </w:pPr>
      <w:r>
        <w:rPr>
          <w:rFonts w:ascii="Arial" w:eastAsia="Arial" w:hAnsi="Arial" w:cs="Arial"/>
          <w:color w:val="000000"/>
          <w:sz w:val="20"/>
          <w:szCs w:val="20"/>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E74AE55" w14:textId="77777777" w:rsidR="003941C7" w:rsidRDefault="006D231B">
      <w:pPr>
        <w:keepNext/>
        <w:keepLines/>
        <w:numPr>
          <w:ilvl w:val="0"/>
          <w:numId w:val="1"/>
        </w:numPr>
        <w:tabs>
          <w:tab w:val="left" w:pos="567"/>
        </w:tabs>
        <w:spacing w:before="120" w:after="120" w:line="276" w:lineRule="auto"/>
        <w:jc w:val="both"/>
        <w:rPr>
          <w:rFonts w:ascii="Arial" w:eastAsia="Arial" w:hAnsi="Arial" w:cs="Arial"/>
          <w:b/>
          <w:bCs/>
          <w:color w:val="000000"/>
          <w:sz w:val="20"/>
          <w:szCs w:val="20"/>
        </w:rPr>
      </w:pPr>
      <w:r>
        <w:rPr>
          <w:rFonts w:ascii="Arial" w:eastAsia="Arial" w:hAnsi="Arial" w:cs="Arial"/>
          <w:b/>
          <w:bCs/>
          <w:color w:val="000000"/>
          <w:sz w:val="20"/>
          <w:szCs w:val="20"/>
        </w:rPr>
        <w:t>ALTERAÇÃO OU ATUALIZAÇÃO DOS PREÇOS REGISTRADOS</w:t>
      </w:r>
    </w:p>
    <w:p w14:paraId="4D50C42D" w14:textId="77777777" w:rsidR="003941C7" w:rsidRDefault="006D231B">
      <w:pPr>
        <w:numPr>
          <w:ilvl w:val="1"/>
          <w:numId w:val="1"/>
        </w:numPr>
        <w:spacing w:before="120" w:after="120" w:line="276" w:lineRule="auto"/>
        <w:jc w:val="both"/>
      </w:pPr>
      <w:r>
        <w:rPr>
          <w:rFonts w:ascii="Arial" w:eastAsia="Arial" w:hAnsi="Arial" w:cs="Arial"/>
          <w:color w:val="000000"/>
          <w:sz w:val="20"/>
          <w:szCs w:val="20"/>
        </w:rPr>
        <w:t>Os preços registrados poderão ser alterados ou atualizados em decorrência de eventual redução dos preços praticados no mercado ou de fato que eleve o custo dos bens, das obras ou dos serviços registrados, nas seguintes situações:</w:t>
      </w:r>
    </w:p>
    <w:p w14:paraId="2E82CF43" w14:textId="77777777" w:rsidR="003941C7" w:rsidRDefault="006D231B">
      <w:pPr>
        <w:numPr>
          <w:ilvl w:val="2"/>
          <w:numId w:val="1"/>
        </w:numPr>
        <w:spacing w:before="120" w:after="120" w:line="276" w:lineRule="auto"/>
        <w:jc w:val="both"/>
      </w:pPr>
      <w:r>
        <w:rPr>
          <w:rFonts w:ascii="Arial" w:eastAsia="Arial" w:hAnsi="Arial" w:cs="Arial"/>
          <w:color w:val="000000"/>
          <w:sz w:val="20"/>
          <w:szCs w:val="20"/>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6B55F9CE" w14:textId="77777777" w:rsidR="003941C7" w:rsidRDefault="006D231B">
      <w:pPr>
        <w:numPr>
          <w:ilvl w:val="2"/>
          <w:numId w:val="1"/>
        </w:numPr>
        <w:spacing w:before="120" w:after="120" w:line="276" w:lineRule="auto"/>
        <w:jc w:val="both"/>
      </w:pPr>
      <w:r>
        <w:rPr>
          <w:rFonts w:ascii="Arial" w:eastAsia="Arial" w:hAnsi="Arial" w:cs="Arial"/>
          <w:color w:val="000000"/>
          <w:sz w:val="20"/>
          <w:szCs w:val="20"/>
        </w:rPr>
        <w:t xml:space="preserve">Em caso de criação, alteração ou extinção de quaisquer tributos ou encargos legais ou a superveniência de disposições legais, com comprovada repercussão sobre os preços registrados; </w:t>
      </w:r>
    </w:p>
    <w:p w14:paraId="5C5D4414" w14:textId="77777777" w:rsidR="003941C7" w:rsidRDefault="006D231B">
      <w:pPr>
        <w:numPr>
          <w:ilvl w:val="2"/>
          <w:numId w:val="1"/>
        </w:numPr>
        <w:spacing w:before="120" w:after="120" w:line="276" w:lineRule="auto"/>
        <w:jc w:val="both"/>
      </w:pPr>
      <w:r>
        <w:rPr>
          <w:rFonts w:ascii="Arial" w:eastAsia="Arial" w:hAnsi="Arial" w:cs="Arial"/>
          <w:color w:val="000000"/>
          <w:sz w:val="20"/>
          <w:szCs w:val="20"/>
        </w:rPr>
        <w:t>Na hipótese de previsão no aviso de contratação direta de cláusula de reajustamento ou repactuação sobre os preços registrados, nos termos da Lei nº 14.133, de 2021.</w:t>
      </w:r>
    </w:p>
    <w:p w14:paraId="01099101" w14:textId="77777777" w:rsidR="003941C7" w:rsidRDefault="006D231B">
      <w:pPr>
        <w:numPr>
          <w:ilvl w:val="3"/>
          <w:numId w:val="1"/>
        </w:numPr>
        <w:spacing w:before="120" w:after="120" w:line="276" w:lineRule="auto"/>
        <w:ind w:left="567" w:firstLine="0"/>
        <w:jc w:val="both"/>
      </w:pPr>
      <w:r>
        <w:rPr>
          <w:rFonts w:ascii="Arial" w:eastAsia="Arial" w:hAnsi="Arial" w:cs="Arial"/>
          <w:color w:val="000000"/>
          <w:sz w:val="20"/>
          <w:szCs w:val="20"/>
        </w:rPr>
        <w:t xml:space="preserve">No caso do reajustamento, deverá ser respeitada a contagem da anualidade e o índice previstos para a contratação;  </w:t>
      </w:r>
    </w:p>
    <w:p w14:paraId="670C8FC1" w14:textId="77777777" w:rsidR="003941C7" w:rsidRDefault="006D231B">
      <w:pPr>
        <w:numPr>
          <w:ilvl w:val="3"/>
          <w:numId w:val="1"/>
        </w:numPr>
        <w:spacing w:before="120" w:after="120" w:line="276" w:lineRule="auto"/>
        <w:ind w:left="567" w:firstLine="0"/>
        <w:jc w:val="both"/>
      </w:pPr>
      <w:r>
        <w:rPr>
          <w:rFonts w:ascii="Arial" w:eastAsia="Arial" w:hAnsi="Arial" w:cs="Arial"/>
          <w:color w:val="000000"/>
          <w:sz w:val="20"/>
          <w:szCs w:val="20"/>
        </w:rPr>
        <w:t>No caso da repactuação, poderá ser a pedido do interessado, conforme critérios definidos para a contratação.</w:t>
      </w:r>
    </w:p>
    <w:p w14:paraId="67F3C863" w14:textId="77777777" w:rsidR="003941C7" w:rsidRDefault="006D231B">
      <w:pPr>
        <w:keepNext/>
        <w:keepLines/>
        <w:numPr>
          <w:ilvl w:val="0"/>
          <w:numId w:val="1"/>
        </w:numPr>
        <w:tabs>
          <w:tab w:val="left" w:pos="567"/>
        </w:tabs>
        <w:spacing w:before="120" w:after="120" w:line="276" w:lineRule="auto"/>
        <w:jc w:val="both"/>
        <w:rPr>
          <w:rFonts w:ascii="Arial" w:eastAsia="Arial" w:hAnsi="Arial" w:cs="Arial"/>
          <w:b/>
          <w:bCs/>
          <w:color w:val="000000"/>
          <w:sz w:val="20"/>
          <w:szCs w:val="20"/>
        </w:rPr>
      </w:pPr>
      <w:r>
        <w:rPr>
          <w:rFonts w:ascii="Arial" w:eastAsia="Arial" w:hAnsi="Arial" w:cs="Arial"/>
          <w:b/>
          <w:bCs/>
          <w:color w:val="000000"/>
          <w:sz w:val="20"/>
          <w:szCs w:val="20"/>
        </w:rPr>
        <w:t>NEGOCIAÇÃO DE PREÇOS REGISTRADOS</w:t>
      </w:r>
    </w:p>
    <w:p w14:paraId="0E5B6B24" w14:textId="77777777" w:rsidR="003941C7" w:rsidRDefault="006D231B">
      <w:pPr>
        <w:numPr>
          <w:ilvl w:val="1"/>
          <w:numId w:val="1"/>
        </w:numPr>
        <w:spacing w:before="120" w:after="120" w:line="276" w:lineRule="auto"/>
        <w:jc w:val="both"/>
      </w:pPr>
      <w:r>
        <w:rPr>
          <w:rFonts w:ascii="Arial" w:eastAsia="Arial" w:hAnsi="Arial" w:cs="Arial"/>
          <w:color w:val="000000"/>
          <w:sz w:val="20"/>
          <w:szCs w:val="20"/>
        </w:rPr>
        <w:t>Na hipótese de o preço registrado tornar-se superior ao preço praticado no mercado por motivo superveniente, o órgão ou entidade gerenciadora convocará o fornecedor para negociar a redução do preço registrado.</w:t>
      </w:r>
    </w:p>
    <w:p w14:paraId="6429EA24" w14:textId="77777777" w:rsidR="003941C7" w:rsidRDefault="006D231B">
      <w:pPr>
        <w:numPr>
          <w:ilvl w:val="2"/>
          <w:numId w:val="1"/>
        </w:numPr>
        <w:spacing w:before="120" w:after="120" w:line="276" w:lineRule="auto"/>
        <w:jc w:val="both"/>
      </w:pPr>
      <w:r>
        <w:rPr>
          <w:rFonts w:ascii="Arial" w:eastAsia="Arial" w:hAnsi="Arial" w:cs="Arial"/>
          <w:color w:val="000000"/>
          <w:sz w:val="20"/>
          <w:szCs w:val="20"/>
        </w:rPr>
        <w:t>Caso não aceite reduzir seu preço aos valores praticados pelo mercado, o fornecedor será liberado do compromisso assumido quanto ao item registrado, sem aplicação de penalidades administrativas.</w:t>
      </w:r>
    </w:p>
    <w:p w14:paraId="37084B68" w14:textId="77777777" w:rsidR="003941C7" w:rsidRDefault="006D231B">
      <w:pPr>
        <w:numPr>
          <w:ilvl w:val="2"/>
          <w:numId w:val="1"/>
        </w:numPr>
        <w:spacing w:before="120" w:after="120" w:line="276" w:lineRule="auto"/>
        <w:jc w:val="both"/>
      </w:pPr>
      <w:r>
        <w:rPr>
          <w:rFonts w:ascii="Arial" w:eastAsia="Arial" w:hAnsi="Arial" w:cs="Arial"/>
          <w:color w:val="000000"/>
          <w:sz w:val="20"/>
          <w:szCs w:val="20"/>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5441B6F0" w14:textId="77777777" w:rsidR="003941C7" w:rsidRDefault="006D231B">
      <w:pPr>
        <w:numPr>
          <w:ilvl w:val="2"/>
          <w:numId w:val="1"/>
        </w:numPr>
        <w:spacing w:before="120" w:after="120" w:line="276" w:lineRule="auto"/>
        <w:jc w:val="both"/>
      </w:pPr>
      <w:r>
        <w:rPr>
          <w:rFonts w:ascii="Arial" w:eastAsia="Arial" w:hAnsi="Arial" w:cs="Arial"/>
          <w:color w:val="000000"/>
          <w:sz w:val="20"/>
          <w:szCs w:val="20"/>
        </w:rPr>
        <w:t>Se não obtiver êxito nas negociações, o órgão ou entidade gerenciadora procederá ao cancelamento da ata de registro de preços, adotando as medidas cabíveis para obtenção de contratação mais vantajosa.</w:t>
      </w:r>
      <w:bookmarkStart w:id="4" w:name="bookmark=id.33ublvnvcxnm" w:colFirst="0" w:colLast="0"/>
      <w:bookmarkEnd w:id="4"/>
    </w:p>
    <w:p w14:paraId="7813ED13" w14:textId="77777777" w:rsidR="003941C7" w:rsidRDefault="006D231B">
      <w:pPr>
        <w:numPr>
          <w:ilvl w:val="2"/>
          <w:numId w:val="1"/>
        </w:numPr>
        <w:spacing w:before="120" w:after="120" w:line="276" w:lineRule="auto"/>
        <w:jc w:val="both"/>
      </w:pPr>
      <w:r>
        <w:rPr>
          <w:rFonts w:ascii="Calibri" w:eastAsia="Calibri" w:hAnsi="Calibri" w:cs="Calibri"/>
          <w:color w:val="000000"/>
          <w:sz w:val="20"/>
          <w:szCs w:val="20"/>
        </w:rPr>
        <w:t>Na hipótese de</w:t>
      </w:r>
      <w:r>
        <w:rPr>
          <w:rFonts w:ascii="Arial" w:eastAsia="Arial" w:hAnsi="Arial" w:cs="Arial"/>
          <w:color w:val="000000"/>
          <w:sz w:val="20"/>
          <w:szCs w:val="20"/>
        </w:rPr>
        <w:t xml:space="preserve"> redução do preço registrado, o gerenciador comunicará aos órgãos e às entidades que tiverem firmado contratos decorrentes da ata de registro de </w:t>
      </w:r>
      <w:r>
        <w:rPr>
          <w:rFonts w:ascii="Arial" w:eastAsia="Arial" w:hAnsi="Arial" w:cs="Arial"/>
          <w:color w:val="000000"/>
          <w:sz w:val="20"/>
          <w:szCs w:val="20"/>
        </w:rPr>
        <w:lastRenderedPageBreak/>
        <w:t>preços para que avaliem a conveniência e a oportunidade de diligenciarem negociação com vistas à alteração contratual, observado o disposto no art. 124 da Lei nº 14.133, de 2021.</w:t>
      </w:r>
    </w:p>
    <w:p w14:paraId="2F7AF494" w14:textId="77777777" w:rsidR="003941C7" w:rsidRDefault="006D231B">
      <w:pPr>
        <w:numPr>
          <w:ilvl w:val="1"/>
          <w:numId w:val="1"/>
        </w:numPr>
        <w:spacing w:before="120" w:after="120" w:line="276" w:lineRule="auto"/>
        <w:jc w:val="both"/>
      </w:pPr>
      <w:r>
        <w:rPr>
          <w:rFonts w:ascii="Arial" w:eastAsia="Arial" w:hAnsi="Arial" w:cs="Arial"/>
          <w:color w:val="000000"/>
          <w:sz w:val="20"/>
          <w:szCs w:val="20"/>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 w:name="bookmark=id.xblx2e6n057z" w:colFirst="0" w:colLast="0"/>
      <w:bookmarkEnd w:id="5"/>
    </w:p>
    <w:p w14:paraId="1B05A337" w14:textId="77777777" w:rsidR="003941C7" w:rsidRDefault="006D231B">
      <w:pPr>
        <w:numPr>
          <w:ilvl w:val="2"/>
          <w:numId w:val="1"/>
        </w:numPr>
        <w:spacing w:before="120" w:after="120" w:line="276" w:lineRule="auto"/>
        <w:jc w:val="both"/>
      </w:pPr>
      <w:r>
        <w:rPr>
          <w:rFonts w:ascii="Arial" w:eastAsia="Arial" w:hAnsi="Arial" w:cs="Arial"/>
          <w:color w:val="000000"/>
          <w:sz w:val="20"/>
          <w:szCs w:val="20"/>
        </w:rPr>
        <w:t>Neste caso, o fornecedor encaminhará, juntamente com o pedido de alteração, a documentação comprobatória ou a planilha de custos que demonstre a inviabilidade do preço registrado em relação às condições inicialmente pactuadas.</w:t>
      </w:r>
      <w:bookmarkStart w:id="6" w:name="bookmark=id.i7ocbh57eauk" w:colFirst="0" w:colLast="0"/>
      <w:bookmarkEnd w:id="6"/>
    </w:p>
    <w:p w14:paraId="42533977" w14:textId="77777777" w:rsidR="003941C7" w:rsidRDefault="006D231B">
      <w:pPr>
        <w:numPr>
          <w:ilvl w:val="2"/>
          <w:numId w:val="1"/>
        </w:numPr>
        <w:spacing w:before="120" w:after="120" w:line="276" w:lineRule="auto"/>
        <w:jc w:val="both"/>
      </w:pPr>
      <w:r>
        <w:rPr>
          <w:rFonts w:ascii="Arial" w:eastAsia="Arial" w:hAnsi="Arial" w:cs="Arial"/>
          <w:color w:val="000000"/>
          <w:sz w:val="20"/>
          <w:szCs w:val="20"/>
        </w:rPr>
        <w:t>Na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9.1, sem prejuízo das sanções previstas na Lei nº 14.133, de 2021, e na legislação aplicável.</w:t>
      </w:r>
    </w:p>
    <w:p w14:paraId="0DD064D2" w14:textId="77777777" w:rsidR="003941C7" w:rsidRDefault="006D231B">
      <w:pPr>
        <w:numPr>
          <w:ilvl w:val="2"/>
          <w:numId w:val="1"/>
        </w:numPr>
        <w:spacing w:before="120" w:after="120" w:line="276" w:lineRule="auto"/>
        <w:jc w:val="both"/>
      </w:pPr>
      <w:r>
        <w:rPr>
          <w:rFonts w:ascii="Arial" w:eastAsia="Arial" w:hAnsi="Arial" w:cs="Arial"/>
          <w:color w:val="000000"/>
          <w:sz w:val="20"/>
          <w:szCs w:val="20"/>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0EB896EC" w14:textId="77777777" w:rsidR="003941C7" w:rsidRDefault="006D231B">
      <w:pPr>
        <w:numPr>
          <w:ilvl w:val="2"/>
          <w:numId w:val="1"/>
        </w:numPr>
        <w:spacing w:before="120" w:after="120" w:line="276" w:lineRule="auto"/>
        <w:jc w:val="both"/>
      </w:pPr>
      <w:r>
        <w:rPr>
          <w:rFonts w:ascii="Arial" w:eastAsia="Arial" w:hAnsi="Arial" w:cs="Arial"/>
          <w:color w:val="000000"/>
          <w:sz w:val="20"/>
          <w:szCs w:val="20"/>
        </w:rPr>
        <w:t>Se não obtiver êxito nas negociações, o órgão ou entidade gerenciadora procederá ao cancelamento da ata de registro de preços, nos termos do item 9.4, e adotará as medidas cabíveis para a obtenção da contratação mais vantajosa.</w:t>
      </w:r>
    </w:p>
    <w:p w14:paraId="5A828BE9" w14:textId="77777777" w:rsidR="003941C7" w:rsidRDefault="006D231B">
      <w:pPr>
        <w:numPr>
          <w:ilvl w:val="2"/>
          <w:numId w:val="1"/>
        </w:numPr>
        <w:spacing w:before="120" w:after="120" w:line="276" w:lineRule="auto"/>
        <w:jc w:val="both"/>
      </w:pPr>
      <w:r>
        <w:rPr>
          <w:rFonts w:ascii="Arial" w:eastAsia="Arial" w:hAnsi="Arial" w:cs="Arial"/>
          <w:color w:val="000000"/>
          <w:sz w:val="20"/>
          <w:szCs w:val="20"/>
        </w:rPr>
        <w:t>Na hipótese de comprovação da majoração do preço de mercado que inviabilize o preço registrado, conforme previsto no item 7.2 e no item 7.2.1, o órgão ou entidade gerenciadora atualizará o preço registrado, de acordo com a realidade dos valores praticados pelo mercado.</w:t>
      </w:r>
    </w:p>
    <w:p w14:paraId="5D3E61FA" w14:textId="77777777" w:rsidR="003941C7" w:rsidRDefault="006D231B">
      <w:pPr>
        <w:numPr>
          <w:ilvl w:val="2"/>
          <w:numId w:val="1"/>
        </w:numPr>
        <w:spacing w:before="120" w:after="120" w:line="276" w:lineRule="auto"/>
        <w:jc w:val="both"/>
      </w:pPr>
      <w:r>
        <w:rPr>
          <w:rFonts w:ascii="Arial" w:eastAsia="Arial" w:hAnsi="Arial" w:cs="Arial"/>
          <w:color w:val="000000"/>
          <w:sz w:val="20"/>
          <w:szCs w:val="20"/>
        </w:rPr>
        <w:t xml:space="preserve">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3D41A915" w14:textId="77777777" w:rsidR="003941C7" w:rsidRDefault="006D231B">
      <w:pPr>
        <w:keepNext/>
        <w:keepLines/>
        <w:numPr>
          <w:ilvl w:val="0"/>
          <w:numId w:val="1"/>
        </w:numPr>
        <w:tabs>
          <w:tab w:val="left" w:pos="567"/>
        </w:tabs>
        <w:spacing w:before="120" w:after="120" w:line="276" w:lineRule="auto"/>
        <w:jc w:val="both"/>
        <w:rPr>
          <w:rFonts w:ascii="Arial" w:eastAsia="Arial" w:hAnsi="Arial" w:cs="Arial"/>
          <w:b/>
          <w:bCs/>
          <w:color w:val="000000"/>
          <w:sz w:val="20"/>
          <w:szCs w:val="20"/>
        </w:rPr>
      </w:pPr>
      <w:r>
        <w:rPr>
          <w:rFonts w:ascii="Arial" w:eastAsia="Arial" w:hAnsi="Arial" w:cs="Arial"/>
          <w:b/>
          <w:bCs/>
          <w:color w:val="000000"/>
          <w:sz w:val="20"/>
          <w:szCs w:val="20"/>
        </w:rPr>
        <w:t>REMANEJAMENTO DAS QUANTIDADES REGISTRADAS NA ATA DE REGISTRO DE PREÇOS</w:t>
      </w:r>
    </w:p>
    <w:p w14:paraId="1B006EBC" w14:textId="77777777" w:rsidR="003941C7" w:rsidRDefault="006D231B">
      <w:pPr>
        <w:numPr>
          <w:ilvl w:val="1"/>
          <w:numId w:val="1"/>
        </w:numPr>
        <w:spacing w:before="120" w:after="120" w:line="276" w:lineRule="auto"/>
        <w:jc w:val="both"/>
      </w:pPr>
      <w:r>
        <w:rPr>
          <w:rFonts w:ascii="Arial" w:eastAsia="Arial" w:hAnsi="Arial" w:cs="Arial"/>
          <w:color w:val="000000"/>
          <w:sz w:val="20"/>
          <w:szCs w:val="20"/>
        </w:rPr>
        <w:t xml:space="preserve"> As quantidades previstas para os itens com preços registrados nas atas de registro de preços poderão ser remanejadas pelo órgão ou entidade gerenciadora entre os órgãos ou as entidades participantes e não participantes do registro de preços.</w:t>
      </w:r>
    </w:p>
    <w:p w14:paraId="7AA4EF8B" w14:textId="77777777" w:rsidR="003941C7" w:rsidRDefault="006D231B">
      <w:pPr>
        <w:numPr>
          <w:ilvl w:val="1"/>
          <w:numId w:val="1"/>
        </w:numPr>
        <w:spacing w:before="120" w:after="120" w:line="276" w:lineRule="auto"/>
        <w:jc w:val="both"/>
      </w:pPr>
      <w:r>
        <w:rPr>
          <w:rFonts w:ascii="Arial" w:eastAsia="Arial" w:hAnsi="Arial" w:cs="Arial"/>
          <w:color w:val="000000"/>
          <w:sz w:val="20"/>
          <w:szCs w:val="20"/>
        </w:rPr>
        <w:t xml:space="preserve"> O remanejamento somente poderá ser feito:</w:t>
      </w:r>
    </w:p>
    <w:p w14:paraId="2486B21E" w14:textId="77777777" w:rsidR="003941C7" w:rsidRDefault="006D231B">
      <w:pPr>
        <w:numPr>
          <w:ilvl w:val="2"/>
          <w:numId w:val="1"/>
        </w:numPr>
        <w:spacing w:before="120" w:after="120" w:line="276" w:lineRule="auto"/>
        <w:jc w:val="both"/>
      </w:pPr>
      <w:r>
        <w:rPr>
          <w:rFonts w:ascii="Arial" w:eastAsia="Arial" w:hAnsi="Arial" w:cs="Arial"/>
          <w:color w:val="000000"/>
          <w:sz w:val="20"/>
          <w:szCs w:val="20"/>
        </w:rPr>
        <w:t>De órgão ou entidade participante para órgão ou entidade participante; ou</w:t>
      </w:r>
    </w:p>
    <w:p w14:paraId="5E6BDDDF" w14:textId="77777777" w:rsidR="003941C7" w:rsidRDefault="006D231B">
      <w:pPr>
        <w:numPr>
          <w:ilvl w:val="2"/>
          <w:numId w:val="1"/>
        </w:numPr>
        <w:spacing w:before="120" w:after="120" w:line="276" w:lineRule="auto"/>
        <w:jc w:val="both"/>
      </w:pPr>
      <w:r>
        <w:rPr>
          <w:rFonts w:ascii="Arial" w:eastAsia="Arial" w:hAnsi="Arial" w:cs="Arial"/>
          <w:color w:val="000000"/>
          <w:sz w:val="20"/>
          <w:szCs w:val="20"/>
        </w:rPr>
        <w:t>De órgão ou entidade participante para órgão ou entidade não participante.</w:t>
      </w:r>
    </w:p>
    <w:p w14:paraId="6B2B9DF5" w14:textId="77777777" w:rsidR="003941C7" w:rsidRDefault="006D231B">
      <w:pPr>
        <w:numPr>
          <w:ilvl w:val="1"/>
          <w:numId w:val="1"/>
        </w:numPr>
        <w:spacing w:before="120" w:after="120" w:line="276" w:lineRule="auto"/>
        <w:jc w:val="both"/>
      </w:pPr>
      <w:r>
        <w:rPr>
          <w:rFonts w:ascii="Arial" w:eastAsia="Arial" w:hAnsi="Arial" w:cs="Arial"/>
          <w:color w:val="000000"/>
          <w:sz w:val="20"/>
          <w:szCs w:val="20"/>
        </w:rPr>
        <w:t>O órgão ou entidade gerenciadora que tiver estimado as quantidades que pretende contratar será considerado participante para efeito do remanejamento.</w:t>
      </w:r>
      <w:bookmarkStart w:id="7" w:name="bookmark=id.wi49lyw64ofn" w:colFirst="0" w:colLast="0"/>
      <w:bookmarkEnd w:id="7"/>
    </w:p>
    <w:p w14:paraId="0357BA11" w14:textId="77777777" w:rsidR="003941C7" w:rsidRDefault="006D231B">
      <w:pPr>
        <w:numPr>
          <w:ilvl w:val="1"/>
          <w:numId w:val="1"/>
        </w:numPr>
        <w:spacing w:before="120" w:after="120" w:line="276" w:lineRule="auto"/>
        <w:jc w:val="both"/>
      </w:pPr>
      <w:r>
        <w:rPr>
          <w:rFonts w:ascii="Arial" w:eastAsia="Arial" w:hAnsi="Arial" w:cs="Arial"/>
          <w:color w:val="000000"/>
          <w:sz w:val="20"/>
          <w:szCs w:val="20"/>
        </w:rPr>
        <w:t>Na hipótese de remanejamento de órgão ou entidade participante para órgão ou entidade não participante, serão observados os limites previstos no art. 32 do Decreto nº 11.462, de 2023.</w:t>
      </w:r>
    </w:p>
    <w:p w14:paraId="5789CD9B" w14:textId="77777777" w:rsidR="003941C7" w:rsidRDefault="006D231B">
      <w:pPr>
        <w:numPr>
          <w:ilvl w:val="1"/>
          <w:numId w:val="1"/>
        </w:numPr>
        <w:spacing w:before="120" w:after="120" w:line="276" w:lineRule="auto"/>
        <w:jc w:val="both"/>
      </w:pPr>
      <w:r>
        <w:rPr>
          <w:rFonts w:ascii="Arial" w:eastAsia="Arial" w:hAnsi="Arial" w:cs="Arial"/>
          <w:color w:val="000000"/>
          <w:sz w:val="20"/>
          <w:szCs w:val="20"/>
        </w:rPr>
        <w:lastRenderedPageBreak/>
        <w:t>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5CA18C52" w14:textId="77777777" w:rsidR="003941C7" w:rsidRDefault="006D231B">
      <w:pPr>
        <w:numPr>
          <w:ilvl w:val="1"/>
          <w:numId w:val="1"/>
        </w:numPr>
        <w:spacing w:before="120" w:after="120" w:line="276" w:lineRule="auto"/>
        <w:jc w:val="both"/>
      </w:pPr>
      <w:r>
        <w:rPr>
          <w:rFonts w:ascii="Arial" w:eastAsia="Arial" w:hAnsi="Arial" w:cs="Arial"/>
          <w:color w:val="000000"/>
          <w:sz w:val="20"/>
          <w:szCs w:val="20"/>
        </w:rPr>
        <w:t>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14:paraId="3C911DE6" w14:textId="77777777" w:rsidR="003941C7" w:rsidRDefault="006D231B">
      <w:pPr>
        <w:numPr>
          <w:ilvl w:val="1"/>
          <w:numId w:val="1"/>
        </w:numPr>
        <w:spacing w:before="120" w:after="120" w:line="276" w:lineRule="auto"/>
        <w:jc w:val="both"/>
      </w:pPr>
      <w:r>
        <w:rPr>
          <w:rFonts w:ascii="Arial" w:eastAsia="Arial" w:hAnsi="Arial" w:cs="Arial"/>
          <w:color w:val="000000"/>
          <w:sz w:val="20"/>
          <w:szCs w:val="20"/>
        </w:rPr>
        <w:t>Na hipótese da compra centralizada, não havendo indicação pelo órgão ou pela entidade gerenciadora, dos quantitativos dos participantes da compra centralizada, nos termos do item 8.3, a distribuição das quantidades para a execução descentralizada será por meio do remanejamento.</w:t>
      </w:r>
    </w:p>
    <w:p w14:paraId="2634E0EA" w14:textId="77777777" w:rsidR="003941C7" w:rsidRDefault="006D231B">
      <w:pPr>
        <w:keepNext/>
        <w:keepLines/>
        <w:numPr>
          <w:ilvl w:val="0"/>
          <w:numId w:val="1"/>
        </w:numPr>
        <w:tabs>
          <w:tab w:val="left" w:pos="567"/>
        </w:tabs>
        <w:spacing w:before="120" w:after="120" w:line="276" w:lineRule="auto"/>
        <w:jc w:val="both"/>
        <w:rPr>
          <w:rFonts w:ascii="Arial" w:eastAsia="Arial" w:hAnsi="Arial" w:cs="Arial"/>
          <w:b/>
          <w:bCs/>
          <w:color w:val="000000"/>
          <w:sz w:val="20"/>
          <w:szCs w:val="20"/>
        </w:rPr>
      </w:pPr>
      <w:r>
        <w:rPr>
          <w:rFonts w:ascii="Arial" w:eastAsia="Arial" w:hAnsi="Arial" w:cs="Arial"/>
          <w:b/>
          <w:bCs/>
          <w:color w:val="000000"/>
          <w:sz w:val="20"/>
          <w:szCs w:val="20"/>
        </w:rPr>
        <w:t>CANCELAMENTO DO REGISTRO DO LICITANTE VENCEDOR E DOS PREÇOS REGISTRADOS</w:t>
      </w:r>
      <w:bookmarkStart w:id="8" w:name="bookmark=id.5nugfeeztjcw" w:colFirst="0" w:colLast="0"/>
      <w:bookmarkEnd w:id="8"/>
    </w:p>
    <w:p w14:paraId="55A53B1C" w14:textId="77777777" w:rsidR="003941C7" w:rsidRDefault="006D231B">
      <w:pPr>
        <w:numPr>
          <w:ilvl w:val="1"/>
          <w:numId w:val="1"/>
        </w:numPr>
        <w:spacing w:before="120" w:after="120" w:line="276" w:lineRule="auto"/>
        <w:jc w:val="both"/>
      </w:pPr>
      <w:r>
        <w:rPr>
          <w:rFonts w:ascii="Arial" w:eastAsia="Arial" w:hAnsi="Arial" w:cs="Arial"/>
          <w:color w:val="000000"/>
          <w:sz w:val="20"/>
          <w:szCs w:val="20"/>
        </w:rPr>
        <w:t>O registro do fornecedor será cancelado pelo gerenciador, quando o fornecedor:</w:t>
      </w:r>
      <w:bookmarkStart w:id="9" w:name="bookmark=id.gje9i8e675mk" w:colFirst="0" w:colLast="0"/>
      <w:bookmarkEnd w:id="9"/>
    </w:p>
    <w:p w14:paraId="3ED993AA" w14:textId="77777777" w:rsidR="003941C7" w:rsidRDefault="006D231B">
      <w:pPr>
        <w:numPr>
          <w:ilvl w:val="2"/>
          <w:numId w:val="1"/>
        </w:numPr>
        <w:spacing w:before="120" w:after="120" w:line="276" w:lineRule="auto"/>
        <w:jc w:val="both"/>
      </w:pPr>
      <w:r>
        <w:rPr>
          <w:rFonts w:ascii="Arial" w:eastAsia="Arial" w:hAnsi="Arial" w:cs="Arial"/>
          <w:color w:val="000000"/>
          <w:sz w:val="20"/>
          <w:szCs w:val="20"/>
        </w:rPr>
        <w:t>Descumprir as condições da ata de registro de preços, sem motivo justificado;</w:t>
      </w:r>
    </w:p>
    <w:p w14:paraId="3C02A937" w14:textId="77777777" w:rsidR="003941C7" w:rsidRDefault="006D231B">
      <w:pPr>
        <w:numPr>
          <w:ilvl w:val="2"/>
          <w:numId w:val="1"/>
        </w:numPr>
        <w:spacing w:before="120" w:after="120" w:line="276" w:lineRule="auto"/>
        <w:jc w:val="both"/>
      </w:pPr>
      <w:r>
        <w:rPr>
          <w:rFonts w:ascii="Arial" w:eastAsia="Arial" w:hAnsi="Arial" w:cs="Arial"/>
          <w:color w:val="000000"/>
          <w:sz w:val="20"/>
          <w:szCs w:val="20"/>
        </w:rPr>
        <w:t>Não retirar a nota de empenho, ou instrumento equivalente, no prazo estabelecido pela Administração sem justificativa razoável;</w:t>
      </w:r>
    </w:p>
    <w:p w14:paraId="4D226F42" w14:textId="77777777" w:rsidR="003941C7" w:rsidRDefault="006D231B">
      <w:pPr>
        <w:numPr>
          <w:ilvl w:val="2"/>
          <w:numId w:val="1"/>
        </w:numPr>
        <w:spacing w:before="120" w:after="120" w:line="276" w:lineRule="auto"/>
        <w:jc w:val="both"/>
      </w:pPr>
      <w:r>
        <w:rPr>
          <w:rFonts w:ascii="Arial" w:eastAsia="Arial" w:hAnsi="Arial" w:cs="Arial"/>
          <w:color w:val="000000"/>
          <w:sz w:val="20"/>
          <w:szCs w:val="20"/>
        </w:rPr>
        <w:t>Não aceitar manter seu preço registrado, na hipótese prevista no artigo 27, § 2º, do Decreto nº 11.462, de 2023; ou</w:t>
      </w:r>
    </w:p>
    <w:p w14:paraId="3D130D5F" w14:textId="77777777" w:rsidR="003941C7" w:rsidRDefault="006D231B">
      <w:pPr>
        <w:numPr>
          <w:ilvl w:val="2"/>
          <w:numId w:val="1"/>
        </w:numPr>
        <w:spacing w:before="120" w:after="120" w:line="276" w:lineRule="auto"/>
        <w:jc w:val="both"/>
      </w:pPr>
      <w:r>
        <w:rPr>
          <w:rFonts w:ascii="Arial" w:eastAsia="Arial" w:hAnsi="Arial" w:cs="Arial"/>
          <w:color w:val="000000"/>
          <w:sz w:val="20"/>
          <w:szCs w:val="20"/>
        </w:rPr>
        <w:t xml:space="preserve"> Sofrer sanção prevista nos incisos III ou IV do caput do art. 156 da Lei nº 14.133, de 2021.</w:t>
      </w:r>
    </w:p>
    <w:p w14:paraId="1EF4B98D" w14:textId="77777777" w:rsidR="003941C7" w:rsidRDefault="006D231B">
      <w:pPr>
        <w:numPr>
          <w:ilvl w:val="3"/>
          <w:numId w:val="1"/>
        </w:numPr>
        <w:spacing w:before="120" w:after="120" w:line="276" w:lineRule="auto"/>
        <w:ind w:left="567" w:firstLine="0"/>
        <w:jc w:val="both"/>
      </w:pPr>
      <w:r>
        <w:rPr>
          <w:rFonts w:ascii="Arial" w:eastAsia="Arial" w:hAnsi="Arial" w:cs="Arial"/>
          <w:color w:val="000000"/>
          <w:sz w:val="20"/>
          <w:szCs w:val="20"/>
        </w:rPr>
        <w:t>Na hipótese de aplicação de sanção prevista nos incisos III ou IV do caput do art. 156 da Lei nº 14.133, de 2021, caso a penalidade aplicada ao fornecedor não ultrapasse o prazo de vigência da ata de registro de preços, poderá o órgão ou a entidade gerenciadora, mediante decisão fundamentada, decidir pela manutenção do registro de preços, vedadas contratações derivadas da ata enquanto perdurarem os efeitos da sanção.</w:t>
      </w:r>
    </w:p>
    <w:p w14:paraId="2D7F0701" w14:textId="77777777" w:rsidR="003941C7" w:rsidRDefault="006D231B">
      <w:pPr>
        <w:numPr>
          <w:ilvl w:val="1"/>
          <w:numId w:val="1"/>
        </w:numPr>
        <w:spacing w:before="120" w:after="120" w:line="276" w:lineRule="auto"/>
        <w:jc w:val="both"/>
      </w:pPr>
      <w:r>
        <w:rPr>
          <w:rFonts w:ascii="Arial" w:eastAsia="Arial" w:hAnsi="Arial" w:cs="Arial"/>
          <w:color w:val="000000"/>
          <w:sz w:val="20"/>
          <w:szCs w:val="20"/>
        </w:rPr>
        <w:t xml:space="preserve"> O cancelamento de registros nas hipóteses previstas no item 9.1 será formalizado por despacho do órgão ou da entidade gerenciadora, garantidos os princípios do contraditório e da ampla defesa.</w:t>
      </w:r>
    </w:p>
    <w:p w14:paraId="7D3C6E5A" w14:textId="77777777" w:rsidR="003941C7" w:rsidRDefault="006D231B">
      <w:pPr>
        <w:numPr>
          <w:ilvl w:val="1"/>
          <w:numId w:val="1"/>
        </w:numPr>
        <w:spacing w:before="120" w:after="120" w:line="276" w:lineRule="auto"/>
        <w:jc w:val="both"/>
      </w:pPr>
      <w:r>
        <w:rPr>
          <w:rFonts w:ascii="Arial" w:eastAsia="Arial" w:hAnsi="Arial" w:cs="Arial"/>
          <w:color w:val="000000"/>
          <w:sz w:val="20"/>
          <w:szCs w:val="20"/>
        </w:rPr>
        <w:t>Na hipótese de cancelamento do registro do fornecedor, o órgão ou a entidade gerenciadora poderá convocar os licitantes que compõem o cadastro de reserva, observada a ordem de classificação.</w:t>
      </w:r>
    </w:p>
    <w:p w14:paraId="12626D5B" w14:textId="77777777" w:rsidR="003941C7" w:rsidRDefault="006D231B">
      <w:pPr>
        <w:numPr>
          <w:ilvl w:val="1"/>
          <w:numId w:val="1"/>
        </w:numPr>
        <w:spacing w:before="120" w:after="120" w:line="276" w:lineRule="auto"/>
        <w:jc w:val="both"/>
      </w:pPr>
      <w:r>
        <w:rPr>
          <w:rFonts w:ascii="Arial" w:eastAsia="Arial" w:hAnsi="Arial" w:cs="Arial"/>
          <w:color w:val="000000"/>
          <w:sz w:val="20"/>
          <w:szCs w:val="20"/>
        </w:rPr>
        <w:t>O cancelamento dos preços registrados poderá ser realizado pelo gerenciador, em determinada ata de registro de preços, total ou parcialmente, nas seguintes hipóteses, desde que devidamente comprovadas e justificadas:</w:t>
      </w:r>
      <w:bookmarkStart w:id="10" w:name="bookmark=id.vzd1osnurj2z" w:colFirst="0" w:colLast="0"/>
      <w:bookmarkEnd w:id="10"/>
      <w:r>
        <w:rPr>
          <w:rFonts w:ascii="Arial" w:eastAsia="Arial" w:hAnsi="Arial" w:cs="Arial"/>
          <w:color w:val="000000"/>
          <w:sz w:val="20"/>
          <w:szCs w:val="20"/>
        </w:rPr>
        <w:t xml:space="preserve"> </w:t>
      </w:r>
    </w:p>
    <w:p w14:paraId="6509FCDF" w14:textId="77777777" w:rsidR="003941C7" w:rsidRDefault="006D231B">
      <w:pPr>
        <w:numPr>
          <w:ilvl w:val="2"/>
          <w:numId w:val="1"/>
        </w:numPr>
        <w:spacing w:before="120" w:after="120" w:line="276" w:lineRule="auto"/>
        <w:jc w:val="both"/>
      </w:pPr>
      <w:r>
        <w:rPr>
          <w:rFonts w:ascii="Arial" w:eastAsia="Arial" w:hAnsi="Arial" w:cs="Arial"/>
          <w:color w:val="000000"/>
          <w:sz w:val="20"/>
          <w:szCs w:val="20"/>
        </w:rPr>
        <w:t>Por razão de interesse público;</w:t>
      </w:r>
    </w:p>
    <w:p w14:paraId="4B36D56C" w14:textId="77777777" w:rsidR="003941C7" w:rsidRDefault="006D231B">
      <w:pPr>
        <w:numPr>
          <w:ilvl w:val="2"/>
          <w:numId w:val="1"/>
        </w:numPr>
        <w:spacing w:before="120" w:after="120" w:line="276" w:lineRule="auto"/>
        <w:jc w:val="both"/>
      </w:pPr>
      <w:r>
        <w:rPr>
          <w:rFonts w:ascii="Arial" w:eastAsia="Arial" w:hAnsi="Arial" w:cs="Arial"/>
          <w:color w:val="000000"/>
          <w:sz w:val="20"/>
          <w:szCs w:val="20"/>
        </w:rPr>
        <w:t>A pedido do fornecedor, decorrente de caso fortuito ou força maior; ou</w:t>
      </w:r>
    </w:p>
    <w:p w14:paraId="11A664FB" w14:textId="469EA77C" w:rsidR="003941C7" w:rsidRDefault="006D231B">
      <w:pPr>
        <w:numPr>
          <w:ilvl w:val="2"/>
          <w:numId w:val="1"/>
        </w:numPr>
        <w:spacing w:before="120" w:after="120" w:line="276" w:lineRule="auto"/>
        <w:jc w:val="both"/>
      </w:pPr>
      <w:r>
        <w:rPr>
          <w:rFonts w:ascii="Arial" w:eastAsia="Arial" w:hAnsi="Arial" w:cs="Arial"/>
          <w:color w:val="000000"/>
          <w:sz w:val="20"/>
          <w:szCs w:val="20"/>
        </w:rPr>
        <w:t xml:space="preserve">Se não houver êxito nas negociações, nas hipóteses em que o preço de mercado tornar-se superior ou inferior ao preço registrado, nos termos do artigos 26, § 3º e 27, § 4º, ambos do Decreto nº 11.462, de 2023. </w:t>
      </w:r>
    </w:p>
    <w:p w14:paraId="377CB55F" w14:textId="77777777" w:rsidR="003941C7" w:rsidRDefault="006D231B">
      <w:pPr>
        <w:keepNext/>
        <w:keepLines/>
        <w:numPr>
          <w:ilvl w:val="0"/>
          <w:numId w:val="1"/>
        </w:numPr>
        <w:tabs>
          <w:tab w:val="left" w:pos="567"/>
        </w:tabs>
        <w:spacing w:before="120" w:after="120" w:line="276" w:lineRule="auto"/>
        <w:jc w:val="both"/>
        <w:rPr>
          <w:rFonts w:ascii="Arial" w:eastAsia="Arial" w:hAnsi="Arial" w:cs="Arial"/>
          <w:b/>
          <w:bCs/>
          <w:color w:val="000000"/>
          <w:sz w:val="20"/>
          <w:szCs w:val="20"/>
        </w:rPr>
      </w:pPr>
      <w:r>
        <w:rPr>
          <w:rFonts w:ascii="Arial" w:eastAsia="Arial" w:hAnsi="Arial" w:cs="Arial"/>
          <w:b/>
          <w:bCs/>
          <w:color w:val="000000"/>
          <w:sz w:val="20"/>
          <w:szCs w:val="20"/>
        </w:rPr>
        <w:lastRenderedPageBreak/>
        <w:t>DAS PENALIDADES</w:t>
      </w:r>
    </w:p>
    <w:p w14:paraId="4646BC3A" w14:textId="77777777" w:rsidR="003941C7" w:rsidRDefault="006D231B">
      <w:pPr>
        <w:numPr>
          <w:ilvl w:val="1"/>
          <w:numId w:val="1"/>
        </w:numPr>
        <w:spacing w:before="120" w:after="120" w:line="276" w:lineRule="auto"/>
        <w:jc w:val="both"/>
      </w:pPr>
      <w:r>
        <w:rPr>
          <w:rFonts w:ascii="Arial" w:eastAsia="Arial" w:hAnsi="Arial" w:cs="Arial"/>
          <w:color w:val="000000"/>
          <w:sz w:val="20"/>
          <w:szCs w:val="20"/>
        </w:rPr>
        <w:t>O descumprimento da Ata de Registro de Preços ensejará aplicação das penalidades estabelecidas no aviso de contratação.</w:t>
      </w:r>
    </w:p>
    <w:p w14:paraId="22AFD82F" w14:textId="77777777" w:rsidR="003941C7" w:rsidRDefault="006D231B">
      <w:pPr>
        <w:numPr>
          <w:ilvl w:val="2"/>
          <w:numId w:val="1"/>
        </w:numPr>
        <w:spacing w:before="120" w:after="120" w:line="276" w:lineRule="auto"/>
        <w:jc w:val="both"/>
      </w:pPr>
      <w:r>
        <w:rPr>
          <w:rFonts w:ascii="Arial" w:eastAsia="Arial" w:hAnsi="Arial" w:cs="Arial"/>
          <w:color w:val="000000"/>
          <w:sz w:val="20"/>
          <w:szCs w:val="20"/>
        </w:rPr>
        <w:t xml:space="preserve">As sanções também se aplicam aos integrantes do cadastro de reserva no registro de preços que, convocados, não honrarem o compromisso assumido injustificadamente após terem assinado a ata. </w:t>
      </w:r>
    </w:p>
    <w:p w14:paraId="4F05581E" w14:textId="77777777" w:rsidR="003941C7" w:rsidRDefault="006D231B">
      <w:pPr>
        <w:numPr>
          <w:ilvl w:val="1"/>
          <w:numId w:val="1"/>
        </w:numPr>
        <w:spacing w:before="120" w:after="120" w:line="276" w:lineRule="auto"/>
        <w:jc w:val="both"/>
      </w:pPr>
      <w:r>
        <w:rPr>
          <w:rFonts w:ascii="Arial" w:eastAsia="Arial" w:hAnsi="Arial" w:cs="Arial"/>
          <w:color w:val="000000"/>
          <w:sz w:val="20"/>
          <w:szCs w:val="20"/>
        </w:rPr>
        <w:t>É da competência do gerenciador a aplicação das penalidades decorrentes do descumprimento do pactuado nesta ata de registro de preço (art. 7º, XIV, do Decreto nº 11.462, de 2023), exceto nas hipóteses em que o descumprimento disser respeito às contratações dos órgãos ou entidade participante, caso no qual caberá ao respectivo órgão participante a aplicação da penalidade (art. 8º, IX, do Decreto nº 11.462, de 2023).</w:t>
      </w:r>
    </w:p>
    <w:p w14:paraId="1B1256F6" w14:textId="77777777" w:rsidR="003941C7" w:rsidRDefault="006D231B">
      <w:pPr>
        <w:numPr>
          <w:ilvl w:val="1"/>
          <w:numId w:val="1"/>
        </w:numPr>
        <w:spacing w:before="120" w:after="120" w:line="276" w:lineRule="auto"/>
        <w:jc w:val="both"/>
      </w:pPr>
      <w:r>
        <w:rPr>
          <w:rFonts w:ascii="Arial" w:eastAsia="Arial" w:hAnsi="Arial" w:cs="Arial"/>
          <w:color w:val="000000"/>
          <w:sz w:val="20"/>
          <w:szCs w:val="20"/>
        </w:rPr>
        <w:t>O órgão ou entidade participante deverá comunicar ao órgão gerenciador qualquer das ocorrências previstas no item 9.1, dada a necessidade de instauração de procedimento para cancelamento do registro do fornecedor.</w:t>
      </w:r>
    </w:p>
    <w:p w14:paraId="299EC99A" w14:textId="77777777" w:rsidR="003941C7" w:rsidRDefault="006D231B">
      <w:pPr>
        <w:keepNext/>
        <w:keepLines/>
        <w:numPr>
          <w:ilvl w:val="0"/>
          <w:numId w:val="1"/>
        </w:numPr>
        <w:tabs>
          <w:tab w:val="left" w:pos="567"/>
        </w:tabs>
        <w:spacing w:before="120" w:after="120" w:line="276" w:lineRule="auto"/>
        <w:jc w:val="both"/>
        <w:rPr>
          <w:rFonts w:ascii="Arial" w:eastAsia="Arial" w:hAnsi="Arial" w:cs="Arial"/>
          <w:b/>
          <w:bCs/>
          <w:color w:val="000000"/>
          <w:sz w:val="20"/>
          <w:szCs w:val="20"/>
        </w:rPr>
      </w:pPr>
      <w:r>
        <w:rPr>
          <w:rFonts w:ascii="Arial" w:eastAsia="Arial" w:hAnsi="Arial" w:cs="Arial"/>
          <w:b/>
          <w:bCs/>
          <w:color w:val="000000"/>
          <w:sz w:val="20"/>
          <w:szCs w:val="20"/>
        </w:rPr>
        <w:t>CONDIÇÕES GERAIS</w:t>
      </w:r>
    </w:p>
    <w:p w14:paraId="4BA8CF31" w14:textId="77777777" w:rsidR="003941C7" w:rsidRDefault="006D231B">
      <w:pPr>
        <w:numPr>
          <w:ilvl w:val="1"/>
          <w:numId w:val="1"/>
        </w:numPr>
        <w:spacing w:before="120" w:after="120" w:line="276" w:lineRule="auto"/>
        <w:jc w:val="both"/>
      </w:pPr>
      <w:r>
        <w:rPr>
          <w:rFonts w:ascii="Arial" w:eastAsia="Arial" w:hAnsi="Arial" w:cs="Arial"/>
          <w:color w:val="000000"/>
          <w:sz w:val="20"/>
          <w:szCs w:val="20"/>
        </w:rPr>
        <w:t>As condições gerais de execução do objeto, tais como os prazos para entrega e recebimento, as obrigações da Administração e do fornecedor registrado, penalidades e demais condições do ajuste, encontram-se definidos no Termo de Referência, anexo ao aviso de contratação.</w:t>
      </w:r>
    </w:p>
    <w:p w14:paraId="26217820" w14:textId="77777777" w:rsidR="003941C7" w:rsidRDefault="006D231B">
      <w:pPr>
        <w:numPr>
          <w:ilvl w:val="1"/>
          <w:numId w:val="1"/>
        </w:numPr>
        <w:spacing w:before="120" w:after="120" w:line="276" w:lineRule="auto"/>
        <w:jc w:val="both"/>
        <w:rPr>
          <w:rFonts w:ascii="Arial" w:eastAsia="Arial" w:hAnsi="Arial" w:cs="Arial"/>
          <w:color w:val="000000"/>
          <w:sz w:val="20"/>
          <w:szCs w:val="20"/>
        </w:rPr>
      </w:pPr>
      <w:r>
        <w:rPr>
          <w:rFonts w:ascii="Arial" w:eastAsia="Arial" w:hAnsi="Arial" w:cs="Arial"/>
          <w:color w:val="000000"/>
          <w:sz w:val="20"/>
          <w:szCs w:val="20"/>
        </w:rPr>
        <w:t>No caso de adjudicação por preço global de grupo de itens, só será admitida a contratação de parte de itens do grupo se houver prévia pesquisa de mercado e demonstração de sua vantagem para o órgão ou a entidade.</w:t>
      </w:r>
    </w:p>
    <w:p w14:paraId="6D0A179F" w14:textId="77777777" w:rsidR="003941C7" w:rsidRDefault="006D231B">
      <w:pPr>
        <w:widowControl w:val="0"/>
        <w:spacing w:before="120" w:after="120" w:line="276" w:lineRule="auto"/>
        <w:jc w:val="both"/>
      </w:pPr>
      <w:r>
        <w:rPr>
          <w:rFonts w:ascii="Arial" w:eastAsia="Arial" w:hAnsi="Arial" w:cs="Arial"/>
          <w:color w:val="000000"/>
          <w:sz w:val="20"/>
          <w:szCs w:val="20"/>
        </w:rPr>
        <w:t>Para firmeza e validade do pactuado, a presente Ata foi lavrada em 2 (duas) vias de igual teor, que, depois de lida e achada em ordem, vai assinada pelas partes.</w:t>
      </w:r>
    </w:p>
    <w:p w14:paraId="37393136" w14:textId="77777777" w:rsidR="003941C7" w:rsidRDefault="003941C7">
      <w:pPr>
        <w:widowControl w:val="0"/>
        <w:spacing w:before="120" w:after="120" w:line="276" w:lineRule="auto"/>
        <w:jc w:val="both"/>
      </w:pPr>
    </w:p>
    <w:p w14:paraId="2821C799" w14:textId="77777777" w:rsidR="003941C7" w:rsidRDefault="003941C7">
      <w:pPr>
        <w:widowControl w:val="0"/>
        <w:spacing w:before="120" w:after="120" w:line="276" w:lineRule="auto"/>
        <w:jc w:val="both"/>
      </w:pPr>
    </w:p>
    <w:p w14:paraId="32F31066" w14:textId="77777777" w:rsidR="003941C7" w:rsidRDefault="006D231B">
      <w:pPr>
        <w:widowControl w:val="0"/>
        <w:spacing w:before="120" w:after="120" w:line="276" w:lineRule="auto"/>
        <w:jc w:val="center"/>
      </w:pPr>
      <w:r>
        <w:rPr>
          <w:rFonts w:ascii="Arial" w:eastAsia="Arial" w:hAnsi="Arial" w:cs="Arial"/>
          <w:color w:val="000000"/>
          <w:sz w:val="20"/>
          <w:szCs w:val="20"/>
        </w:rPr>
        <w:t>Itaituba-PA, _____ de _____________ de ________.</w:t>
      </w:r>
    </w:p>
    <w:p w14:paraId="31C8EE66" w14:textId="77777777" w:rsidR="003941C7" w:rsidRDefault="003941C7">
      <w:pPr>
        <w:widowControl w:val="0"/>
        <w:spacing w:before="120" w:after="120" w:line="276" w:lineRule="auto"/>
        <w:jc w:val="both"/>
      </w:pPr>
    </w:p>
    <w:p w14:paraId="046E94A0" w14:textId="77777777" w:rsidR="003941C7" w:rsidRDefault="003941C7">
      <w:pPr>
        <w:spacing w:before="280" w:line="312" w:lineRule="auto"/>
        <w:jc w:val="center"/>
        <w:rPr>
          <w:color w:val="7030A0"/>
        </w:rPr>
      </w:pPr>
    </w:p>
    <w:p w14:paraId="2148823D" w14:textId="3EE37F35" w:rsidR="003941C7" w:rsidRDefault="00595D01">
      <w:pPr>
        <w:spacing w:before="280" w:line="312" w:lineRule="auto"/>
        <w:jc w:val="center"/>
      </w:pPr>
      <w:r>
        <w:rPr>
          <w:rFonts w:ascii="Arial" w:eastAsia="Arial" w:hAnsi="Arial" w:cs="Arial"/>
          <w:sz w:val="20"/>
          <w:szCs w:val="20"/>
        </w:rPr>
        <w:t>DIOGO FERNANDES FALEIRO VIEIRA</w:t>
      </w:r>
      <w:r w:rsidR="006D231B">
        <w:rPr>
          <w:rFonts w:ascii="Arial" w:eastAsia="Arial" w:hAnsi="Arial" w:cs="Arial"/>
          <w:sz w:val="20"/>
          <w:szCs w:val="20"/>
        </w:rPr>
        <w:t xml:space="preserve"> - </w:t>
      </w:r>
      <w:r>
        <w:rPr>
          <w:rFonts w:ascii="Arial" w:eastAsia="Arial" w:hAnsi="Arial" w:cs="Arial"/>
          <w:sz w:val="20"/>
          <w:szCs w:val="20"/>
        </w:rPr>
        <w:t>TC</w:t>
      </w:r>
      <w:r w:rsidR="006D231B">
        <w:rPr>
          <w:rFonts w:ascii="Arial" w:eastAsia="Arial" w:hAnsi="Arial" w:cs="Arial"/>
          <w:sz w:val="20"/>
          <w:szCs w:val="20"/>
        </w:rPr>
        <w:br/>
        <w:t>Ordenador de Despesas do 53º Batalhão de Infantaria de Selva</w:t>
      </w:r>
    </w:p>
    <w:p w14:paraId="75B915E7" w14:textId="77777777" w:rsidR="003941C7" w:rsidRDefault="003941C7">
      <w:pPr>
        <w:widowControl w:val="0"/>
        <w:spacing w:before="120" w:after="120" w:line="276" w:lineRule="auto"/>
        <w:jc w:val="center"/>
      </w:pPr>
    </w:p>
    <w:p w14:paraId="588A4484" w14:textId="77777777" w:rsidR="003941C7" w:rsidRDefault="003941C7">
      <w:pPr>
        <w:widowControl w:val="0"/>
        <w:spacing w:before="120" w:after="120" w:line="276" w:lineRule="auto"/>
        <w:jc w:val="center"/>
      </w:pPr>
    </w:p>
    <w:p w14:paraId="4B7350B2" w14:textId="77777777" w:rsidR="003941C7" w:rsidRDefault="006D231B">
      <w:pPr>
        <w:widowControl w:val="0"/>
        <w:spacing w:before="120" w:after="120" w:line="276" w:lineRule="auto"/>
        <w:jc w:val="center"/>
        <w:rPr>
          <w:rFonts w:ascii="Arial" w:eastAsia="Arial" w:hAnsi="Arial" w:cs="Arial"/>
          <w:color w:val="000000"/>
          <w:sz w:val="20"/>
          <w:szCs w:val="20"/>
        </w:rPr>
      </w:pPr>
      <w:r>
        <w:rPr>
          <w:rFonts w:ascii="Arial" w:eastAsia="Arial" w:hAnsi="Arial" w:cs="Arial"/>
          <w:color w:val="000000"/>
          <w:sz w:val="20"/>
          <w:szCs w:val="20"/>
        </w:rPr>
        <w:t>________________________________________</w:t>
      </w:r>
      <w:r>
        <w:br/>
      </w:r>
      <w:r>
        <w:rPr>
          <w:rFonts w:ascii="Arial" w:eastAsia="Arial" w:hAnsi="Arial" w:cs="Arial"/>
          <w:color w:val="000000"/>
          <w:sz w:val="20"/>
          <w:szCs w:val="20"/>
        </w:rPr>
        <w:t>CPF:</w:t>
      </w:r>
      <w:r>
        <w:rPr>
          <w:rFonts w:ascii="Arial" w:eastAsia="Arial" w:hAnsi="Arial" w:cs="Arial"/>
          <w:sz w:val="20"/>
          <w:szCs w:val="20"/>
        </w:rPr>
        <w:t xml:space="preserve"> </w:t>
      </w:r>
      <w:hyperlink r:id="rId10">
        <w:r>
          <w:rPr>
            <w:rFonts w:ascii="Arial" w:eastAsia="Arial" w:hAnsi="Arial" w:cs="Arial"/>
            <w:sz w:val="20"/>
            <w:szCs w:val="20"/>
            <w:u w:val="single"/>
          </w:rPr>
          <w:t>xxx.xxx.xxx</w:t>
        </w:r>
      </w:hyperlink>
      <w:r>
        <w:rPr>
          <w:rFonts w:ascii="Arial" w:eastAsia="Arial" w:hAnsi="Arial" w:cs="Arial"/>
          <w:sz w:val="20"/>
          <w:szCs w:val="20"/>
        </w:rPr>
        <w:t>-xx</w:t>
      </w:r>
      <w:r>
        <w:br/>
      </w:r>
      <w:r>
        <w:rPr>
          <w:rFonts w:ascii="Arial" w:eastAsia="Arial" w:hAnsi="Arial" w:cs="Arial"/>
          <w:color w:val="000000"/>
          <w:sz w:val="20"/>
          <w:szCs w:val="20"/>
        </w:rPr>
        <w:t>Responsável legal</w:t>
      </w:r>
    </w:p>
    <w:sectPr w:rsidR="003941C7">
      <w:headerReference w:type="even" r:id="rId11"/>
      <w:headerReference w:type="default" r:id="rId12"/>
      <w:footerReference w:type="even" r:id="rId13"/>
      <w:footerReference w:type="default" r:id="rId14"/>
      <w:headerReference w:type="first" r:id="rId15"/>
      <w:footerReference w:type="first" r:id="rId16"/>
      <w:pgSz w:w="11906" w:h="16838"/>
      <w:pgMar w:top="1418" w:right="1134" w:bottom="1418" w:left="1701" w:header="0"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7C54DA" w14:textId="77777777" w:rsidR="004A1EBF" w:rsidRDefault="004A1EBF">
      <w:r>
        <w:separator/>
      </w:r>
    </w:p>
  </w:endnote>
  <w:endnote w:type="continuationSeparator" w:id="0">
    <w:p w14:paraId="1EAFBEB0" w14:textId="77777777" w:rsidR="004A1EBF" w:rsidRDefault="004A1E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Ecofont_Spranq_eco_Sans">
    <w:altName w:val="Calibri"/>
    <w:charset w:val="00"/>
    <w:family w:val="auto"/>
    <w:pitch w:val="default"/>
  </w:font>
  <w:font w:name="Cambria">
    <w:panose1 w:val="02040503050406030204"/>
    <w:charset w:val="00"/>
    <w:family w:val="roman"/>
    <w:pitch w:val="variable"/>
    <w:sig w:usb0="E00006FF" w:usb1="420024FF" w:usb2="02000000" w:usb3="00000000" w:csb0="0000019F" w:csb1="00000000"/>
    <w:embedRegular r:id="rId1" w:fontKey="{C4D45A7E-705A-485A-A4BD-941743C3E78F}"/>
    <w:embedBold r:id="rId2" w:fontKey="{FE3528F5-41B2-4EF3-AF87-11300CEA5D70}"/>
  </w:font>
  <w:font w:name="Liberation Sans">
    <w:altName w:val="Arial"/>
    <w:charset w:val="00"/>
    <w:family w:val="auto"/>
    <w:pitch w:val="default"/>
  </w:font>
  <w:font w:name="Georgia">
    <w:panose1 w:val="02040502050405020303"/>
    <w:charset w:val="00"/>
    <w:family w:val="roman"/>
    <w:pitch w:val="variable"/>
    <w:sig w:usb0="00000287" w:usb1="00000000" w:usb2="00000000" w:usb3="00000000" w:csb0="0000009F" w:csb1="00000000"/>
    <w:embedItalic r:id="rId3" w:fontKey="{C4E42BAB-4E07-4047-9249-3A90878DF723}"/>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4" w:fontKey="{4FA02DF5-C3E3-476B-9CA2-0F44FCEBAE3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27A448" w14:textId="77777777" w:rsidR="003941C7" w:rsidRDefault="003941C7">
    <w:pPr>
      <w:pBdr>
        <w:top w:val="nil"/>
        <w:left w:val="nil"/>
        <w:bottom w:val="nil"/>
        <w:right w:val="nil"/>
        <w:between w:val="nil"/>
      </w:pBdr>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57C406" w14:textId="77777777" w:rsidR="003941C7" w:rsidRDefault="006D231B">
    <w:pPr>
      <w:tabs>
        <w:tab w:val="center" w:pos="4252"/>
        <w:tab w:val="right" w:pos="8504"/>
      </w:tabs>
      <w:rPr>
        <w:color w:val="8496B0"/>
        <w:sz w:val="16"/>
        <w:szCs w:val="16"/>
      </w:rPr>
    </w:pPr>
    <w:r>
      <w:rPr>
        <w:color w:val="8496B0"/>
      </w:rPr>
      <w:tab/>
    </w:r>
    <w:r>
      <w:rPr>
        <w:color w:val="8496B0"/>
      </w:rPr>
      <w:tab/>
    </w:r>
  </w:p>
  <w:p w14:paraId="5A0820D3" w14:textId="77777777" w:rsidR="003941C7" w:rsidRDefault="006D231B">
    <w:pPr>
      <w:tabs>
        <w:tab w:val="center" w:pos="4252"/>
        <w:tab w:val="right" w:pos="8504"/>
      </w:tabs>
      <w:rPr>
        <w:rFonts w:ascii="Arial" w:eastAsia="Arial" w:hAnsi="Arial" w:cs="Arial"/>
        <w:color w:val="7F7F7F"/>
        <w:sz w:val="18"/>
        <w:szCs w:val="18"/>
      </w:rPr>
    </w:pPr>
    <w:r>
      <w:rPr>
        <w:color w:val="7F7F7F"/>
      </w:rPr>
      <w:tab/>
    </w:r>
    <w:r>
      <w:rPr>
        <w:color w:val="7F7F7F"/>
      </w:rPr>
      <w:tab/>
    </w:r>
    <w:r>
      <w:rPr>
        <w:rFonts w:ascii="Arial" w:eastAsia="Arial" w:hAnsi="Arial" w:cs="Arial"/>
        <w:color w:val="595959"/>
        <w:sz w:val="18"/>
        <w:szCs w:val="18"/>
      </w:rPr>
      <w:t xml:space="preserve">Página </w:t>
    </w:r>
    <w:r>
      <w:rPr>
        <w:rFonts w:ascii="Arial" w:eastAsia="Arial" w:hAnsi="Arial" w:cs="Arial"/>
        <w:color w:val="000000"/>
        <w:sz w:val="20"/>
        <w:szCs w:val="20"/>
      </w:rPr>
      <w:fldChar w:fldCharType="begin"/>
    </w:r>
    <w:r>
      <w:rPr>
        <w:rFonts w:ascii="Arial" w:eastAsia="Arial" w:hAnsi="Arial" w:cs="Arial"/>
        <w:color w:val="000000"/>
        <w:sz w:val="20"/>
        <w:szCs w:val="20"/>
      </w:rPr>
      <w:instrText>PAGE</w:instrText>
    </w:r>
    <w:r>
      <w:rPr>
        <w:rFonts w:ascii="Arial" w:eastAsia="Arial" w:hAnsi="Arial" w:cs="Arial"/>
        <w:color w:val="000000"/>
        <w:sz w:val="20"/>
        <w:szCs w:val="20"/>
      </w:rPr>
      <w:fldChar w:fldCharType="separate"/>
    </w:r>
    <w:r w:rsidR="007B3B94">
      <w:rPr>
        <w:rFonts w:ascii="Arial" w:eastAsia="Arial" w:hAnsi="Arial" w:cs="Arial"/>
        <w:noProof/>
        <w:color w:val="000000"/>
        <w:sz w:val="20"/>
        <w:szCs w:val="20"/>
      </w:rPr>
      <w:t>1</w:t>
    </w:r>
    <w:r>
      <w:rPr>
        <w:rFonts w:ascii="Arial" w:eastAsia="Arial" w:hAnsi="Arial" w:cs="Arial"/>
        <w:color w:val="000000"/>
        <w:sz w:val="20"/>
        <w:szCs w:val="20"/>
      </w:rPr>
      <w:fldChar w:fldCharType="end"/>
    </w:r>
    <w:r>
      <w:rPr>
        <w:rFonts w:ascii="Arial" w:eastAsia="Arial" w:hAnsi="Arial" w:cs="Arial"/>
        <w:color w:val="595959"/>
        <w:sz w:val="18"/>
        <w:szCs w:val="18"/>
      </w:rPr>
      <w:t xml:space="preserve"> | </w:t>
    </w:r>
    <w:r>
      <w:rPr>
        <w:rFonts w:ascii="Arial" w:eastAsia="Arial" w:hAnsi="Arial" w:cs="Arial"/>
        <w:color w:val="000000"/>
        <w:sz w:val="20"/>
        <w:szCs w:val="20"/>
      </w:rPr>
      <w:fldChar w:fldCharType="begin"/>
    </w:r>
    <w:r>
      <w:rPr>
        <w:rFonts w:ascii="Arial" w:eastAsia="Arial" w:hAnsi="Arial" w:cs="Arial"/>
        <w:color w:val="000000"/>
        <w:sz w:val="20"/>
        <w:szCs w:val="20"/>
      </w:rPr>
      <w:instrText>NUMPAGES</w:instrText>
    </w:r>
    <w:r>
      <w:rPr>
        <w:rFonts w:ascii="Arial" w:eastAsia="Arial" w:hAnsi="Arial" w:cs="Arial"/>
        <w:color w:val="000000"/>
        <w:sz w:val="20"/>
        <w:szCs w:val="20"/>
      </w:rPr>
      <w:fldChar w:fldCharType="separate"/>
    </w:r>
    <w:r w:rsidR="007B3B94">
      <w:rPr>
        <w:rFonts w:ascii="Arial" w:eastAsia="Arial" w:hAnsi="Arial" w:cs="Arial"/>
        <w:noProof/>
        <w:color w:val="000000"/>
        <w:sz w:val="20"/>
        <w:szCs w:val="20"/>
      </w:rPr>
      <w:t>2</w:t>
    </w:r>
    <w:r>
      <w:rPr>
        <w:rFonts w:ascii="Arial" w:eastAsia="Arial" w:hAnsi="Arial" w:cs="Arial"/>
        <w:color w:val="000000"/>
        <w:sz w:val="20"/>
        <w:szCs w:val="20"/>
      </w:rPr>
      <w:fldChar w:fldCharType="end"/>
    </w:r>
  </w:p>
  <w:p w14:paraId="04E0283B" w14:textId="77777777" w:rsidR="003941C7" w:rsidRDefault="006D231B">
    <w:pPr>
      <w:tabs>
        <w:tab w:val="center" w:pos="4252"/>
        <w:tab w:val="right" w:pos="8504"/>
      </w:tabs>
      <w:rPr>
        <w:rFonts w:ascii="Arial" w:eastAsia="Arial" w:hAnsi="Arial" w:cs="Arial"/>
        <w:color w:val="000000"/>
        <w:sz w:val="14"/>
        <w:szCs w:val="14"/>
      </w:rPr>
    </w:pPr>
    <w:r>
      <w:rPr>
        <w:rFonts w:ascii="Arial" w:eastAsia="Arial" w:hAnsi="Arial" w:cs="Arial"/>
        <w:color w:val="000000"/>
        <w:sz w:val="14"/>
        <w:szCs w:val="14"/>
      </w:rPr>
      <w:t>Câmara Nacional de Modelos de Licitações e Contratos da Consultoria-Geral da União</w:t>
    </w:r>
  </w:p>
  <w:p w14:paraId="2674104A" w14:textId="77777777" w:rsidR="003941C7" w:rsidRDefault="006D231B">
    <w:pPr>
      <w:tabs>
        <w:tab w:val="center" w:pos="4252"/>
        <w:tab w:val="right" w:pos="8504"/>
      </w:tabs>
      <w:rPr>
        <w:rFonts w:ascii="Arial" w:eastAsia="Arial" w:hAnsi="Arial" w:cs="Arial"/>
        <w:color w:val="222A35"/>
        <w:sz w:val="14"/>
        <w:szCs w:val="14"/>
      </w:rPr>
    </w:pPr>
    <w:r>
      <w:rPr>
        <w:rFonts w:ascii="Arial" w:eastAsia="Arial" w:hAnsi="Arial" w:cs="Arial"/>
        <w:color w:val="000000"/>
        <w:sz w:val="14"/>
        <w:szCs w:val="14"/>
      </w:rPr>
      <w:t>Modelo de Modelo Ata de Registro de Preços - Lei nº 14.133, de 2021</w:t>
    </w:r>
  </w:p>
  <w:p w14:paraId="4DA1AAD8" w14:textId="77777777" w:rsidR="003941C7" w:rsidRDefault="006D231B">
    <w:pPr>
      <w:tabs>
        <w:tab w:val="center" w:pos="4252"/>
        <w:tab w:val="right" w:pos="8504"/>
      </w:tabs>
      <w:rPr>
        <w:rFonts w:ascii="Arial" w:eastAsia="Arial" w:hAnsi="Arial" w:cs="Arial"/>
        <w:color w:val="000000"/>
        <w:sz w:val="14"/>
        <w:szCs w:val="14"/>
      </w:rPr>
    </w:pPr>
    <w:r>
      <w:rPr>
        <w:rFonts w:ascii="Arial" w:eastAsia="Arial" w:hAnsi="Arial" w:cs="Arial"/>
        <w:color w:val="000000"/>
        <w:sz w:val="14"/>
        <w:szCs w:val="14"/>
      </w:rPr>
      <w:t>Aprovado pela Secretaria de Gestão e Inovação</w:t>
    </w:r>
  </w:p>
  <w:p w14:paraId="4E23F0A4" w14:textId="77777777" w:rsidR="003941C7" w:rsidRDefault="006D231B">
    <w:pPr>
      <w:tabs>
        <w:tab w:val="center" w:pos="4252"/>
        <w:tab w:val="right" w:pos="8504"/>
      </w:tabs>
      <w:rPr>
        <w:rFonts w:ascii="Arial" w:eastAsia="Arial" w:hAnsi="Arial" w:cs="Arial"/>
        <w:color w:val="000000"/>
        <w:sz w:val="14"/>
        <w:szCs w:val="14"/>
      </w:rPr>
    </w:pPr>
    <w:r>
      <w:rPr>
        <w:rFonts w:ascii="Arial" w:eastAsia="Arial" w:hAnsi="Arial" w:cs="Arial"/>
        <w:color w:val="000000"/>
        <w:sz w:val="14"/>
        <w:szCs w:val="14"/>
      </w:rPr>
      <w:t>Identidade visual pela Secretaria de Gestão e Inovação</w:t>
    </w:r>
  </w:p>
  <w:p w14:paraId="53D3AB0E" w14:textId="77777777" w:rsidR="003941C7" w:rsidRDefault="006D231B">
    <w:pPr>
      <w:tabs>
        <w:tab w:val="center" w:pos="4252"/>
        <w:tab w:val="right" w:pos="8504"/>
      </w:tabs>
      <w:rPr>
        <w:rFonts w:ascii="Arial" w:eastAsia="Arial" w:hAnsi="Arial" w:cs="Arial"/>
        <w:color w:val="000000"/>
        <w:sz w:val="14"/>
        <w:szCs w:val="14"/>
      </w:rPr>
    </w:pPr>
    <w:r>
      <w:rPr>
        <w:rFonts w:ascii="Arial" w:eastAsia="Arial" w:hAnsi="Arial" w:cs="Arial"/>
        <w:color w:val="000000"/>
        <w:sz w:val="14"/>
        <w:szCs w:val="14"/>
      </w:rPr>
      <w:t>Atualização: NOV/2025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084402" w14:textId="77777777" w:rsidR="003941C7" w:rsidRDefault="006D231B">
    <w:pPr>
      <w:tabs>
        <w:tab w:val="center" w:pos="4252"/>
        <w:tab w:val="right" w:pos="8504"/>
      </w:tabs>
      <w:rPr>
        <w:color w:val="8496B0"/>
        <w:sz w:val="16"/>
        <w:szCs w:val="16"/>
      </w:rPr>
    </w:pPr>
    <w:r>
      <w:rPr>
        <w:color w:val="8496B0"/>
      </w:rPr>
      <w:tab/>
    </w:r>
    <w:r>
      <w:rPr>
        <w:color w:val="8496B0"/>
      </w:rPr>
      <w:tab/>
    </w:r>
  </w:p>
  <w:p w14:paraId="4425E38F" w14:textId="217432E2" w:rsidR="003941C7" w:rsidRDefault="006D231B">
    <w:pPr>
      <w:tabs>
        <w:tab w:val="center" w:pos="4252"/>
        <w:tab w:val="right" w:pos="8504"/>
      </w:tabs>
      <w:rPr>
        <w:rFonts w:ascii="Arial" w:eastAsia="Arial" w:hAnsi="Arial" w:cs="Arial"/>
        <w:color w:val="7F7F7F"/>
        <w:sz w:val="18"/>
        <w:szCs w:val="18"/>
      </w:rPr>
    </w:pPr>
    <w:r>
      <w:rPr>
        <w:color w:val="7F7F7F"/>
      </w:rPr>
      <w:tab/>
    </w:r>
    <w:r>
      <w:rPr>
        <w:color w:val="7F7F7F"/>
      </w:rPr>
      <w:tab/>
    </w:r>
    <w:r>
      <w:rPr>
        <w:rFonts w:ascii="Arial" w:eastAsia="Arial" w:hAnsi="Arial" w:cs="Arial"/>
        <w:color w:val="595959"/>
        <w:sz w:val="18"/>
        <w:szCs w:val="18"/>
      </w:rPr>
      <w:t xml:space="preserve">Página </w:t>
    </w:r>
    <w:r>
      <w:rPr>
        <w:rFonts w:ascii="Arial" w:eastAsia="Arial" w:hAnsi="Arial" w:cs="Arial"/>
        <w:color w:val="000000"/>
        <w:sz w:val="20"/>
        <w:szCs w:val="20"/>
      </w:rPr>
      <w:fldChar w:fldCharType="begin"/>
    </w:r>
    <w:r>
      <w:rPr>
        <w:rFonts w:ascii="Arial" w:eastAsia="Arial" w:hAnsi="Arial" w:cs="Arial"/>
        <w:color w:val="000000"/>
        <w:sz w:val="20"/>
        <w:szCs w:val="20"/>
      </w:rPr>
      <w:instrText>PAGE</w:instrText>
    </w:r>
    <w:r w:rsidR="004A1EBF">
      <w:rPr>
        <w:rFonts w:ascii="Arial" w:eastAsia="Arial" w:hAnsi="Arial" w:cs="Arial"/>
        <w:color w:val="000000"/>
        <w:sz w:val="20"/>
        <w:szCs w:val="20"/>
      </w:rPr>
      <w:fldChar w:fldCharType="separate"/>
    </w:r>
    <w:r>
      <w:rPr>
        <w:rFonts w:ascii="Arial" w:eastAsia="Arial" w:hAnsi="Arial" w:cs="Arial"/>
        <w:color w:val="000000"/>
        <w:sz w:val="20"/>
        <w:szCs w:val="20"/>
      </w:rPr>
      <w:fldChar w:fldCharType="end"/>
    </w:r>
    <w:r>
      <w:rPr>
        <w:rFonts w:ascii="Arial" w:eastAsia="Arial" w:hAnsi="Arial" w:cs="Arial"/>
        <w:color w:val="595959"/>
        <w:sz w:val="18"/>
        <w:szCs w:val="18"/>
      </w:rPr>
      <w:t xml:space="preserve"> | </w:t>
    </w:r>
    <w:r>
      <w:rPr>
        <w:rFonts w:ascii="Arial" w:eastAsia="Arial" w:hAnsi="Arial" w:cs="Arial"/>
        <w:color w:val="000000"/>
        <w:sz w:val="20"/>
        <w:szCs w:val="20"/>
      </w:rPr>
      <w:fldChar w:fldCharType="begin"/>
    </w:r>
    <w:r>
      <w:rPr>
        <w:rFonts w:ascii="Arial" w:eastAsia="Arial" w:hAnsi="Arial" w:cs="Arial"/>
        <w:color w:val="000000"/>
        <w:sz w:val="20"/>
        <w:szCs w:val="20"/>
      </w:rPr>
      <w:instrText>NUMPAGES</w:instrText>
    </w:r>
    <w:r>
      <w:rPr>
        <w:rFonts w:ascii="Arial" w:eastAsia="Arial" w:hAnsi="Arial" w:cs="Arial"/>
        <w:color w:val="000000"/>
        <w:sz w:val="20"/>
        <w:szCs w:val="20"/>
      </w:rPr>
      <w:fldChar w:fldCharType="separate"/>
    </w:r>
    <w:r w:rsidR="00FC1E9C">
      <w:rPr>
        <w:rFonts w:ascii="Arial" w:eastAsia="Arial" w:hAnsi="Arial" w:cs="Arial"/>
        <w:noProof/>
        <w:color w:val="000000"/>
        <w:sz w:val="20"/>
        <w:szCs w:val="20"/>
      </w:rPr>
      <w:t>8</w:t>
    </w:r>
    <w:r>
      <w:rPr>
        <w:rFonts w:ascii="Arial" w:eastAsia="Arial" w:hAnsi="Arial" w:cs="Arial"/>
        <w:color w:val="000000"/>
        <w:sz w:val="20"/>
        <w:szCs w:val="20"/>
      </w:rPr>
      <w:fldChar w:fldCharType="end"/>
    </w:r>
  </w:p>
  <w:p w14:paraId="7C97AED3" w14:textId="77777777" w:rsidR="003941C7" w:rsidRDefault="006D231B">
    <w:pPr>
      <w:tabs>
        <w:tab w:val="center" w:pos="4252"/>
        <w:tab w:val="right" w:pos="8504"/>
      </w:tabs>
      <w:rPr>
        <w:rFonts w:ascii="Arial" w:eastAsia="Arial" w:hAnsi="Arial" w:cs="Arial"/>
        <w:color w:val="000000"/>
        <w:sz w:val="14"/>
        <w:szCs w:val="14"/>
      </w:rPr>
    </w:pPr>
    <w:r>
      <w:rPr>
        <w:rFonts w:ascii="Arial" w:eastAsia="Arial" w:hAnsi="Arial" w:cs="Arial"/>
        <w:color w:val="000000"/>
        <w:sz w:val="14"/>
        <w:szCs w:val="14"/>
      </w:rPr>
      <w:t>Câmara Nacional de Modelos de Licitações e Contratos da Consultoria-Geral da União</w:t>
    </w:r>
  </w:p>
  <w:p w14:paraId="621AD899" w14:textId="77777777" w:rsidR="003941C7" w:rsidRDefault="006D231B">
    <w:pPr>
      <w:tabs>
        <w:tab w:val="center" w:pos="4252"/>
        <w:tab w:val="right" w:pos="8504"/>
      </w:tabs>
      <w:rPr>
        <w:rFonts w:ascii="Arial" w:eastAsia="Arial" w:hAnsi="Arial" w:cs="Arial"/>
        <w:color w:val="222A35"/>
        <w:sz w:val="14"/>
        <w:szCs w:val="14"/>
      </w:rPr>
    </w:pPr>
    <w:r>
      <w:rPr>
        <w:rFonts w:ascii="Arial" w:eastAsia="Arial" w:hAnsi="Arial" w:cs="Arial"/>
        <w:color w:val="000000"/>
        <w:sz w:val="14"/>
        <w:szCs w:val="14"/>
      </w:rPr>
      <w:t>Modelo de Modelo Ata de Registro de Preços - Lei nº 14.133, de 2021</w:t>
    </w:r>
  </w:p>
  <w:p w14:paraId="3AF460D7" w14:textId="77777777" w:rsidR="003941C7" w:rsidRDefault="006D231B">
    <w:pPr>
      <w:tabs>
        <w:tab w:val="center" w:pos="4252"/>
        <w:tab w:val="right" w:pos="8504"/>
      </w:tabs>
      <w:rPr>
        <w:rFonts w:ascii="Arial" w:eastAsia="Arial" w:hAnsi="Arial" w:cs="Arial"/>
        <w:color w:val="000000"/>
        <w:sz w:val="14"/>
        <w:szCs w:val="14"/>
      </w:rPr>
    </w:pPr>
    <w:r>
      <w:rPr>
        <w:rFonts w:ascii="Arial" w:eastAsia="Arial" w:hAnsi="Arial" w:cs="Arial"/>
        <w:color w:val="000000"/>
        <w:sz w:val="14"/>
        <w:szCs w:val="14"/>
      </w:rPr>
      <w:t>Aprovado pela Secretaria de Gestão e Inovação</w:t>
    </w:r>
  </w:p>
  <w:p w14:paraId="4C33EA3A" w14:textId="77777777" w:rsidR="003941C7" w:rsidRDefault="006D231B">
    <w:pPr>
      <w:tabs>
        <w:tab w:val="center" w:pos="4252"/>
        <w:tab w:val="right" w:pos="8504"/>
      </w:tabs>
      <w:rPr>
        <w:rFonts w:ascii="Arial" w:eastAsia="Arial" w:hAnsi="Arial" w:cs="Arial"/>
        <w:color w:val="000000"/>
        <w:sz w:val="14"/>
        <w:szCs w:val="14"/>
      </w:rPr>
    </w:pPr>
    <w:r>
      <w:rPr>
        <w:rFonts w:ascii="Arial" w:eastAsia="Arial" w:hAnsi="Arial" w:cs="Arial"/>
        <w:color w:val="000000"/>
        <w:sz w:val="14"/>
        <w:szCs w:val="14"/>
      </w:rPr>
      <w:t>Identidade visual pela Secretaria de Gestão e Inovação</w:t>
    </w:r>
  </w:p>
  <w:p w14:paraId="7EAD8FE7" w14:textId="77777777" w:rsidR="003941C7" w:rsidRDefault="006D231B">
    <w:pPr>
      <w:tabs>
        <w:tab w:val="center" w:pos="4252"/>
        <w:tab w:val="right" w:pos="8504"/>
      </w:tabs>
      <w:rPr>
        <w:rFonts w:ascii="Arial" w:eastAsia="Arial" w:hAnsi="Arial" w:cs="Arial"/>
        <w:color w:val="000000"/>
        <w:sz w:val="14"/>
        <w:szCs w:val="14"/>
      </w:rPr>
    </w:pPr>
    <w:r>
      <w:rPr>
        <w:rFonts w:ascii="Arial" w:eastAsia="Arial" w:hAnsi="Arial" w:cs="Arial"/>
        <w:color w:val="000000"/>
        <w:sz w:val="14"/>
        <w:szCs w:val="14"/>
      </w:rPr>
      <w:t>Atualização: NOV/2025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B47A39" w14:textId="77777777" w:rsidR="004A1EBF" w:rsidRDefault="004A1EBF">
      <w:r>
        <w:separator/>
      </w:r>
    </w:p>
  </w:footnote>
  <w:footnote w:type="continuationSeparator" w:id="0">
    <w:p w14:paraId="2EFDA51A" w14:textId="77777777" w:rsidR="004A1EBF" w:rsidRDefault="004A1E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73011E" w14:textId="77777777" w:rsidR="003941C7" w:rsidRDefault="003941C7">
    <w:pPr>
      <w:pBdr>
        <w:top w:val="nil"/>
        <w:left w:val="nil"/>
        <w:bottom w:val="nil"/>
        <w:right w:val="nil"/>
        <w:between w:val="nil"/>
      </w:pBdr>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35F4DA" w14:textId="77777777" w:rsidR="003941C7" w:rsidRDefault="003941C7">
    <w:pPr>
      <w:tabs>
        <w:tab w:val="center" w:pos="4252"/>
        <w:tab w:val="right" w:pos="8504"/>
      </w:tabs>
      <w:jc w:val="center"/>
      <w:rPr>
        <w:color w:val="FF0000"/>
      </w:rPr>
    </w:pPr>
  </w:p>
  <w:p w14:paraId="62FF2463" w14:textId="77777777" w:rsidR="003941C7" w:rsidRDefault="003941C7">
    <w:pPr>
      <w:tabs>
        <w:tab w:val="center" w:pos="4252"/>
        <w:tab w:val="right" w:pos="8504"/>
      </w:tabs>
      <w:jc w:val="center"/>
      <w:rPr>
        <w:color w:val="FF0000"/>
      </w:rPr>
    </w:pPr>
  </w:p>
  <w:p w14:paraId="7123D7F5" w14:textId="77777777" w:rsidR="003941C7" w:rsidRDefault="006D231B">
    <w:pPr>
      <w:tabs>
        <w:tab w:val="center" w:pos="4252"/>
        <w:tab w:val="right" w:pos="8504"/>
      </w:tabs>
      <w:jc w:val="center"/>
      <w:rPr>
        <w:color w:val="FF0000"/>
      </w:rPr>
    </w:pPr>
    <w:r>
      <w:rPr>
        <w:color w:val="FF0000"/>
      </w:rPr>
      <w:t>MINUTA</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176CFC" w14:textId="77777777" w:rsidR="003941C7" w:rsidRDefault="003941C7">
    <w:pPr>
      <w:tabs>
        <w:tab w:val="center" w:pos="4252"/>
        <w:tab w:val="right" w:pos="8504"/>
      </w:tabs>
      <w:jc w:val="center"/>
      <w:rPr>
        <w:color w:val="FF0000"/>
      </w:rPr>
    </w:pPr>
  </w:p>
  <w:p w14:paraId="67BCEBAB" w14:textId="77777777" w:rsidR="003941C7" w:rsidRDefault="003941C7">
    <w:pPr>
      <w:tabs>
        <w:tab w:val="center" w:pos="4252"/>
        <w:tab w:val="right" w:pos="8504"/>
      </w:tabs>
      <w:jc w:val="center"/>
      <w:rPr>
        <w:color w:val="FF0000"/>
      </w:rPr>
    </w:pPr>
  </w:p>
  <w:p w14:paraId="55A9DD15" w14:textId="77777777" w:rsidR="003941C7" w:rsidRDefault="006D231B">
    <w:pPr>
      <w:tabs>
        <w:tab w:val="center" w:pos="4252"/>
        <w:tab w:val="right" w:pos="8504"/>
      </w:tabs>
      <w:jc w:val="center"/>
      <w:rPr>
        <w:color w:val="FF0000"/>
      </w:rPr>
    </w:pPr>
    <w:r>
      <w:rPr>
        <w:color w:val="FF0000"/>
      </w:rPr>
      <w:t>MINUTA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424021"/>
    <w:multiLevelType w:val="multilevel"/>
    <w:tmpl w:val="0B503658"/>
    <w:lvl w:ilvl="0">
      <w:start w:val="1"/>
      <w:numFmt w:val="decimal"/>
      <w:lvlText w:val="%1."/>
      <w:lvlJc w:val="left"/>
      <w:pPr>
        <w:ind w:left="360" w:hanging="360"/>
      </w:pPr>
      <w:rPr>
        <w:b/>
        <w:bCs/>
        <w:color w:val="000000"/>
      </w:rPr>
    </w:lvl>
    <w:lvl w:ilvl="1">
      <w:start w:val="1"/>
      <w:numFmt w:val="decimal"/>
      <w:lvlText w:val="%1.%2."/>
      <w:lvlJc w:val="left"/>
      <w:pPr>
        <w:ind w:left="574"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41C7"/>
    <w:rsid w:val="0004579F"/>
    <w:rsid w:val="0028546F"/>
    <w:rsid w:val="002A43FA"/>
    <w:rsid w:val="00357840"/>
    <w:rsid w:val="003941C7"/>
    <w:rsid w:val="004A1EBF"/>
    <w:rsid w:val="00595D01"/>
    <w:rsid w:val="00634B06"/>
    <w:rsid w:val="006D231B"/>
    <w:rsid w:val="007B3B94"/>
    <w:rsid w:val="007D3039"/>
    <w:rsid w:val="00A11274"/>
    <w:rsid w:val="00BA2C7D"/>
    <w:rsid w:val="00C668C1"/>
    <w:rsid w:val="00DC3BA1"/>
    <w:rsid w:val="00EA3833"/>
    <w:rsid w:val="00FC1E9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049277"/>
  <w15:docId w15:val="{E40B6179-FB5F-4221-8292-EC291F8EC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Ecofont_Spranq_eco_Sans" w:eastAsia="Ecofont_Spranq_eco_Sans" w:hAnsi="Ecofont_Spranq_eco_Sans" w:cs="Ecofont_Spranq_eco_Sans"/>
        <w:sz w:val="24"/>
        <w:szCs w:val="24"/>
        <w:lang w:val="en"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outlineLvl w:val="0"/>
    </w:pPr>
    <w:rPr>
      <w:rFonts w:ascii="Cambria" w:eastAsia="Cambria" w:hAnsi="Cambria" w:cs="Cambria"/>
      <w:b/>
      <w:bCs/>
      <w:color w:val="366091"/>
      <w:sz w:val="28"/>
      <w:szCs w:val="28"/>
    </w:rPr>
  </w:style>
  <w:style w:type="paragraph" w:styleId="Ttulo2">
    <w:name w:val="heading 2"/>
    <w:basedOn w:val="Normal"/>
    <w:next w:val="Normal"/>
    <w:uiPriority w:val="9"/>
    <w:semiHidden/>
    <w:unhideWhenUsed/>
    <w:qFormat/>
    <w:pPr>
      <w:keepNext/>
      <w:keepLines/>
      <w:spacing w:before="360" w:after="80"/>
      <w:outlineLvl w:val="1"/>
    </w:pPr>
    <w:rPr>
      <w:b/>
      <w:bCs/>
      <w:sz w:val="36"/>
      <w:szCs w:val="36"/>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rPr>
  </w:style>
  <w:style w:type="paragraph" w:styleId="Ttulo5">
    <w:name w:val="heading 5"/>
    <w:basedOn w:val="Normal"/>
    <w:next w:val="Normal"/>
    <w:uiPriority w:val="9"/>
    <w:semiHidden/>
    <w:unhideWhenUsed/>
    <w:qFormat/>
    <w:pPr>
      <w:keepNext/>
      <w:keepLines/>
      <w:spacing w:before="220" w:after="40"/>
      <w:outlineLvl w:val="4"/>
    </w:pPr>
    <w:rPr>
      <w:b/>
      <w:bCs/>
      <w:sz w:val="22"/>
      <w:szCs w:val="22"/>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spacing w:before="240" w:after="120"/>
    </w:pPr>
    <w:rPr>
      <w:rFonts w:ascii="Liberation Sans" w:eastAsia="Liberation Sans" w:hAnsi="Liberation Sans" w:cs="Liberation Sans"/>
      <w:sz w:val="28"/>
      <w:szCs w:val="28"/>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http://xxx.xxx.xxx/"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U1sXw3qght5fX+LFBsTzgCzFjcA==">CgMxLjAaHwoBMBIaChgICVIUChJ0YWJsZS44Mng0YnV5OGFsdmQyF2lkLnRhY212bG5mcTFjMV9Db3BpYV8xMg9pZC43ODVobTlmajM3aHcyDmguczJtNzA0dXdqMmZkMg5pZC5vb2kzMmdhamN0ZTIPaWQuMzN1Ymx2bnZjeG5tMg9pZC54Ymx4MmU2bjA1N3oyD2lkLmk3b2NiaDU3ZWF1azIPaWQud2k0OWx5dzY0b2ZuMg9pZC41bnVnZmVlenRqY3cyD2lkLmdqZTlpOGU2NzVtazIPaWQudnpkMW9zbnVyajJ6OAByITE2RFpJMl9tV25tSFA4VjNYel92aXY2RTBNVHlPaGhLYg==</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0306566-3317-432E-A36E-CEB40118C9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8</Pages>
  <Words>3342</Words>
  <Characters>18048</Characters>
  <Application>Microsoft Office Word</Application>
  <DocSecurity>0</DocSecurity>
  <Lines>150</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Brendo Oliveira Batista</dc:creator>
  <cp:lastModifiedBy>Brendo Oliveira Batista</cp:lastModifiedBy>
  <cp:revision>10</cp:revision>
  <cp:lastPrinted>2026-05-20T14:23:00Z</cp:lastPrinted>
  <dcterms:created xsi:type="dcterms:W3CDTF">2026-05-18T14:53:00Z</dcterms:created>
  <dcterms:modified xsi:type="dcterms:W3CDTF">2026-07-02T18:28:00Z</dcterms:modified>
</cp:coreProperties>
</file>