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comments.xml.rels" ContentType="application/vnd.openxmlformats-package.relationships+xml"/>
  <Override PartName="/word/numbering.xml" ContentType="application/vnd.openxmlformats-officedocument.wordprocessingml.numbering+xml"/>
  <Override PartName="/word/theme/theme1.xml" ContentType="application/vnd.openxmlformats-officedocument.theme+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comments.xml" ContentType="application/vnd.openxmlformats-officedocument.wordprocessingml.comments+xml"/>
  <Override PartName="/word/media/image1.wmf" ContentType="image/x-wmf"/>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76" w:before="0" w:after="288"/>
        <w:jc w:val="center"/>
        <w:rPr>
          <w:rFonts w:ascii="Arial" w:hAnsi="Arial" w:cs="Arial"/>
          <w:b/>
          <w:b/>
          <w:bCs/>
          <w:color w:val="000000" w:themeColor="text1"/>
          <w:sz w:val="20"/>
          <w:szCs w:val="20"/>
        </w:rPr>
      </w:pPr>
      <w:commentRangeStart w:id="0"/>
      <w:r>
        <w:rPr>
          <w:rFonts w:cs="Arial" w:ascii="Arial" w:hAnsi="Arial"/>
          <w:b/>
          <w:bCs/>
          <w:color w:val="000000" w:themeColor="text1"/>
          <w:sz w:val="20"/>
          <w:szCs w:val="20"/>
        </w:rPr>
        <w:t>MODELO DE TERMO DE CONTRATO</w:t>
        <w:br/>
        <w:t>Lei nº 14.133, de 1º de abril de 2021</w:t>
        <w:br/>
        <w:t>TECNOLOGIAS DA INFORMAÇÃO E COMUNICAÇÃO - TIC</w:t>
        <w:br/>
        <w:t>SERVIÇOS – LICITAÇÃO</w:t>
      </w:r>
      <w:r>
        <w:rPr>
          <w:rFonts w:cs="Arial" w:ascii="Arial" w:hAnsi="Arial"/>
          <w:b/>
          <w:bCs/>
          <w:color w:val="000000" w:themeColor="text1"/>
          <w:sz w:val="20"/>
          <w:szCs w:val="20"/>
        </w:rPr>
      </w:r>
      <w:commentRangeEnd w:id="0"/>
      <w:r>
        <w:commentReference w:id="0"/>
      </w:r>
      <w:r>
        <w:rPr>
          <w:rFonts w:cs="Arial" w:ascii="Arial" w:hAnsi="Arial"/>
          <w:b/>
          <w:bCs/>
          <w:color w:val="000000" w:themeColor="text1"/>
          <w:sz w:val="20"/>
          <w:szCs w:val="20"/>
        </w:rPr>
        <w:t xml:space="preserve"> </w:t>
      </w:r>
      <w:r>
        <w:rPr>
          <w:rFonts w:cs="Arial" w:ascii="Arial" w:hAnsi="Arial"/>
          <w:b/>
          <w:bCs/>
          <w:strike/>
          <w:color w:val="000000" w:themeColor="text1"/>
          <w:sz w:val="20"/>
          <w:szCs w:val="20"/>
          <w:highlight w:val="yellow"/>
        </w:rPr>
        <w:t>E CONTRATAÇÃO DIRETA</w:t>
      </w:r>
    </w:p>
    <w:p>
      <w:pPr>
        <w:pStyle w:val="Normal"/>
        <w:spacing w:lineRule="auto" w:line="240" w:before="0" w:after="0"/>
        <w:jc w:val="center"/>
        <w:rPr>
          <w:color w:val="000000"/>
          <w:highlight w:val="none"/>
          <w:shd w:fill="FFFFFF" w:val="clear"/>
        </w:rPr>
      </w:pPr>
      <w:r>
        <w:drawing>
          <wp:anchor behindDoc="0" distT="0" distB="0" distL="114300" distR="114300" simplePos="0" locked="0" layoutInCell="0" allowOverlap="1" relativeHeight="2">
            <wp:simplePos x="0" y="0"/>
            <wp:positionH relativeFrom="column">
              <wp:posOffset>2698750</wp:posOffset>
            </wp:positionH>
            <wp:positionV relativeFrom="paragraph">
              <wp:posOffset>47625</wp:posOffset>
            </wp:positionV>
            <wp:extent cx="737870" cy="805815"/>
            <wp:effectExtent l="0" t="0" r="0" b="0"/>
            <wp:wrapTopAndBottom/>
            <wp:docPr id="1" name="Imagem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
                    <pic:cNvPicPr>
                      <a:picLocks noChangeAspect="1" noChangeArrowheads="1"/>
                    </pic:cNvPicPr>
                  </pic:nvPicPr>
                  <pic:blipFill>
                    <a:blip r:embed="rId2"/>
                    <a:stretch>
                      <a:fillRect/>
                    </a:stretch>
                  </pic:blipFill>
                  <pic:spPr bwMode="auto">
                    <a:xfrm>
                      <a:off x="0" y="0"/>
                      <a:ext cx="737870" cy="805815"/>
                    </a:xfrm>
                    <a:prstGeom prst="rect">
                      <a:avLst/>
                    </a:prstGeom>
                  </pic:spPr>
                </pic:pic>
              </a:graphicData>
            </a:graphic>
          </wp:anchor>
        </w:drawing>
      </w:r>
      <w:r>
        <w:rPr>
          <w:rFonts w:eastAsia="Times New Roman" w:cs="Arial" w:ascii="Arial" w:hAnsi="Arial"/>
          <w:b/>
          <w:i w:val="false"/>
          <w:iCs w:val="false"/>
          <w:color w:val="000000"/>
          <w:sz w:val="20"/>
          <w:szCs w:val="20"/>
          <w:shd w:fill="FFFFFF" w:val="clear"/>
        </w:rPr>
        <w:t>MINISTÉRIO DA DEFESA</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EXÉRCITO BRASILEIRO</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4º BATALHÃO DE ENGENHARIA DE CONSTRUÇÃO</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(4º Batalhão Ferroviário/ 1955)</w:t>
      </w:r>
    </w:p>
    <w:p>
      <w:pPr>
        <w:pStyle w:val="Normal"/>
        <w:spacing w:lineRule="auto" w:line="240" w:before="0" w:after="0"/>
        <w:jc w:val="center"/>
        <w:rPr>
          <w:color w:val="000000"/>
          <w:highlight w:val="none"/>
          <w:shd w:fill="FFFFFF" w:val="clear"/>
        </w:rPr>
      </w:pPr>
      <w:r>
        <w:rPr>
          <w:rFonts w:eastAsia="Times New Roman" w:cs="Arial" w:ascii="Arial" w:hAnsi="Arial"/>
          <w:b/>
          <w:i w:val="false"/>
          <w:iCs w:val="false"/>
          <w:color w:val="000000"/>
          <w:sz w:val="20"/>
          <w:szCs w:val="20"/>
          <w:shd w:fill="FFFFFF" w:val="clear"/>
        </w:rPr>
        <w:t>BATALHÃO GENERAL ARGOLO</w:t>
      </w:r>
    </w:p>
    <w:p>
      <w:pPr>
        <w:pStyle w:val="Normal"/>
        <w:spacing w:lineRule="auto" w:line="312" w:before="120" w:after="288"/>
        <w:jc w:val="center"/>
        <w:rPr>
          <w:color w:val="000000"/>
          <w:highlight w:val="none"/>
          <w:shd w:fill="FFFFFF" w:val="clear"/>
        </w:rPr>
      </w:pPr>
      <w:r>
        <w:rPr>
          <w:rFonts w:eastAsia="Calibri" w:cs="Arial" w:ascii="Arial" w:hAnsi="Arial"/>
          <w:b/>
          <w:bCs/>
          <w:i/>
          <w:iCs/>
          <w:color w:val="000000"/>
          <w:sz w:val="20"/>
          <w:szCs w:val="20"/>
          <w:shd w:fill="FFFFFF" w:val="clear"/>
          <w:lang w:eastAsia="en-US"/>
        </w:rPr>
        <w:t xml:space="preserve">(Processo Administrativo n° </w:t>
      </w:r>
      <w:r>
        <w:rPr>
          <w:rFonts w:eastAsia="Calibri" w:cs="Arial" w:ascii="Arial" w:hAnsi="Arial"/>
          <w:b/>
          <w:bCs/>
          <w:i w:val="false"/>
          <w:iCs w:val="false"/>
          <w:color w:val="000000"/>
          <w:sz w:val="20"/>
          <w:szCs w:val="20"/>
          <w:shd w:fill="FFFFFF" w:val="clear"/>
          <w:lang w:eastAsia="en-US"/>
        </w:rPr>
        <w:t>64042.004311/2026-81</w:t>
      </w:r>
      <w:r>
        <w:rPr>
          <w:rFonts w:eastAsia="Calibri" w:cs="Arial" w:ascii="Arial" w:hAnsi="Arial"/>
          <w:b/>
          <w:bCs/>
          <w:i/>
          <w:iCs/>
          <w:color w:val="000000"/>
          <w:sz w:val="20"/>
          <w:szCs w:val="20"/>
          <w:shd w:fill="FFFFFF" w:val="clear"/>
          <w:lang w:eastAsia="en-US"/>
        </w:rPr>
        <w:t>)</w:t>
      </w:r>
    </w:p>
    <w:p>
      <w:pPr>
        <w:pStyle w:val="Prembulo"/>
        <w:spacing w:lineRule="auto" w:line="312" w:before="480" w:after="288"/>
        <w:ind w:left="4253" w:right="-170" w:hanging="0"/>
        <w:rPr>
          <w:bCs w:val="false"/>
        </w:rPr>
      </w:pPr>
      <w:r>
        <w:rPr>
          <w:bCs w:val="false"/>
        </w:rPr>
        <w:t xml:space="preserve">CONTRATO ADMINISTRATIVO Nº ......../...., QUE FAZEM ENTRE SI A UNIÃO, POR INTERMÉDIO DO (A) ......................................................... E ............................................................. </w:t>
      </w:r>
    </w:p>
    <w:p>
      <w:pPr>
        <w:pStyle w:val="Annotationtext"/>
        <w:spacing w:lineRule="auto" w:line="276" w:before="0" w:after="0"/>
        <w:ind w:left="0" w:right="0" w:firstLine="840"/>
        <w:jc w:val="both"/>
        <w:rPr/>
      </w:pPr>
      <w:r>
        <w:rPr>
          <w:rFonts w:cs="Arial" w:ascii="Arial" w:hAnsi="Arial"/>
        </w:rPr>
        <w:t>A União , por intermédio do 4º Batalhão de Engenharia de Construção, por meio do Setor de Aquisições Licitações e Contratos, com sede na na cidade de Barreiras-BA, inscrito(a) noCNPJ sob o nº 07.540.208/0001-42, neste ato representado(a) pelo(a) Ordenador de Despesas, Sr WARLEY LUIZ DA SILVA – Tenente Coronel, nomeado(a) pela Portaria nº 730, de 23 de maio de 2024, publicada no DOU 100, seção 2, Página 10, de 24 de maio de 2024 portador da Matrícula Funcional nº XXX.832.904-X, doravante denominado CONTRATANTE, e o(a) [CONTRATADO], inscrito(a) no CNPJ/MF sob o nº [CNPJ], sediado(a) na BR 020/242, Km 03, Bairro Morada Nobre, CEP 47.810-902, na cidade de Barreiras-BA, doravante designado CONTRATADO, neste ato representado(a) por [nome e função no CONTRATADO], conforme [atos constitutivos da empresa] OU [procuração apresentada nos autos], tendo em vista o que consta no Processo nº 64042.004845/2025-27 e em observância às disposições da Lei nº 14.133, de 1º de abril de 2021, e demais legislação aplicável, resolvem celebrar o presente Termo de Contrato, decorrente do(a) Pregão Eletrônico nº 90003/2025, mediante as cláusulas e condições a seguir enunciadas.</w:t>
      </w:r>
    </w:p>
    <w:p>
      <w:pPr>
        <w:pStyle w:val="Nivel01"/>
        <w:numPr>
          <w:ilvl w:val="0"/>
          <w:numId w:val="1"/>
        </w:numPr>
        <w:rPr/>
      </w:pPr>
      <w:r>
        <w:rPr/>
        <w:t>CLÁUSULA PRIMEIRA – OBJETO</w:t>
      </w:r>
    </w:p>
    <w:p>
      <w:pPr>
        <w:pStyle w:val="Nivel2"/>
        <w:numPr>
          <w:ilvl w:val="1"/>
          <w:numId w:val="1"/>
        </w:numPr>
        <w:ind w:left="0" w:hanging="0"/>
        <w:rPr>
          <w:i w:val="false"/>
          <w:i w:val="false"/>
          <w:iCs w:val="false"/>
        </w:rPr>
      </w:pPr>
      <w:r>
        <w:rPr>
          <w:i w:val="false"/>
          <w:iCs w:val="false"/>
        </w:rPr>
        <w:t>O objeto do presente instrumento é a c</w:t>
      </w:r>
      <w:r>
        <w:rPr>
          <w:i w:val="false"/>
          <w:iCs w:val="false"/>
          <w:color w:val="000000"/>
        </w:rPr>
        <w:t>ontratação de empresa especializada na prestação de serviços continuados de impressão corporativa por meio de outsourcing, contemplando o fornecimento de impressoras multifuncionais, software de gerenciamento de impressões, assistência técnica, manutenção corretiva e preventiva dos equipamentos com substituição de peças, componentes e materiais utilizados na manutenção e o fornecimento de insumos originais</w:t>
      </w:r>
      <w:r>
        <w:rPr>
          <w:i w:val="false"/>
          <w:iCs w:val="false"/>
          <w:color w:val="000000"/>
        </w:rPr>
        <w:t>,</w:t>
      </w:r>
      <w:r>
        <w:rPr>
          <w:i w:val="false"/>
          <w:iCs w:val="false"/>
        </w:rPr>
        <w:t xml:space="preserve"> nas condições estabelecidas no Termo de Referência.</w:t>
      </w:r>
    </w:p>
    <w:p>
      <w:pPr>
        <w:pStyle w:val="Nivel2"/>
        <w:numPr>
          <w:ilvl w:val="1"/>
          <w:numId w:val="1"/>
        </w:numPr>
        <w:ind w:left="0" w:hanging="0"/>
        <w:rPr/>
      </w:pPr>
      <w:r>
        <w:rPr/>
        <w:t>Objeto da contratação:</w:t>
      </w:r>
    </w:p>
    <w:tbl>
      <w:tblPr>
        <w:tblW w:w="9642" w:type="dxa"/>
        <w:jc w:val="left"/>
        <w:tblInd w:w="-5" w:type="dxa"/>
        <w:tblLayout w:type="fixed"/>
        <w:tblCellMar>
          <w:top w:w="0" w:type="dxa"/>
          <w:left w:w="108" w:type="dxa"/>
          <w:bottom w:w="0" w:type="dxa"/>
          <w:right w:w="108" w:type="dxa"/>
        </w:tblCellMar>
        <w:tblLook w:val="04a0" w:noHBand="0" w:noVBand="1" w:firstColumn="1" w:lastRow="0" w:lastColumn="0" w:firstRow="1"/>
      </w:tblPr>
      <w:tblGrid>
        <w:gridCol w:w="851"/>
        <w:gridCol w:w="2553"/>
        <w:gridCol w:w="1278"/>
        <w:gridCol w:w="1135"/>
        <w:gridCol w:w="1560"/>
        <w:gridCol w:w="1275"/>
        <w:gridCol w:w="989"/>
      </w:tblGrid>
      <w:tr>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b/>
                <w:b/>
                <w:bCs/>
                <w:color w:val="000000"/>
                <w:sz w:val="20"/>
                <w:szCs w:val="20"/>
              </w:rPr>
            </w:pPr>
            <w:commentRangeStart w:id="1"/>
            <w:r>
              <w:rPr>
                <w:rFonts w:eastAsia="Arial" w:cs="Arial" w:ascii="Arial" w:hAnsi="Arial"/>
                <w:b/>
                <w:bCs/>
                <w:color w:val="000000" w:themeColor="text1"/>
                <w:sz w:val="20"/>
                <w:szCs w:val="20"/>
              </w:rPr>
              <w:t>ITEM</w:t>
            </w:r>
          </w:p>
          <w:p>
            <w:pPr>
              <w:pStyle w:val="Normal"/>
              <w:widowControl w:val="false"/>
              <w:spacing w:lineRule="auto" w:line="276" w:before="120" w:after="288"/>
              <w:ind w:firstLine="709"/>
              <w:jc w:val="center"/>
              <w:rPr>
                <w:rFonts w:ascii="Arial" w:hAnsi="Arial" w:eastAsia="Arial" w:cs="Arial"/>
                <w:b/>
                <w:b/>
                <w:bCs/>
                <w:color w:val="000000"/>
                <w:sz w:val="20"/>
                <w:szCs w:val="20"/>
              </w:rPr>
            </w:pPr>
            <w:r>
              <w:rPr>
                <w:rFonts w:eastAsia="Arial" w:cs="Arial" w:ascii="Arial" w:hAnsi="Arial"/>
                <w:b/>
                <w:bCs/>
                <w:color w:val="000000"/>
                <w:sz w:val="20"/>
                <w:szCs w:val="20"/>
              </w:rPr>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color w:val="000000"/>
                <w:sz w:val="20"/>
                <w:szCs w:val="20"/>
              </w:rPr>
            </w:pPr>
            <w:r>
              <w:rPr>
                <w:rFonts w:eastAsia="Arial" w:cs="Arial" w:ascii="Arial" w:hAnsi="Arial"/>
                <w:b/>
                <w:bCs/>
                <w:color w:val="000000" w:themeColor="text1"/>
                <w:sz w:val="20"/>
                <w:szCs w:val="20"/>
              </w:rPr>
              <w:t>ESPECIFICAÇÃO</w:t>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color w:val="000000"/>
                <w:sz w:val="20"/>
                <w:szCs w:val="20"/>
              </w:rPr>
            </w:pPr>
            <w:r>
              <w:rPr>
                <w:rFonts w:eastAsia="Arial" w:cs="Arial" w:ascii="Arial" w:hAnsi="Arial"/>
                <w:b/>
                <w:bCs/>
                <w:color w:val="000000" w:themeColor="text1"/>
                <w:sz w:val="20"/>
                <w:szCs w:val="20"/>
              </w:rPr>
              <w:t>CATSER</w:t>
            </w:r>
          </w:p>
        </w:tc>
        <w:tc>
          <w:tcPr>
            <w:tcW w:w="11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color w:val="000000"/>
                <w:sz w:val="20"/>
                <w:szCs w:val="20"/>
              </w:rPr>
            </w:pPr>
            <w:r>
              <w:rPr>
                <w:rFonts w:eastAsia="Arial" w:cs="Arial" w:ascii="Arial" w:hAnsi="Arial"/>
                <w:b/>
                <w:bCs/>
                <w:color w:val="000000" w:themeColor="text1"/>
                <w:sz w:val="20"/>
                <w:szCs w:val="20"/>
              </w:rPr>
              <w:t>UNIDADE DE MEDIDA</w:t>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b/>
                <w:b/>
                <w:bCs/>
                <w:sz w:val="20"/>
                <w:szCs w:val="20"/>
              </w:rPr>
            </w:pPr>
            <w:r>
              <w:rPr>
                <w:rFonts w:eastAsia="Arial" w:cs="Arial" w:ascii="Arial" w:hAnsi="Arial"/>
                <w:b/>
                <w:bCs/>
                <w:sz w:val="20"/>
                <w:szCs w:val="20"/>
              </w:rPr>
              <w:t>QUANTIDADE</w:t>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b/>
                <w:b/>
                <w:bCs/>
                <w:sz w:val="20"/>
                <w:szCs w:val="20"/>
              </w:rPr>
            </w:pPr>
            <w:r>
              <w:rPr>
                <w:rFonts w:eastAsia="Arial" w:cs="Arial" w:ascii="Arial" w:hAnsi="Arial"/>
                <w:b/>
                <w:bCs/>
                <w:sz w:val="20"/>
                <w:szCs w:val="20"/>
              </w:rPr>
              <w:t>VALOR UNITÁRIO</w:t>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b/>
                <w:b/>
                <w:bCs/>
                <w:sz w:val="20"/>
                <w:szCs w:val="20"/>
              </w:rPr>
            </w:pPr>
            <w:r>
              <w:rPr>
                <w:rFonts w:eastAsia="Arial" w:cs="Arial" w:ascii="Arial" w:hAnsi="Arial"/>
                <w:b/>
                <w:bCs/>
                <w:sz w:val="20"/>
                <w:szCs w:val="20"/>
              </w:rPr>
              <w:t>VALOR TOTAL</w:t>
            </w:r>
          </w:p>
        </w:tc>
      </w:tr>
      <w:tr>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b/>
                <w:b/>
                <w:bCs/>
                <w:color w:val="000000"/>
                <w:sz w:val="20"/>
                <w:szCs w:val="20"/>
              </w:rPr>
            </w:pPr>
            <w:r>
              <w:rPr>
                <w:rFonts w:eastAsia="Arial" w:cs="Arial" w:ascii="Arial" w:hAnsi="Arial"/>
                <w:b/>
                <w:bCs/>
                <w:color w:val="000000" w:themeColor="text1"/>
                <w:sz w:val="20"/>
                <w:szCs w:val="20"/>
              </w:rPr>
              <w:t>1</w:t>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1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r>
      <w:tr>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b/>
                <w:b/>
                <w:bCs/>
                <w:color w:val="000000"/>
                <w:sz w:val="20"/>
                <w:szCs w:val="20"/>
              </w:rPr>
            </w:pPr>
            <w:r>
              <w:rPr>
                <w:rFonts w:eastAsia="Arial" w:cs="Arial" w:ascii="Arial" w:hAnsi="Arial"/>
                <w:b/>
                <w:bCs/>
                <w:color w:val="000000" w:themeColor="text1"/>
                <w:sz w:val="20"/>
                <w:szCs w:val="20"/>
              </w:rPr>
              <w:t>2</w:t>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1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r>
      <w:tr>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b/>
                <w:b/>
                <w:bCs/>
                <w:color w:val="000000"/>
                <w:sz w:val="20"/>
                <w:szCs w:val="20"/>
              </w:rPr>
            </w:pPr>
            <w:r>
              <w:rPr>
                <w:rFonts w:eastAsia="Arial" w:cs="Arial" w:ascii="Arial" w:hAnsi="Arial"/>
                <w:b/>
                <w:bCs/>
                <w:color w:val="000000" w:themeColor="text1"/>
                <w:sz w:val="20"/>
                <w:szCs w:val="20"/>
              </w:rPr>
              <w:t>3</w:t>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1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r>
      <w:tr>
        <w:trPr/>
        <w:tc>
          <w:tcPr>
            <w:tcW w:w="851"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jc w:val="center"/>
              <w:rPr>
                <w:rFonts w:ascii="Arial" w:hAnsi="Arial" w:eastAsia="Arial" w:cs="Arial"/>
                <w:b/>
                <w:b/>
                <w:bCs/>
                <w:color w:val="000000"/>
                <w:sz w:val="20"/>
                <w:szCs w:val="20"/>
              </w:rPr>
            </w:pPr>
            <w:r>
              <w:rPr>
                <w:rFonts w:eastAsia="Arial" w:cs="Arial" w:ascii="Arial" w:hAnsi="Arial"/>
                <w:b/>
                <w:bCs/>
                <w:color w:val="000000" w:themeColor="text1"/>
                <w:sz w:val="20"/>
                <w:szCs w:val="20"/>
              </w:rPr>
              <w:t>...</w:t>
            </w:r>
          </w:p>
        </w:tc>
        <w:tc>
          <w:tcPr>
            <w:tcW w:w="255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sz w:val="20"/>
                <w:szCs w:val="20"/>
              </w:rPr>
            </w:pPr>
            <w:r>
              <w:rPr>
                <w:rFonts w:eastAsia="Arial" w:cs="Arial" w:ascii="Arial" w:hAnsi="Arial"/>
                <w:sz w:val="20"/>
                <w:szCs w:val="20"/>
              </w:rPr>
            </w:r>
          </w:p>
        </w:tc>
        <w:tc>
          <w:tcPr>
            <w:tcW w:w="1278"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13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1560"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commentRangeEnd w:id="1"/>
            <w:r>
              <w:commentReference w:id="1"/>
            </w: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c>
          <w:tcPr>
            <w:tcW w:w="989"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76" w:before="120" w:after="288"/>
              <w:ind w:firstLine="709"/>
              <w:jc w:val="center"/>
              <w:rPr>
                <w:rFonts w:ascii="Arial" w:hAnsi="Arial" w:eastAsia="Arial" w:cs="Arial"/>
                <w:color w:val="000000"/>
                <w:sz w:val="20"/>
                <w:szCs w:val="20"/>
              </w:rPr>
            </w:pPr>
            <w:r>
              <w:rPr>
                <w:rFonts w:eastAsia="Arial" w:cs="Arial" w:ascii="Arial" w:hAnsi="Arial"/>
                <w:color w:val="000000"/>
                <w:sz w:val="20"/>
                <w:szCs w:val="20"/>
              </w:rPr>
            </w:r>
          </w:p>
        </w:tc>
      </w:tr>
    </w:tbl>
    <w:p>
      <w:pPr>
        <w:pStyle w:val="Nivel2"/>
        <w:numPr>
          <w:ilvl w:val="1"/>
          <w:numId w:val="1"/>
        </w:numPr>
        <w:ind w:left="0" w:hanging="0"/>
        <w:rPr/>
      </w:pPr>
      <w:r>
        <w:rPr/>
        <w:t>Vinculam esta contratação, independentemente de transcrição:</w:t>
      </w:r>
    </w:p>
    <w:p>
      <w:pPr>
        <w:pStyle w:val="Nivel3"/>
        <w:numPr>
          <w:ilvl w:val="2"/>
          <w:numId w:val="1"/>
        </w:numPr>
        <w:ind w:left="284" w:hanging="0"/>
        <w:rPr/>
      </w:pPr>
      <w:r>
        <w:rPr/>
        <w:t>O Termo de Referência;</w:t>
      </w:r>
    </w:p>
    <w:p>
      <w:pPr>
        <w:pStyle w:val="Nivel3"/>
        <w:numPr>
          <w:ilvl w:val="2"/>
          <w:numId w:val="1"/>
        </w:numPr>
        <w:ind w:left="284" w:hanging="0"/>
        <w:rPr>
          <w:color w:val="FF0000"/>
          <w:highlight w:val="yellow"/>
        </w:rPr>
      </w:pPr>
      <w:r>
        <w:rPr>
          <w:color w:val="FF0000"/>
        </w:rPr>
        <w:t>[</w:t>
      </w:r>
      <w:r>
        <w:rPr>
          <w:i/>
          <w:iCs/>
          <w:color w:val="FF0000"/>
        </w:rPr>
        <w:t>O Edital da Licitação</w:t>
      </w:r>
      <w:r>
        <w:rPr>
          <w:color w:val="FF0000"/>
        </w:rPr>
        <w:t xml:space="preserve">] </w:t>
      </w:r>
      <w:r>
        <w:rPr>
          <w:b/>
          <w:bCs/>
          <w:strike/>
          <w:color w:val="FF0000"/>
          <w:highlight w:val="yellow"/>
          <w:u w:val="single"/>
        </w:rPr>
        <w:t>OU</w:t>
      </w:r>
      <w:r>
        <w:rPr>
          <w:strike/>
          <w:color w:val="FF0000"/>
          <w:highlight w:val="yellow"/>
        </w:rPr>
        <w:t xml:space="preserve"> [</w:t>
      </w:r>
      <w:r>
        <w:rPr>
          <w:i/>
          <w:iCs/>
          <w:strike/>
          <w:color w:val="FF0000"/>
          <w:highlight w:val="yellow"/>
        </w:rPr>
        <w:t>A Autorização de Contratação Direta</w:t>
      </w:r>
      <w:r>
        <w:rPr>
          <w:strike/>
          <w:color w:val="FF0000"/>
          <w:highlight w:val="yellow"/>
        </w:rPr>
        <w:t xml:space="preserve">] </w:t>
      </w:r>
      <w:r>
        <w:rPr>
          <w:b/>
          <w:bCs/>
          <w:strike/>
          <w:color w:val="FF0000"/>
          <w:highlight w:val="yellow"/>
          <w:u w:val="single"/>
        </w:rPr>
        <w:t>OU</w:t>
      </w:r>
      <w:r>
        <w:rPr>
          <w:strike/>
          <w:color w:val="FF0000"/>
          <w:highlight w:val="yellow"/>
        </w:rPr>
        <w:t xml:space="preserve"> [</w:t>
      </w:r>
      <w:r>
        <w:rPr>
          <w:i/>
          <w:iCs/>
          <w:strike/>
          <w:color w:val="FF0000"/>
          <w:highlight w:val="yellow"/>
        </w:rPr>
        <w:t>O Aviso de Dispensa Eletrônica</w:t>
      </w:r>
      <w:r>
        <w:rPr>
          <w:strike/>
          <w:color w:val="FF0000"/>
          <w:highlight w:val="yellow"/>
        </w:rPr>
        <w:t>];</w:t>
      </w:r>
    </w:p>
    <w:p>
      <w:pPr>
        <w:pStyle w:val="Nivel3"/>
        <w:numPr>
          <w:ilvl w:val="2"/>
          <w:numId w:val="1"/>
        </w:numPr>
        <w:ind w:left="284" w:hanging="0"/>
        <w:rPr/>
      </w:pPr>
      <w:r>
        <w:rPr/>
        <w:t>A Proposta do contratado;</w:t>
      </w:r>
    </w:p>
    <w:p>
      <w:pPr>
        <w:pStyle w:val="Nivel3"/>
        <w:numPr>
          <w:ilvl w:val="2"/>
          <w:numId w:val="1"/>
        </w:numPr>
        <w:ind w:left="284" w:hanging="0"/>
        <w:rPr/>
      </w:pPr>
      <w:r>
        <w:rPr/>
        <w:t>Eventuais anexos dos documentos supracitados.</w:t>
      </w:r>
    </w:p>
    <w:p>
      <w:pPr>
        <w:pStyle w:val="Nivel01"/>
        <w:numPr>
          <w:ilvl w:val="0"/>
          <w:numId w:val="1"/>
        </w:numPr>
        <w:rPr/>
      </w:pPr>
      <w:r>
        <w:rPr/>
        <w:t>CLÁUSULA SEGUNDA – VIGÊNCIA E PRORROGAÇÃO</w:t>
      </w:r>
    </w:p>
    <w:p>
      <w:pPr>
        <w:pStyle w:val="Nvel2Red"/>
        <w:numPr>
          <w:ilvl w:val="1"/>
          <w:numId w:val="1"/>
        </w:numPr>
        <w:ind w:left="0" w:hanging="0"/>
        <w:rPr>
          <w:strike/>
        </w:rPr>
      </w:pPr>
      <w:commentRangeStart w:id="2"/>
      <w:r>
        <w:rPr>
          <w:strike/>
        </w:rPr>
        <w:t xml:space="preserve">O prazo de vigência da contratação é de </w:t>
      </w:r>
      <w:r>
        <w:rPr>
          <w:b/>
          <w:bCs/>
          <w:strike/>
        </w:rPr>
        <w:t>[indicar o prazo]</w:t>
      </w:r>
      <w:r>
        <w:rPr>
          <w:strike/>
        </w:rPr>
        <w:t xml:space="preserve"> contados do(a) </w:t>
      </w:r>
      <w:r>
        <w:rPr>
          <w:b/>
          <w:bCs/>
          <w:strike/>
        </w:rPr>
        <w:t>[indicar o termo inicial da vigência]</w:t>
      </w:r>
      <w:r>
        <w:rPr>
          <w:strike/>
        </w:rPr>
        <w:t>, na forma do art. 105 da Lei n° 14.133, de 2021.</w:t>
      </w:r>
    </w:p>
    <w:p>
      <w:pPr>
        <w:pStyle w:val="Nvel2Red"/>
        <w:numPr>
          <w:ilvl w:val="1"/>
          <w:numId w:val="1"/>
        </w:numPr>
        <w:ind w:left="0" w:hanging="0"/>
        <w:rPr>
          <w:strike/>
        </w:rPr>
      </w:pPr>
      <w:r>
        <w:rPr>
          <w:strike/>
        </w:rPr>
        <w:t>O prazo de vigência será automaticamente prorrogado, independentemente de termo aditivo, quando o objeto não for concluído no período firmado acima, ressalvadas as providências cabíveis no caso de culpa do contratado, previstas neste instrumento.</w:t>
      </w:r>
      <w:commentRangeEnd w:id="2"/>
      <w:r>
        <w:commentReference w:id="2"/>
      </w:r>
      <w:r>
        <w:rPr>
          <w:strike/>
        </w:rPr>
      </w:r>
    </w:p>
    <w:p>
      <w:pPr>
        <w:pStyle w:val="Ou"/>
        <w:rPr>
          <w:strike/>
        </w:rPr>
      </w:pPr>
      <w:r>
        <w:rPr>
          <w:strike/>
        </w:rPr>
        <w:t>OU</w:t>
      </w:r>
    </w:p>
    <w:p>
      <w:pPr>
        <w:pStyle w:val="Nvel2Red"/>
        <w:numPr>
          <w:ilvl w:val="1"/>
          <w:numId w:val="1"/>
        </w:numPr>
        <w:ind w:left="0" w:hanging="0"/>
        <w:rPr>
          <w:rStyle w:val="LinkdaInternet"/>
          <w:color w:val="FF0000"/>
          <w:u w:val="none"/>
        </w:rPr>
      </w:pPr>
      <w:r>
        <w:rPr/>
        <w:t xml:space="preserve">O prazo de vigência da contratação é de [indicar o prazo] contados do(a) [indicar o termo inicial da vigência], prorrogável sucessivamente por até 10 anos, na forma dos </w:t>
      </w:r>
      <w:r>
        <w:fldChar w:fldCharType="begin"/>
      </w:r>
      <w:r>
        <w:rPr>
          <w:rStyle w:val="LinkdaInternet"/>
          <w:color w:val="FF0000"/>
        </w:rPr>
        <w:instrText xml:space="preserve"> HYPERLINK "http://www.planalto.gov.br/ccivil_03/_ato2019-2022/2021/lei/L14133.htm" \l "art106"</w:instrText>
      </w:r>
      <w:r>
        <w:rPr>
          <w:rStyle w:val="LinkdaInternet"/>
          <w:color w:val="FF0000"/>
        </w:rPr>
        <w:fldChar w:fldCharType="separate"/>
      </w:r>
      <w:commentRangeStart w:id="3"/>
      <w:r>
        <w:rPr>
          <w:rStyle w:val="LinkdaInternet"/>
          <w:color w:val="FF0000"/>
        </w:rPr>
        <w:t>arts. 106 e 107 da Lei n° 14.133, de 2021.</w:t>
      </w:r>
      <w:r>
        <w:rPr>
          <w:rStyle w:val="LinkdaInternet"/>
          <w:color w:val="FF0000"/>
        </w:rPr>
        <w:fldChar w:fldCharType="end"/>
      </w:r>
      <w:commentRangeEnd w:id="3"/>
      <w:r>
        <w:commentReference w:id="3"/>
      </w:r>
      <w:r>
        <w:rPr>
          <w:rStyle w:val="LinkdaInternet"/>
          <w:color w:val="FF0000"/>
        </w:rPr>
      </w:r>
    </w:p>
    <w:p>
      <w:pPr>
        <w:pStyle w:val="Ou"/>
        <w:rPr>
          <w:strike/>
        </w:rPr>
      </w:pPr>
      <w:r>
        <w:rPr>
          <w:strike/>
        </w:rPr>
        <w:t>OU</w:t>
      </w:r>
    </w:p>
    <w:p>
      <w:pPr>
        <w:pStyle w:val="Nvel2Red"/>
        <w:numPr>
          <w:ilvl w:val="1"/>
          <w:numId w:val="1"/>
        </w:numPr>
        <w:ind w:left="0" w:hanging="0"/>
        <w:rPr>
          <w:strike/>
        </w:rPr>
      </w:pPr>
      <w:commentRangeStart w:id="4"/>
      <w:r>
        <w:rPr>
          <w:strike/>
        </w:rPr>
        <w:t xml:space="preserve">O prazo de vigência da contratação é de </w:t>
      </w:r>
      <w:r>
        <w:rPr>
          <w:b/>
          <w:bCs/>
          <w:strike/>
        </w:rPr>
        <w:t>[indicar o prazo]</w:t>
      </w:r>
      <w:r>
        <w:rPr>
          <w:strike/>
        </w:rPr>
        <w:t xml:space="preserve"> contados do(a) </w:t>
      </w:r>
      <w:r>
        <w:rPr>
          <w:b/>
          <w:bCs/>
          <w:strike/>
        </w:rPr>
        <w:t>[indicar o termo inicial da vigência]</w:t>
      </w:r>
      <w:r>
        <w:rPr>
          <w:strike/>
        </w:rPr>
        <w:t xml:space="preserve">, </w:t>
      </w:r>
      <w:r>
        <w:rPr>
          <w:strike/>
        </w:rPr>
      </w:r>
      <w:commentRangeEnd w:id="4"/>
      <w:r>
        <w:commentReference w:id="4"/>
      </w:r>
      <w:r>
        <w:rPr>
          <w:strike/>
        </w:rPr>
        <w:t>prorrogável para até 15 anos (máximo de 15 anos, incluindo prorrogações), na forma do art. 114 da Lei n° 14.133, de 2021.</w:t>
      </w:r>
    </w:p>
    <w:p>
      <w:pPr>
        <w:pStyle w:val="Nvel2Red"/>
        <w:numPr>
          <w:ilvl w:val="1"/>
          <w:numId w:val="1"/>
        </w:numPr>
        <w:ind w:left="0" w:hanging="0"/>
        <w:rPr>
          <w:strike/>
        </w:rPr>
      </w:pPr>
      <w:r>
        <w:rPr>
          <w:strike/>
        </w:rPr>
        <w:t>A prorrogação de que trata esse item é condicionada à avaliação, por parte do Gestor do Contrato, da vantajosidade da prorrogação, a qual deverá ser realizada motivadamente, com base no Histórico de Gestão do Contrato, nos princípios da manutenção da necessidade, economicidade e oportunidade da contratação e nos demais aspectos que forem julgados relevantes, atentando, ainda, para o cumprimento dos seguintes requisitos:</w:t>
      </w:r>
    </w:p>
    <w:p>
      <w:pPr>
        <w:pStyle w:val="Nvel3R"/>
        <w:numPr>
          <w:ilvl w:val="2"/>
          <w:numId w:val="1"/>
        </w:numPr>
        <w:ind w:left="284" w:hanging="0"/>
        <w:rPr>
          <w:strike/>
        </w:rPr>
      </w:pPr>
      <w:r>
        <w:rPr>
          <w:strike/>
        </w:rPr>
        <w:t>Estar formalmente demonstrado no processo que a forma de prestação dos serviços tem natureza continuada;</w:t>
      </w:r>
    </w:p>
    <w:p>
      <w:pPr>
        <w:pStyle w:val="Nvel3R"/>
        <w:numPr>
          <w:ilvl w:val="2"/>
          <w:numId w:val="1"/>
        </w:numPr>
        <w:ind w:left="284" w:hanging="0"/>
        <w:rPr>
          <w:strike/>
        </w:rPr>
      </w:pPr>
      <w:r>
        <w:rPr>
          <w:strike/>
        </w:rPr>
        <w:t>Seja juntado relatório que discorra sobre a execução do contrato, com informações de que os serviços tenham sido prestados regularmente;</w:t>
      </w:r>
    </w:p>
    <w:p>
      <w:pPr>
        <w:pStyle w:val="Nvel3R"/>
        <w:numPr>
          <w:ilvl w:val="2"/>
          <w:numId w:val="1"/>
        </w:numPr>
        <w:ind w:left="284" w:hanging="0"/>
        <w:rPr>
          <w:strike/>
        </w:rPr>
      </w:pPr>
      <w:r>
        <w:rPr>
          <w:strike/>
        </w:rPr>
        <w:t xml:space="preserve">Seja juntada justificativa e motivo, por escrito, de que a Administração mantém interesse na realização do serviço; </w:t>
      </w:r>
    </w:p>
    <w:p>
      <w:pPr>
        <w:pStyle w:val="Nvel3R"/>
        <w:numPr>
          <w:ilvl w:val="2"/>
          <w:numId w:val="1"/>
        </w:numPr>
        <w:ind w:left="284" w:hanging="0"/>
        <w:rPr>
          <w:strike/>
        </w:rPr>
      </w:pPr>
      <w:r>
        <w:rPr>
          <w:strike/>
        </w:rPr>
        <w:t xml:space="preserve">Haja manifestação expressa do CONTRATADO informando o interesse na prorrogação; </w:t>
      </w:r>
    </w:p>
    <w:p>
      <w:pPr>
        <w:pStyle w:val="Nvel3R"/>
        <w:numPr>
          <w:ilvl w:val="2"/>
          <w:numId w:val="1"/>
        </w:numPr>
        <w:ind w:left="284" w:hanging="0"/>
        <w:rPr>
          <w:strike/>
        </w:rPr>
      </w:pPr>
      <w:r>
        <w:rPr>
          <w:strike/>
        </w:rPr>
        <w:t>Seja comprovado que o CONTRATADO mantém as condições iniciais de habilitação; e</w:t>
      </w:r>
    </w:p>
    <w:p>
      <w:pPr>
        <w:pStyle w:val="Nvel3R"/>
        <w:numPr>
          <w:ilvl w:val="2"/>
          <w:numId w:val="1"/>
        </w:numPr>
        <w:ind w:left="284" w:hanging="0"/>
        <w:rPr>
          <w:strike/>
        </w:rPr>
      </w:pPr>
      <w:r>
        <w:rPr>
          <w:strike/>
        </w:rPr>
        <w:t xml:space="preserve">Não haja registro </w:t>
      </w:r>
      <w:bookmarkStart w:id="0" w:name="_Hlk182221215"/>
      <w:bookmarkStart w:id="1" w:name="_Hlk182221187"/>
      <w:r>
        <w:rPr>
          <w:strike/>
        </w:rPr>
        <w:t>no Cadastro Informativo de créditos não quitados do setor público federal (</w:t>
      </w:r>
      <w:commentRangeStart w:id="5"/>
      <w:r>
        <w:rPr>
          <w:strike/>
        </w:rPr>
        <w:t>Cadin</w:t>
      </w:r>
      <w:bookmarkEnd w:id="0"/>
      <w:bookmarkEnd w:id="1"/>
      <w:r>
        <w:rPr>
          <w:strike/>
        </w:rPr>
      </w:r>
      <w:commentRangeEnd w:id="5"/>
      <w:r>
        <w:commentReference w:id="5"/>
      </w:r>
      <w:r>
        <w:rPr>
          <w:strike/>
        </w:rPr>
        <w:t>).</w:t>
      </w:r>
    </w:p>
    <w:p>
      <w:pPr>
        <w:pStyle w:val="Nvel2Red"/>
        <w:numPr>
          <w:ilvl w:val="1"/>
          <w:numId w:val="1"/>
        </w:numPr>
        <w:ind w:left="0" w:hanging="0"/>
        <w:rPr>
          <w:strike/>
        </w:rPr>
      </w:pPr>
      <w:r>
        <w:rPr>
          <w:strike/>
        </w:rPr>
        <w:t>O CONTRATADO não tem direito subjetivo à prorrogação contratual.</w:t>
      </w:r>
    </w:p>
    <w:p>
      <w:pPr>
        <w:pStyle w:val="Nvel2Red"/>
        <w:numPr>
          <w:ilvl w:val="1"/>
          <w:numId w:val="1"/>
        </w:numPr>
        <w:ind w:left="0" w:hanging="0"/>
        <w:rPr>
          <w:strike/>
        </w:rPr>
      </w:pPr>
      <w:r>
        <w:rPr>
          <w:strike/>
        </w:rPr>
        <w:t>A prorrogação de contrato deverá ser promovida mediante celebração de termo aditivo.</w:t>
      </w:r>
    </w:p>
    <w:p>
      <w:pPr>
        <w:pStyle w:val="Nvel2Red"/>
        <w:numPr>
          <w:ilvl w:val="1"/>
          <w:numId w:val="1"/>
        </w:numPr>
        <w:ind w:left="0" w:hanging="0"/>
        <w:rPr>
          <w:strike/>
        </w:rPr>
      </w:pPr>
      <w:r>
        <w:rPr>
          <w:strike/>
        </w:rPr>
        <w:t>Nas eventuais prorrogações contratuais, os custos não renováveis já pagos ou amortizados ao longo do primeiro período de vigência da contratação deverão ser reduzidos ou eliminados como condição para a renovação.</w:t>
      </w:r>
    </w:p>
    <w:p>
      <w:pPr>
        <w:pStyle w:val="Nvel2Red"/>
        <w:numPr>
          <w:ilvl w:val="1"/>
          <w:numId w:val="1"/>
        </w:numPr>
        <w:ind w:left="0" w:hanging="0"/>
        <w:rPr>
          <w:strike/>
        </w:rPr>
      </w:pPr>
      <w:r>
        <w:rPr>
          <w:strike/>
        </w:rPr>
        <w:t>O contrato não poderá ser prorrogado quando o CONTRATADO tiver sido penalizado nas sanções de declaração de inidoneidade ou impedimento de licitar e contratar com poder público, observadas as abrangências de aplicação.</w:t>
      </w:r>
    </w:p>
    <w:p>
      <w:pPr>
        <w:pStyle w:val="Ou"/>
        <w:rPr>
          <w:strike/>
        </w:rPr>
      </w:pPr>
      <w:bookmarkStart w:id="2" w:name="_Hlk191044510"/>
      <w:r>
        <w:rPr>
          <w:strike/>
          <w:highlight w:val="yellow"/>
        </w:rPr>
        <w:t>OU</w:t>
      </w:r>
    </w:p>
    <w:p>
      <w:pPr>
        <w:pStyle w:val="Nvel2Red"/>
        <w:numPr>
          <w:ilvl w:val="1"/>
          <w:numId w:val="1"/>
        </w:numPr>
        <w:ind w:left="0" w:hanging="0"/>
        <w:rPr/>
      </w:pPr>
      <w:commentRangeStart w:id="6"/>
      <w:r>
        <w:rPr>
          <w:rStyle w:val="Normaltextrun"/>
          <w:strike/>
          <w:highlight w:val="yellow"/>
        </w:rPr>
        <w:t xml:space="preserve">O prazo de vigência da contratação é de </w:t>
      </w:r>
      <w:r>
        <w:rPr>
          <w:b/>
          <w:bCs/>
          <w:strike/>
        </w:rPr>
        <w:t xml:space="preserve">[indicar o prazo - </w:t>
      </w:r>
      <w:r>
        <w:rPr>
          <w:rStyle w:val="Normaltextrun"/>
          <w:strike/>
          <w:highlight w:val="yellow"/>
        </w:rPr>
        <w:t>máximo de um ano</w:t>
      </w:r>
      <w:r>
        <w:rPr>
          <w:b/>
          <w:bCs/>
          <w:strike/>
        </w:rPr>
        <w:t>]</w:t>
      </w:r>
      <w:r>
        <w:rPr>
          <w:rStyle w:val="Normaltextrun"/>
          <w:strike/>
          <w:highlight w:val="yellow"/>
        </w:rPr>
        <w:t xml:space="preserve"> contados do(a) </w:t>
      </w:r>
      <w:r>
        <w:rPr>
          <w:b/>
          <w:bCs/>
          <w:strike/>
        </w:rPr>
        <w:t>[indicar o termo inicial da vigência]</w:t>
      </w:r>
      <w:r>
        <w:rPr>
          <w:rStyle w:val="Normaltextrun"/>
          <w:strike/>
          <w:highlight w:val="yellow"/>
        </w:rPr>
        <w:t>, improrrogável, na forma do art. 75, VIII, da Lei n° 14.133/2021</w:t>
      </w:r>
      <w:bookmarkEnd w:id="2"/>
      <w:r>
        <w:rPr>
          <w:rStyle w:val="Normaltextrun"/>
          <w:strike/>
          <w:highlight w:val="yellow"/>
        </w:rPr>
      </w:r>
      <w:commentRangeEnd w:id="6"/>
      <w:r>
        <w:commentReference w:id="6"/>
      </w:r>
      <w:r>
        <w:rPr>
          <w:rStyle w:val="Normaltextrun"/>
          <w:strike/>
          <w:highlight w:val="yellow"/>
        </w:rPr>
        <w:t>.</w:t>
      </w:r>
    </w:p>
    <w:p>
      <w:pPr>
        <w:pStyle w:val="Nvel3R"/>
        <w:numPr>
          <w:ilvl w:val="2"/>
          <w:numId w:val="3"/>
        </w:numPr>
        <w:ind w:left="284" w:hanging="0"/>
        <w:rPr>
          <w:color w:val="FFFFFF" w:themeColor="background1"/>
        </w:rPr>
      </w:pPr>
      <w:r>
        <w:rPr>
          <w:color w:val="FFFFFF" w:themeColor="background1"/>
        </w:rPr>
      </w:r>
    </w:p>
    <w:p>
      <w:pPr>
        <w:pStyle w:val="Nivel01"/>
        <w:numPr>
          <w:ilvl w:val="0"/>
          <w:numId w:val="1"/>
        </w:numPr>
        <w:rPr/>
      </w:pPr>
      <w:r>
        <w:rPr/>
        <w:t xml:space="preserve">CLÁUSULA TERCEIRA – MODELOS DE EXECUÇÃO E GESTÃO CONTRATUAIS </w:t>
      </w:r>
    </w:p>
    <w:p>
      <w:pPr>
        <w:pStyle w:val="Nivel2"/>
        <w:numPr>
          <w:ilvl w:val="1"/>
          <w:numId w:val="1"/>
        </w:numPr>
        <w:ind w:left="0" w:hanging="0"/>
        <w:rPr/>
      </w:pPr>
      <w:r>
        <w:rPr/>
        <w:t>O regime de execução contratual, os modelos de gestão e de execução, assim como os prazos e condições de conclusão, entrega, observação e recebimento do objeto constam no Termo de Referência, anexo a este Contrato.</w:t>
      </w:r>
    </w:p>
    <w:p>
      <w:pPr>
        <w:pStyle w:val="Nivel01"/>
        <w:numPr>
          <w:ilvl w:val="0"/>
          <w:numId w:val="1"/>
        </w:numPr>
        <w:rPr/>
      </w:pPr>
      <w:r>
        <w:rPr/>
        <w:t>CLÁUSULA QUARTA – SUBCONTRATAÇÃO</w:t>
      </w:r>
    </w:p>
    <w:p>
      <w:pPr>
        <w:pStyle w:val="Nivel2"/>
        <w:numPr>
          <w:ilvl w:val="1"/>
          <w:numId w:val="1"/>
        </w:numPr>
        <w:ind w:left="0" w:hanging="0"/>
        <w:rPr>
          <w:highlight w:val="yellow"/>
        </w:rPr>
      </w:pPr>
      <w:r>
        <w:rPr>
          <w:highlight w:val="yellow"/>
        </w:rPr>
        <w:t xml:space="preserve">As regras </w:t>
      </w:r>
      <w:r>
        <w:rPr>
          <w:color w:val="auto"/>
          <w:highlight w:val="yellow"/>
        </w:rPr>
        <w:t xml:space="preserve">sobre a </w:t>
      </w:r>
      <w:r>
        <w:rPr>
          <w:highlight w:val="yellow"/>
        </w:rPr>
        <w:t>subcontratação</w:t>
      </w:r>
      <w:r>
        <w:rPr>
          <w:color w:val="auto"/>
          <w:highlight w:val="yellow"/>
        </w:rPr>
        <w:t xml:space="preserve"> do objeto</w:t>
      </w:r>
      <w:r>
        <w:rPr>
          <w:highlight w:val="yellow"/>
        </w:rPr>
        <w:t xml:space="preserve"> são aquelas estabelecidas no Termo de Referência, anexo a este Contrato. </w:t>
      </w:r>
    </w:p>
    <w:p>
      <w:pPr>
        <w:pStyle w:val="Nivel01"/>
        <w:numPr>
          <w:ilvl w:val="0"/>
          <w:numId w:val="1"/>
        </w:numPr>
        <w:rPr/>
      </w:pPr>
      <w:r>
        <w:rPr/>
        <w:t>CLÁUSULA QUINTA - PREÇO</w:t>
      </w:r>
    </w:p>
    <w:p>
      <w:pPr>
        <w:pStyle w:val="Nvel2Red"/>
        <w:numPr>
          <w:ilvl w:val="1"/>
          <w:numId w:val="1"/>
        </w:numPr>
        <w:ind w:left="0" w:hanging="0"/>
        <w:rPr>
          <w:strike/>
        </w:rPr>
      </w:pPr>
      <w:commentRangeStart w:id="7"/>
      <w:r>
        <w:rPr>
          <w:strike/>
          <w:lang w:eastAsia="en-US"/>
        </w:rPr>
        <w:t xml:space="preserve">O valor mensal da </w:t>
      </w:r>
      <w:r>
        <w:rPr>
          <w:strike/>
        </w:rPr>
        <w:t>contratação</w:t>
      </w:r>
      <w:r>
        <w:rPr>
          <w:strike/>
          <w:lang w:eastAsia="en-US"/>
        </w:rPr>
        <w:t xml:space="preserve"> é de R$</w:t>
      </w:r>
      <w:r>
        <w:rPr>
          <w:strike/>
        </w:rPr>
        <w:t xml:space="preserve"> </w:t>
      </w:r>
      <w:r>
        <w:rPr>
          <w:b/>
          <w:bCs/>
          <w:strike/>
          <w:lang w:eastAsia="en-US"/>
        </w:rPr>
        <w:t>xxxxxx</w:t>
      </w:r>
      <w:r>
        <w:rPr>
          <w:strike/>
          <w:lang w:eastAsia="en-US"/>
        </w:rPr>
        <w:t xml:space="preserve"> (</w:t>
      </w:r>
      <w:r>
        <w:rPr>
          <w:b/>
          <w:bCs/>
          <w:strike/>
          <w:lang w:eastAsia="en-US"/>
        </w:rPr>
        <w:t>xxxxxxxxx</w:t>
      </w:r>
      <w:r>
        <w:rPr>
          <w:strike/>
          <w:lang w:eastAsia="en-US"/>
        </w:rPr>
        <w:t>), perfazendo o valor total de R$</w:t>
      </w:r>
      <w:r>
        <w:rPr>
          <w:strike/>
        </w:rPr>
        <w:t xml:space="preserve"> </w:t>
      </w:r>
      <w:r>
        <w:rPr>
          <w:b/>
          <w:bCs/>
          <w:strike/>
          <w:lang w:eastAsia="en-US"/>
        </w:rPr>
        <w:t>xxxxxx</w:t>
      </w:r>
      <w:r>
        <w:rPr>
          <w:strike/>
          <w:lang w:eastAsia="en-US"/>
        </w:rPr>
        <w:t xml:space="preserve"> (</w:t>
      </w:r>
      <w:r>
        <w:rPr>
          <w:b/>
          <w:bCs/>
          <w:strike/>
          <w:lang w:eastAsia="en-US"/>
        </w:rPr>
        <w:t>xxxxxxxxx</w:t>
      </w:r>
      <w:r>
        <w:rPr>
          <w:strike/>
          <w:lang w:eastAsia="en-US"/>
        </w:rPr>
        <w:t>).</w:t>
      </w:r>
    </w:p>
    <w:p>
      <w:pPr>
        <w:pStyle w:val="Ou"/>
        <w:rPr>
          <w:strike/>
        </w:rPr>
      </w:pPr>
      <w:r>
        <w:rPr>
          <w:strike/>
          <w:lang w:eastAsia="en-US"/>
        </w:rPr>
        <w:t>OU</w:t>
      </w:r>
    </w:p>
    <w:p>
      <w:pPr>
        <w:pStyle w:val="Nvel2Red"/>
        <w:numPr>
          <w:ilvl w:val="1"/>
          <w:numId w:val="1"/>
        </w:numPr>
        <w:ind w:left="0" w:hanging="0"/>
        <w:rPr/>
      </w:pPr>
      <w:r>
        <w:rPr/>
        <w:t>O valor total da contratação é de R$ 94.931,76 (Noventa e quatro mil novecentos e trinta e um reais e setenta e seis centavos)</w:t>
      </w:r>
      <w:r>
        <w:rPr>
          <w:lang w:eastAsia="en-US"/>
        </w:rPr>
        <w:t>.</w:t>
      </w:r>
      <w:commentRangeEnd w:id="7"/>
      <w:r>
        <w:commentReference w:id="7"/>
      </w:r>
      <w:r>
        <w:rPr>
          <w:lang w:eastAsia="en-US"/>
        </w:rPr>
      </w:r>
    </w:p>
    <w:p>
      <w:pPr>
        <w:pStyle w:val="Nivel2"/>
        <w:numPr>
          <w:ilvl w:val="1"/>
          <w:numId w:val="1"/>
        </w:numPr>
        <w:ind w:left="0" w:hanging="0"/>
        <w:rPr/>
      </w:pPr>
      <w: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vel2Red"/>
        <w:numPr>
          <w:ilvl w:val="1"/>
          <w:numId w:val="1"/>
        </w:numPr>
        <w:ind w:left="0" w:hanging="0"/>
        <w:rPr/>
      </w:pPr>
      <w:commentRangeStart w:id="8"/>
      <w:r>
        <w:rPr>
          <w:strike/>
        </w:rPr>
        <w:t>O valor acima é meramente estimativo, de forma que os pagamentos devidos ao contratado dependerão dos quantitativos efetivamente fornecidos.</w:t>
      </w:r>
      <w:commentRangeEnd w:id="8"/>
      <w:r>
        <w:commentReference w:id="8"/>
      </w:r>
      <w:r>
        <w:rPr/>
      </w:r>
    </w:p>
    <w:p>
      <w:pPr>
        <w:pStyle w:val="Nivel01"/>
        <w:numPr>
          <w:ilvl w:val="0"/>
          <w:numId w:val="1"/>
        </w:numPr>
        <w:rPr/>
      </w:pPr>
      <w:r>
        <w:rPr/>
        <w:t xml:space="preserve">CLÁUSULA SEXTA - PAGAMENTO </w:t>
      </w:r>
    </w:p>
    <w:p>
      <w:pPr>
        <w:pStyle w:val="Nivel2"/>
        <w:numPr>
          <w:ilvl w:val="1"/>
          <w:numId w:val="1"/>
        </w:numPr>
        <w:ind w:left="0" w:hanging="0"/>
        <w:rPr/>
      </w:pPr>
      <w:r>
        <w:rPr/>
        <w:t xml:space="preserve">O prazo para pagamento </w:t>
      </w:r>
      <w:r>
        <w:rPr>
          <w:color w:val="auto"/>
          <w:lang w:eastAsia="en-US"/>
        </w:rPr>
        <w:t>ao contratado</w:t>
      </w:r>
      <w:r>
        <w:rPr/>
        <w:t xml:space="preserve"> e demais condições a ele referentes encontram-se definidos no Termo de Referência, anexo a este Contrato.</w:t>
      </w:r>
    </w:p>
    <w:p>
      <w:pPr>
        <w:pStyle w:val="Nivel01"/>
        <w:numPr>
          <w:ilvl w:val="0"/>
          <w:numId w:val="1"/>
        </w:numPr>
        <w:rPr/>
      </w:pPr>
      <w:r>
        <w:rPr/>
        <w:t xml:space="preserve">CLÁUSULA SÉTIMA - REAJUSTE </w:t>
      </w:r>
    </w:p>
    <w:p>
      <w:pPr>
        <w:pStyle w:val="Nivel2"/>
        <w:numPr>
          <w:ilvl w:val="1"/>
          <w:numId w:val="1"/>
        </w:numPr>
        <w:ind w:left="0" w:hanging="0"/>
        <w:rPr>
          <w:highlight w:val="yellow"/>
        </w:rPr>
      </w:pPr>
      <w:r>
        <w:rPr>
          <w:highlight w:val="yellow"/>
        </w:rPr>
        <w:t>As regras acerca do reajuste do valor contratual são aquelas definidas no Termo de Referência, anexo a este Contrato.</w:t>
      </w:r>
    </w:p>
    <w:p>
      <w:pPr>
        <w:pStyle w:val="Nivel01"/>
        <w:numPr>
          <w:ilvl w:val="0"/>
          <w:numId w:val="1"/>
        </w:numPr>
        <w:rPr/>
      </w:pPr>
      <w:r>
        <w:rPr/>
        <w:t xml:space="preserve">CLÁUSULA OITAVA - OBRIGAÇÕES DO CONTRATANTE </w:t>
      </w:r>
    </w:p>
    <w:p>
      <w:pPr>
        <w:pStyle w:val="Nivel2"/>
        <w:numPr>
          <w:ilvl w:val="1"/>
          <w:numId w:val="1"/>
        </w:numPr>
        <w:ind w:left="0" w:hanging="0"/>
        <w:rPr>
          <w:bCs/>
        </w:rPr>
      </w:pPr>
      <w:r>
        <w:rPr/>
        <w:t>São obrigações do CONTRATANTE:</w:t>
      </w:r>
    </w:p>
    <w:p>
      <w:pPr>
        <w:pStyle w:val="Nivel3"/>
        <w:numPr>
          <w:ilvl w:val="2"/>
          <w:numId w:val="1"/>
        </w:numPr>
        <w:ind w:left="284" w:hanging="0"/>
        <w:rPr/>
      </w:pPr>
      <w:r>
        <w:rPr/>
        <w:t xml:space="preserve">Exigir o cumprimento de todas as obrigações assumidas pelo CONTRATADO, de acordo com o </w:t>
      </w:r>
      <w:commentRangeStart w:id="9"/>
      <w:r>
        <w:rPr/>
        <w:t>contrato e seus anexos</w:t>
      </w:r>
      <w:r>
        <w:rPr/>
      </w:r>
      <w:commentRangeEnd w:id="9"/>
      <w:r>
        <w:commentReference w:id="9"/>
      </w:r>
      <w:r>
        <w:rPr/>
        <w:t>;</w:t>
      </w:r>
    </w:p>
    <w:p>
      <w:pPr>
        <w:pStyle w:val="Nivel3"/>
        <w:numPr>
          <w:ilvl w:val="2"/>
          <w:numId w:val="1"/>
        </w:numPr>
        <w:ind w:left="284" w:hanging="0"/>
        <w:rPr/>
      </w:pPr>
      <w:r>
        <w:rPr/>
        <w:t>Receber o objeto no prazo e condições estabelecidas no Termo de Referência;</w:t>
      </w:r>
    </w:p>
    <w:p>
      <w:pPr>
        <w:pStyle w:val="Nivel3"/>
        <w:numPr>
          <w:ilvl w:val="2"/>
          <w:numId w:val="1"/>
        </w:numPr>
        <w:ind w:left="284" w:hanging="0"/>
        <w:rPr/>
      </w:pPr>
      <w:r>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pPr>
        <w:pStyle w:val="Nivel3"/>
        <w:numPr>
          <w:ilvl w:val="2"/>
          <w:numId w:val="1"/>
        </w:numPr>
        <w:ind w:left="284" w:hanging="0"/>
        <w:rPr/>
      </w:pPr>
      <w:r>
        <w:rPr/>
        <w:t>Acompanhar e fiscalizar a execução do contrato e o cumprimento das obrigações pelo CONTRATADO;</w:t>
      </w:r>
    </w:p>
    <w:p>
      <w:pPr>
        <w:pStyle w:val="Nivel3"/>
        <w:numPr>
          <w:ilvl w:val="2"/>
          <w:numId w:val="1"/>
        </w:numPr>
        <w:ind w:left="284" w:hanging="0"/>
        <w:rPr/>
      </w:pPr>
      <w:r>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pPr>
        <w:pStyle w:val="Nivel3"/>
        <w:numPr>
          <w:ilvl w:val="2"/>
          <w:numId w:val="1"/>
        </w:numPr>
        <w:ind w:left="284" w:hanging="0"/>
        <w:rPr/>
      </w:pPr>
      <w:r>
        <w:rPr/>
        <w:t>Efetuar o pagamento ao CONTRATADO do valor correspondente à execução do objeto, no prazo, forma e condições estabelecidos no presente Contrato e no Termo de Referência;</w:t>
      </w:r>
    </w:p>
    <w:p>
      <w:pPr>
        <w:pStyle w:val="Nivel3"/>
        <w:numPr>
          <w:ilvl w:val="2"/>
          <w:numId w:val="1"/>
        </w:numPr>
        <w:ind w:left="284" w:hanging="0"/>
        <w:rPr/>
      </w:pPr>
      <w:r>
        <w:rPr/>
        <w:t>Aplicar ao CONTRATADO as sanções previstas na lei e neste Contrato;</w:t>
      </w:r>
    </w:p>
    <w:p>
      <w:pPr>
        <w:pStyle w:val="Nivel3"/>
        <w:numPr>
          <w:ilvl w:val="2"/>
          <w:numId w:val="1"/>
        </w:numPr>
        <w:ind w:left="284" w:hanging="0"/>
        <w:rPr/>
      </w:pPr>
      <w:r>
        <w:rPr/>
        <w:t>Não praticar atos de ingerência na administração do CONTRATADO, tais como:</w:t>
      </w:r>
    </w:p>
    <w:p>
      <w:pPr>
        <w:pStyle w:val="Nivel4"/>
        <w:numPr>
          <w:ilvl w:val="3"/>
          <w:numId w:val="1"/>
        </w:numPr>
        <w:ind w:left="851" w:hanging="0"/>
        <w:rPr/>
      </w:pPr>
      <w:r>
        <w:rPr/>
        <w:t>indicar pessoas expressamente nominadas para executar direta ou indiretamente o objeto contratado;</w:t>
      </w:r>
    </w:p>
    <w:p>
      <w:pPr>
        <w:pStyle w:val="Nivel4"/>
        <w:numPr>
          <w:ilvl w:val="3"/>
          <w:numId w:val="1"/>
        </w:numPr>
        <w:ind w:left="851" w:hanging="0"/>
        <w:rPr/>
      </w:pPr>
      <w:r>
        <w:rPr/>
        <w:t>fixar salário inferior ao definido em lei ou em ato normativo a ser pago pelo CONTRATADO;</w:t>
      </w:r>
    </w:p>
    <w:p>
      <w:pPr>
        <w:pStyle w:val="Nivel4"/>
        <w:numPr>
          <w:ilvl w:val="3"/>
          <w:numId w:val="1"/>
        </w:numPr>
        <w:ind w:left="851" w:hanging="0"/>
        <w:rPr/>
      </w:pPr>
      <w:r>
        <w:rPr/>
        <w:t xml:space="preserve"> </w:t>
      </w:r>
      <w:r>
        <w:rPr/>
        <w:t>estabelecer vínculo de subordinação com funcionário do CONTRATADO;</w:t>
      </w:r>
    </w:p>
    <w:p>
      <w:pPr>
        <w:pStyle w:val="Nivel4"/>
        <w:numPr>
          <w:ilvl w:val="3"/>
          <w:numId w:val="1"/>
        </w:numPr>
        <w:ind w:left="851" w:hanging="0"/>
        <w:rPr/>
      </w:pPr>
      <w:r>
        <w:rPr/>
        <w:t>definir forma de pagamento mediante exclusivo reembolso dos salários pagos;</w:t>
      </w:r>
    </w:p>
    <w:p>
      <w:pPr>
        <w:pStyle w:val="Nivel4"/>
        <w:numPr>
          <w:ilvl w:val="3"/>
          <w:numId w:val="1"/>
        </w:numPr>
        <w:ind w:left="851" w:hanging="0"/>
        <w:rPr/>
      </w:pPr>
      <w:r>
        <w:rPr/>
        <w:t>demandar a funcionário do CONTRATADO a execução de tarefas fora do escopo do objeto da contratação; e</w:t>
      </w:r>
    </w:p>
    <w:p>
      <w:pPr>
        <w:pStyle w:val="Nivel4"/>
        <w:numPr>
          <w:ilvl w:val="3"/>
          <w:numId w:val="1"/>
        </w:numPr>
        <w:ind w:left="851" w:hanging="0"/>
        <w:rPr/>
      </w:pPr>
      <w:r>
        <w:rPr/>
        <w:t>prever exigências que constituam intervenção indevida da Administração na gestão interna do CONTRATADO.</w:t>
      </w:r>
    </w:p>
    <w:p>
      <w:pPr>
        <w:pStyle w:val="Nivel3"/>
        <w:numPr>
          <w:ilvl w:val="2"/>
          <w:numId w:val="1"/>
        </w:numPr>
        <w:ind w:left="284" w:hanging="0"/>
        <w:rPr/>
      </w:pPr>
      <w:r>
        <w:rPr/>
        <w:t>Cientificar o órgão de representação judicial da Advocacia-Geral da União para adoção das medidas cabíveis quando do descumprimento de obrigações pelo CONTRATADO;</w:t>
      </w:r>
    </w:p>
    <w:p>
      <w:pPr>
        <w:pStyle w:val="Nivel3"/>
        <w:numPr>
          <w:ilvl w:val="2"/>
          <w:numId w:val="1"/>
        </w:numPr>
        <w:ind w:left="284" w:hanging="0"/>
        <w:rPr/>
      </w:pPr>
      <w:r>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Nivel4"/>
        <w:numPr>
          <w:ilvl w:val="3"/>
          <w:numId w:val="1"/>
        </w:numPr>
        <w:ind w:left="851" w:hanging="0"/>
        <w:rPr/>
      </w:pPr>
      <w:r>
        <w:rPr/>
        <w:t xml:space="preserve"> </w:t>
      </w:r>
      <w:bookmarkStart w:id="3" w:name="_Ref128062899"/>
      <w:commentRangeStart w:id="10"/>
      <w:r>
        <w:rPr/>
        <w:t>A Administração terá o prazo de</w:t>
      </w:r>
      <w:r>
        <w:rPr>
          <w:i/>
          <w:iCs/>
          <w:color w:val="FF0000"/>
        </w:rPr>
        <w:t xml:space="preserve"> 30 (trinta) dias</w:t>
      </w:r>
      <w:r>
        <w:rPr/>
        <w:t>, a contar da data do protocolo do requerimento para decidir, admitida a prorrogação motivada, por igual período.</w:t>
      </w:r>
      <w:bookmarkEnd w:id="3"/>
      <w:commentRangeEnd w:id="10"/>
      <w:r>
        <w:commentReference w:id="10"/>
      </w:r>
      <w:r>
        <w:rPr/>
      </w:r>
    </w:p>
    <w:p>
      <w:pPr>
        <w:pStyle w:val="Nivel3"/>
        <w:numPr>
          <w:ilvl w:val="2"/>
          <w:numId w:val="1"/>
        </w:numPr>
        <w:ind w:left="284" w:hanging="0"/>
        <w:rPr>
          <w:color w:val="auto"/>
        </w:rPr>
      </w:pPr>
      <w:commentRangeStart w:id="11"/>
      <w:r>
        <w:rPr/>
        <w:t xml:space="preserve">Responder eventuais pedidos de reestabelecimento do equilíbrio econômico-financeiro feitos pelo CONTRATADO no prazo máximo de </w:t>
      </w:r>
      <w:r>
        <w:rPr>
          <w:i/>
          <w:iCs/>
          <w:color w:val="FF0000"/>
        </w:rPr>
        <w:t>30 (trinta) dias</w:t>
      </w:r>
      <w:r>
        <w:rPr>
          <w:color w:val="auto"/>
        </w:rPr>
        <w:t>;</w:t>
      </w:r>
      <w:commentRangeEnd w:id="11"/>
      <w:r>
        <w:commentReference w:id="11"/>
      </w:r>
      <w:r>
        <w:rPr>
          <w:color w:val="auto"/>
        </w:rPr>
      </w:r>
    </w:p>
    <w:p>
      <w:pPr>
        <w:pStyle w:val="Nvel3R"/>
        <w:numPr>
          <w:ilvl w:val="2"/>
          <w:numId w:val="1"/>
        </w:numPr>
        <w:ind w:left="284" w:hanging="0"/>
        <w:rPr/>
      </w:pPr>
      <w:bookmarkStart w:id="4" w:name="_Hlk114499841"/>
      <w:bookmarkEnd w:id="4"/>
      <w:commentRangeStart w:id="12"/>
      <w:r>
        <w:rPr/>
        <w:t>Notificar os emitentes das garantias quanto ao início de processo administrativo para apuração de descumprimento de cláusulas contratuais</w:t>
      </w:r>
      <w:r>
        <w:rPr/>
      </w:r>
      <w:commentRangeEnd w:id="12"/>
      <w:r>
        <w:commentReference w:id="12"/>
      </w:r>
      <w:r>
        <w:rPr>
          <w:color w:val="auto"/>
        </w:rPr>
        <w:t>;</w:t>
      </w:r>
    </w:p>
    <w:p>
      <w:pPr>
        <w:pStyle w:val="Nivel3"/>
        <w:numPr>
          <w:ilvl w:val="2"/>
          <w:numId w:val="1"/>
        </w:numPr>
        <w:ind w:left="284" w:hanging="0"/>
        <w:rPr/>
      </w:pPr>
      <w:r>
        <w:rPr/>
        <w:t>Comunicar o CONTRATADO na hipótese de posterior alteração do projeto pelo CONTRATANTE, no caso do art. 93, §2º, da Lei nº 14.133, de 2021.</w:t>
      </w:r>
    </w:p>
    <w:p>
      <w:pPr>
        <w:pStyle w:val="Nivel2"/>
        <w:numPr>
          <w:ilvl w:val="1"/>
          <w:numId w:val="1"/>
        </w:numPr>
        <w:ind w:left="0" w:hanging="0"/>
        <w:rPr/>
      </w:pPr>
      <w:r>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Nivel01"/>
        <w:numPr>
          <w:ilvl w:val="0"/>
          <w:numId w:val="1"/>
        </w:numPr>
        <w:rPr/>
      </w:pPr>
      <w:commentRangeStart w:id="13"/>
      <w:r>
        <w:rPr/>
        <w:t>CLÁUSULA NONA - OBRIGAÇÕES DO CONTRATADO</w:t>
      </w:r>
      <w:commentRangeEnd w:id="13"/>
      <w:r>
        <w:commentReference w:id="13"/>
      </w:r>
      <w:r>
        <w:rPr/>
      </w:r>
    </w:p>
    <w:p>
      <w:pPr>
        <w:pStyle w:val="Nivel2"/>
        <w:numPr>
          <w:ilvl w:val="1"/>
          <w:numId w:val="1"/>
        </w:numPr>
        <w:ind w:left="0" w:hanging="0"/>
        <w:rPr/>
      </w:pPr>
      <w:r>
        <w:rPr/>
        <w:t>O CONTRATADO deve cumprir todas as obrigações constantes deste Contrato e de seus anexos, assumindo como exclusivamente seus os riscos e as despesas decorrentes da boa e perfeita execução do objeto, observando, ainda, as obrigações a seguir dispostas:</w:t>
      </w:r>
    </w:p>
    <w:p>
      <w:pPr>
        <w:pStyle w:val="Nivel2"/>
        <w:numPr>
          <w:ilvl w:val="1"/>
          <w:numId w:val="1"/>
        </w:numPr>
        <w:ind w:left="0" w:hanging="0"/>
        <w:rPr/>
      </w:pPr>
      <w:r>
        <w:rPr/>
        <w:t>Atender às determinações regulares emitidas pelo fiscal ou gestor do contrato ou autoridade superior e prestar todo esclarecimento ou informação por eles solicitados;</w:t>
      </w:r>
    </w:p>
    <w:p>
      <w:pPr>
        <w:pStyle w:val="Nivel2"/>
        <w:numPr>
          <w:ilvl w:val="1"/>
          <w:numId w:val="1"/>
        </w:numPr>
        <w:ind w:left="0" w:hanging="0"/>
        <w:rPr/>
      </w:pPr>
      <w:commentRangeStart w:id="14"/>
      <w:r>
        <w:rPr/>
        <w:t>Reparar, corrigir, remover, reconstruir ou substituir, às suas expensas, no total ou em parte, no prazo fixado pelo fiscal do contrato, os bens e serviços nos quais se verificarem vícios, defeitos ou incorreções resultantes da execução ou dos materiais empregados;</w:t>
      </w:r>
      <w:commentRangeEnd w:id="14"/>
      <w:r>
        <w:commentReference w:id="14"/>
      </w:r>
      <w:r>
        <w:rPr/>
      </w:r>
    </w:p>
    <w:p>
      <w:pPr>
        <w:pStyle w:val="Nivel2"/>
        <w:numPr>
          <w:ilvl w:val="1"/>
          <w:numId w:val="1"/>
        </w:numPr>
        <w:ind w:left="0" w:hanging="0"/>
        <w:rPr/>
      </w:pPr>
      <w: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Nivel2"/>
        <w:numPr>
          <w:ilvl w:val="1"/>
          <w:numId w:val="1"/>
        </w:numPr>
        <w:ind w:left="0" w:hanging="0"/>
        <w:rPr/>
      </w:pPr>
      <w:r>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pPr>
        <w:pStyle w:val="Nivel3"/>
        <w:numPr>
          <w:ilvl w:val="2"/>
          <w:numId w:val="1"/>
        </w:numPr>
        <w:ind w:left="284" w:hanging="0"/>
        <w:rPr/>
      </w:pPr>
      <w:r>
        <w:rPr/>
        <w:t>prova de regularidade relativa à Seguridade Social;</w:t>
      </w:r>
    </w:p>
    <w:p>
      <w:pPr>
        <w:pStyle w:val="Nivel3"/>
        <w:numPr>
          <w:ilvl w:val="2"/>
          <w:numId w:val="1"/>
        </w:numPr>
        <w:ind w:left="284" w:hanging="0"/>
        <w:rPr/>
      </w:pPr>
      <w:r>
        <w:rPr/>
        <w:t>certidão conjunta relativa aos tributos federais e à Dívida Ativa da União;</w:t>
      </w:r>
    </w:p>
    <w:p>
      <w:pPr>
        <w:pStyle w:val="Nivel3"/>
        <w:numPr>
          <w:ilvl w:val="2"/>
          <w:numId w:val="1"/>
        </w:numPr>
        <w:ind w:left="284" w:hanging="0"/>
        <w:rPr/>
      </w:pPr>
      <w:commentRangeStart w:id="15"/>
      <w:r>
        <w:rPr/>
        <w:t>certidões que comprovem a regularidade perante a Fazenda Municipal ou Distrital do domicílio ou sede do CONTRATADO</w:t>
      </w:r>
      <w:r>
        <w:rPr/>
      </w:r>
      <w:commentRangeEnd w:id="15"/>
      <w:r>
        <w:commentReference w:id="15"/>
      </w:r>
      <w:r>
        <w:rPr/>
        <w:t>;</w:t>
      </w:r>
    </w:p>
    <w:p>
      <w:pPr>
        <w:pStyle w:val="Nivel3"/>
        <w:numPr>
          <w:ilvl w:val="2"/>
          <w:numId w:val="1"/>
        </w:numPr>
        <w:ind w:left="284" w:hanging="0"/>
        <w:rPr/>
      </w:pPr>
      <w:r>
        <w:rPr/>
        <w:t>Certidão de Regularidade do FGTS – CRF; e</w:t>
      </w:r>
    </w:p>
    <w:p>
      <w:pPr>
        <w:pStyle w:val="Nivel3"/>
        <w:numPr>
          <w:ilvl w:val="2"/>
          <w:numId w:val="1"/>
        </w:numPr>
        <w:ind w:left="284" w:hanging="0"/>
        <w:rPr/>
      </w:pPr>
      <w:r>
        <w:rPr/>
        <w:t>Certidão Negativa de Débitos Trabalhistas – CNDT.</w:t>
      </w:r>
    </w:p>
    <w:p>
      <w:pPr>
        <w:pStyle w:val="Nivel2"/>
        <w:numPr>
          <w:ilvl w:val="1"/>
          <w:numId w:val="1"/>
        </w:numPr>
        <w:ind w:left="0" w:hanging="0"/>
        <w:rPr/>
      </w:pPr>
      <w:r>
        <w:rP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pPr>
        <w:pStyle w:val="Nivel2"/>
        <w:numPr>
          <w:ilvl w:val="1"/>
          <w:numId w:val="1"/>
        </w:numPr>
        <w:ind w:left="0" w:hanging="0"/>
        <w:rPr/>
      </w:pPr>
      <w:r>
        <w:rPr/>
        <w:t>Comunicar ao Fiscal do contrato tempestivamente, observada a urgência da situação, qualquer ocorrência anormal ou acidente que se verifique no local da execução do objeto contratual, não ultrapassando o prazo de 24 (vinte e quatro) horas;</w:t>
      </w:r>
    </w:p>
    <w:p>
      <w:pPr>
        <w:pStyle w:val="Nivel2"/>
        <w:numPr>
          <w:ilvl w:val="1"/>
          <w:numId w:val="1"/>
        </w:numPr>
        <w:ind w:left="0" w:hanging="0"/>
        <w:rPr/>
      </w:pPr>
      <w:r>
        <w:rPr/>
        <w:t>Paralisar, por determinação do CONTRATANTE, qualquer atividade que não esteja sendo executada de acordo com a boa técnica ou que ponha em risco a segurança de pessoas ou bens de terceiros;</w:t>
      </w:r>
    </w:p>
    <w:p>
      <w:pPr>
        <w:pStyle w:val="Nivel2"/>
        <w:numPr>
          <w:ilvl w:val="1"/>
          <w:numId w:val="1"/>
        </w:numPr>
        <w:ind w:left="0" w:hanging="0"/>
        <w:rPr>
          <w:highlight w:val="yellow"/>
        </w:rPr>
      </w:pPr>
      <w:r>
        <w:rPr/>
        <w:t xml:space="preserve">Manter, durante toda a vigência do contrato, em compatibilidade com as obrigações assumidas, todas as condições exigidas para habilitação na licitação </w:t>
      </w:r>
      <w:bookmarkStart w:id="5" w:name="_Hlk191049891"/>
      <w:r>
        <w:rPr>
          <w:highlight w:val="yellow"/>
        </w:rPr>
        <w:t>ou para qualificação na contratação direta;</w:t>
      </w:r>
      <w:bookmarkEnd w:id="5"/>
    </w:p>
    <w:p>
      <w:pPr>
        <w:pStyle w:val="Nivel2"/>
        <w:numPr>
          <w:ilvl w:val="1"/>
          <w:numId w:val="1"/>
        </w:numPr>
        <w:ind w:left="0" w:hanging="0"/>
        <w:rPr/>
      </w:pPr>
      <w:r>
        <w:rPr/>
        <w:t>Cumprir, durante todo o período de execução do contrato, a reserva de cargos prevista em lei para pessoa com deficiência, para reabilitado da Previdência Social ou para aprendiz, bem como as reservas de cargos previstas na legislação;</w:t>
      </w:r>
    </w:p>
    <w:p>
      <w:pPr>
        <w:pStyle w:val="Nivel2"/>
        <w:numPr>
          <w:ilvl w:val="1"/>
          <w:numId w:val="1"/>
        </w:numPr>
        <w:ind w:left="0" w:hanging="0"/>
        <w:rPr/>
      </w:pPr>
      <w:r>
        <w:rPr/>
        <w:t>Comprovar a reserva de cargos a que se refere a cláusula acima, no prazo fixado pelo fiscal do contrato, com a indicação dos empregados que preencheram as referidas vagas;</w:t>
      </w:r>
    </w:p>
    <w:p>
      <w:pPr>
        <w:pStyle w:val="Nivel2"/>
        <w:numPr>
          <w:ilvl w:val="1"/>
          <w:numId w:val="1"/>
        </w:numPr>
        <w:ind w:left="0" w:hanging="0"/>
        <w:rPr/>
      </w:pPr>
      <w:r>
        <w:rPr/>
        <w:t>Guardar sigilo sobre todas as informações obtidas em decorrência do cumprimento do contrato;</w:t>
      </w:r>
    </w:p>
    <w:p>
      <w:pPr>
        <w:pStyle w:val="Nivel2"/>
        <w:numPr>
          <w:ilvl w:val="1"/>
          <w:numId w:val="1"/>
        </w:numPr>
        <w:ind w:left="0" w:hanging="0"/>
        <w:rPr/>
      </w:pPr>
      <w: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pPr>
        <w:pStyle w:val="Nivel2"/>
        <w:numPr>
          <w:ilvl w:val="1"/>
          <w:numId w:val="1"/>
        </w:numPr>
        <w:ind w:left="0" w:hanging="0"/>
        <w:rPr/>
      </w:pPr>
      <w:r>
        <w:rPr/>
        <w:t>Cumprir, além dos postulados legais vigentes de âmbito federal, estadual ou municipal, as normas de segurança do CONTRATANTE;</w:t>
      </w:r>
    </w:p>
    <w:p>
      <w:pPr>
        <w:pStyle w:val="Nivel2"/>
        <w:numPr>
          <w:ilvl w:val="1"/>
          <w:numId w:val="1"/>
        </w:numPr>
        <w:ind w:left="0" w:hanging="0"/>
        <w:rPr/>
      </w:pPr>
      <w:r>
        <w:rPr/>
        <w:t>Alocar os empregados necessários ao perfeito cumprimento das cláusulas deste contrato, com habilitação e conhecimento adequados;</w:t>
      </w:r>
    </w:p>
    <w:p>
      <w:pPr>
        <w:pStyle w:val="Nivel2"/>
        <w:numPr>
          <w:ilvl w:val="1"/>
          <w:numId w:val="1"/>
        </w:numPr>
        <w:ind w:left="0" w:hanging="0"/>
        <w:rPr/>
      </w:pPr>
      <w:r>
        <w:rPr/>
        <w:t>Prestar os serviços dentro dos parâmetros e rotinas estabelecidos;</w:t>
      </w:r>
    </w:p>
    <w:p>
      <w:pPr>
        <w:pStyle w:val="Nivel2"/>
        <w:numPr>
          <w:ilvl w:val="1"/>
          <w:numId w:val="1"/>
        </w:numPr>
        <w:ind w:left="0" w:hanging="0"/>
        <w:rPr/>
      </w:pPr>
      <w:r>
        <w:rPr/>
        <w:t>Fornecer todos os materiais, equipamentos, ferramentas e utensílios demandados, em quantidade, qualidade e tecnologia adequadas, com a observância às recomendações aceitas pela boa técnica, normas e legislação de regência;</w:t>
      </w:r>
    </w:p>
    <w:p>
      <w:pPr>
        <w:pStyle w:val="Nivel2"/>
        <w:numPr>
          <w:ilvl w:val="1"/>
          <w:numId w:val="1"/>
        </w:numPr>
        <w:ind w:left="0" w:hanging="0"/>
        <w:rPr/>
      </w:pPr>
      <w:r>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Nivel2"/>
        <w:numPr>
          <w:ilvl w:val="1"/>
          <w:numId w:val="1"/>
        </w:numPr>
        <w:ind w:left="0" w:hanging="0"/>
        <w:rPr/>
      </w:pPr>
      <w:r>
        <w:rPr/>
        <w:t>Submeter previamente, por escrito, ao CONTRATANTE, para análise e aprovação, quaisquer mudanças nos métodos executivos que fujam às especificações do memorial descritivo ou instrumento congênere;</w:t>
      </w:r>
    </w:p>
    <w:p>
      <w:pPr>
        <w:pStyle w:val="Nivel2"/>
        <w:numPr>
          <w:ilvl w:val="1"/>
          <w:numId w:val="1"/>
        </w:numPr>
        <w:ind w:left="0" w:hanging="0"/>
        <w:rPr/>
      </w:pPr>
      <w:r>
        <w:rPr/>
        <w:t>Cumprir as normas de proteção ao trabalho, inclusive aquelas relativas à segurança e à saúde no trabalho;</w:t>
      </w:r>
    </w:p>
    <w:p>
      <w:pPr>
        <w:pStyle w:val="Nivel2"/>
        <w:numPr>
          <w:ilvl w:val="1"/>
          <w:numId w:val="1"/>
        </w:numPr>
        <w:ind w:left="0" w:hanging="0"/>
        <w:rPr/>
      </w:pPr>
      <w:r>
        <w:rPr/>
        <w:t>Não submeter os trabalhadores a condições degradantes de trabalho, jornadas exaustivas, servidão por dívida ou trabalhos forçados;</w:t>
      </w:r>
    </w:p>
    <w:p>
      <w:pPr>
        <w:pStyle w:val="Nivel2"/>
        <w:numPr>
          <w:ilvl w:val="1"/>
          <w:numId w:val="1"/>
        </w:numPr>
        <w:ind w:left="0" w:hanging="0"/>
        <w:rPr/>
      </w:pPr>
      <w:r>
        <w:rPr/>
        <w:t>Não permitir a utilização de qualquer trabalho do menor de dezesseis anos de idade, exceto na condição de aprendiz para os maiores de quatorze anos de idade, observada a legislação pertinente;</w:t>
      </w:r>
    </w:p>
    <w:p>
      <w:pPr>
        <w:pStyle w:val="Nivel2"/>
        <w:numPr>
          <w:ilvl w:val="1"/>
          <w:numId w:val="1"/>
        </w:numPr>
        <w:ind w:left="0" w:hanging="0"/>
        <w:rPr/>
      </w:pPr>
      <w:r>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pPr>
        <w:pStyle w:val="Nivel2"/>
        <w:numPr>
          <w:ilvl w:val="1"/>
          <w:numId w:val="1"/>
        </w:numPr>
        <w:ind w:left="0" w:hanging="0"/>
        <w:rPr/>
      </w:pPr>
      <w:r>
        <w:rPr/>
        <w:t>Receber e dar o tratamento adequado a denúncias de discriminação, violência e assédio no ambiente de trabalho;</w:t>
      </w:r>
    </w:p>
    <w:p>
      <w:pPr>
        <w:pStyle w:val="Nivel2"/>
        <w:numPr>
          <w:ilvl w:val="1"/>
          <w:numId w:val="1"/>
        </w:numPr>
        <w:ind w:left="0" w:hanging="0"/>
        <w:rPr/>
      </w:pPr>
      <w:r>
        <w:rPr/>
        <w:t>Manter preposto aceito pela Administração no local da obra ou do serviço para representá-lo na execução do contrato;</w:t>
      </w:r>
    </w:p>
    <w:p>
      <w:pPr>
        <w:pStyle w:val="Nivel3"/>
        <w:numPr>
          <w:ilvl w:val="2"/>
          <w:numId w:val="1"/>
        </w:numPr>
        <w:ind w:left="284" w:hanging="0"/>
        <w:rPr/>
      </w:pPr>
      <w:r>
        <w:rPr/>
        <w:t>A indicação ou a manutenção do preposto da empresa poderá ser recusada pelo órgão ou entidade, desde que devidamente justificada, devendo a empresa designar outro para o exercício da atividade.</w:t>
      </w:r>
    </w:p>
    <w:p>
      <w:pPr>
        <w:pStyle w:val="Nivel2"/>
        <w:numPr>
          <w:ilvl w:val="1"/>
          <w:numId w:val="1"/>
        </w:numPr>
        <w:ind w:left="0" w:hanging="0"/>
        <w:rPr/>
      </w:pPr>
      <w:r>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 48, parágrafo único, da Lei nº 14.133, de 2021;</w:t>
      </w:r>
    </w:p>
    <w:p>
      <w:pPr>
        <w:pStyle w:val="Nivel2"/>
        <w:numPr>
          <w:ilvl w:val="1"/>
          <w:numId w:val="1"/>
        </w:numPr>
        <w:ind w:left="0" w:hanging="0"/>
        <w:rPr/>
      </w:pPr>
      <w:r>
        <w:rPr/>
        <w:t>Prestar todo esclarecimento ou informação solicitada pelo CONTRATANTE ou por seus prepostos, garantindo-lhes o acesso, a qualquer tempo, ao local dos trabalhos, bem como aos documentos relativos à execução do contrato;</w:t>
      </w:r>
    </w:p>
    <w:p>
      <w:pPr>
        <w:pStyle w:val="Nivel2"/>
        <w:numPr>
          <w:ilvl w:val="1"/>
          <w:numId w:val="1"/>
        </w:numPr>
        <w:ind w:left="0" w:hanging="0"/>
        <w:rPr/>
      </w:pPr>
      <w:r>
        <w:rPr/>
        <w:t>Promover a guarda, manutenção e vigilância de materiais, ferramentas, e tudo o que for necessário à execução do objeto, durante a vigência do contrato;</w:t>
      </w:r>
    </w:p>
    <w:p>
      <w:pPr>
        <w:pStyle w:val="Nivel2"/>
        <w:numPr>
          <w:ilvl w:val="1"/>
          <w:numId w:val="1"/>
        </w:numPr>
        <w:ind w:left="0" w:hanging="0"/>
        <w:rPr/>
      </w:pPr>
      <w:r>
        <w:rPr/>
        <w:t>Assegurar aos seus trabalhadores ambiente de trabalho e instalações em condições adequadas ao cumprimento das normas de saúde, segurança e bem-estar no trabalho;</w:t>
      </w:r>
    </w:p>
    <w:p>
      <w:pPr>
        <w:pStyle w:val="Nivel2"/>
        <w:numPr>
          <w:ilvl w:val="1"/>
          <w:numId w:val="1"/>
        </w:numPr>
        <w:ind w:left="0" w:hanging="0"/>
        <w:rPr/>
      </w:pPr>
      <w:r>
        <w:rPr/>
        <w:t>Fornecer equipamentos de proteção individual (EPI) e equipamentos de proteção coletiva (EPC),quando for o caso;</w:t>
      </w:r>
    </w:p>
    <w:p>
      <w:pPr>
        <w:pStyle w:val="Nivel2"/>
        <w:numPr>
          <w:ilvl w:val="1"/>
          <w:numId w:val="1"/>
        </w:numPr>
        <w:ind w:left="0" w:hanging="0"/>
        <w:rPr/>
      </w:pPr>
      <w:r>
        <w:rPr/>
        <w:t>Garantir o acesso do CONTRATANTE, a qualquer tempo, ao local dos trabalhos, bem como aos documentos relativos à execução do contrato;</w:t>
      </w:r>
    </w:p>
    <w:p>
      <w:pPr>
        <w:pStyle w:val="Nivel2"/>
        <w:numPr>
          <w:ilvl w:val="1"/>
          <w:numId w:val="1"/>
        </w:numPr>
        <w:ind w:left="0" w:hanging="0"/>
        <w:rPr/>
      </w:pPr>
      <w:r>
        <w:rPr/>
        <w:t>Promover a organização técnica e administrativa dos serviços, de modo a conduzi-los eficaz e eficientemente, de acordo com os documentos e especificações que integram o Termo de Referência, no prazo determinado;</w:t>
      </w:r>
    </w:p>
    <w:p>
      <w:pPr>
        <w:pStyle w:val="Nivel2"/>
        <w:numPr>
          <w:ilvl w:val="1"/>
          <w:numId w:val="1"/>
        </w:numPr>
        <w:ind w:left="0" w:hanging="0"/>
        <w:rPr/>
      </w:pPr>
      <w:r>
        <w:rPr/>
        <w:t>Instruir seus empregados quanto à necessidade de acatar as normas internas da Administração;</w:t>
      </w:r>
    </w:p>
    <w:p>
      <w:pPr>
        <w:pStyle w:val="Nivel2"/>
        <w:numPr>
          <w:ilvl w:val="1"/>
          <w:numId w:val="1"/>
        </w:numPr>
        <w:ind w:left="0" w:hanging="0"/>
        <w:rPr/>
      </w:pPr>
      <w:r>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pPr>
        <w:pStyle w:val="Nvel2Red"/>
        <w:numPr>
          <w:ilvl w:val="1"/>
          <w:numId w:val="1"/>
        </w:numPr>
        <w:ind w:left="0" w:hanging="0"/>
        <w:rPr/>
      </w:pPr>
      <w:commentRangeStart w:id="16"/>
      <w:r>
        <w:rPr/>
        <w:t>Realizar os serviços de manutenção e assistência técnica no(s) seguinte(s) local(is) ... (inserir endereço(s));</w:t>
      </w:r>
    </w:p>
    <w:p>
      <w:pPr>
        <w:pStyle w:val="Nvel2Red"/>
        <w:numPr>
          <w:ilvl w:val="1"/>
          <w:numId w:val="1"/>
        </w:numPr>
        <w:ind w:left="0" w:hanging="0"/>
        <w:rPr>
          <w:color w:val="000000"/>
        </w:rPr>
      </w:pPr>
      <w:bookmarkStart w:id="6" w:name="_Ref118293030"/>
      <w:r>
        <w:rPr>
          <w:strike/>
        </w:rPr>
        <w:t>O técnico deverá se deslocar ao local da repartição, salvo se o CONTRATADO tiver unidade de prestação de serviços em distância de [....] (inserir distância conforme avaliação técnica) do local demandado</w:t>
      </w:r>
      <w:bookmarkEnd w:id="6"/>
      <w:r>
        <w:rPr/>
      </w:r>
      <w:commentRangeEnd w:id="16"/>
      <w:r>
        <w:commentReference w:id="16"/>
      </w:r>
      <w:r>
        <w:rPr/>
        <w:t xml:space="preserve">. </w:t>
      </w:r>
    </w:p>
    <w:p>
      <w:pPr>
        <w:pStyle w:val="Nvel2Red"/>
        <w:numPr>
          <w:ilvl w:val="1"/>
          <w:numId w:val="1"/>
        </w:numPr>
        <w:ind w:left="0" w:hanging="0"/>
        <w:rPr/>
      </w:pPr>
      <w:bookmarkStart w:id="7" w:name="_Hlk145931178"/>
      <w:commentRangeStart w:id="17"/>
      <w:r>
        <w:rPr/>
        <w:t>Realizar a transição contratual com transferência de conhecimento, tecnologia e técnicas empregadas, sem perda de informações, podendo exigir, inclusive, a capacitação dos técnicos do CONTRATANTE ou da nova empresa que continuará a execução dos serviços;</w:t>
      </w:r>
      <w:bookmarkEnd w:id="7"/>
    </w:p>
    <w:p>
      <w:pPr>
        <w:pStyle w:val="Nvel2Red"/>
        <w:numPr>
          <w:ilvl w:val="1"/>
          <w:numId w:val="1"/>
        </w:numPr>
        <w:ind w:left="0" w:hanging="0"/>
        <w:rPr/>
      </w:pPr>
      <w:r>
        <w:rPr/>
        <w:t>Ceder ao CONTRATANTE todos os direitos patrimoniais relativos ao objeto contratado, o qual poderá ser livremente utilizado e/ou alterado em outras ocasiões, sem necessidade de nova autorização do CONTRATADO.</w:t>
      </w:r>
      <w:commentRangeEnd w:id="17"/>
      <w:r>
        <w:commentReference w:id="17"/>
      </w:r>
      <w:r>
        <w:rPr/>
      </w:r>
    </w:p>
    <w:p>
      <w:pPr>
        <w:pStyle w:val="Nvel3R"/>
        <w:numPr>
          <w:ilvl w:val="2"/>
          <w:numId w:val="1"/>
        </w:numPr>
        <w:ind w:left="284" w:hanging="0"/>
        <w:rPr>
          <w:strike/>
        </w:rPr>
      </w:pPr>
      <w:r>
        <w:rPr>
          <w:strike/>
        </w:rPr>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pPr>
        <w:pStyle w:val="Nivel01"/>
        <w:numPr>
          <w:ilvl w:val="0"/>
          <w:numId w:val="1"/>
        </w:numPr>
        <w:rPr/>
      </w:pPr>
      <w:commentRangeStart w:id="18"/>
      <w:r>
        <w:rPr/>
        <w:t>CLÁUSULA DÉCIMA - OBRIGAÇÕES PERTINENTES À LGPD</w:t>
      </w:r>
      <w:commentRangeEnd w:id="18"/>
      <w:r>
        <w:commentReference w:id="18"/>
      </w:r>
      <w:r>
        <w:rPr/>
      </w:r>
    </w:p>
    <w:p>
      <w:pPr>
        <w:pStyle w:val="Nvel2Red"/>
        <w:numPr>
          <w:ilvl w:val="1"/>
          <w:numId w:val="1"/>
        </w:numPr>
        <w:ind w:left="0" w:hanging="0"/>
        <w:rPr/>
      </w:pPr>
      <w:r>
        <w:rPr/>
        <w:t xml:space="preserve">As partes deverão cumprir a </w:t>
      </w:r>
      <w:hyperlink r:id="rId3">
        <w:r>
          <w:rPr>
            <w:rStyle w:val="LinkdaInternet"/>
            <w:color w:val="FF0000"/>
            <w:u w:val="none"/>
          </w:rPr>
          <w:t>Lei nº 13.709, de 14 de agosto de 2018 (LGPD)</w:t>
        </w:r>
      </w:hyperlink>
      <w:r>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Nvel2Red"/>
        <w:numPr>
          <w:ilvl w:val="1"/>
          <w:numId w:val="1"/>
        </w:numPr>
        <w:ind w:left="0" w:hanging="0"/>
        <w:rPr/>
      </w:pPr>
      <w:r>
        <w:rPr/>
        <w:t xml:space="preserve">Os dados obtidos somente poderão ser utilizados para as finalidades que justificaram seu acesso e de acordo com a boa-fé e com os princípios do </w:t>
      </w:r>
      <w:r>
        <w:fldChar w:fldCharType="begin"/>
      </w:r>
      <w:r>
        <w:rPr>
          <w:rStyle w:val="LinkdaInternet"/>
          <w:u w:val="none"/>
          <w:color w:val="FF0000"/>
        </w:rPr>
        <w:instrText xml:space="preserve"> HYPERLINK "https://www.planalto.gov.br/ccivil_03/_ato2015-2018/2018/lei/l13709.htm" \l "art6"</w:instrText>
      </w:r>
      <w:r>
        <w:rPr>
          <w:rStyle w:val="LinkdaInternet"/>
          <w:u w:val="none"/>
          <w:color w:val="FF0000"/>
        </w:rPr>
        <w:fldChar w:fldCharType="separate"/>
      </w:r>
      <w:r>
        <w:rPr>
          <w:rStyle w:val="LinkdaInternet"/>
          <w:color w:val="FF0000"/>
          <w:u w:val="none"/>
        </w:rPr>
        <w:t>art. 6º da LGPD</w:t>
      </w:r>
      <w:r>
        <w:rPr>
          <w:rStyle w:val="LinkdaInternet"/>
          <w:u w:val="none"/>
          <w:color w:val="FF0000"/>
        </w:rPr>
        <w:fldChar w:fldCharType="end"/>
      </w:r>
      <w:r>
        <w:rPr/>
        <w:t xml:space="preserve">. </w:t>
      </w:r>
    </w:p>
    <w:p>
      <w:pPr>
        <w:pStyle w:val="Nvel2Red"/>
        <w:numPr>
          <w:ilvl w:val="1"/>
          <w:numId w:val="1"/>
        </w:numPr>
        <w:ind w:left="0" w:hanging="0"/>
        <w:rPr/>
      </w:pPr>
      <w:r>
        <w:rPr/>
        <w:t>É vedado o compartilhamento com terceiros dos dados obtidos fora das hipóteses permitidas em Lei.</w:t>
      </w:r>
    </w:p>
    <w:p>
      <w:pPr>
        <w:pStyle w:val="Nvel2Red"/>
        <w:numPr>
          <w:ilvl w:val="1"/>
          <w:numId w:val="1"/>
        </w:numPr>
        <w:ind w:left="0" w:hanging="0"/>
        <w:rPr/>
      </w:pPr>
      <w:r>
        <w:rPr/>
        <w:t xml:space="preserve">A Administração deverá ser informada no prazo de 5 (cinco) dias úteis sobre todos os contratos de sub operação firmados ou que venham a ser celebrados pelo Contratado. </w:t>
      </w:r>
    </w:p>
    <w:p>
      <w:pPr>
        <w:pStyle w:val="Nvel2Red"/>
        <w:numPr>
          <w:ilvl w:val="1"/>
          <w:numId w:val="1"/>
        </w:numPr>
        <w:ind w:left="0" w:hanging="0"/>
        <w:rPr/>
      </w:pPr>
      <w:r>
        <w:rPr/>
        <w:t xml:space="preserve">Terminado o tratamento dos dados nos termos do </w:t>
      </w:r>
      <w:r>
        <w:fldChar w:fldCharType="begin"/>
      </w:r>
      <w:r>
        <w:rPr>
          <w:rStyle w:val="LinkdaInternet"/>
          <w:u w:val="none"/>
          <w:color w:val="FF0000"/>
        </w:rPr>
        <w:instrText xml:space="preserve"> HYPERLINK "https://www.planalto.gov.br/ccivil_03/_ato2015-2018/2018/lei/l13709.htm" \l "art15"</w:instrText>
      </w:r>
      <w:r>
        <w:rPr>
          <w:rStyle w:val="LinkdaInternet"/>
          <w:u w:val="none"/>
          <w:color w:val="FF0000"/>
        </w:rPr>
        <w:fldChar w:fldCharType="separate"/>
      </w:r>
      <w:r>
        <w:rPr>
          <w:rStyle w:val="LinkdaInternet"/>
          <w:color w:val="FF0000"/>
          <w:u w:val="none"/>
        </w:rPr>
        <w:t>art. 15 da LGPD</w:t>
      </w:r>
      <w:r>
        <w:rPr>
          <w:rStyle w:val="LinkdaInternet"/>
          <w:u w:val="none"/>
          <w:color w:val="FF0000"/>
        </w:rPr>
        <w:fldChar w:fldCharType="end"/>
      </w:r>
      <w:r>
        <w:rPr/>
        <w:t xml:space="preserve">, é dever do contratado eliminá-los, com exceção das hipóteses do </w:t>
      </w:r>
      <w:r>
        <w:fldChar w:fldCharType="begin"/>
      </w:r>
      <w:r>
        <w:rPr>
          <w:rStyle w:val="LinkdaInternet"/>
          <w:u w:val="none"/>
          <w:color w:val="FF0000"/>
        </w:rPr>
        <w:instrText xml:space="preserve"> HYPERLINK "https://www.planalto.gov.br/ccivil_03/_ato2015-2018/2018/lei/l13709.htm" \l "art16"</w:instrText>
      </w:r>
      <w:r>
        <w:rPr>
          <w:rStyle w:val="LinkdaInternet"/>
          <w:u w:val="none"/>
          <w:color w:val="FF0000"/>
        </w:rPr>
        <w:fldChar w:fldCharType="separate"/>
      </w:r>
      <w:r>
        <w:rPr>
          <w:rStyle w:val="LinkdaInternet"/>
          <w:color w:val="FF0000"/>
          <w:u w:val="none"/>
        </w:rPr>
        <w:t>art. 16 da LGPD</w:t>
      </w:r>
      <w:r>
        <w:rPr>
          <w:rStyle w:val="LinkdaInternet"/>
          <w:u w:val="none"/>
          <w:color w:val="FF0000"/>
        </w:rPr>
        <w:fldChar w:fldCharType="end"/>
      </w:r>
      <w:r>
        <w:rPr/>
        <w:t xml:space="preserve">, incluindo aquelas em que houver necessidade de guarda de documentação para fins de comprovação do cumprimento de obrigações legais ou contratuais e somente enquanto não prescritas essas obrigações. </w:t>
      </w:r>
    </w:p>
    <w:p>
      <w:pPr>
        <w:pStyle w:val="Nvel2Red"/>
        <w:numPr>
          <w:ilvl w:val="1"/>
          <w:numId w:val="1"/>
        </w:numPr>
        <w:ind w:left="0" w:hanging="0"/>
        <w:rPr/>
      </w:pPr>
      <w:commentRangeStart w:id="19"/>
      <w:r>
        <w:rPr/>
        <w:t xml:space="preserve">É dever do contratado orientar e treinar seus empregados sobre os deveres, requisitos e responsabilidades decorrentes da LGPD. </w:t>
      </w:r>
      <w:commentRangeEnd w:id="19"/>
      <w:r>
        <w:commentReference w:id="19"/>
      </w:r>
      <w:r>
        <w:rPr/>
      </w:r>
    </w:p>
    <w:p>
      <w:pPr>
        <w:pStyle w:val="Nvel2Red"/>
        <w:numPr>
          <w:ilvl w:val="1"/>
          <w:numId w:val="1"/>
        </w:numPr>
        <w:ind w:left="0" w:hanging="0"/>
        <w:rPr/>
      </w:pPr>
      <w:r>
        <w:rPr/>
        <w:t>O Contratado deverá exigir de sub operadores e subcontratados o cumprimento dos deveres da presente cláusula, permanecendo integralmente responsável por garantir sua observância.</w:t>
      </w:r>
    </w:p>
    <w:p>
      <w:pPr>
        <w:pStyle w:val="Nvel2Red"/>
        <w:numPr>
          <w:ilvl w:val="1"/>
          <w:numId w:val="1"/>
        </w:numPr>
        <w:ind w:left="0" w:hanging="0"/>
        <w:rPr/>
      </w:pPr>
      <w:commentRangeStart w:id="20"/>
      <w:r>
        <w:rPr/>
        <w:t xml:space="preserve">O Contratante poderá realizar diligência para aferir o cumprimento dessa cláusula, devendo o Contratado atender prontamente eventuais pedidos de comprovação formulados. </w:t>
      </w:r>
      <w:commentRangeEnd w:id="20"/>
      <w:r>
        <w:commentReference w:id="20"/>
      </w:r>
      <w:r>
        <w:rPr/>
      </w:r>
    </w:p>
    <w:p>
      <w:pPr>
        <w:pStyle w:val="Nvel2Red"/>
        <w:numPr>
          <w:ilvl w:val="1"/>
          <w:numId w:val="1"/>
        </w:numPr>
        <w:ind w:left="0" w:hanging="0"/>
        <w:rPr/>
      </w:pPr>
      <w:r>
        <w:rPr/>
        <w:t xml:space="preserve">O Contratado deverá prestar, no prazo fixado pelo Contratante, prorrogável justificadamente, quaisquer informações acerca dos dados pessoais para cumprimento da LGPD, inclusive quanto a eventual descarte realizado. </w:t>
      </w:r>
    </w:p>
    <w:p>
      <w:pPr>
        <w:pStyle w:val="Nvel2Red"/>
        <w:numPr>
          <w:ilvl w:val="1"/>
          <w:numId w:val="1"/>
        </w:numPr>
        <w:ind w:left="0" w:hanging="0"/>
        <w:rPr/>
      </w:pPr>
      <w:r>
        <w:rPr/>
        <w:t>Bancos de dados formados a partir de contratos administrativos, notadamente aqueles que se proponham a armazenar dados pessoais, devem ser mantidos em ambiente virtual controlado, com registro individual rastreável de tratamentos realizados (</w:t>
      </w:r>
      <w:hyperlink r:id="rId4">
        <w:r>
          <w:rPr>
            <w:rStyle w:val="LinkdaInternet"/>
            <w:color w:val="FF0000"/>
            <w:u w:val="none"/>
          </w:rPr>
          <w:t>LGPD, art. 37</w:t>
        </w:r>
      </w:hyperlink>
      <w:r>
        <w:rPr/>
        <w:t>), com cada acesso, data, horário e registro da finalidade, para efeito de responsabilização, em caso de eventuais omissões, desvios ou abusos.</w:t>
      </w:r>
    </w:p>
    <w:p>
      <w:pPr>
        <w:pStyle w:val="Nvel3R"/>
        <w:numPr>
          <w:ilvl w:val="2"/>
          <w:numId w:val="1"/>
        </w:numPr>
        <w:ind w:left="284" w:hanging="0"/>
        <w:rPr/>
      </w:pPr>
      <w:r>
        <w:rPr/>
        <w:t>Os referidos bancos de dados devem ser desenvolvidos em formato interoperável, a fim de garantir a reutilização desses dados pela Administração nas hipóteses previstas na LGPD.</w:t>
      </w:r>
    </w:p>
    <w:p>
      <w:pPr>
        <w:pStyle w:val="Nvel2Red"/>
        <w:numPr>
          <w:ilvl w:val="1"/>
          <w:numId w:val="1"/>
        </w:numPr>
        <w:ind w:left="0" w:hanging="0"/>
        <w:rPr/>
      </w:pPr>
      <w:r>
        <w:rPr/>
        <w:t>O contrato está sujeito a ser alterado nos procedimentos pertinentes ao tratamento de dados pessoais, quando indicado pela autoridade competente, em especial a ANPD por meio de opiniões técnicas ou recomendações, editadas na forma da LGPD.</w:t>
      </w:r>
    </w:p>
    <w:p>
      <w:pPr>
        <w:pStyle w:val="Nvel2Red"/>
        <w:numPr>
          <w:ilvl w:val="1"/>
          <w:numId w:val="1"/>
        </w:numPr>
        <w:ind w:left="0" w:hanging="0"/>
        <w:rPr/>
      </w:pPr>
      <w:commentRangeStart w:id="21"/>
      <w:r>
        <w:rPr/>
        <w:t xml:space="preserve">Os contratos e convênios de que trata o </w:t>
      </w:r>
      <w:r>
        <w:fldChar w:fldCharType="begin"/>
      </w:r>
      <w:r>
        <w:rPr>
          <w:rStyle w:val="LinkdaInternet"/>
          <w:u w:val="none"/>
          <w:color w:val="FF0000"/>
        </w:rPr>
        <w:instrText xml:space="preserve"> HYPERLINK "https://www.planalto.gov.br/ccivil_03/_ato2015-2018/2018/lei/l13709.htm" \l "art26§1"</w:instrText>
      </w:r>
      <w:r>
        <w:rPr>
          <w:rStyle w:val="LinkdaInternet"/>
          <w:u w:val="none"/>
          <w:color w:val="FF0000"/>
        </w:rPr>
        <w:fldChar w:fldCharType="separate"/>
      </w:r>
      <w:r>
        <w:rPr>
          <w:rStyle w:val="LinkdaInternet"/>
          <w:color w:val="FF0000"/>
          <w:u w:val="none"/>
        </w:rPr>
        <w:t>§ 1º do art. 26 da LGPD</w:t>
      </w:r>
      <w:r>
        <w:rPr>
          <w:rStyle w:val="LinkdaInternet"/>
          <w:u w:val="none"/>
          <w:color w:val="FF0000"/>
        </w:rPr>
        <w:fldChar w:fldCharType="end"/>
      </w:r>
      <w:r>
        <w:rPr/>
        <w:t xml:space="preserve"> deverão ser comunicados à autoridade nacional.</w:t>
      </w:r>
      <w:commentRangeEnd w:id="21"/>
      <w:r>
        <w:commentReference w:id="21"/>
      </w:r>
      <w:r>
        <w:rPr/>
      </w:r>
    </w:p>
    <w:p>
      <w:pPr>
        <w:pStyle w:val="Nivel01"/>
        <w:numPr>
          <w:ilvl w:val="0"/>
          <w:numId w:val="1"/>
        </w:numPr>
        <w:ind w:left="73" w:hanging="357"/>
        <w:rPr/>
      </w:pPr>
      <w:r>
        <w:rPr/>
        <w:t xml:space="preserve">CLÁUSULA DÉCIMA PRIMEIRA – GARANTIA DE EXECUÇÃO </w:t>
      </w:r>
    </w:p>
    <w:p>
      <w:pPr>
        <w:pStyle w:val="Nvel2Red"/>
        <w:numPr>
          <w:ilvl w:val="1"/>
          <w:numId w:val="1"/>
        </w:numPr>
        <w:ind w:left="0" w:hanging="0"/>
        <w:rPr/>
      </w:pPr>
      <w:commentRangeStart w:id="22"/>
      <w:r>
        <w:rPr/>
        <w:t>Não haverá exigência de garantia contratual da execução.</w:t>
      </w:r>
      <w:commentRangeEnd w:id="22"/>
      <w:r>
        <w:commentReference w:id="22"/>
      </w:r>
      <w:r>
        <w:rPr/>
      </w:r>
    </w:p>
    <w:p>
      <w:pPr>
        <w:pStyle w:val="Ou"/>
        <w:rPr>
          <w:strike/>
        </w:rPr>
      </w:pPr>
      <w:r>
        <w:rPr>
          <w:strike/>
        </w:rPr>
        <w:t>OU</w:t>
      </w:r>
    </w:p>
    <w:p>
      <w:pPr>
        <w:pStyle w:val="Nvel2Red"/>
        <w:numPr>
          <w:ilvl w:val="1"/>
          <w:numId w:val="1"/>
        </w:numPr>
        <w:ind w:left="0" w:hanging="0"/>
        <w:rPr>
          <w:strike/>
        </w:rPr>
      </w:pPr>
      <w:r>
        <w:rPr>
          <w:strike/>
        </w:rPr>
        <w:t>Será exigida a prestação de garantia na presente contratação, conforme regras constantes do Termo de Referência.</w:t>
      </w:r>
    </w:p>
    <w:p>
      <w:pPr>
        <w:pStyle w:val="Nivel01"/>
        <w:numPr>
          <w:ilvl w:val="0"/>
          <w:numId w:val="1"/>
        </w:numPr>
        <w:ind w:left="73" w:hanging="357"/>
        <w:rPr/>
      </w:pPr>
      <w:r>
        <w:rPr/>
        <w:t>CLÁUSULA DÉCIMA SEGUNDA – INFRAÇÕES E SANÇÕES ADMINISTRATIVAS</w:t>
      </w:r>
    </w:p>
    <w:p>
      <w:pPr>
        <w:pStyle w:val="Nivel2"/>
        <w:numPr>
          <w:ilvl w:val="1"/>
          <w:numId w:val="1"/>
        </w:numPr>
        <w:ind w:left="0" w:hanging="0"/>
        <w:rPr/>
      </w:pPr>
      <w:bookmarkStart w:id="8" w:name="_Ref169602136"/>
      <w:bookmarkStart w:id="9" w:name="_Ref169601460"/>
      <w:r>
        <w:rPr/>
        <w:t>As regras acerca de infrações e sanções administrativas referentes à execução do contrato são aquelas definidas no Termo de Referência, anexo a este Contrato.</w:t>
      </w:r>
      <w:bookmarkEnd w:id="8"/>
      <w:bookmarkEnd w:id="9"/>
    </w:p>
    <w:p>
      <w:pPr>
        <w:pStyle w:val="Nivel01"/>
        <w:numPr>
          <w:ilvl w:val="0"/>
          <w:numId w:val="1"/>
        </w:numPr>
        <w:ind w:left="73" w:hanging="357"/>
        <w:rPr/>
      </w:pPr>
      <w:commentRangeStart w:id="23"/>
      <w:r>
        <w:rPr/>
        <w:t>CLÁUSULA DÉCIMA TERCEIRA – DA EXTINÇÃO CONTRATUAL</w:t>
      </w:r>
      <w:commentRangeEnd w:id="23"/>
      <w:r>
        <w:commentReference w:id="23"/>
      </w:r>
      <w:r>
        <w:rPr/>
      </w:r>
    </w:p>
    <w:p>
      <w:pPr>
        <w:pStyle w:val="Nvel2Red"/>
        <w:numPr>
          <w:ilvl w:val="1"/>
          <w:numId w:val="1"/>
        </w:numPr>
        <w:ind w:left="0" w:hanging="0"/>
        <w:rPr/>
      </w:pPr>
      <w:r>
        <w:rPr/>
        <w:t>O contrato será extinto quando cumpridas as obrigações de ambas as partes, ainda que isso ocorra antes do prazo estipulado para tanto.</w:t>
      </w:r>
    </w:p>
    <w:p>
      <w:pPr>
        <w:pStyle w:val="Nvel2Red"/>
        <w:numPr>
          <w:ilvl w:val="1"/>
          <w:numId w:val="1"/>
        </w:numPr>
        <w:ind w:left="0" w:hanging="0"/>
        <w:rPr/>
      </w:pPr>
      <w:r>
        <w:rPr/>
        <w:t>Se as obrigações não forem cumpridas no prazo estipulado, a vigência ficará prorrogada até a conclusão do objeto, caso em que deverá a Administração providenciar a readequação do cronograma fixado para o contrato.</w:t>
      </w:r>
    </w:p>
    <w:p>
      <w:pPr>
        <w:pStyle w:val="Nvel2Red"/>
        <w:numPr>
          <w:ilvl w:val="1"/>
          <w:numId w:val="1"/>
        </w:numPr>
        <w:ind w:left="0" w:hanging="0"/>
        <w:rPr/>
      </w:pPr>
      <w:r>
        <w:rPr/>
        <w:t>Quando a não conclusão do contrato referida no item anterior decorrer de culpa do contratado:</w:t>
      </w:r>
    </w:p>
    <w:p>
      <w:pPr>
        <w:pStyle w:val="Nvel3R"/>
        <w:numPr>
          <w:ilvl w:val="2"/>
          <w:numId w:val="1"/>
        </w:numPr>
        <w:ind w:left="284" w:hanging="0"/>
        <w:rPr/>
      </w:pPr>
      <w:r>
        <w:rPr/>
        <w:t>ficará ele constituído em mora, sendo-lhe aplicáveis as respectivas sanções administrativas; e</w:t>
      </w:r>
    </w:p>
    <w:p>
      <w:pPr>
        <w:pStyle w:val="Nvel3R"/>
        <w:numPr>
          <w:ilvl w:val="2"/>
          <w:numId w:val="1"/>
        </w:numPr>
        <w:ind w:left="284" w:hanging="0"/>
        <w:rPr/>
      </w:pPr>
      <w:r>
        <w:rPr/>
        <w:t>poderá a Administração optar pela extinção do contrato e, nesse caso, adotará as medidas admitidas em lei para a continuidade da execução contratual.</w:t>
      </w:r>
    </w:p>
    <w:p>
      <w:pPr>
        <w:pStyle w:val="Ou"/>
        <w:rPr>
          <w:strike/>
        </w:rPr>
      </w:pPr>
      <w:r>
        <w:rPr>
          <w:strike/>
        </w:rPr>
        <w:t>OU</w:t>
      </w:r>
    </w:p>
    <w:p>
      <w:pPr>
        <w:pStyle w:val="Nvel2Red"/>
        <w:numPr>
          <w:ilvl w:val="1"/>
          <w:numId w:val="1"/>
        </w:numPr>
        <w:ind w:left="0" w:hanging="0"/>
        <w:rPr>
          <w:strike/>
        </w:rPr>
      </w:pPr>
      <w:commentRangeStart w:id="24"/>
      <w:r>
        <w:rPr>
          <w:strike/>
        </w:rPr>
        <w:t xml:space="preserve">O contrato </w:t>
      </w:r>
      <w:r>
        <w:rPr>
          <w:strike/>
          <w:highlight w:val="yellow"/>
        </w:rPr>
        <w:t>será extinto</w:t>
      </w:r>
      <w:r>
        <w:rPr>
          <w:strike/>
        </w:rPr>
        <w:t xml:space="preserve"> quando vencido o prazo nele estipulado, independentemente de terem sido cumpridas ou não as obrigações de ambas as partes contraentes.</w:t>
      </w:r>
    </w:p>
    <w:p>
      <w:pPr>
        <w:pStyle w:val="Nvel2Red"/>
        <w:numPr>
          <w:ilvl w:val="1"/>
          <w:numId w:val="1"/>
        </w:numPr>
        <w:ind w:left="0" w:hanging="0"/>
        <w:rPr>
          <w:strike/>
        </w:rPr>
      </w:pPr>
      <w:r>
        <w:rPr>
          <w:strike/>
        </w:rPr>
        <w:t xml:space="preserve">O contrato </w:t>
      </w:r>
      <w:r>
        <w:rPr>
          <w:strike/>
          <w:highlight w:val="yellow"/>
        </w:rPr>
        <w:t>poderá</w:t>
      </w:r>
      <w:r>
        <w:rPr>
          <w:strike/>
        </w:rPr>
        <w:t xml:space="preserve"> ser extinto antes do prazo nele fixado, sem ônus para o contratante, quando esta não dispuser de créditos orçamentários para sua continuidade ou quando entender que o contrato não mais lhe oferece vantagem.</w:t>
      </w:r>
    </w:p>
    <w:p>
      <w:pPr>
        <w:pStyle w:val="Nvel2Red"/>
        <w:numPr>
          <w:ilvl w:val="1"/>
          <w:numId w:val="1"/>
        </w:numPr>
        <w:ind w:left="0" w:hanging="0"/>
        <w:rPr>
          <w:strike/>
        </w:rPr>
      </w:pPr>
      <w:r>
        <w:rPr>
          <w:strike/>
        </w:rPr>
        <w:t>A extinção nesta hipótese ocorrerá na próxima data de aniversário do contrato, desde que haja a notificação do contratado pelo contratante nesse sentido com pelo menos 2 (dois) meses de antecedência desse dia.</w:t>
      </w:r>
      <w:commentRangeEnd w:id="24"/>
      <w:r>
        <w:commentReference w:id="24"/>
      </w:r>
      <w:r>
        <w:rPr>
          <w:strike/>
        </w:rPr>
      </w:r>
    </w:p>
    <w:p>
      <w:pPr>
        <w:pStyle w:val="Nvel2Red"/>
        <w:numPr>
          <w:ilvl w:val="1"/>
          <w:numId w:val="1"/>
        </w:numPr>
        <w:ind w:left="0" w:hanging="0"/>
        <w:rPr>
          <w:strike/>
        </w:rPr>
      </w:pPr>
      <w:commentRangeStart w:id="25"/>
      <w:r>
        <w:rPr>
          <w:strike/>
        </w:rPr>
        <w:t>Caso a notificação da não-continuidade do contrato de que trata este subitem ocorra com menos de 2 (dois) meses da data de aniversário, a extinção contratual ocorrerá após 2 (dois) meses da data da comunicação.</w:t>
      </w:r>
      <w:commentRangeEnd w:id="25"/>
      <w:r>
        <w:commentReference w:id="25"/>
      </w:r>
      <w:r>
        <w:rPr>
          <w:strike/>
        </w:rPr>
      </w:r>
    </w:p>
    <w:p>
      <w:pPr>
        <w:pStyle w:val="Nvel3R"/>
        <w:numPr>
          <w:ilvl w:val="0"/>
          <w:numId w:val="0"/>
        </w:numPr>
        <w:spacing w:lineRule="auto" w:line="312" w:before="120" w:after="288"/>
        <w:ind w:left="1163" w:hanging="0"/>
        <w:jc w:val="center"/>
        <w:rPr>
          <w:strike/>
        </w:rPr>
      </w:pPr>
      <w:bookmarkStart w:id="10" w:name="_Hlk191044452"/>
      <w:r>
        <w:rPr>
          <w:b/>
          <w:bCs/>
          <w:strike/>
          <w:u w:val="single"/>
        </w:rPr>
        <w:t>OU</w:t>
      </w:r>
    </w:p>
    <w:p>
      <w:pPr>
        <w:pStyle w:val="Nvel2Red"/>
        <w:numPr>
          <w:ilvl w:val="1"/>
          <w:numId w:val="1"/>
        </w:numPr>
        <w:ind w:left="0" w:hanging="0"/>
        <w:rPr>
          <w:strike/>
        </w:rPr>
      </w:pPr>
      <w:r>
        <w:rPr>
          <w:strike/>
          <w:highlight w:val="yellow"/>
        </w:rPr>
        <w:t xml:space="preserve">O contrato será extinto quando vencido o prazo nele estipulado, observado o art. 75, inciso VIII, da Lei n.º 14.133/2021, independentemente de terem sido cumpridas ou não as obrigações de ambas as </w:t>
      </w:r>
      <w:commentRangeStart w:id="26"/>
      <w:r>
        <w:rPr>
          <w:strike/>
          <w:highlight w:val="yellow"/>
        </w:rPr>
        <w:t>partes</w:t>
      </w:r>
      <w:r>
        <w:rPr>
          <w:strike/>
          <w:highlight w:val="yellow"/>
        </w:rPr>
      </w:r>
      <w:commentRangeEnd w:id="26"/>
      <w:r>
        <w:commentReference w:id="26"/>
      </w:r>
      <w:r>
        <w:rPr>
          <w:strike/>
          <w:highlight w:val="yellow"/>
        </w:rPr>
        <w:t xml:space="preserve"> contraen</w:t>
      </w:r>
      <w:bookmarkEnd w:id="10"/>
      <w:r>
        <w:rPr>
          <w:strike/>
          <w:highlight w:val="yellow"/>
        </w:rPr>
        <w:t>tes.</w:t>
      </w:r>
    </w:p>
    <w:p>
      <w:pPr>
        <w:pStyle w:val="Nivel2"/>
        <w:numPr>
          <w:ilvl w:val="1"/>
          <w:numId w:val="1"/>
        </w:numPr>
        <w:ind w:left="0" w:hanging="0"/>
        <w:rPr/>
      </w:pPr>
      <w:r>
        <w:rPr/>
        <w:t xml:space="preserve">O contrato poderá ser extinto antes de cumpridas as obrigações nele estipuladas, ou antes do prazo nele fixado, por algum dos motivos previstos no </w:t>
      </w:r>
      <w:r>
        <w:fldChar w:fldCharType="begin"/>
      </w:r>
      <w:r>
        <w:rPr>
          <w:rStyle w:val="LinkdaInternet"/>
          <w:u w:val="none"/>
          <w:color w:val="auto"/>
        </w:rPr>
        <w:instrText xml:space="preserve"> HYPERLINK "http://www.planalto.gov.br/ccivil_03/_ato2019-2022/2021/lei/L14133.htm" \l "art137"</w:instrText>
      </w:r>
      <w:r>
        <w:rPr>
          <w:rStyle w:val="LinkdaInternet"/>
          <w:u w:val="none"/>
          <w:color w:val="auto"/>
        </w:rPr>
        <w:fldChar w:fldCharType="separate"/>
      </w:r>
      <w:r>
        <w:rPr>
          <w:rStyle w:val="LinkdaInternet"/>
          <w:color w:val="auto"/>
          <w:u w:val="none"/>
        </w:rPr>
        <w:t>art. 137 da Lei nº 14.133/21</w:t>
      </w:r>
      <w:r>
        <w:rPr>
          <w:rStyle w:val="LinkdaInternet"/>
          <w:u w:val="none"/>
          <w:color w:val="auto"/>
        </w:rPr>
        <w:fldChar w:fldCharType="end"/>
      </w:r>
      <w:r>
        <w:rPr/>
        <w:t>, bem como amigavelmente, assegurados o contraditório e a ampla defesa.</w:t>
      </w:r>
    </w:p>
    <w:p>
      <w:pPr>
        <w:pStyle w:val="Nivel3"/>
        <w:numPr>
          <w:ilvl w:val="2"/>
          <w:numId w:val="1"/>
        </w:numPr>
        <w:ind w:left="284" w:hanging="0"/>
        <w:rPr/>
      </w:pPr>
      <w:r>
        <w:rPr/>
        <w:t xml:space="preserve">Nesta hipótese, aplicam-se também os </w:t>
      </w:r>
      <w:r>
        <w:fldChar w:fldCharType="begin"/>
      </w:r>
      <w:r>
        <w:rPr>
          <w:rStyle w:val="LinkdaInternet"/>
          <w:u w:val="none"/>
          <w:color w:val="000000"/>
        </w:rPr>
        <w:instrText xml:space="preserve"> HYPERLINK "http://www.planalto.gov.br/ccivil_03/_ato2019-2022/2021/lei/L14133.htm" \l "art138"</w:instrText>
      </w:r>
      <w:r>
        <w:rPr>
          <w:rStyle w:val="LinkdaInternet"/>
          <w:u w:val="none"/>
          <w:color w:val="000000"/>
        </w:rPr>
        <w:fldChar w:fldCharType="separate"/>
      </w:r>
      <w:r>
        <w:rPr>
          <w:rStyle w:val="LinkdaInternet"/>
          <w:color w:val="000000"/>
          <w:u w:val="none"/>
        </w:rPr>
        <w:t>arts. 138 e 139</w:t>
      </w:r>
      <w:r>
        <w:rPr>
          <w:rStyle w:val="LinkdaInternet"/>
          <w:u w:val="none"/>
          <w:color w:val="000000"/>
        </w:rPr>
        <w:fldChar w:fldCharType="end"/>
      </w:r>
      <w:r>
        <w:rPr/>
        <w:t xml:space="preserve"> da mesma Lei.</w:t>
      </w:r>
    </w:p>
    <w:p>
      <w:pPr>
        <w:pStyle w:val="Nivel3"/>
        <w:numPr>
          <w:ilvl w:val="2"/>
          <w:numId w:val="1"/>
        </w:numPr>
        <w:ind w:left="284" w:hanging="0"/>
        <w:rPr/>
      </w:pPr>
      <w:r>
        <w:rPr/>
        <w:t>A alteração social ou a modificação da finalidade ou da estrutura da empresa não ensejará a extinção se não restringir sua capacidade de concluir o contrato.</w:t>
      </w:r>
    </w:p>
    <w:p>
      <w:pPr>
        <w:pStyle w:val="Nivel3"/>
        <w:numPr>
          <w:ilvl w:val="2"/>
          <w:numId w:val="1"/>
        </w:numPr>
        <w:ind w:left="284" w:hanging="0"/>
        <w:rPr/>
      </w:pPr>
      <w:r>
        <w:rPr/>
        <w:t>Se a operação implicar mudança da pessoa jurídica contratada, deverá ser formalizado termo aditivo para alteração subjetiva.</w:t>
      </w:r>
    </w:p>
    <w:p>
      <w:pPr>
        <w:pStyle w:val="Nivel2"/>
        <w:numPr>
          <w:ilvl w:val="1"/>
          <w:numId w:val="1"/>
        </w:numPr>
        <w:ind w:left="0" w:hanging="0"/>
        <w:rPr/>
      </w:pPr>
      <w:r>
        <w:rPr/>
        <w:t>O termo de extinção, sempre que possível, será precedido de:</w:t>
      </w:r>
    </w:p>
    <w:p>
      <w:pPr>
        <w:pStyle w:val="Nivel3"/>
        <w:numPr>
          <w:ilvl w:val="2"/>
          <w:numId w:val="1"/>
        </w:numPr>
        <w:ind w:left="284" w:hanging="0"/>
        <w:rPr/>
      </w:pPr>
      <w:r>
        <w:rPr/>
        <w:t>Balanço dos eventos contratuais já cumpridos ou parcialmente cumpridos;</w:t>
      </w:r>
    </w:p>
    <w:p>
      <w:pPr>
        <w:pStyle w:val="Nivel3"/>
        <w:numPr>
          <w:ilvl w:val="2"/>
          <w:numId w:val="1"/>
        </w:numPr>
        <w:ind w:left="284" w:hanging="0"/>
        <w:rPr/>
      </w:pPr>
      <w:r>
        <w:rPr/>
        <w:t>Relação dos pagamentos já efetuados e ainda devidos;</w:t>
      </w:r>
    </w:p>
    <w:p>
      <w:pPr>
        <w:pStyle w:val="Nivel3"/>
        <w:numPr>
          <w:ilvl w:val="2"/>
          <w:numId w:val="1"/>
        </w:numPr>
        <w:ind w:left="284" w:hanging="0"/>
        <w:rPr/>
      </w:pPr>
      <w:r>
        <w:rPr/>
        <w:t>Indenizações e multas.</w:t>
      </w:r>
    </w:p>
    <w:p>
      <w:pPr>
        <w:pStyle w:val="Nivel2"/>
        <w:numPr>
          <w:ilvl w:val="1"/>
          <w:numId w:val="1"/>
        </w:numPr>
        <w:ind w:left="0" w:hanging="0"/>
        <w:rPr/>
      </w:pPr>
      <w:r>
        <w:rPr/>
        <w:t xml:space="preserve">A extinção do contrato não configura óbice para o reconhecimento do desequilíbrio econômico-financeiro, hipótese em que será concedida indenização por meio de termo indenizatório. </w:t>
      </w:r>
    </w:p>
    <w:p>
      <w:pPr>
        <w:pStyle w:val="Nivel2"/>
        <w:numPr>
          <w:ilvl w:val="1"/>
          <w:numId w:val="1"/>
        </w:numPr>
        <w:ind w:left="0" w:hanging="0"/>
        <w:rPr>
          <w:highlight w:val="yellow"/>
        </w:rPr>
      </w:pPr>
      <w:r>
        <w:rPr>
          <w:highlight w:val="yellow"/>
        </w:rPr>
        <w:t>O CONTRATANTE poderá ainda:</w:t>
      </w:r>
    </w:p>
    <w:p>
      <w:pPr>
        <w:pStyle w:val="Nivel3"/>
        <w:numPr>
          <w:ilvl w:val="2"/>
          <w:numId w:val="1"/>
        </w:numPr>
        <w:ind w:left="284" w:hanging="0"/>
        <w:rPr>
          <w:highlight w:val="yellow"/>
        </w:rPr>
      </w:pPr>
      <w:r>
        <w:rPr>
          <w:highlight w:val="yellow"/>
        </w:rPr>
        <w:t xml:space="preserve"> </w:t>
      </w:r>
      <w:r>
        <w:rPr>
          <w:strike/>
          <w:highlight w:val="yellow"/>
        </w:rPr>
        <w:t>nos casos de obrigação de pagamento de multa pelo CONTRATADO, reter a garantia prestada a ser executada, conforme legislação que rege a matéria; e</w:t>
      </w:r>
    </w:p>
    <w:p>
      <w:pPr>
        <w:pStyle w:val="Nivel3"/>
        <w:numPr>
          <w:ilvl w:val="2"/>
          <w:numId w:val="1"/>
        </w:numPr>
        <w:ind w:left="284" w:hanging="0"/>
        <w:rPr/>
      </w:pPr>
      <w:r>
        <w:rPr>
          <w:highlight w:val="yellow"/>
        </w:rPr>
        <w:t>nos casos em que houver necessidade de ressarcimento de prejuízos causados à Administração, nos termos do inciso IV do art. 139 da Lei n.º 14.133, de 2021, reter os eventuais créditos existentes em favor do CONTRATADO decorrentes do contrato</w:t>
      </w:r>
      <w:r>
        <w:rPr/>
        <w:t>.</w:t>
      </w:r>
    </w:p>
    <w:p>
      <w:pPr>
        <w:pStyle w:val="Nivel2"/>
        <w:numPr>
          <w:ilvl w:val="1"/>
          <w:numId w:val="1"/>
        </w:numPr>
        <w:ind w:left="0" w:hanging="0"/>
        <w:rPr/>
      </w:pPr>
      <w:r>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w:t>
      </w:r>
      <w:bookmarkStart w:id="11" w:name="_Hlk191049977"/>
      <w:r>
        <w:rPr/>
        <w:t xml:space="preserve"> </w:t>
      </w:r>
      <w:r>
        <w:rPr>
          <w:highlight w:val="yellow"/>
        </w:rPr>
        <w:t>ou na contratação direta</w:t>
      </w:r>
      <w:bookmarkEnd w:id="11"/>
      <w:r>
        <w:rPr/>
        <w:t xml:space="preserve"> ou que atue na fiscalização ou na gestão do contrato, ou que deles seja cônjuge, companheiro ou parente em linha reta, colateral ou por afinidade, até o terceiro grau (art. 14, inciso IV, da Lei n.º 14.133, de 2021).</w:t>
      </w:r>
    </w:p>
    <w:p>
      <w:pPr>
        <w:pStyle w:val="Nivel01"/>
        <w:numPr>
          <w:ilvl w:val="0"/>
          <w:numId w:val="1"/>
        </w:numPr>
        <w:ind w:left="73" w:hanging="357"/>
        <w:rPr/>
      </w:pPr>
      <w:r>
        <w:rPr/>
        <w:t>CLÁUSULA DÉCIMA QUARTA – ALTERAÇÕES</w:t>
      </w:r>
    </w:p>
    <w:p>
      <w:pPr>
        <w:pStyle w:val="Nivel2"/>
        <w:numPr>
          <w:ilvl w:val="1"/>
          <w:numId w:val="1"/>
        </w:numPr>
        <w:ind w:left="0" w:hanging="0"/>
        <w:rPr/>
      </w:pPr>
      <w:r>
        <w:rPr/>
        <w:t>Eventuais alterações contratuais reger-se-ão pela disciplina dos arts. 124 e seguintes da Lei nº 14.133, de 2021.</w:t>
      </w:r>
    </w:p>
    <w:p>
      <w:pPr>
        <w:pStyle w:val="Nivel2"/>
        <w:numPr>
          <w:ilvl w:val="1"/>
          <w:numId w:val="1"/>
        </w:numPr>
        <w:ind w:left="0" w:hanging="0"/>
        <w:rPr/>
      </w:pPr>
      <w:r>
        <w:rPr/>
        <w:t>O CONTRATADO é obrigado a aceitar, nas mesmas condições contratuais, os acréscimos ou supressões que se fizerem necessários, até o limite de 25% (vinte e cinco por cento) do valor inicial atualizado do contrato.</w:t>
      </w:r>
    </w:p>
    <w:p>
      <w:pPr>
        <w:pStyle w:val="Nivel2"/>
        <w:numPr>
          <w:ilvl w:val="1"/>
          <w:numId w:val="1"/>
        </w:numPr>
        <w:ind w:left="0" w:hanging="0"/>
        <w:rPr/>
      </w:pPr>
      <w:commentRangeStart w:id="27"/>
      <w:r>
        <w:rPr/>
        <w:t>As supressões resultantes de acordo celebrado entre as partes contratantes poderão exceder o limite de 25% (vinte e cinco por cento) do valor inicial atualizado do contrato.</w:t>
      </w:r>
      <w:commentRangeEnd w:id="27"/>
      <w:r>
        <w:commentReference w:id="27"/>
      </w:r>
      <w:r>
        <w:rPr/>
      </w:r>
    </w:p>
    <w:p>
      <w:pPr>
        <w:pStyle w:val="Nivel2"/>
        <w:numPr>
          <w:ilvl w:val="1"/>
          <w:numId w:val="1"/>
        </w:numPr>
        <w:ind w:left="0" w:hanging="0"/>
        <w:rPr/>
      </w:pPr>
      <w:r>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pPr>
        <w:pStyle w:val="Nivel2"/>
        <w:numPr>
          <w:ilvl w:val="1"/>
          <w:numId w:val="1"/>
        </w:numPr>
        <w:ind w:left="0" w:hanging="0"/>
        <w:rPr/>
      </w:pPr>
      <w:r>
        <w:rPr/>
        <w:t>Registros que não caracterizam alteração do contrato podem ser realizados por simples apostila, dispensada a celebração de termo aditivo, na forma do art. 136 da Lei nº 14.133, de 2021.</w:t>
      </w:r>
    </w:p>
    <w:p>
      <w:pPr>
        <w:pStyle w:val="Nivel01"/>
        <w:numPr>
          <w:ilvl w:val="0"/>
          <w:numId w:val="1"/>
        </w:numPr>
        <w:ind w:left="73" w:hanging="357"/>
        <w:rPr/>
      </w:pPr>
      <w:r>
        <w:rPr/>
        <w:t>CLÁUSULA DÉCIMA QUINTA – DOTAÇÃO ORÇAMENTÁRIA</w:t>
      </w:r>
    </w:p>
    <w:p>
      <w:pPr>
        <w:pStyle w:val="Nivel2"/>
        <w:numPr>
          <w:ilvl w:val="1"/>
          <w:numId w:val="1"/>
        </w:numPr>
        <w:ind w:left="0" w:hanging="0"/>
        <w:rPr/>
      </w:pPr>
      <w:r>
        <w:rPr/>
        <w:t>As despesas decorrentes da presente contratação correrão à conta de recursos específicos consignados no Orçamento Geral da União deste exercício, na dotação abaixo discriminada:</w:t>
      </w:r>
    </w:p>
    <w:p>
      <w:pPr>
        <w:pStyle w:val="Normal"/>
        <w:numPr>
          <w:ilvl w:val="1"/>
          <w:numId w:val="4"/>
        </w:numPr>
        <w:suppressAutoHyphens w:val="true"/>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Gestão/Unidade: </w:t>
      </w:r>
      <w:r>
        <w:rPr>
          <w:rFonts w:eastAsia="Arial" w:cs="Arial" w:ascii="Arial" w:hAnsi="Arial"/>
          <w:color w:val="FF0000"/>
          <w:sz w:val="20"/>
          <w:szCs w:val="20"/>
        </w:rPr>
        <w:t>[...]</w:t>
      </w:r>
      <w:r>
        <w:rPr>
          <w:rFonts w:eastAsia="Arial" w:cs="Arial" w:ascii="Arial" w:hAnsi="Arial"/>
          <w:sz w:val="20"/>
          <w:szCs w:val="20"/>
        </w:rPr>
        <w:t>;</w:t>
      </w:r>
    </w:p>
    <w:p>
      <w:pPr>
        <w:pStyle w:val="Normal"/>
        <w:numPr>
          <w:ilvl w:val="1"/>
          <w:numId w:val="4"/>
        </w:numPr>
        <w:suppressAutoHyphens w:val="true"/>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Fonte de Recursos:  </w:t>
      </w:r>
      <w:r>
        <w:rPr>
          <w:rFonts w:eastAsia="Arial" w:cs="Arial" w:ascii="Arial" w:hAnsi="Arial"/>
          <w:color w:val="FF0000"/>
          <w:sz w:val="20"/>
          <w:szCs w:val="20"/>
        </w:rPr>
        <w:t>[...]</w:t>
      </w:r>
      <w:r>
        <w:rPr>
          <w:rFonts w:eastAsia="Arial" w:cs="Arial" w:ascii="Arial" w:hAnsi="Arial"/>
          <w:sz w:val="20"/>
          <w:szCs w:val="20"/>
        </w:rPr>
        <w:t>;</w:t>
      </w:r>
    </w:p>
    <w:p>
      <w:pPr>
        <w:pStyle w:val="Normal"/>
        <w:numPr>
          <w:ilvl w:val="1"/>
          <w:numId w:val="4"/>
        </w:numPr>
        <w:suppressAutoHyphens w:val="true"/>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Programa de Trabalho: </w:t>
      </w:r>
      <w:r>
        <w:rPr>
          <w:rFonts w:eastAsia="Arial" w:cs="Arial" w:ascii="Arial" w:hAnsi="Arial"/>
          <w:color w:val="FF0000"/>
          <w:sz w:val="20"/>
          <w:szCs w:val="20"/>
        </w:rPr>
        <w:t>[...]</w:t>
      </w:r>
      <w:r>
        <w:rPr>
          <w:rFonts w:eastAsia="Arial" w:cs="Arial" w:ascii="Arial" w:hAnsi="Arial"/>
          <w:sz w:val="20"/>
          <w:szCs w:val="20"/>
        </w:rPr>
        <w:t>;</w:t>
      </w:r>
    </w:p>
    <w:p>
      <w:pPr>
        <w:pStyle w:val="Normal"/>
        <w:numPr>
          <w:ilvl w:val="1"/>
          <w:numId w:val="4"/>
        </w:numPr>
        <w:suppressAutoHyphens w:val="true"/>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Elemento de Despesa: </w:t>
      </w:r>
      <w:r>
        <w:rPr>
          <w:rFonts w:eastAsia="Arial" w:cs="Arial" w:ascii="Arial" w:hAnsi="Arial"/>
          <w:color w:val="FF0000"/>
          <w:sz w:val="20"/>
          <w:szCs w:val="20"/>
        </w:rPr>
        <w:t>[...];</w:t>
      </w:r>
    </w:p>
    <w:p>
      <w:pPr>
        <w:pStyle w:val="Normal"/>
        <w:numPr>
          <w:ilvl w:val="1"/>
          <w:numId w:val="4"/>
        </w:numPr>
        <w:suppressAutoHyphens w:val="true"/>
        <w:spacing w:before="120" w:after="120"/>
        <w:ind w:left="284" w:hanging="0"/>
        <w:contextualSpacing/>
        <w:jc w:val="both"/>
        <w:rPr>
          <w:rFonts w:ascii="Arial" w:hAnsi="Arial" w:eastAsia="Arial" w:cs="Arial"/>
          <w:sz w:val="20"/>
          <w:szCs w:val="20"/>
        </w:rPr>
      </w:pPr>
      <w:r>
        <w:rPr>
          <w:rFonts w:eastAsia="Arial" w:cs="Arial" w:ascii="Arial" w:hAnsi="Arial"/>
          <w:sz w:val="20"/>
          <w:szCs w:val="20"/>
        </w:rPr>
        <w:t xml:space="preserve">Plano Interno: </w:t>
      </w:r>
      <w:r>
        <w:rPr>
          <w:rFonts w:eastAsia="Arial" w:cs="Arial" w:ascii="Arial" w:hAnsi="Arial"/>
          <w:color w:val="FF0000"/>
          <w:sz w:val="20"/>
          <w:szCs w:val="20"/>
        </w:rPr>
        <w:t>[...]</w:t>
      </w:r>
      <w:r>
        <w:rPr>
          <w:rFonts w:eastAsia="Arial" w:cs="Arial" w:ascii="Arial" w:hAnsi="Arial"/>
          <w:sz w:val="20"/>
          <w:szCs w:val="20"/>
        </w:rPr>
        <w:t>;</w:t>
      </w:r>
    </w:p>
    <w:p>
      <w:pPr>
        <w:pStyle w:val="Normal"/>
        <w:numPr>
          <w:ilvl w:val="1"/>
          <w:numId w:val="4"/>
        </w:numPr>
        <w:suppressAutoHyphens w:val="true"/>
        <w:spacing w:before="120" w:after="120"/>
        <w:ind w:left="284" w:hanging="0"/>
        <w:contextualSpacing/>
        <w:jc w:val="both"/>
        <w:rPr>
          <w:rFonts w:ascii="Arial" w:hAnsi="Arial" w:eastAsia="Arial" w:cs="Arial"/>
          <w:sz w:val="20"/>
          <w:szCs w:val="20"/>
        </w:rPr>
      </w:pPr>
      <w:r>
        <w:rPr>
          <w:rFonts w:eastAsia="Arial" w:cs="Arial" w:ascii="Arial" w:hAnsi="Arial"/>
          <w:sz w:val="20"/>
          <w:szCs w:val="20"/>
        </w:rPr>
        <w:t>Nota de Empenho:</w:t>
      </w:r>
      <w:r>
        <w:rPr>
          <w:rFonts w:eastAsia="Arial" w:cs="Arial" w:ascii="Arial" w:hAnsi="Arial"/>
          <w:color w:val="FF0000"/>
          <w:sz w:val="20"/>
          <w:szCs w:val="20"/>
        </w:rPr>
        <w:t xml:space="preserve"> [...]</w:t>
      </w:r>
      <w:r>
        <w:rPr>
          <w:rFonts w:eastAsia="Arial" w:cs="Arial" w:ascii="Arial" w:hAnsi="Arial"/>
          <w:sz w:val="20"/>
          <w:szCs w:val="20"/>
        </w:rPr>
        <w:t>;</w:t>
      </w:r>
    </w:p>
    <w:p>
      <w:pPr>
        <w:pStyle w:val="Nvel2Red"/>
        <w:numPr>
          <w:ilvl w:val="1"/>
          <w:numId w:val="1"/>
        </w:numPr>
        <w:ind w:left="0" w:hanging="0"/>
        <w:rPr/>
      </w:pPr>
      <w:commentRangeStart w:id="28"/>
      <w:r>
        <w:rPr/>
        <w:t>A dotação relativa aos exercícios financeiros subsequentes será indicada após aprovação da Lei Orçamentária respectiva e liberação dos créditos correspondentes, mediante apostilamento.</w:t>
      </w:r>
      <w:commentRangeEnd w:id="28"/>
      <w:r>
        <w:commentReference w:id="28"/>
      </w:r>
      <w:r>
        <w:rPr/>
      </w:r>
    </w:p>
    <w:p>
      <w:pPr>
        <w:pStyle w:val="Nivel01"/>
        <w:numPr>
          <w:ilvl w:val="0"/>
          <w:numId w:val="1"/>
        </w:numPr>
        <w:ind w:left="73" w:hanging="357"/>
        <w:rPr/>
      </w:pPr>
      <w:r>
        <w:rPr/>
        <w:t>CLÁUSULA DÉCIMA SEXTA – DOS CASOS OMISSOS</w:t>
      </w:r>
    </w:p>
    <w:p>
      <w:pPr>
        <w:pStyle w:val="Nivel2"/>
        <w:numPr>
          <w:ilvl w:val="1"/>
          <w:numId w:val="1"/>
        </w:numPr>
        <w:ind w:left="0" w:hanging="0"/>
        <w:rPr/>
      </w:pPr>
      <w:commentRangeStart w:id="29"/>
      <w:r>
        <w:rPr/>
        <w:t xml:space="preserve">Os casos omissos serão decididos pelo contratante, segundo as disposições contidas na </w:t>
      </w:r>
      <w:hyperlink r:id="rId5">
        <w:r>
          <w:rPr>
            <w:rStyle w:val="LinkdaInternet"/>
            <w:color w:val="auto"/>
            <w:u w:val="none"/>
          </w:rPr>
          <w:t>Lei nº 14.133, de 2021</w:t>
        </w:r>
      </w:hyperlink>
      <w:r>
        <w:rPr/>
        <w:t xml:space="preserve">, e demais normas federais aplicáveis e, subsidiariamente, segundo as disposições contidas na </w:t>
      </w:r>
      <w:hyperlink r:id="rId6">
        <w:r>
          <w:rPr>
            <w:rStyle w:val="LinkdaInternet"/>
            <w:color w:val="auto"/>
            <w:u w:val="none"/>
          </w:rPr>
          <w:t>Lei nº 8.078, de 1990 – Código de Defesa do Consumidor</w:t>
        </w:r>
      </w:hyperlink>
      <w:r>
        <w:rPr/>
        <w:t xml:space="preserve"> – e normas e princípios gerais dos contratos.</w:t>
      </w:r>
      <w:commentRangeEnd w:id="29"/>
      <w:r>
        <w:commentReference w:id="29"/>
      </w:r>
      <w:r>
        <w:rPr/>
      </w:r>
    </w:p>
    <w:p>
      <w:pPr>
        <w:pStyle w:val="Nivel01"/>
        <w:numPr>
          <w:ilvl w:val="0"/>
          <w:numId w:val="1"/>
        </w:numPr>
        <w:ind w:left="73" w:hanging="357"/>
        <w:rPr/>
      </w:pPr>
      <w:r>
        <w:rPr/>
        <w:t>CLÁUSULA DÉCIMA SÉTIMA – PUBLICAÇÃO</w:t>
      </w:r>
    </w:p>
    <w:p>
      <w:pPr>
        <w:pStyle w:val="Nivel2"/>
        <w:numPr>
          <w:ilvl w:val="1"/>
          <w:numId w:val="1"/>
        </w:numPr>
        <w:ind w:left="0" w:hanging="0"/>
        <w:rPr/>
      </w:pPr>
      <w:r>
        <w:rPr/>
        <w:t xml:space="preserve">Incumbirá ao contratante divulgar o presente instrumento no Portal Nacional de Contratações Públicas (PNCP), na forma prevista no </w:t>
      </w:r>
      <w:r>
        <w:fldChar w:fldCharType="begin"/>
      </w:r>
      <w:r>
        <w:rPr>
          <w:rStyle w:val="LinkdaInternet"/>
          <w:u w:val="none"/>
          <w:color w:val="auto"/>
        </w:rPr>
        <w:instrText xml:space="preserve"> HYPERLINK "http://www.planalto.gov.br/ccivil_03/_ato2019-2022/2021/lei/L14133.htm" \l "art94"</w:instrText>
      </w:r>
      <w:r>
        <w:rPr>
          <w:rStyle w:val="LinkdaInternet"/>
          <w:u w:val="none"/>
          <w:color w:val="auto"/>
        </w:rPr>
        <w:fldChar w:fldCharType="separate"/>
      </w:r>
      <w:r>
        <w:rPr>
          <w:rStyle w:val="LinkdaInternet"/>
          <w:color w:val="auto"/>
          <w:u w:val="none"/>
        </w:rPr>
        <w:t>art. 94 da Lei 14.133, de 2021</w:t>
      </w:r>
      <w:r>
        <w:rPr>
          <w:rStyle w:val="LinkdaInternet"/>
          <w:u w:val="none"/>
          <w:color w:val="auto"/>
        </w:rPr>
        <w:fldChar w:fldCharType="end"/>
      </w:r>
      <w:r>
        <w:rPr/>
        <w:t xml:space="preserve">, bem como no respectivo sítio oficial na Internet, em atenção ao art. 91, </w:t>
      </w:r>
      <w:r>
        <w:rPr>
          <w:i/>
        </w:rPr>
        <w:t>caput,</w:t>
      </w:r>
      <w:r>
        <w:rPr/>
        <w:t xml:space="preserve"> da Lei n.º 14.133, de 2021, e ao </w:t>
      </w:r>
      <w:r>
        <w:fldChar w:fldCharType="begin"/>
      </w:r>
      <w:r>
        <w:rPr>
          <w:rStyle w:val="LinkdaInternet"/>
          <w:u w:val="none"/>
          <w:color w:val="auto"/>
        </w:rPr>
        <w:instrText xml:space="preserve"> HYPERLINK "https://www.planalto.gov.br/ccivil_03/_ato2011-2014/2011/lei/l12527.htm" \l "art8§2"</w:instrText>
      </w:r>
      <w:r>
        <w:rPr>
          <w:rStyle w:val="LinkdaInternet"/>
          <w:u w:val="none"/>
          <w:color w:val="auto"/>
        </w:rPr>
        <w:fldChar w:fldCharType="separate"/>
      </w:r>
      <w:r>
        <w:rPr>
          <w:rStyle w:val="LinkdaInternet"/>
          <w:color w:val="auto"/>
          <w:u w:val="none"/>
        </w:rPr>
        <w:t>art. 8º, §2º, da Lei n. 12.527, de 2011</w:t>
      </w:r>
      <w:r>
        <w:rPr>
          <w:rStyle w:val="LinkdaInternet"/>
          <w:u w:val="none"/>
          <w:color w:val="auto"/>
        </w:rPr>
        <w:fldChar w:fldCharType="end"/>
      </w:r>
      <w:r>
        <w:rPr/>
        <w:t xml:space="preserve">, c/c </w:t>
      </w:r>
      <w:r>
        <w:fldChar w:fldCharType="begin"/>
      </w:r>
      <w:r>
        <w:rPr>
          <w:rStyle w:val="LinkdaInternet"/>
          <w:u w:val="none"/>
          <w:color w:val="auto"/>
        </w:rPr>
        <w:instrText xml:space="preserve"> HYPERLINK "https://www.planalto.gov.br/ccivil_03/_ato2011-2014/2012/decreto/d7724.htm" \l "art7§3"</w:instrText>
      </w:r>
      <w:r>
        <w:rPr>
          <w:rStyle w:val="LinkdaInternet"/>
          <w:u w:val="none"/>
          <w:color w:val="auto"/>
        </w:rPr>
        <w:fldChar w:fldCharType="separate"/>
      </w:r>
      <w:r>
        <w:rPr>
          <w:rStyle w:val="LinkdaInternet"/>
          <w:color w:val="auto"/>
          <w:u w:val="none"/>
        </w:rPr>
        <w:t>art. 7º, §3º, inciso V, do Decreto n. 7.724, de 2012.</w:t>
      </w:r>
      <w:r>
        <w:rPr>
          <w:rStyle w:val="LinkdaInternet"/>
          <w:u w:val="none"/>
          <w:color w:val="auto"/>
        </w:rPr>
        <w:fldChar w:fldCharType="end"/>
      </w:r>
      <w:r>
        <w:rPr/>
        <w:t xml:space="preserve"> </w:t>
      </w:r>
    </w:p>
    <w:p>
      <w:pPr>
        <w:pStyle w:val="Nivel01"/>
        <w:numPr>
          <w:ilvl w:val="0"/>
          <w:numId w:val="1"/>
        </w:numPr>
        <w:ind w:left="73" w:hanging="357"/>
        <w:rPr/>
      </w:pPr>
      <w:r>
        <w:rPr/>
        <w:t>CLÁUSULA DÉCIMA OITAVA– FORO</w:t>
      </w:r>
    </w:p>
    <w:p>
      <w:pPr>
        <w:pStyle w:val="Nivel2"/>
        <w:numPr>
          <w:ilvl w:val="1"/>
          <w:numId w:val="1"/>
        </w:numPr>
        <w:ind w:left="0" w:hanging="0"/>
        <w:rPr/>
      </w:pPr>
      <w:r>
        <w:rPr/>
        <w:t xml:space="preserve">Fica eleito o Foro da Justiça Federal em </w:t>
      </w:r>
      <w:r>
        <w:rPr>
          <w:i/>
          <w:iCs/>
          <w:color w:val="FF0000"/>
          <w:lang w:eastAsia="en-US"/>
        </w:rPr>
        <w:t>Barreiras - BA</w:t>
      </w:r>
      <w:r>
        <w:rPr/>
        <w:t xml:space="preserve">, Seção Judiciária de </w:t>
      </w:r>
      <w:r>
        <w:rPr>
          <w:i/>
          <w:iCs/>
          <w:color w:val="FF0000"/>
          <w:lang w:eastAsia="en-US"/>
        </w:rPr>
        <w:t>Barreiras - BA</w:t>
      </w:r>
      <w:r>
        <w:rPr/>
        <w:t xml:space="preserve"> para dirimir os litígios que decorrerem da execução deste Termo de Contrato que não puderem ser compostos pela conciliação, conforme </w:t>
      </w:r>
      <w:r>
        <w:fldChar w:fldCharType="begin"/>
      </w:r>
      <w:r>
        <w:rPr>
          <w:rStyle w:val="LinkdaInternet"/>
          <w:u w:val="none"/>
          <w:color w:val="auto"/>
        </w:rPr>
        <w:instrText xml:space="preserve"> HYPERLINK "http://www.planalto.gov.br/ccivil_03/_ato2019-2022/2021/lei/L14133.htm" \l "art92§1"</w:instrText>
      </w:r>
      <w:r>
        <w:rPr>
          <w:rStyle w:val="LinkdaInternet"/>
          <w:u w:val="none"/>
          <w:color w:val="auto"/>
        </w:rPr>
        <w:fldChar w:fldCharType="separate"/>
      </w:r>
      <w:r>
        <w:rPr>
          <w:rStyle w:val="LinkdaInternet"/>
          <w:color w:val="auto"/>
          <w:u w:val="none"/>
        </w:rPr>
        <w:t>art. 92, §1º, da Lei nº 14.133/21.</w:t>
      </w:r>
      <w:r>
        <w:rPr>
          <w:rStyle w:val="LinkdaInternet"/>
          <w:u w:val="none"/>
          <w:color w:val="auto"/>
        </w:rPr>
        <w:fldChar w:fldCharType="end"/>
      </w:r>
    </w:p>
    <w:p>
      <w:pPr>
        <w:pStyle w:val="Nivel2"/>
        <w:numPr>
          <w:ilvl w:val="0"/>
          <w:numId w:val="0"/>
        </w:numPr>
        <w:spacing w:lineRule="auto" w:line="312" w:before="120" w:after="288"/>
        <w:ind w:left="0" w:firstLine="709"/>
        <w:rPr>
          <w:i/>
          <w:i/>
          <w:iCs/>
          <w:color w:val="auto"/>
        </w:rPr>
      </w:pPr>
      <w:r>
        <w:rPr>
          <w:i/>
          <w:iCs/>
          <w:color w:val="FF0000"/>
        </w:rPr>
        <w:t>[Local]</w:t>
      </w:r>
      <w:r>
        <w:rPr>
          <w:i/>
          <w:iCs/>
          <w:color w:val="auto"/>
        </w:rPr>
        <w:t>,</w:t>
      </w:r>
      <w:r>
        <w:rPr>
          <w:i/>
          <w:iCs/>
          <w:color w:val="FF0000"/>
        </w:rPr>
        <w:t xml:space="preserve"> [dia] </w:t>
      </w:r>
      <w:r>
        <w:rPr>
          <w:i/>
          <w:iCs/>
          <w:color w:val="auto"/>
        </w:rPr>
        <w:t>de</w:t>
      </w:r>
      <w:r>
        <w:rPr>
          <w:i/>
          <w:iCs/>
          <w:color w:val="FF0000"/>
        </w:rPr>
        <w:t xml:space="preserve"> [mês] </w:t>
      </w:r>
      <w:r>
        <w:rPr>
          <w:i/>
          <w:iCs/>
          <w:color w:val="auto"/>
        </w:rPr>
        <w:t>de</w:t>
      </w:r>
      <w:r>
        <w:rPr>
          <w:i/>
          <w:iCs/>
          <w:color w:val="FF0000"/>
        </w:rPr>
        <w:t xml:space="preserve"> [ano].</w:t>
      </w:r>
    </w:p>
    <w:p>
      <w:pPr>
        <w:pStyle w:val="Normal"/>
        <w:spacing w:lineRule="auto" w:line="312" w:before="120" w:after="288"/>
        <w:jc w:val="center"/>
        <w:rPr>
          <w:rFonts w:ascii="Arial" w:hAnsi="Arial" w:cs="Arial"/>
          <w:bCs/>
          <w:sz w:val="20"/>
          <w:szCs w:val="20"/>
        </w:rPr>
      </w:pPr>
      <w:commentRangeStart w:id="30"/>
      <w:r>
        <w:rPr>
          <w:rFonts w:cs="Arial" w:ascii="Arial" w:hAnsi="Arial"/>
          <w:bCs/>
          <w:sz w:val="20"/>
          <w:szCs w:val="20"/>
        </w:rPr>
        <w:t>_________________________</w:t>
        <w:br/>
        <w:t>Representante legal do CONTRATANTE</w:t>
      </w:r>
    </w:p>
    <w:p>
      <w:pPr>
        <w:pStyle w:val="Normal"/>
        <w:spacing w:lineRule="auto" w:line="312" w:before="120" w:after="288"/>
        <w:jc w:val="center"/>
        <w:rPr>
          <w:rFonts w:ascii="Arial" w:hAnsi="Arial" w:cs="Arial"/>
          <w:sz w:val="20"/>
          <w:szCs w:val="20"/>
        </w:rPr>
      </w:pPr>
      <w:r>
        <w:rPr>
          <w:rFonts w:cs="Arial" w:ascii="Arial" w:hAnsi="Arial"/>
          <w:sz w:val="20"/>
          <w:szCs w:val="20"/>
        </w:rPr>
        <w:t>_________________________</w:t>
        <w:br/>
      </w:r>
      <w:r>
        <w:rPr>
          <w:rFonts w:cs="Arial" w:ascii="Arial" w:hAnsi="Arial"/>
          <w:bCs/>
          <w:sz w:val="20"/>
          <w:szCs w:val="20"/>
        </w:rPr>
        <w:t>Representante</w:t>
      </w:r>
      <w:r>
        <w:rPr>
          <w:rFonts w:cs="Arial" w:ascii="Arial" w:hAnsi="Arial"/>
          <w:sz w:val="20"/>
          <w:szCs w:val="20"/>
        </w:rPr>
        <w:t xml:space="preserve"> legal do CONTRATADO</w:t>
      </w:r>
    </w:p>
    <w:p>
      <w:pPr>
        <w:pStyle w:val="Normal"/>
        <w:spacing w:lineRule="auto" w:line="312" w:before="120" w:after="288"/>
        <w:ind w:firstLine="709"/>
        <w:jc w:val="both"/>
        <w:rPr>
          <w:rFonts w:ascii="Arial" w:hAnsi="Arial" w:cs="Arial"/>
          <w:i/>
          <w:i/>
          <w:iCs/>
          <w:color w:val="FF0000"/>
          <w:sz w:val="20"/>
          <w:szCs w:val="20"/>
        </w:rPr>
      </w:pPr>
      <w:r>
        <w:rPr>
          <w:rFonts w:cs="Arial" w:ascii="Arial" w:hAnsi="Arial"/>
          <w:i/>
          <w:iCs/>
          <w:color w:val="FF0000"/>
          <w:sz w:val="20"/>
          <w:szCs w:val="20"/>
        </w:rPr>
        <w:t>TESTEMUNHAS:</w:t>
      </w:r>
    </w:p>
    <w:p>
      <w:pPr>
        <w:pStyle w:val="Normal"/>
        <w:spacing w:lineRule="auto" w:line="312" w:before="120" w:after="288"/>
        <w:ind w:firstLine="709"/>
        <w:rPr>
          <w:rFonts w:ascii="Arial" w:hAnsi="Arial" w:cs="Arial"/>
          <w:i/>
          <w:i/>
          <w:iCs/>
          <w:color w:val="FF0000"/>
          <w:sz w:val="20"/>
          <w:szCs w:val="20"/>
        </w:rPr>
      </w:pPr>
      <w:r>
        <w:rPr>
          <w:rFonts w:cs="Arial" w:ascii="Arial" w:hAnsi="Arial"/>
          <w:i/>
          <w:iCs/>
          <w:color w:val="FF0000"/>
          <w:sz w:val="20"/>
          <w:szCs w:val="20"/>
        </w:rPr>
        <w:t>1-</w:t>
      </w:r>
    </w:p>
    <w:p>
      <w:pPr>
        <w:pStyle w:val="Normal"/>
        <w:spacing w:lineRule="auto" w:line="312" w:before="120" w:after="288"/>
        <w:ind w:firstLine="709"/>
        <w:rPr>
          <w:rFonts w:ascii="Arial" w:hAnsi="Arial" w:cs="Arial"/>
          <w:b/>
          <w:b/>
          <w:i/>
          <w:i/>
          <w:color w:val="FF0000"/>
          <w:sz w:val="20"/>
          <w:szCs w:val="20"/>
        </w:rPr>
      </w:pPr>
      <w:r>
        <w:rPr>
          <w:rFonts w:cs="Arial" w:ascii="Arial" w:hAnsi="Arial"/>
          <w:i/>
          <w:iCs/>
          <w:color w:val="FF0000"/>
          <w:sz w:val="20"/>
          <w:szCs w:val="20"/>
        </w:rPr>
        <w:t xml:space="preserve">2- </w:t>
      </w:r>
      <w:commentRangeEnd w:id="30"/>
      <w:r>
        <w:commentReference w:id="30"/>
      </w:r>
      <w:r>
        <w:rPr>
          <w:rFonts w:cs="Arial" w:ascii="Arial" w:hAnsi="Arial"/>
          <w:i/>
          <w:iCs/>
          <w:color w:val="FF0000"/>
          <w:sz w:val="20"/>
          <w:szCs w:val="20"/>
        </w:rPr>
      </w:r>
    </w:p>
    <w:sectPr>
      <w:headerReference w:type="even" r:id="rId7"/>
      <w:headerReference w:type="default" r:id="rId8"/>
      <w:headerReference w:type="first" r:id="rId9"/>
      <w:footerReference w:type="even" r:id="rId10"/>
      <w:footerReference w:type="default" r:id="rId11"/>
      <w:footerReference w:type="first" r:id="rId12"/>
      <w:type w:val="nextPage"/>
      <w:pgSz w:w="11906" w:h="16838"/>
      <w:pgMar w:left="1134" w:right="1134" w:gutter="0" w:header="709" w:top="1418" w:footer="709" w:bottom="1418"/>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Autor" w:date="0-00-00T00:00:00Z" w:initials="A">
    <w:p>
      <w:r>
        <w:rPr>
          <w:rFonts w:ascii="Liberation Serif" w:hAnsi="Liberation Serif" w:eastAsia="DejaVu Sans" w:cs="DejaVu Sans"/>
          <w:b/>
          <w:bCs/>
          <w:i/>
          <w:iCs/>
          <w:color w:val="000000"/>
          <w:lang w:val="en-US" w:eastAsia="en-US" w:bidi="en-US"/>
        </w:rPr>
        <w:t xml:space="preserve">ORIENTAÇÕES PARA USO DO MODELO – </w:t>
      </w:r>
      <w:r>
        <w:rPr>
          <w:rFonts w:ascii="Liberation Serif" w:hAnsi="Liberation Serif" w:eastAsia="DejaVu Sans" w:cs="DejaVu Sans"/>
          <w:b/>
          <w:bCs/>
          <w:i/>
          <w:iCs/>
          <w:color w:val="FF0000"/>
          <w:lang w:val="en-US" w:eastAsia="en-US" w:bidi="en-US"/>
        </w:rPr>
        <w:t>LEITURA OBRIGATÓRIA</w:t>
      </w:r>
    </w:p>
    <w:p>
      <w:r>
        <w:rPr>
          <w:rFonts w:ascii="Liberation Serif" w:hAnsi="Liberation Serif" w:eastAsia="DejaVu Sans" w:cs="DejaVu Sans"/>
          <w:b/>
          <w:bCs/>
          <w:i/>
          <w:iCs/>
          <w:color w:val="000000"/>
          <w:lang w:val="en-US" w:eastAsia="en-US" w:bidi="en-US"/>
        </w:rPr>
        <w:t>1)</w:t>
      </w:r>
      <w:r>
        <w:rPr>
          <w:rFonts w:ascii="Liberation Serif" w:hAnsi="Liberation Serif" w:eastAsia="DejaVu Sans" w:cs="DejaVu Sans"/>
          <w:i/>
          <w:iCs/>
          <w:color w:val="000000"/>
          <w:lang w:val="en-US" w:eastAsia="en-US" w:bidi="en-US"/>
        </w:rPr>
        <w:t xml:space="preserve">O presente modelo de Contrato procura fornecer um ponto de partida para a definição do objeto e condições da contratação. </w:t>
      </w:r>
      <w:r>
        <w:rPr>
          <w:rFonts w:ascii="Liberation Serif" w:hAnsi="Liberation Serif" w:eastAsia="DejaVu Sans" w:cs="DejaVu Sans"/>
          <w:b/>
          <w:bCs/>
          <w:i/>
          <w:iCs/>
          <w:color w:val="000000"/>
          <w:lang w:val="en-US" w:eastAsia="en-US" w:bidi="en-US"/>
        </w:rPr>
        <w:t>As cláusulas contidas nos modelos de minuta contratual, ao contrário do TR, foram feitas para sofrerem poucas alterações. No entanto, havendo a necessidade de modificações, remanesce plenamente possível assim proceder.</w:t>
      </w:r>
    </w:p>
    <w:p>
      <w:r>
        <w:rPr>
          <w:rFonts w:ascii="Liberation Serif" w:hAnsi="Liberation Serif" w:eastAsia="DejaVu Sans" w:cs="DejaVu Sans"/>
          <w:b/>
          <w:bCs/>
          <w:i/>
          <w:iCs/>
          <w:color w:val="000000"/>
          <w:lang w:val="en-US" w:eastAsia="en-US" w:bidi="en-US"/>
        </w:rPr>
        <w:t>2)</w:t>
      </w:r>
      <w:r>
        <w:rPr>
          <w:rFonts w:ascii="Liberation Serif" w:hAnsi="Liberation Serif" w:eastAsia="DejaVu Sans" w:cs="DejaVu Sans"/>
          <w:i/>
          <w:iCs/>
          <w:color w:val="000000"/>
          <w:lang w:val="en-US" w:eastAsia="en-US" w:bidi="en-US"/>
        </w:rPr>
        <w:t xml:space="preserve">A redação em preto consiste no que se espera ser invariável. Ela até pode sofrer modificações a depender do caso concreto, mas a diferença é que não são disposições feitas para variar. Por essa razão, </w:t>
      </w:r>
      <w:r>
        <w:rPr>
          <w:rFonts w:ascii="Liberation Serif" w:hAnsi="Liberation Serif" w:eastAsia="DejaVu Sans" w:cs="DejaVu Sans"/>
          <w:b/>
          <w:bCs/>
          <w:i/>
          <w:iCs/>
          <w:color w:val="000000"/>
          <w:lang w:val="en-US" w:eastAsia="en-US" w:bidi="en-US"/>
        </w:rPr>
        <w:t>quaisquer modificações nas partes em preto, sem marcação de itálico, devem necessariamente ser justificadas nos autos,</w:t>
      </w:r>
      <w:r>
        <w:rPr>
          <w:rFonts w:ascii="Liberation Serif" w:hAnsi="Liberation Serif" w:eastAsia="DejaVu Sans" w:cs="DejaVu Sans"/>
          <w:i/>
          <w:iCs/>
          <w:color w:val="000000"/>
          <w:lang w:val="en-US" w:eastAsia="en-US" w:bidi="en-US"/>
        </w:rPr>
        <w:t xml:space="preserve"> sem prejuízo de eventual consulta ao órgão de assessoramento jurídico respectivo, a depender da matéria.</w:t>
      </w:r>
    </w:p>
    <w:p>
      <w:r>
        <w:rPr>
          <w:rFonts w:ascii="Liberation Serif" w:hAnsi="Liberation Serif" w:eastAsia="DejaVu Sans" w:cs="DejaVu Sans"/>
          <w:b/>
          <w:bCs/>
          <w:i/>
          <w:iCs/>
          <w:color w:val="000000"/>
          <w:lang w:val="en-US" w:eastAsia="en-US" w:bidi="en-US"/>
        </w:rPr>
        <w:t>3)</w:t>
      </w:r>
      <w:r>
        <w:rPr>
          <w:rFonts w:ascii="Liberation Serif" w:hAnsi="Liberation Serif" w:eastAsia="DejaVu Sans" w:cs="DejaVu Sans"/>
          <w:i/>
          <w:iCs/>
          <w:color w:val="FF0000"/>
          <w:lang w:val="en-US" w:eastAsia="en-US" w:bidi="en-US"/>
        </w:rPr>
        <w:t>Os itens deste modelo destacados em vermelho itálico devem ser preenchidos ou adotados pelo órgão ou entidade pública contratante segundo critérios de oportunidade e conveniência</w:t>
      </w:r>
      <w:r>
        <w:rPr>
          <w:rFonts w:ascii="Liberation Serif" w:hAnsi="Liberation Serif" w:eastAsia="DejaVu Sans" w:cs="DejaVu Sans"/>
          <w:i/>
          <w:iCs/>
          <w:color w:val="000000"/>
          <w:lang w:val="en-US" w:eastAsia="en-US" w:bidi="en-US"/>
        </w:rPr>
        <w:t xml:space="preserve">de acordo com as peculiaridades do objeto e cuidando-se para que sejam reproduzidas as mesmas definições nos demais instrumentos da contratação (minuta do Edital, se for o caso, e minuta de Termo de Referência), para que não conflitem. São previsões feitas para variarem. Eventuais justificativas podem ser exigidas a depender do caso. </w:t>
      </w:r>
    </w:p>
    <w:p>
      <w:r>
        <w:rPr>
          <w:rFonts w:ascii="Liberation Serif" w:hAnsi="Liberation Serif" w:eastAsia="DejaVu Sans" w:cs="DejaVu Sans"/>
          <w:b/>
          <w:bCs/>
          <w:i/>
          <w:iCs/>
          <w:color w:val="000000"/>
          <w:lang w:val="en-US" w:eastAsia="en-US" w:bidi="en-US"/>
        </w:rPr>
        <w:t>4)Alguns itens receberam notas explicativas, destacadas para compreensão do agente ou setor responsável pela elaboração da Minuta Contratual</w:t>
      </w:r>
      <w:r>
        <w:rPr>
          <w:rFonts w:ascii="Liberation Serif" w:hAnsi="Liberation Serif" w:eastAsia="DejaVu Sans" w:cs="DejaVu Sans"/>
          <w:i/>
          <w:iCs/>
          <w:color w:val="000000"/>
          <w:lang w:val="en-US" w:eastAsia="en-US" w:bidi="en-US"/>
        </w:rPr>
        <w:t xml:space="preserve">, que deverão ser devidamente suprimidas ao se finalizar o documento na versão original. </w:t>
      </w:r>
    </w:p>
    <w:p>
      <w:r>
        <w:rPr>
          <w:rFonts w:ascii="Liberation Serif" w:hAnsi="Liberation Serif" w:eastAsia="DejaVu Sans" w:cs="DejaVu Sans"/>
          <w:b/>
          <w:bCs/>
          <w:i/>
          <w:iCs/>
          <w:color w:val="000000"/>
          <w:lang w:val="en-US" w:eastAsia="en-US" w:bidi="en-US"/>
        </w:rPr>
        <w:t xml:space="preserve">5)         </w:t>
      </w:r>
      <w:r>
        <w:rPr>
          <w:rFonts w:ascii="Liberation Serif" w:hAnsi="Liberation Serif" w:eastAsia="DejaVu Sans" w:cs="DejaVu Sans"/>
          <w:i/>
          <w:iCs/>
          <w:color w:val="000000"/>
          <w:lang w:val="en-US" w:eastAsia="en-US" w:bidi="en-US"/>
        </w:rPr>
        <w:t xml:space="preserve">Este modelo contempla a contratação de serviços de TIC não contínuos ou contínuos, </w:t>
      </w:r>
      <w:r>
        <w:rPr>
          <w:rFonts w:ascii="Liberation Serif" w:hAnsi="Liberation Serif" w:eastAsia="DejaVu Sans" w:cs="DejaVu Sans"/>
          <w:b/>
          <w:bCs/>
          <w:i/>
          <w:iCs/>
          <w:color w:val="000000"/>
          <w:lang w:val="en-US" w:eastAsia="en-US" w:bidi="en-US"/>
        </w:rPr>
        <w:t xml:space="preserve">sem </w:t>
      </w:r>
      <w:r>
        <w:rPr>
          <w:rFonts w:ascii="Liberation Serif" w:hAnsi="Liberation Serif" w:eastAsia="DejaVu Sans" w:cs="DejaVu Sans"/>
          <w:i/>
          <w:iCs/>
          <w:color w:val="000000"/>
          <w:lang w:val="en-US" w:eastAsia="en-US" w:bidi="en-US"/>
        </w:rPr>
        <w:t xml:space="preserve">dedicação exclusiva de mão de obra, excluídos os de engenharia. Caso se trate de serviços de TIC contínuos </w:t>
      </w:r>
      <w:r>
        <w:rPr>
          <w:rFonts w:ascii="Liberation Serif" w:hAnsi="Liberation Serif" w:eastAsia="DejaVu Sans" w:cs="DejaVu Sans"/>
          <w:b/>
          <w:bCs/>
          <w:i/>
          <w:iCs/>
          <w:color w:val="000000"/>
          <w:lang w:val="en-US" w:eastAsia="en-US" w:bidi="en-US"/>
        </w:rPr>
        <w:t xml:space="preserve">com </w:t>
      </w:r>
      <w:r>
        <w:rPr>
          <w:rFonts w:ascii="Liberation Serif" w:hAnsi="Liberation Serif" w:eastAsia="DejaVu Sans" w:cs="DejaVu Sans"/>
          <w:i/>
          <w:iCs/>
          <w:color w:val="000000"/>
          <w:lang w:val="en-US" w:eastAsia="en-US" w:bidi="en-US"/>
        </w:rPr>
        <w:t>dedicação exclusiva de mão de obra ou serviços de engenharia, deverão ser incluídas na minuta as disposições específicas dos respectivos modelos</w:t>
      </w:r>
    </w:p>
    <w:p>
      <w:r>
        <w:rPr>
          <w:rFonts w:ascii="Liberation Serif" w:hAnsi="Liberation Serif" w:eastAsia="DejaVu Sans" w:cs="DejaVu Sans"/>
          <w:b/>
          <w:bCs/>
          <w:i/>
          <w:iCs/>
          <w:color w:val="000000"/>
          <w:lang w:val="en-US" w:eastAsia="en-US" w:bidi="en-US"/>
        </w:rPr>
        <w:t>6)Recomenda-se indicar no processo a versão (mês e ano) utilizada para elaboração da minuta</w:t>
      </w:r>
      <w:r>
        <w:rPr>
          <w:rFonts w:ascii="Liberation Serif" w:hAnsi="Liberation Serif" w:eastAsia="DejaVu Sans" w:cs="DejaVu Sans"/>
          <w:i/>
          <w:iCs/>
          <w:color w:val="000000"/>
          <w:lang w:val="en-US" w:eastAsia="en-US" w:bidi="en-US"/>
        </w:rPr>
        <w:t>, em especial ao encaminhar o feito para análise jurídica. Tal informação consta no rodapé do documento. Essa indicação pode ocorrer expressamente no despacho de encaminhamento ou mantendo-se o rodapé na minuta encaminhada, conforme o caso. É um dado importante já que indica qual o parâmetro a ser utilizado na checagem.</w:t>
      </w:r>
    </w:p>
    <w:p>
      <w:r>
        <w:rPr>
          <w:rFonts w:ascii="Liberation Serif" w:hAnsi="Liberation Serif" w:eastAsia="DejaVu Sans" w:cs="DejaVu Sans"/>
          <w:b/>
          <w:bCs/>
          <w:i/>
          <w:iCs/>
          <w:color w:val="000000"/>
          <w:lang w:val="en-US" w:eastAsia="en-US" w:bidi="en-US"/>
        </w:rPr>
        <w:t>7)</w:t>
      </w:r>
      <w:r>
        <w:rPr>
          <w:rFonts w:ascii="Liberation Serif" w:hAnsi="Liberation Serif" w:eastAsia="DejaVu Sans" w:cs="DejaVu Sans"/>
          <w:i/>
          <w:iCs/>
          <w:color w:val="000000"/>
          <w:lang w:val="en-US" w:eastAsia="en-US" w:bidi="en-US"/>
        </w:rPr>
        <w:t xml:space="preserve">O registro das atualizações feitas (“Nota de Atualização”) em cada versão pode ser obtido na página principal dos modelos de licitações e contratos no sítio eletrônico da AGU. Quaisquer sugestões de alteração poderão ser encaminhadas ao e-mail: </w:t>
      </w:r>
      <w:hyperlink r:id="rId1">
        <w:r>
          <w:rPr>
            <w:rFonts w:ascii="Liberation Serif" w:hAnsi="Liberation Serif" w:eastAsia="DejaVu Sans" w:cs="DejaVu Sans"/>
            <w:i/>
            <w:iCs/>
            <w:color w:val="000000"/>
            <w:lang w:val="en-US" w:eastAsia="en-US" w:bidi="en-US"/>
          </w:rPr>
          <w:t>cgu.modeloscontratacao@agu.gov.br</w:t>
        </w:r>
      </w:hyperlink>
      <w:r>
        <w:rPr>
          <w:rFonts w:ascii="Liberation Serif" w:hAnsi="Liberation Serif" w:eastAsia="DejaVu Sans" w:cs="DejaVu Sans"/>
          <w:i/>
          <w:iCs/>
          <w:color w:val="000000"/>
          <w:lang w:val="en-US" w:eastAsia="en-US" w:bidi="en-US"/>
        </w:rPr>
        <w:t>.</w:t>
      </w:r>
    </w:p>
    <w:p>
      <w:r>
        <w:rPr>
          <w:rFonts w:ascii="Liberation Serif" w:hAnsi="Liberation Serif" w:eastAsia="DejaVu Sans" w:cs="DejaVu Sans"/>
          <w:b/>
          <w:bCs/>
          <w:i/>
          <w:iCs/>
          <w:color w:val="000000"/>
          <w:lang w:val="en-US" w:eastAsia="en-US" w:bidi="en-US"/>
        </w:rPr>
        <w:t>8)</w:t>
      </w:r>
      <w:r>
        <w:rPr>
          <w:rFonts w:ascii="Liberation Serif" w:hAnsi="Liberation Serif" w:eastAsia="DejaVu Sans" w:cs="DejaVu Sans"/>
          <w:i/>
          <w:iCs/>
          <w:color w:val="000000"/>
          <w:lang w:val="en-US" w:eastAsia="en-US" w:bidi="en-US"/>
        </w:rPr>
        <w:t>Este modelo poderá ser adotado por todos os entes federados, conforme estabelece o inciso IV do art. 19 da Lei nº 14.133, de 1º de abril de 2021, com a realização das adequações eventualmente necessárias, sobretudo em virtude da possível existência de normas locais específicas, que poderão ser consideradas no caso concreto.</w:t>
      </w:r>
    </w:p>
  </w:comment>
  <w:comment w:id="1"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Esta tabela é meramente ilustrativa, devendo ser ajustada conforme o caso concreto.</w:t>
      </w:r>
    </w:p>
  </w:comment>
  <w:comment w:id="2"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 xml:space="preserve">Utilizar a redação do subitem 2.1 para </w:t>
      </w:r>
      <w:r>
        <w:rPr>
          <w:rFonts w:ascii="Liberation Serif" w:hAnsi="Liberation Serif" w:eastAsia="DejaVu Sans" w:cs="DejaVu Sans"/>
          <w:b/>
          <w:bCs/>
          <w:i/>
          <w:iCs/>
          <w:color w:val="000000"/>
          <w:lang w:val="en-US" w:eastAsia="en-US" w:bidi="en-US"/>
        </w:rPr>
        <w:t>contratos de escopo</w:t>
      </w:r>
      <w:r>
        <w:rPr>
          <w:rFonts w:ascii="Liberation Serif" w:hAnsi="Liberation Serif" w:eastAsia="DejaVu Sans" w:cs="DejaVu Sans"/>
          <w:i/>
          <w:iCs/>
          <w:color w:val="000000"/>
          <w:lang w:val="en-US" w:eastAsia="en-US" w:bidi="en-US"/>
        </w:rPr>
        <w:t xml:space="preserve">, cuja vigência se fundamenta no </w:t>
      </w:r>
      <w:r>
        <w:fldChar w:fldCharType="begin"/>
      </w:r>
      <w:r>
        <w:instrText xml:space="preserve"> HYPERLINK "http://www.planalto.gov.br/ccivil_03/_ato2019-2022/2021/lei/L14133.htm" \l "art105"</w:instrText>
      </w:r>
      <w:r>
        <w:fldChar w:fldCharType="separate"/>
      </w:r>
      <w:r>
        <w:rPr>
          <w:rFonts w:ascii="Liberation Serif" w:hAnsi="Liberation Serif" w:eastAsia="DejaVu Sans" w:cs="DejaVu Sans"/>
          <w:i/>
          <w:iCs/>
          <w:color w:val="000000"/>
          <w:lang w:val="en-US" w:eastAsia="en-US" w:bidi="en-US"/>
        </w:rPr>
        <w:t>art. 105 da Lei n.º 14.133, de 2021</w:t>
      </w:r>
      <w:r>
        <w:fldChar w:fldCharType="end"/>
      </w:r>
    </w:p>
  </w:comment>
  <w:comment w:id="3" w:author="Autor" w:date="0-00-00T00:00:00Z" w:initials="A">
    <w:p>
      <w:r>
        <w:rPr>
          <w:rFonts w:ascii="Liberation Serif" w:hAnsi="Liberation Serif" w:eastAsia="DejaVu Sans" w:cs="DejaVu Sans"/>
          <w:lang w:val="en-US" w:eastAsia="en-US" w:bidi="en-US"/>
        </w:rPr>
        <w:t xml:space="preserve">Nota Explicativa 1:  Utilizar a redação do item 2.2 e seguintes para contratações de serviços contínuos, conforme </w:t>
      </w:r>
      <w:r>
        <w:fldChar w:fldCharType="begin"/>
      </w:r>
      <w:r>
        <w:instrText xml:space="preserve"> HYPERLINK "http://www.planalto.gov.br/ccivil_03/_ato2019-2022/2021/lei/L14133.htm" \l "art106"</w:instrText>
      </w:r>
      <w:r>
        <w:fldChar w:fldCharType="separate"/>
      </w:r>
      <w:r>
        <w:rPr>
          <w:rFonts w:ascii="Liberation Serif" w:hAnsi="Liberation Serif" w:eastAsia="DejaVu Sans" w:cs="DejaVu Sans"/>
          <w:lang w:val="en-US" w:eastAsia="en-US" w:bidi="en-US"/>
        </w:rPr>
        <w:t>arts. 106 e 107 da Lei n.º 14.133, de 2021</w:t>
      </w:r>
      <w:r>
        <w:fldChar w:fldCharType="end"/>
      </w:r>
      <w:r>
        <w:rPr>
          <w:rFonts w:ascii="Liberation Serif" w:hAnsi="Liberation Serif" w:eastAsia="DejaVu Sans" w:cs="DejaVu Sans"/>
          <w:lang w:val="en-US" w:eastAsia="en-US" w:bidi="en-US"/>
        </w:rPr>
        <w:t xml:space="preserve">, considerando a definição do </w:t>
      </w:r>
      <w:r>
        <w:fldChar w:fldCharType="begin"/>
      </w:r>
      <w:r>
        <w:instrText xml:space="preserve"> HYPERLINK "http://www.planalto.gov.br/ccivil_03/_ato2019-2022/2021/lei/L14133.htm" \l "art6"</w:instrText>
      </w:r>
      <w:r>
        <w:fldChar w:fldCharType="separate"/>
      </w:r>
      <w:r>
        <w:rPr>
          <w:rFonts w:ascii="Liberation Serif" w:hAnsi="Liberation Serif" w:eastAsia="DejaVu Sans" w:cs="DejaVu Sans"/>
          <w:lang w:val="en-US" w:eastAsia="en-US" w:bidi="en-US"/>
        </w:rPr>
        <w:t>art. 6º, XV</w:t>
      </w:r>
      <w:r>
        <w:fldChar w:fldCharType="end"/>
      </w:r>
      <w:r>
        <w:rPr>
          <w:rFonts w:ascii="Liberation Serif" w:hAnsi="Liberation Serif" w:eastAsia="DejaVu Sans" w:cs="DejaVu Sans"/>
          <w:lang w:val="en-US" w:eastAsia="en-US" w:bidi="en-US"/>
        </w:rPr>
        <w:t>, do mesmo normativo.</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Nota Explicativa 2: Indicar o prazo inicial da contratação, que deverá ser de no máximo 5 (cinco) anos.</w:t>
      </w:r>
    </w:p>
  </w:comment>
  <w:comment w:id="4" w:author="Autor" w:date="0-00-00T00:00:00Z" w:initials="A">
    <w:p>
      <w:r>
        <w:rPr>
          <w:rFonts w:ascii="Liberation Serif" w:hAnsi="Liberation Serif" w:eastAsia="DejaVu Sans" w:cs="DejaVu Sans"/>
          <w:b/>
          <w:bCs/>
          <w:i/>
          <w:iCs/>
          <w:color w:val="000000"/>
          <w:lang w:val="en-US" w:eastAsia="en-US" w:bidi="en-US"/>
        </w:rPr>
        <w:t xml:space="preserve">Nota Explicativa 1: </w:t>
      </w:r>
      <w:r>
        <w:rPr>
          <w:rFonts w:ascii="Liberation Serif" w:hAnsi="Liberation Serif" w:eastAsia="DejaVu Sans" w:cs="DejaVu Sans"/>
          <w:i/>
          <w:iCs/>
          <w:color w:val="000000"/>
          <w:lang w:val="en-US" w:eastAsia="en-US" w:bidi="en-US"/>
        </w:rPr>
        <w:t xml:space="preserve">Utilizar </w:t>
      </w:r>
      <w:r>
        <w:rPr>
          <w:rFonts w:ascii="Liberation Serif" w:hAnsi="Liberation Serif" w:eastAsia="DejaVu Sans" w:cs="DejaVu Sans"/>
          <w:i/>
          <w:iCs/>
          <w:lang w:val="en-US" w:eastAsia="en-US" w:bidi="en-US"/>
        </w:rPr>
        <w:t xml:space="preserve">a redação do item 2.3 e seguintes </w:t>
      </w:r>
      <w:r>
        <w:rPr>
          <w:rFonts w:ascii="Liberation Serif" w:hAnsi="Liberation Serif" w:eastAsia="DejaVu Sans" w:cs="DejaVu Sans"/>
          <w:i/>
          <w:iCs/>
          <w:color w:val="000000"/>
          <w:lang w:val="en-US" w:eastAsia="en-US" w:bidi="en-US"/>
        </w:rPr>
        <w:t xml:space="preserve">para contratações que </w:t>
      </w:r>
      <w:r>
        <w:rPr>
          <w:rFonts w:ascii="Liberation Serif" w:hAnsi="Liberation Serif" w:eastAsia="DejaVu Sans" w:cs="DejaVu Sans"/>
          <w:b/>
          <w:bCs/>
          <w:i/>
          <w:iCs/>
          <w:color w:val="000000"/>
          <w:lang w:val="en-US" w:eastAsia="en-US" w:bidi="en-US"/>
        </w:rPr>
        <w:t>prevejam operação continuada de sistemas estruturantes de tecnologia da informação</w:t>
      </w:r>
      <w:r>
        <w:rPr>
          <w:rFonts w:ascii="Liberation Serif" w:hAnsi="Liberation Serif" w:eastAsia="DejaVu Sans" w:cs="DejaVu Sans"/>
          <w:i/>
          <w:iCs/>
          <w:color w:val="000000"/>
          <w:lang w:val="en-US" w:eastAsia="en-US" w:bidi="en-US"/>
        </w:rPr>
        <w:t xml:space="preserve">, </w:t>
      </w:r>
      <w:r>
        <w:rPr>
          <w:rFonts w:ascii="Liberation Serif" w:hAnsi="Liberation Serif" w:eastAsia="DejaVu Sans" w:cs="DejaVu Sans"/>
          <w:lang w:val="en-US" w:eastAsia="en-US" w:bidi="en-US"/>
        </w:rPr>
        <w:t>conforme art. 114 da Lei nº 14.133, de 2021</w:t>
      </w:r>
      <w:r>
        <w:rPr>
          <w:rFonts w:ascii="Liberation Serif" w:hAnsi="Liberation Serif" w:eastAsia="DejaVu Sans" w:cs="DejaVu Sans"/>
          <w:i/>
          <w:iCs/>
          <w:lang w:val="en-US" w:eastAsia="en-US" w:bidi="en-US"/>
        </w:rPr>
        <w:t>. O art. 2º, inciso XXXI, da Instrução Normativa SGD/ME n.º 94, de 23 de dezembro de 2022, define os sistemas estruturantes de tecnologia da informação como “sistemas de informação desenvolvidos e mantidos para operacionalizar e sustentar as atividades de pessoal, orçamento, estatística, administração financeira, contabilidade e auditoria, e serviços gerais, além de outras atividades auxiliares comuns a todos os órgãos da Administração que, a critério do Poder Executivo, necessitem de coordenação central". </w:t>
      </w:r>
    </w:p>
  </w:comment>
  <w:comment w:id="5" w:author="Autor" w:date="0-00-00T00:00:00Z" w:initials="A">
    <w:p>
      <w:r>
        <w:rPr>
          <w:rFonts w:ascii="Liberation Serif" w:hAnsi="Liberation Serif" w:eastAsia="DejaVu Sans" w:cs="DejaVu Sans"/>
          <w:lang w:val="en-US" w:eastAsia="en-US" w:bidi="en-US"/>
        </w:rPr>
        <w:t>Nota Explicativa: Conforme a Lei nº 10.522, de 2002, com a redação conferida pela Lei nº 14.973, de 2024:</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"Art. 6º É obrigatória a consulta prévia ao Cadin, pelos órgãos e entidades da Administração Pública Federal, direta e indireta, para:   (Vide Medida Provisória nº 1.259, de 2024)</w:t>
      </w:r>
    </w:p>
    <w:p>
      <w:r>
        <w:rPr>
          <w:rFonts w:ascii="Liberation Serif" w:hAnsi="Liberation Serif" w:eastAsia="DejaVu Sans" w:cs="DejaVu Sans"/>
          <w:lang w:val="en-US" w:eastAsia="en-US" w:bidi="en-US"/>
        </w:rPr>
        <w:t>[...]</w:t>
      </w:r>
    </w:p>
    <w:p>
      <w:r>
        <w:rPr>
          <w:rFonts w:ascii="Liberation Serif" w:hAnsi="Liberation Serif" w:eastAsia="DejaVu Sans" w:cs="DejaVu Sans"/>
          <w:lang w:val="en-US" w:eastAsia="en-US" w:bidi="en-US"/>
        </w:rPr>
        <w:t>III - celebração de convênios, acordos, ajustes ou contratos que envolvam desembolso, a qualquer título, de recursos públicos, e respectivos aditamentos.</w:t>
      </w:r>
    </w:p>
    <w:p>
      <w:r>
        <w:rPr>
          <w:rFonts w:ascii="Liberation Serif" w:hAnsi="Liberation Serif" w:eastAsia="DejaVu Sans" w:cs="DejaVu Sans"/>
          <w:lang w:val="en-US" w:eastAsia="en-US" w:bidi="en-US"/>
        </w:rPr>
        <w:t>[...]</w:t>
      </w:r>
    </w:p>
    <w:p>
      <w:r>
        <w:rPr>
          <w:rFonts w:ascii="Liberation Serif" w:hAnsi="Liberation Serif" w:eastAsia="DejaVu Sans" w:cs="DejaVu Sans"/>
          <w:lang w:val="en-US" w:eastAsia="en-US" w:bidi="en-US"/>
        </w:rPr>
        <w:t>Art. 6º-A. A existência de registro no Cadin, quando da consulta prévia de que trata o art. 6º, constitui fator impeditivo para a realização de qualquer dos atos previstos nos incisos I, II e III do caput do art. 6º.     (Incluído pela Lei nº 14.973, de 2024)".</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A alteração veiculada pela Lei nº 14.973, de 2024, foi analisada por meio do PARECER n. 00063/2024/DECOR/CGU/AGU</w:t>
      </w:r>
    </w:p>
    <w:p>
      <w:r>
        <w:rPr>
          <w:rFonts w:ascii="Liberation Serif" w:hAnsi="Liberation Serif" w:eastAsia="DejaVu Sans" w:cs="DejaVu Sans"/>
          <w:lang w:val="en-US" w:eastAsia="en-US" w:bidi="en-US"/>
        </w:rPr>
        <w:t xml:space="preserve">(NUP: 12600.101013/2023-10), aprovado pelo Despacho do Ministro Chefe da Advocacia-Geral da União n.º 539, de 17, de dezembro de 2024, com as seguintes conclusões: </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"(a) Com a inclusão do art. 6º-A na Lei 10.522/2002 pela Lei n.º 14.973/2024 o registro das empresas no CADIN passou a impedir a celebração de convênios, acordos, ajustes ou contratos que envolvam desembolso, a qualquer título, de recursos públicos, e respectivos aditamentos;</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 xml:space="preserve"> (b) Segundo o art. 50 da Lei n.º 14.973/2024, as disposições desta Lei entraram em vigor na data da sua publicação: no dia 16 de setembro de 2024;</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 xml:space="preserve"> (c) Da edição desta norma não foram previstas regras de transição e nem autorizado o estabelecimento de um regime de transição em abstrato pela Administração Pública;</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 xml:space="preserve"> (d) O art. 6º- A da Lei nº 10.522/2002 deve ser aplicado aos convênios, acordos, ajustes e contratos que envolvam desembolso, a qualquer título, de recursos públicos, firmados a partir da data da publicação da norma;  [...]". </w:t>
      </w:r>
    </w:p>
    <w:p>
      <w:r>
        <w:rPr>
          <w:rFonts w:ascii="Liberation Serif" w:hAnsi="Liberation Serif" w:eastAsia="DejaVu Sans" w:cs="DejaVu Sans"/>
          <w:lang w:val="en-US" w:eastAsia="en-US" w:bidi="en-US"/>
        </w:rPr>
      </w:r>
    </w:p>
    <w:p>
      <w:r>
        <w:rPr>
          <w:rFonts w:ascii="Liberation Serif" w:hAnsi="Liberation Serif" w:eastAsia="DejaVu Sans" w:cs="DejaVu Sans"/>
          <w:lang w:val="en-US" w:eastAsia="en-US" w:bidi="en-US"/>
        </w:rPr>
        <w:t>Assim, para os contratos administrativos firmados a partir do dia 16 de setembro de 2024, deverá incidir o disposto no art. 6º-A da Lei n.º 10.522, de 2002, de modo que o registro do particular no CADIN constitui fator impeditivo à formalização do aditamento contratual.</w:t>
      </w:r>
    </w:p>
  </w:comment>
  <w:comment w:id="6" w:author="Autor" w:date="0-00-00T00:00:00Z" w:initials="A">
    <w:p>
      <w:r>
        <w:rPr>
          <w:rFonts w:ascii="Liberation Serif" w:hAnsi="Liberation Serif" w:eastAsia="DejaVu Sans" w:cs="DejaVu Sans"/>
          <w:lang w:val="en-US" w:eastAsia="en-US" w:bidi="en-US"/>
        </w:rPr>
        <w:t>Nota Explicativa: Utilizar esta redação para contratações emergenciais, fundadas no art. 75, VIII, da Lei n.º 14.133, de 2021, independentemente da natureza do objeto ser de escopo ou, em tese, continuada.</w:t>
      </w:r>
    </w:p>
  </w:comment>
  <w:comment w:id="7"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O cômputo do valor total do Termo de Contrato levará em conta o período inicial de vigência estabelecido.</w:t>
      </w:r>
    </w:p>
  </w:comment>
  <w:comment w:id="8"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Caso se trate de contrato de valor estimativo, em que a própria demanda é variável, cabe inserir o subitem 5.4.</w:t>
      </w:r>
    </w:p>
  </w:comment>
  <w:comment w:id="9" w:author="Autor" w:date="0-00-00T00:00:00Z" w:initials="A">
    <w:p>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Este modelo contém obrigações gerais, que podem ser aplicadas aos mais diversos tipos de contratações de serviços. Entretanto, compete ao órgão definir quais obrigações serão aplicáveis, incluindo, modificando ou excluindo itens a depender das especificidades do objeto.</w:t>
      </w:r>
    </w:p>
    <w:p>
      <w:r>
        <w:rPr>
          <w:rFonts w:ascii="Liberation Serif" w:hAnsi="Liberation Serif" w:eastAsia="DejaVu Sans" w:cs="DejaVu Sans"/>
          <w:lang w:val="en-US" w:eastAsia="en-US" w:bidi="en-US"/>
        </w:rPr>
      </w:r>
    </w:p>
    <w:p>
      <w:r>
        <w:rPr>
          <w:rFonts w:ascii="Liberation Serif" w:hAnsi="Liberation Serif" w:eastAsia="DejaVu Sans" w:cs="DejaVu Sans"/>
          <w:b/>
          <w:bCs/>
          <w:i/>
          <w:iCs/>
          <w:lang w:val="en-US" w:eastAsia="en-US" w:bidi="en-US"/>
        </w:rPr>
        <w:t xml:space="preserve">Nota Explicativa 2: </w:t>
      </w:r>
      <w:r>
        <w:rPr>
          <w:rFonts w:ascii="Liberation Serif" w:hAnsi="Liberation Serif" w:eastAsia="DejaVu Sans" w:cs="DejaVu Sans"/>
          <w:i/>
          <w:iCs/>
          <w:lang w:val="en-US" w:eastAsia="en-US" w:bidi="en-US"/>
        </w:rPr>
        <w:t>As obrigações do contratante constantes no termo de referência são as mínimas exigidas pelo art. 17, I, da Instrução Normativa SGD/ME nº 94, de 2022. A fim de evitarem-se repetições, adotou-se aqui uma solução remissiva, mantendo-se as demais obrigações previstas no modelo geral de compras.</w:t>
      </w:r>
    </w:p>
  </w:comment>
  <w:comment w:id="10"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Nos termos do art. 123 da Lei nº 14.133/21, a Administração tem o dever de decidir questões contratuais que lhe são apresentadas. O prazo desse item pode ser especificado pela Administração, conforme a complexidade do objeto contratual e os trâmites internos das áreas envolvidas na execução contratual. Caso não haja especificação, o art. 123, parágrafo único, da Lei n.º 14.133, de 2021, e o art. 28, do Decreto n.º 11.246, de 2022, estabelecem que o prazo será de um mês.</w:t>
      </w:r>
    </w:p>
  </w:comment>
  <w:comment w:id="11"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O art. 92, inciso XI, da Lei nº 14.133, de 2021, prevê que é cláusula necessária do contrato administrativo aquela que versa sobre “o prazo para resposta ao pedido de restabelecimento do equilíbrio econômico-financeiro, quando for o caso”. Como a lei não indicou o prazo a ser adotado nesse caso específico, a Administração poderá se utilizar do mesmo prazo previsto para as situações abrangidas, em geral, pelo art. 123 do texto legal, o que deverá ser analisado conforme as especificidades de cada órgão.</w:t>
      </w:r>
    </w:p>
  </w:comment>
  <w:comment w:id="12"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Essa disposição decorre do §4º, do art. 137, da Lei nº 14.133, de 2021.</w:t>
      </w:r>
    </w:p>
  </w:comment>
  <w:comment w:id="13" w:author="Autor" w:date="0-00-00T00:00:00Z" w:initials="A">
    <w:p>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Este modelo contém obrigações gerais, que podem ser aplicadas aos mais diversos tipos de contratações de serviços. Entretanto, compete ao órgão definir quais obrigações serão aplicáveis, incluindo, modificando ou excluindo itens a depender das especificidades do objeto.</w:t>
      </w:r>
    </w:p>
    <w:p>
      <w:r>
        <w:rPr>
          <w:rFonts w:ascii="Liberation Serif" w:hAnsi="Liberation Serif" w:eastAsia="DejaVu Sans" w:cs="DejaVu Sans"/>
          <w:lang w:val="en-US" w:eastAsia="en-US" w:bidi="en-US"/>
        </w:rPr>
      </w:r>
    </w:p>
  </w:comment>
  <w:comment w:id="14"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5" w:author="Autor" w:date="0-00-00T00:00:00Z" w:initials="A">
    <w:p>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O art. 193 do CTN preceitua que a prova da quitação de todos os tributos devidos dar-se-á no âmbito da Fazenda Pública interessada. Portanto, a comprovação de inscrição no cadastro de contribuinte e regularidade fiscal correspondente considerará a natureza da atividade objeto da contratação.</w:t>
      </w:r>
    </w:p>
    <w:p>
      <w:r>
        <w:rPr>
          <w:rFonts w:ascii="Liberation Serif" w:hAnsi="Liberation Serif" w:eastAsia="DejaVu Sans" w:cs="DejaVu Sans"/>
          <w:i/>
          <w:iCs/>
          <w:color w:val="000000"/>
          <w:lang w:val="en-US" w:eastAsia="en-US" w:bidi="en-US"/>
        </w:rPr>
        <w:t xml:space="preserve">Via de regra, a prestação de serviços de modo geral é hipótese de incidência de tributação municipal (Imposto Sobre Serviços de Qualquer Natureza - ISSQN), conforme lista anexa </w:t>
      </w:r>
      <w:r>
        <w:rPr>
          <w:rFonts w:ascii="Liberation Serif" w:hAnsi="Liberation Serif" w:eastAsia="DejaVu Sans" w:cs="DejaVu Sans"/>
          <w:i/>
          <w:iCs/>
          <w:lang w:val="en-US" w:eastAsia="en-US" w:bidi="en-US"/>
        </w:rPr>
        <w:t>à Lei Complementar nº 116/2003</w:t>
      </w:r>
      <w:r>
        <w:rPr>
          <w:rFonts w:ascii="Liberation Serif" w:hAnsi="Liberation Serif" w:eastAsia="DejaVu Sans" w:cs="DejaVu Sans"/>
          <w:i/>
          <w:iCs/>
          <w:color w:val="000000"/>
          <w:lang w:val="en-US" w:eastAsia="en-US" w:bidi="en-US"/>
        </w:rPr>
        <w:t xml:space="preserve">.  </w:t>
      </w:r>
    </w:p>
    <w:p>
      <w:r>
        <w:rPr>
          <w:rFonts w:ascii="Liberation Serif" w:hAnsi="Liberation Serif" w:eastAsia="DejaVu Sans" w:cs="DejaVu Sans"/>
          <w:i/>
          <w:iCs/>
          <w:color w:val="000000"/>
          <w:lang w:val="en-US" w:eastAsia="en-US" w:bidi="en-US"/>
        </w:rPr>
        <w:t>Existem, contudo, situações em que a prestação de um serviço pode dar ensejo à incidência de tributação estadual pelo ICMS. Como exemplos, citem-se os serviços de transporte interestadual e intermunicipal e os serviços de comunicação (</w:t>
      </w:r>
      <w:r>
        <w:rPr>
          <w:rFonts w:ascii="Liberation Serif" w:hAnsi="Liberation Serif" w:eastAsia="DejaVu Sans" w:cs="DejaVu Sans"/>
          <w:i/>
          <w:iCs/>
          <w:lang w:val="en-US" w:eastAsia="en-US" w:bidi="en-US"/>
        </w:rPr>
        <w:t>art. 155, II, da CF/88</w:t>
      </w:r>
      <w:r>
        <w:rPr>
          <w:rFonts w:ascii="Liberation Serif" w:hAnsi="Liberation Serif" w:eastAsia="DejaVu Sans" w:cs="DejaVu Sans"/>
          <w:i/>
          <w:iCs/>
          <w:color w:val="000000"/>
          <w:lang w:val="en-US" w:eastAsia="en-US" w:bidi="en-US"/>
        </w:rPr>
        <w:t xml:space="preserve">), bem como as exceções expressamente previstas na lista da referida LC 116/2003. </w:t>
      </w:r>
    </w:p>
  </w:comment>
  <w:comment w:id="16"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i/>
          <w:iCs/>
          <w:lang w:val="en-US" w:eastAsia="en-US" w:bidi="en-US"/>
        </w:rPr>
        <w:t xml:space="preserve"> No caso de contratações de serviços de manutenção e assistência técnica, recomenda-se incluir esses itens, a luz do art. 47, § 2º, da Lei nº 14.133, de 2021.</w:t>
      </w:r>
    </w:p>
  </w:comment>
  <w:comment w:id="17" w:author="Autor" w:date="0-00-00T00:00:00Z" w:initials="A">
    <w:p>
      <w:r>
        <w:rPr>
          <w:rFonts w:ascii="Liberation Serif" w:hAnsi="Liberation Serif" w:eastAsia="DejaVu Sans" w:cs="DejaVu Sans"/>
          <w:b/>
          <w:bCs/>
          <w:i/>
          <w:iCs/>
          <w:lang w:val="en-US" w:eastAsia="en-US" w:bidi="en-US"/>
        </w:rPr>
        <w:t xml:space="preserve">Nota Explicativa 1: </w:t>
      </w:r>
      <w:r>
        <w:rPr>
          <w:rFonts w:ascii="Liberation Serif" w:hAnsi="Liberation Serif" w:eastAsia="DejaVu Sans" w:cs="DejaVu Sans"/>
          <w:i/>
          <w:iCs/>
          <w:lang w:val="en-US" w:eastAsia="en-US" w:bidi="en-US"/>
        </w:rPr>
        <w:t>Incluir esses itens caso o contrato tenha por objeto</w:t>
      </w:r>
      <w:r>
        <w:rPr>
          <w:rFonts w:ascii="Liberation Serif" w:hAnsi="Liberation Serif" w:eastAsia="DejaVu Sans" w:cs="DejaVu Sans"/>
          <w:i/>
          <w:iCs/>
          <w:color w:val="000000"/>
          <w:lang w:val="en-US" w:eastAsia="en-US" w:bidi="en-US"/>
        </w:rPr>
        <w:t xml:space="preserve"> a elaboração de </w:t>
      </w:r>
      <w:r>
        <w:rPr>
          <w:rFonts w:ascii="Liberation Serif" w:hAnsi="Liberation Serif" w:eastAsia="DejaVu Sans" w:cs="DejaVu Sans"/>
          <w:i/>
          <w:iCs/>
          <w:lang w:val="en-US" w:eastAsia="en-US" w:bidi="en-US"/>
        </w:rPr>
        <w:t xml:space="preserve">projetos ou a execução de serviços técnicos especializados, inclusive daqueles que contemplem o desenvolvimento de programas e aplicações de internet para computadores, máquinas, equipamentos e dispositivos de tratamento e de comunicação da informação (software) - e a respectiva documentação técnica associada, conforme </w:t>
      </w:r>
      <w:r>
        <w:fldChar w:fldCharType="begin"/>
      </w:r>
      <w:r>
        <w:instrText xml:space="preserve"> HYPERLINK "http://www.planalto.gov.br/ccivil_03/_ato2019-2022/2021/lei/L14133.htm" \l "art93"</w:instrText>
      </w:r>
      <w:r>
        <w:fldChar w:fldCharType="separate"/>
      </w:r>
      <w:r>
        <w:rPr>
          <w:rFonts w:ascii="Liberation Serif" w:hAnsi="Liberation Serif" w:eastAsia="DejaVu Sans" w:cs="DejaVu Sans"/>
          <w:i/>
          <w:iCs/>
          <w:lang w:val="en-US" w:eastAsia="en-US" w:bidi="en-US"/>
        </w:rPr>
        <w:t>art. 93, caput, da Lei n.º 14.133/2021.</w:t>
      </w:r>
      <w:r>
        <w:fldChar w:fldCharType="end"/>
      </w:r>
      <w:r>
        <w:rPr>
          <w:rFonts w:ascii="Liberation Serif" w:hAnsi="Liberation Serif" w:eastAsia="DejaVu Sans" w:cs="DejaVu Sans"/>
          <w:i/>
          <w:iCs/>
          <w:lang w:val="en-US" w:eastAsia="en-US" w:bidi="en-US"/>
        </w:rPr>
        <w:t xml:space="preserve"> </w:t>
      </w:r>
    </w:p>
    <w:p>
      <w:r>
        <w:rPr>
          <w:rFonts w:ascii="Liberation Serif" w:hAnsi="Liberation Serif" w:eastAsia="DejaVu Sans" w:cs="DejaVu Sans"/>
          <w:b/>
          <w:bCs/>
          <w:i/>
          <w:iCs/>
          <w:lang w:val="en-US" w:eastAsia="en-US" w:bidi="en-US"/>
        </w:rPr>
        <w:t>Nota Explicativa 2:</w:t>
      </w:r>
      <w:r>
        <w:rPr>
          <w:rFonts w:ascii="Liberation Serif" w:hAnsi="Liberation Serif" w:eastAsia="DejaVu Sans" w:cs="DejaVu Sans"/>
          <w:i/>
          <w:iCs/>
          <w:lang w:val="en-US" w:eastAsia="en-US" w:bidi="en-US"/>
        </w:rPr>
        <w:t xml:space="preserve"> Vale registrar que o </w:t>
      </w:r>
      <w:r>
        <w:fldChar w:fldCharType="begin"/>
      </w:r>
      <w:r>
        <w:instrText xml:space="preserve"> HYPERLINK "http://www.planalto.gov.br/ccivil_03/_ato2019-2022/2021/lei/L14133.htm" \l "art93§2"</w:instrText>
      </w:r>
      <w:r>
        <w:fldChar w:fldCharType="separate"/>
      </w:r>
      <w:r>
        <w:rPr>
          <w:rFonts w:ascii="Liberation Serif" w:hAnsi="Liberation Serif" w:eastAsia="DejaVu Sans" w:cs="DejaVu Sans"/>
          <w:i/>
          <w:iCs/>
          <w:lang w:val="en-US" w:eastAsia="en-US" w:bidi="en-US"/>
        </w:rPr>
        <w:t>§2º do art. 93</w:t>
      </w:r>
      <w:r>
        <w:fldChar w:fldCharType="end"/>
      </w:r>
      <w:r>
        <w:rPr>
          <w:rFonts w:ascii="Liberation Serif" w:hAnsi="Liberation Serif" w:eastAsia="DejaVu Sans" w:cs="DejaVu Sans"/>
          <w:i/>
          <w:iCs/>
          <w:lang w:val="en-US" w:eastAsia="en-US" w:bidi="en-US"/>
        </w:rPr>
        <w:t xml:space="preserve"> admite que a Administração deixe de exigir a cessão de direitos “quando o objeto da contratação envolver atividade de pesquisa e desenvolvimento de caráter científico, tecnológico ou de inovação, considerados os princípios e os mecanismos instituídos pela </w:t>
      </w:r>
      <w:hyperlink r:id="rId2">
        <w:r>
          <w:rPr>
            <w:rFonts w:ascii="Liberation Serif" w:hAnsi="Liberation Serif" w:eastAsia="DejaVu Sans" w:cs="DejaVu Sans"/>
            <w:i/>
            <w:iCs/>
            <w:lang w:val="en-US" w:eastAsia="en-US" w:bidi="en-US"/>
          </w:rPr>
          <w:t>Lei nº 10.973, de 2 de dezembro de 2004</w:t>
        </w:r>
      </w:hyperlink>
      <w:r>
        <w:rPr>
          <w:rFonts w:ascii="Liberation Serif" w:hAnsi="Liberation Serif" w:eastAsia="DejaVu Sans" w:cs="DejaVu Sans"/>
          <w:i/>
          <w:iCs/>
          <w:lang w:val="en-US" w:eastAsia="en-US" w:bidi="en-US"/>
        </w:rPr>
        <w:t>”.</w:t>
      </w:r>
    </w:p>
    <w:p>
      <w:r>
        <w:rPr>
          <w:rFonts w:ascii="Liberation Serif" w:hAnsi="Liberation Serif" w:eastAsia="DejaVu Sans" w:cs="DejaVu Sans"/>
          <w:b/>
          <w:bCs/>
          <w:i/>
          <w:iCs/>
          <w:lang w:val="en-US" w:eastAsia="en-US" w:bidi="en-US"/>
        </w:rPr>
        <w:t>Nota Explicativa 3:</w:t>
      </w:r>
      <w:r>
        <w:rPr>
          <w:rFonts w:ascii="Liberation Serif" w:hAnsi="Liberation Serif" w:eastAsia="DejaVu Sans" w:cs="DejaVu Sans"/>
          <w:i/>
          <w:iCs/>
          <w:lang w:val="en-US" w:eastAsia="en-US" w:bidi="en-US"/>
        </w:rPr>
        <w:t xml:space="preserve"> Acrescentar o subitem a seguir caso o objeto consista na elaboração de projeto relativo a obra imaterial de caráter tecnológico, insuscetível de privilégio, nos termos do </w:t>
      </w:r>
      <w:r>
        <w:fldChar w:fldCharType="begin"/>
      </w:r>
      <w:r>
        <w:instrText xml:space="preserve"> HYPERLINK "http://www.planalto.gov.br/ccivil_03/_ato2019-2022/2021/lei/L14133.htm" \l "art93§1"</w:instrText>
      </w:r>
      <w:r>
        <w:fldChar w:fldCharType="separate"/>
      </w:r>
      <w:r>
        <w:rPr>
          <w:rFonts w:ascii="Liberation Serif" w:hAnsi="Liberation Serif" w:eastAsia="DejaVu Sans" w:cs="DejaVu Sans"/>
          <w:i/>
          <w:iCs/>
          <w:lang w:val="en-US" w:eastAsia="en-US" w:bidi="en-US"/>
        </w:rPr>
        <w:t>art. 93, § 1º, da Lei n.º 14.133/2021.</w:t>
      </w:r>
      <w:r>
        <w:fldChar w:fldCharType="end"/>
      </w:r>
      <w:r>
        <w:rPr>
          <w:rFonts w:ascii="Liberation Serif" w:hAnsi="Liberation Serif" w:eastAsia="DejaVu Sans" w:cs="DejaVu Sans"/>
          <w:i/>
          <w:iCs/>
          <w:lang w:val="en-US" w:eastAsia="en-US" w:bidi="en-US"/>
        </w:rPr>
        <w:t xml:space="preserve"> </w:t>
      </w:r>
    </w:p>
  </w:comment>
  <w:comment w:id="18" w:author="Autor" w:date="0-00-00T00:00:00Z" w:initials="A">
    <w:p>
      <w:r>
        <w:rPr>
          <w:rFonts w:ascii="Liberation Serif" w:hAnsi="Liberation Serif" w:eastAsia="DejaVu Sans" w:cs="DejaVu Sans"/>
          <w:b/>
          <w:bCs/>
          <w:i/>
          <w:iCs/>
          <w:color w:val="000000"/>
          <w:lang w:val="en-US" w:eastAsia="en-US" w:bidi="en-US"/>
        </w:rPr>
        <w:t xml:space="preserve">Nota Explicativa 1: </w:t>
      </w:r>
      <w:r>
        <w:rPr>
          <w:rFonts w:ascii="Liberation Serif" w:hAnsi="Liberation Serif" w:eastAsia="DejaVu Sans" w:cs="DejaVu Sans"/>
          <w:i/>
          <w:iCs/>
          <w:color w:val="000000"/>
          <w:lang w:val="en-US" w:eastAsia="en-US" w:bidi="en-US"/>
        </w:rPr>
        <w:t xml:space="preserve">As cláusulas dessa seção são necessárias para cumprimento </w:t>
      </w:r>
      <w:hyperlink r:id="rId3">
        <w:r>
          <w:rPr>
            <w:rFonts w:ascii="Liberation Serif" w:hAnsi="Liberation Serif" w:eastAsia="DejaVu Sans" w:cs="DejaVu Sans"/>
            <w:i/>
            <w:iCs/>
            <w:color w:val="000000"/>
            <w:lang w:val="en-US" w:eastAsia="en-US" w:bidi="en-US"/>
          </w:rPr>
          <w:t>da Lei nº 13.709, de 14 de agosto de 2018 (LGPD</w:t>
        </w:r>
      </w:hyperlink>
      <w:r>
        <w:rPr>
          <w:rFonts w:ascii="Liberation Serif" w:hAnsi="Liberation Serif" w:eastAsia="DejaVu Sans" w:cs="DejaVu Sans"/>
          <w:i/>
          <w:iCs/>
          <w:color w:val="000000"/>
          <w:lang w:val="en-US" w:eastAsia="en-US" w:bidi="en-US"/>
        </w:rPr>
        <w:t>), caso a contratação envolva, de qualquer forma, o tratamento de dados pessoais, devendo ser incluída e ajustada nessa hipótese.</w:t>
      </w:r>
    </w:p>
    <w:p>
      <w:r>
        <w:rPr>
          <w:rFonts w:ascii="Liberation Serif" w:hAnsi="Liberation Serif" w:eastAsia="DejaVu Sans" w:cs="DejaVu Sans"/>
          <w:b/>
          <w:bCs/>
          <w:i/>
          <w:iCs/>
          <w:color w:val="000000"/>
          <w:lang w:val="en-US" w:eastAsia="en-US" w:bidi="en-US"/>
        </w:rPr>
        <w:t xml:space="preserve">Nota Explicativa 2: </w:t>
      </w:r>
      <w:r>
        <w:rPr>
          <w:rFonts w:ascii="Liberation Serif" w:hAnsi="Liberation Serif" w:eastAsia="DejaVu Sans" w:cs="DejaVu Sans"/>
          <w:i/>
          <w:iCs/>
          <w:color w:val="000000"/>
          <w:lang w:val="en-US" w:eastAsia="en-US" w:bidi="en-US"/>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r>
        <w:rPr>
          <w:rFonts w:ascii="Liberation Serif" w:hAnsi="Liberation Serif" w:eastAsia="DejaVu Sans" w:cs="DejaVu Sans"/>
          <w:i/>
          <w:iCs/>
          <w:color w:val="000000"/>
          <w:lang w:val="en-US" w:eastAsia="en-US" w:bidi="en-US"/>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r>
        <w:rPr>
          <w:rFonts w:ascii="Liberation Serif" w:hAnsi="Liberation Serif" w:eastAsia="DejaVu Sans" w:cs="DejaVu Sans"/>
          <w:i/>
          <w:iCs/>
          <w:color w:val="000000"/>
          <w:lang w:val="en-US" w:eastAsia="en-US" w:bidi="en-US"/>
        </w:rPr>
        <w:t>O tema deve ser avaliado pela Administração com base nos riscos da contratação em relação aos dados pessoais eventualmente envolvidos.</w:t>
      </w:r>
    </w:p>
  </w:comment>
  <w:comment w:id="19"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comment>
  <w:comment w:id="20"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Se o Contratante entender oportuno, é possível especificar, nesta cláusula, rotinas ou diligências mais adequadas ao objeto contratual respectivo. </w:t>
      </w:r>
    </w:p>
  </w:comment>
  <w:comment w:id="21" w:author="Autor" w:date="0-00-00T00:00:00Z" w:initials="A">
    <w:p>
      <w:r>
        <w:rPr>
          <w:rFonts w:ascii="Liberation Serif" w:hAnsi="Liberation Serif" w:eastAsia="DejaVu Sans" w:cs="DejaVu Sans"/>
          <w:b/>
          <w:bCs/>
          <w:i/>
          <w:iCs/>
          <w:color w:val="000000"/>
          <w:lang w:val="en-US" w:eastAsia="en-US" w:bidi="en-US"/>
        </w:rPr>
        <w:t>Nota Explicativa 1</w:t>
      </w:r>
      <w:r>
        <w:rPr>
          <w:rFonts w:ascii="Liberation Serif" w:hAnsi="Liberation Serif" w:eastAsia="DejaVu Sans" w:cs="DejaVu Sans"/>
          <w:i/>
          <w:iCs/>
          <w:color w:val="000000"/>
          <w:lang w:val="en-US" w:eastAsia="en-US" w:bidi="en-US"/>
        </w:rPr>
        <w:t xml:space="preserve">: Recomenda-se avaliar e, se for o caso, incluir disposição sobre transferência internacional de dados, estabelecendo alguma rotina para sua eventual realização. Trata-se de questão específica para contratos que envolvam o tratamento de dados no seu objeto, não sendo medida necessária para contratos em geral. </w:t>
      </w:r>
    </w:p>
    <w:p>
      <w:r>
        <w:rPr>
          <w:rFonts w:ascii="Liberation Serif" w:hAnsi="Liberation Serif" w:eastAsia="DejaVu Sans" w:cs="DejaVu Sans"/>
          <w:b/>
          <w:bCs/>
          <w:i/>
          <w:iCs/>
          <w:color w:val="000000"/>
          <w:lang w:val="en-US" w:eastAsia="en-US" w:bidi="en-US"/>
        </w:rPr>
        <w:t>Nota Explicativa 2:</w:t>
      </w:r>
      <w:r>
        <w:rPr>
          <w:rFonts w:ascii="Liberation Serif" w:hAnsi="Liberation Serif" w:eastAsia="DejaVu Sans" w:cs="DejaVu Sans"/>
          <w:i/>
          <w:iCs/>
          <w:color w:val="000000"/>
          <w:lang w:val="en-US" w:eastAsia="en-US" w:bidi="en-US"/>
        </w:rPr>
        <w:t xml:space="preserve"> Todas as disposições da presente cláusula são meramente indicativas. Pode ser necessário que se suprimam algumas das obrigações ou se arrolem outras, conforme as peculiaridades do órgão e as especificações do serviço a ser executado.</w:t>
      </w:r>
    </w:p>
  </w:comment>
  <w:comment w:id="22"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Fica a critério da Administração exigir, ou não, a garantia (salvo nos casos em que consta em norma a obrigatoriedade de sua exigência). Exigindo, deve haver previsão no edital </w:t>
      </w:r>
      <w:r>
        <w:rPr>
          <w:rFonts w:ascii="Liberation Serif" w:hAnsi="Liberation Serif" w:eastAsia="DejaVu Sans" w:cs="DejaVu Sans"/>
          <w:lang w:val="en-US" w:eastAsia="en-US" w:bidi="en-US"/>
        </w:rPr>
        <w:t xml:space="preserve">ou aviso de contratação direta </w:t>
      </w:r>
      <w:r>
        <w:rPr>
          <w:rFonts w:ascii="Liberation Serif" w:hAnsi="Liberation Serif" w:eastAsia="DejaVu Sans" w:cs="DejaVu Sans"/>
          <w:i/>
          <w:iCs/>
          <w:color w:val="000000"/>
          <w:lang w:val="en-US" w:eastAsia="en-US" w:bidi="en-US"/>
        </w:rPr>
        <w:t xml:space="preserve"> e no contrato. Não exigindo, deve fazer constar a previsão, e justificar as razões para essa decisão, considerando os estudos preliminares e a análise de riscos feita para a contratação. </w:t>
      </w:r>
    </w:p>
  </w:comment>
  <w:comment w:id="23"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 xml:space="preserve">Use a redação dos itens 13.1, 13.2, 13.3 para os contratos por escopo, assim considerados os contratos nos quais se impõe ao contratado o dever de realizar a prestação de um serviço específico em um período predeterminado. Ex: desenvolvimento de um sistema em 180 dias. </w:t>
      </w:r>
    </w:p>
  </w:comment>
  <w:comment w:id="24"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Use a redação dos itens 13.4 a 13.7 para os contratos de serviços contínuos e de aluguel de equipamentos e à utilização de programas de informática (</w:t>
      </w:r>
      <w:r>
        <w:fldChar w:fldCharType="begin"/>
      </w:r>
      <w:r>
        <w:instrText xml:space="preserve"> HYPERLINK "http://www.planalto.gov.br/ccivil_03/_ato2019-2022/2021/lei/L14133.htm" \l "art106"</w:instrText>
      </w:r>
      <w:r>
        <w:fldChar w:fldCharType="separate"/>
      </w:r>
      <w:r>
        <w:rPr>
          <w:rFonts w:ascii="Liberation Serif" w:hAnsi="Liberation Serif" w:eastAsia="DejaVu Sans" w:cs="DejaVu Sans"/>
          <w:i/>
          <w:iCs/>
          <w:color w:val="000000"/>
          <w:lang w:val="en-US" w:eastAsia="en-US" w:bidi="en-US"/>
        </w:rPr>
        <w:t>art. 106. NLLC</w:t>
      </w:r>
      <w:r>
        <w:fldChar w:fldCharType="end"/>
      </w:r>
      <w:r>
        <w:rPr>
          <w:rFonts w:ascii="Liberation Serif" w:hAnsi="Liberation Serif" w:eastAsia="DejaVu Sans" w:cs="DejaVu Sans"/>
          <w:i/>
          <w:iCs/>
          <w:color w:val="000000"/>
          <w:lang w:val="en-US" w:eastAsia="en-US" w:bidi="en-US"/>
        </w:rPr>
        <w:t>)</w:t>
      </w:r>
    </w:p>
  </w:comment>
  <w:comment w:id="25" w:author="Autor" w:date="0-00-00T00:00:00Z" w:initials="A">
    <w:p>
      <w:r>
        <w:rPr>
          <w:rFonts w:ascii="Liberation Serif" w:hAnsi="Liberation Serif" w:eastAsia="DejaVu Sans" w:cs="DejaVu Sans"/>
          <w:b/>
          <w:bCs/>
          <w:i/>
          <w:iCs/>
          <w:color w:val="000000"/>
          <w:lang w:val="en-US" w:eastAsia="en-US" w:bidi="en-US"/>
        </w:rPr>
        <w:t xml:space="preserve">Nota Explicativa: </w:t>
      </w:r>
      <w:r>
        <w:rPr>
          <w:rFonts w:ascii="Liberation Serif" w:hAnsi="Liberation Serif" w:eastAsia="DejaVu Sans" w:cs="DejaVu Sans"/>
          <w:i/>
          <w:iCs/>
          <w:color w:val="000000"/>
          <w:lang w:val="en-US" w:eastAsia="en-US" w:bidi="en-US"/>
        </w:rPr>
        <w:t xml:space="preserve">A sistemática desse item  decorre do que dispõe o </w:t>
      </w:r>
      <w:r>
        <w:fldChar w:fldCharType="begin"/>
      </w:r>
      <w:r>
        <w:instrText xml:space="preserve"> HYPERLINK "http://www.planalto.gov.br/ccivil_03/_ato2019-2022/2021/lei/L14133.htm" \l "art106§1"</w:instrText>
      </w:r>
      <w:r>
        <w:fldChar w:fldCharType="separate"/>
      </w:r>
      <w:r>
        <w:rPr>
          <w:rFonts w:ascii="Liberation Serif" w:hAnsi="Liberation Serif" w:eastAsia="DejaVu Sans" w:cs="DejaVu Sans"/>
          <w:i/>
          <w:iCs/>
          <w:color w:val="000000"/>
          <w:lang w:val="en-US" w:eastAsia="en-US" w:bidi="en-US"/>
        </w:rPr>
        <w:t>art. 106, III e §1º, da Lei nº 14.133/21</w:t>
      </w:r>
      <w:r>
        <w:fldChar w:fldCharType="end"/>
      </w:r>
      <w:r>
        <w:rPr>
          <w:rFonts w:ascii="Liberation Serif" w:hAnsi="Liberation Serif" w:eastAsia="DejaVu Sans" w:cs="DejaVu Sans"/>
          <w:i/>
          <w:iCs/>
          <w:color w:val="000000"/>
          <w:lang w:val="en-US" w:eastAsia="en-US" w:bidi="en-US"/>
        </w:rPr>
        <w:t xml:space="preserve">. Para a sua compreensão, vale trazer um exemplo: </w:t>
      </w:r>
    </w:p>
    <w:p>
      <w:r>
        <w:rPr>
          <w:rFonts w:ascii="Liberation Serif" w:hAnsi="Liberation Serif" w:eastAsia="DejaVu Sans" w:cs="DejaVu Sans"/>
          <w:i/>
          <w:iCs/>
          <w:color w:val="000000"/>
          <w:lang w:val="en-US" w:eastAsia="en-US" w:bidi="en-US"/>
        </w:rPr>
        <w:t xml:space="preserve">Um contrato firmado em 20 de maio de 2022 fará aniversário no dia 20 de maio dos anos subsequentes. Supondo-se que se chegue à conclusão pela descontinuidade do contrato, seja por razões orçamentárias, seja por ausência de vantagem na permanência, há três possibilidades: </w:t>
      </w:r>
    </w:p>
    <w:p>
      <w:r>
        <w:rPr>
          <w:rFonts w:ascii="Liberation Serif" w:hAnsi="Liberation Serif" w:eastAsia="DejaVu Sans" w:cs="DejaVu Sans"/>
          <w:i/>
          <w:iCs/>
          <w:color w:val="000000"/>
          <w:lang w:val="en-US" w:eastAsia="en-US" w:bidi="en-US"/>
        </w:rPr>
        <w:t xml:space="preserve">1) Se a comunicação ao contratado noticiando a rescisão ocorrer até 20 de março (dois meses antes da data de aniversário), a extinção poderá ocorrer na data de aniversário, ou seja, 20 de maio. </w:t>
      </w:r>
    </w:p>
    <w:p>
      <w:r>
        <w:rPr>
          <w:rFonts w:ascii="Liberation Serif" w:hAnsi="Liberation Serif" w:eastAsia="DejaVu Sans" w:cs="DejaVu Sans"/>
          <w:i/>
          <w:iCs/>
          <w:color w:val="000000"/>
          <w:lang w:val="en-US" w:eastAsia="en-US" w:bidi="en-US"/>
        </w:rPr>
        <w:t xml:space="preserve">2) Se a comunicação se der entre 20 de março e 20 de maio (menos de dois meses), fica garantida a vigência contratual por mais dois meses (portanto, por exemplo, se a notificação for em 20 de abril, a extinção seria em 20 de junho). </w:t>
      </w:r>
    </w:p>
    <w:p>
      <w:r>
        <w:rPr>
          <w:rFonts w:ascii="Liberation Serif" w:hAnsi="Liberation Serif" w:eastAsia="DejaVu Sans" w:cs="DejaVu Sans"/>
          <w:i/>
          <w:iCs/>
          <w:color w:val="000000"/>
          <w:lang w:val="en-US" w:eastAsia="en-US" w:bidi="en-US"/>
        </w:rPr>
        <w:t>3) Por fim, uma comunicação de extinção havida após a data de aniversário só teria efeito no aniversário subsequente, salvo se houver enquadramento na situação “2”.</w:t>
      </w:r>
    </w:p>
  </w:comment>
  <w:comment w:id="26" w:author="Autor" w:date="0-00-00T00:00:00Z" w:initials="A">
    <w:p>
      <w:r>
        <w:rPr>
          <w:rFonts w:ascii="Liberation Serif" w:hAnsi="Liberation Serif" w:eastAsia="DejaVu Sans" w:cs="DejaVu Sans"/>
          <w:lang w:val="en-US" w:eastAsia="en-US" w:bidi="en-US"/>
        </w:rPr>
        <w:t>Nota Explicativa: Use a redação desse item para contratos decorrentes da hipótese de dispensa de licitação prevista no art. 75, inciso VIII, da Lei n° 14.133/2021.</w:t>
      </w:r>
    </w:p>
  </w:comment>
  <w:comment w:id="27" w:author="Autor" w:date="0-00-00T00:00:00Z" w:initials="A">
    <w:p>
      <w:r>
        <w:rPr>
          <w:rFonts w:ascii="Liberation Serif" w:hAnsi="Liberation Serif" w:eastAsia="DejaVu Sans" w:cs="DejaVu Sans"/>
          <w:b/>
          <w:bCs/>
          <w:i/>
          <w:iCs/>
          <w:lang w:val="en-US" w:eastAsia="en-US" w:bidi="en-US"/>
        </w:rPr>
        <w:t>Nota Explicativa:</w:t>
      </w:r>
      <w:r>
        <w:rPr>
          <w:rFonts w:ascii="Liberation Serif" w:hAnsi="Liberation Serif" w:eastAsia="DejaVu Sans" w:cs="DejaVu Sans"/>
          <w:lang w:val="en-US" w:eastAsia="en-US" w:bidi="en-US"/>
        </w:rPr>
        <w:t xml:space="preserve"> </w:t>
      </w:r>
      <w:r>
        <w:rPr>
          <w:rFonts w:ascii="Liberation Serif" w:hAnsi="Liberation Serif" w:eastAsia="DejaVu Sans" w:cs="DejaVu Sans"/>
          <w:i/>
          <w:iCs/>
          <w:lang w:val="en-US" w:eastAsia="en-US" w:bidi="en-US"/>
        </w:rPr>
        <w:t xml:space="preserve">A Consultoria-Geral da União, por meio do PARECER n. 00061/2024/DECOR/CGU/AGU (NUP: 00688.001623/2024-01), uniformizou o entendimento de que é possível a supressão do objeto do contrato administrativo em percentual superior a 25% (art. 125 da Lei 14.133/2021), mediante acordo entre as partes, nos seguintes termos: </w:t>
      </w:r>
    </w:p>
    <w:p>
      <w:r>
        <w:rPr>
          <w:rFonts w:ascii="Liberation Serif" w:hAnsi="Liberation Serif" w:eastAsia="DejaVu Sans" w:cs="DejaVu Sans"/>
          <w:i/>
          <w:iCs/>
          <w:lang w:val="en-US" w:eastAsia="en-US" w:bidi="en-US"/>
        </w:rPr>
        <w:t> </w:t>
      </w:r>
    </w:p>
    <w:p>
      <w:r>
        <w:rPr>
          <w:rFonts w:ascii="Liberation Serif" w:hAnsi="Liberation Serif" w:eastAsia="DejaVu Sans" w:cs="DejaVu Sans"/>
          <w:i/>
          <w:iCs/>
          <w:lang w:val="en-US" w:eastAsia="en-US" w:bidi="en-US"/>
        </w:rPr>
        <w:t xml:space="preserve">"36.  Diante de tudo quanto exposto, conclui-se ser possível a </w:t>
      </w:r>
      <w:r>
        <w:rPr>
          <w:rFonts w:ascii="Liberation Serif" w:hAnsi="Liberation Serif" w:eastAsia="DejaVu Sans" w:cs="DejaVu Sans"/>
          <w:b/>
          <w:bCs/>
          <w:i/>
          <w:iCs/>
          <w:lang w:val="en-US" w:eastAsia="en-US" w:bidi="en-US"/>
        </w:rPr>
        <w:t>supressão</w:t>
      </w:r>
      <w:r>
        <w:rPr>
          <w:rFonts w:ascii="Liberation Serif" w:hAnsi="Liberation Serif" w:eastAsia="DejaVu Sans" w:cs="DejaVu Sans"/>
          <w:i/>
          <w:iCs/>
          <w:lang w:val="en-US" w:eastAsia="en-US" w:bidi="en-US"/>
        </w:rPr>
        <w:t xml:space="preserve"> </w:t>
      </w:r>
      <w:r>
        <w:rPr>
          <w:rFonts w:ascii="Liberation Serif" w:hAnsi="Liberation Serif" w:eastAsia="DejaVu Sans" w:cs="DejaVu Sans"/>
          <w:b/>
          <w:bCs/>
          <w:i/>
          <w:iCs/>
          <w:lang w:val="en-US" w:eastAsia="en-US" w:bidi="en-US"/>
        </w:rPr>
        <w:t xml:space="preserve">parcial consensual de contrato administrativo em percentual superior àqueles estabelecidos pelo art. 125 da Lei 14.133/2021. </w:t>
      </w:r>
    </w:p>
    <w:p>
      <w:r>
        <w:rPr>
          <w:rFonts w:ascii="Liberation Serif" w:hAnsi="Liberation Serif" w:eastAsia="DejaVu Sans" w:cs="DejaVu Sans"/>
          <w:i/>
          <w:iCs/>
          <w:lang w:val="en-US" w:eastAsia="en-US" w:bidi="en-US"/>
        </w:rPr>
        <w:t>37. Tal supressão parcial consensual do contrato administrativo deve respeitar os princípios enunciados no art. 5º da Lei 14.133/2021; deve ser adequadamente fundamentada; e pode ensejar a responsabilização de servidor por falha do projeto.</w:t>
      </w:r>
    </w:p>
    <w:p>
      <w:r>
        <w:rPr>
          <w:rFonts w:ascii="Liberation Serif" w:hAnsi="Liberation Serif" w:eastAsia="DejaVu Sans" w:cs="DejaVu Sans"/>
          <w:i/>
          <w:iCs/>
          <w:lang w:val="en-US" w:eastAsia="en-US" w:bidi="en-US"/>
        </w:rPr>
        <w:t>38. Sugere-se, ainda, veicular, no edital da licitação, a possibilidade de supressão do contrato administrativo de maneira consensual em percentual superior ao estabelecido no art. 125 da Lei 14.133/2021."</w:t>
      </w:r>
    </w:p>
  </w:comment>
  <w:comment w:id="28"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O </w:t>
      </w:r>
      <w:r>
        <w:fldChar w:fldCharType="begin"/>
      </w:r>
      <w:r>
        <w:instrText xml:space="preserve"> HYPERLINK "http://www.planalto.gov.br/ccivil_03/_ato2019-2022/2021/lei/L14133.htm" \l "art106"</w:instrText>
      </w:r>
      <w:r>
        <w:fldChar w:fldCharType="separate"/>
      </w:r>
      <w:r>
        <w:rPr>
          <w:rFonts w:ascii="Liberation Serif" w:hAnsi="Liberation Serif" w:eastAsia="DejaVu Sans" w:cs="DejaVu Sans"/>
          <w:i/>
          <w:iCs/>
          <w:color w:val="000000"/>
          <w:lang w:val="en-US" w:eastAsia="en-US" w:bidi="en-US"/>
        </w:rPr>
        <w:t>art. 106, II, da Lei nº 14.133/21</w:t>
      </w:r>
      <w:r>
        <w:fldChar w:fldCharType="end"/>
      </w:r>
      <w:r>
        <w:rPr>
          <w:rFonts w:ascii="Liberation Serif" w:hAnsi="Liberation Serif" w:eastAsia="DejaVu Sans" w:cs="DejaVu Sans"/>
          <w:i/>
          <w:iCs/>
          <w:color w:val="000000"/>
          <w:lang w:val="en-US" w:eastAsia="en-US" w:bidi="en-US"/>
        </w:rPr>
        <w:t xml:space="preserve"> prevê para contratações de serviços e fornecimentos continuados que  “a Administração deverá atestar, no início da contratação e de cada exercício, a existência de créditos orçamentários vinculados à contratação e a vantagem em sua manutenção”. </w:t>
      </w:r>
    </w:p>
  </w:comment>
  <w:comment w:id="29"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No Acórdão n.º 2569/2018 – Plenário, o TCU concluiu que “A Administração Pública pode invocar </w:t>
      </w:r>
      <w:hyperlink r:id="rId4">
        <w:r>
          <w:rPr>
            <w:rFonts w:ascii="Liberation Serif" w:hAnsi="Liberation Serif" w:eastAsia="DejaVu Sans" w:cs="DejaVu Sans"/>
            <w:i/>
            <w:iCs/>
            <w:color w:val="000000"/>
            <w:lang w:val="en-US" w:eastAsia="en-US" w:bidi="en-US"/>
          </w:rPr>
          <w:t>a Lei 8.078/1990 (CDC</w:t>
        </w:r>
      </w:hyperlink>
      <w:r>
        <w:rPr>
          <w:rFonts w:ascii="Liberation Serif" w:hAnsi="Liberation Serif" w:eastAsia="DejaVu Sans" w:cs="DejaVu Sans"/>
          <w:i/>
          <w:iCs/>
          <w:color w:val="000000"/>
          <w:lang w:val="en-US" w:eastAsia="en-US" w:bidi="en-US"/>
        </w:rPr>
        <w:t xml:space="preserve">), na condição de destinatária final de bens e serviços, quando suas prerrogativas estabelecidas na legislação de licitações e contratos forem insuficientes para garantir a proteção mínima dos interesses da sociedade [...]”. (cf. Boletim de Jurisprudência n.º 244, sessões 6 e 7 de novembro de 2018). Consta do referido Acórdão, nesse sentido, que: </w:t>
      </w:r>
    </w:p>
    <w:p>
      <w:r>
        <w:rPr>
          <w:rFonts w:ascii="Liberation Serif" w:hAnsi="Liberation Serif" w:eastAsia="DejaVu Sans" w:cs="DejaVu Sans"/>
          <w:i/>
          <w:iCs/>
          <w:color w:val="000000"/>
          <w:lang w:val="en-US" w:eastAsia="en-US" w:bidi="en-US"/>
        </w:rPr>
        <w:t xml:space="preserve">“307. Como é exposto no exame técnico transcrito no relatório do TC-016.501/2003-0, acolhido integralmente pelo Relator do Acórdão 1.670/2003-Plenário, Ministro-Substituto Lincoln Magalhães da Rocha, a </w:t>
      </w:r>
      <w:hyperlink r:id="rId5">
        <w:r>
          <w:rPr>
            <w:rFonts w:ascii="Liberation Serif" w:hAnsi="Liberation Serif" w:eastAsia="DejaVu Sans" w:cs="DejaVu Sans"/>
            <w:i/>
            <w:iCs/>
            <w:color w:val="000000"/>
            <w:lang w:val="en-US" w:eastAsia="en-US" w:bidi="en-US"/>
          </w:rPr>
          <w:t>Lei 8.078/1990</w:t>
        </w:r>
      </w:hyperlink>
      <w:r>
        <w:rPr>
          <w:rFonts w:ascii="Liberation Serif" w:hAnsi="Liberation Serif" w:eastAsia="DejaVu Sans" w:cs="DejaVu Sans"/>
          <w:i/>
          <w:iCs/>
          <w:color w:val="000000"/>
          <w:lang w:val="en-US" w:eastAsia="en-US" w:bidi="en-US"/>
        </w:rPr>
        <w:t xml:space="preserve">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30" w:author="Autor" w:date="0-00-00T00:00:00Z" w:initials="A">
    <w:p>
      <w:r>
        <w:rPr>
          <w:rFonts w:ascii="Liberation Serif" w:hAnsi="Liberation Serif" w:eastAsia="DejaVu Sans" w:cs="DejaVu Sans"/>
          <w:b/>
          <w:bCs/>
          <w:i/>
          <w:iCs/>
          <w:color w:val="000000"/>
          <w:lang w:val="en-US" w:eastAsia="en-US" w:bidi="en-US"/>
        </w:rPr>
        <w:t>Nota Explicativa:</w:t>
      </w:r>
      <w:r>
        <w:rPr>
          <w:rFonts w:ascii="Liberation Serif" w:hAnsi="Liberation Serif" w:eastAsia="DejaVu Sans" w:cs="DejaVu Sans"/>
          <w:i/>
          <w:iCs/>
          <w:color w:val="000000"/>
          <w:lang w:val="en-US" w:eastAsia="en-US" w:bidi="en-US"/>
        </w:rPr>
        <w:t xml:space="preserve"> </w:t>
      </w:r>
      <w:r>
        <w:rPr>
          <w:rFonts w:ascii="Liberation Serif" w:hAnsi="Liberation Serif" w:eastAsia="DejaVu Sans" w:cs="DejaVu Sans"/>
          <w:lang w:val="en-US" w:eastAsia="en-US" w:bidi="en-US"/>
        </w:rPr>
        <w:t xml:space="preserve">: A recente Lei nº 14.620, de 13 de julho de 2023, inseriu o § 4º ao art. 784 do Código de Processo Civil. Referido dispositivo dispõe que: “Nos títulos executivos constituídos ou atestados por meio eletrônico, é admitida qualquer modalidade de assinatura eletrônica prevista em lei, </w:t>
      </w:r>
      <w:r>
        <w:rPr>
          <w:rFonts w:ascii="Liberation Serif" w:hAnsi="Liberation Serif" w:eastAsia="DejaVu Sans" w:cs="DejaVu Sans"/>
          <w:u w:val="single"/>
          <w:lang w:val="en-US" w:eastAsia="en-US" w:bidi="en-US"/>
        </w:rPr>
        <w:t>dispensada a assinatura de testemunhas quando sua integridade for conferida por provedor de assinatura</w:t>
      </w:r>
      <w:r>
        <w:rPr>
          <w:rFonts w:ascii="Liberation Serif" w:hAnsi="Liberation Serif" w:eastAsia="DejaVu Sans" w:cs="DejaVu Sans"/>
          <w:lang w:val="en-US" w:eastAsia="en-US" w:bidi="en-US"/>
        </w:rPr>
        <w:t>”.</w:t>
      </w:r>
    </w:p>
    <w:p>
      <w:r>
        <w:rPr>
          <w:rFonts w:ascii="Liberation Serif" w:hAnsi="Liberation Serif" w:eastAsia="DejaVu Sans" w:cs="DejaVu Sans"/>
          <w:lang w:val="en-US" w:eastAsia="en-US" w:bidi="en-US"/>
        </w:rPr>
        <w:t>Após diligências promovidas pela CNMLC/CGU, verificou-se que a assinatura eletrônica realizada no SEI não atenderia ao requisito exigido pela referida norma (integridade conferível por provedor de assinatura). Nesse sentido, permanece a recomendação de que o termo aditivo seja assinado por duas testemunhas, em conformidade à Nota n. 00013/2021/DECOR/CGU/AGU e respectivos Despachos de Aprovação (NUP 23282.002192/2019-93).</w:t>
      </w:r>
    </w:p>
  </w:comment>
</w:comment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Ecofont_Spranq_eco_Sans">
    <w:charset w:val="01"/>
    <w:family w:val="roman"/>
    <w:pitch w:val="variable"/>
  </w:font>
  <w:font w:name="Calibri">
    <w:charset w:val="01"/>
    <w:family w:val="roman"/>
    <w:pitch w:val="variable"/>
  </w:font>
  <w:font w:name="Tahoma">
    <w:charset w:val="01"/>
    <w:family w:val="roman"/>
    <w:pitch w:val="variable"/>
  </w:font>
  <w:font w:name="Arial">
    <w:charset w:val="01"/>
    <w:family w:val="roman"/>
    <w:pitch w:val="variable"/>
  </w:font>
  <w:font w:name="Liberation Sans">
    <w:altName w:val="Arial"/>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4154143"/>
    </w:sdtPr>
    <w:sdtContent>
      <w:p>
        <w:pPr>
          <w:pStyle w:val="Rodap"/>
          <w:rPr>
            <w:color w:val="548DD4" w:themeColor="text2" w:themeTint="99"/>
            <w:spacing w:val="60"/>
            <w:sz w:val="16"/>
            <w:szCs w:val="16"/>
          </w:rPr>
        </w:pPr>
        <w:r>
          <w:rPr>
            <w:color w:val="548DD4" w:themeColor="text2" w:themeTint="99"/>
            <w:spacing w:val="60"/>
            <w:sz w:val="22"/>
            <w:szCs w:val="22"/>
          </w:rPr>
          <w:tab/>
          <w:tab/>
        </w:r>
      </w:p>
      <w:p>
        <w:pPr>
          <w:pStyle w:val="Rodap"/>
          <w:rPr>
            <w:rFonts w:ascii="Arial" w:hAnsi="Arial" w:cs="Arial"/>
            <w:color w:val="7F7F7F" w:themeColor="text1" w:themeTint="80"/>
            <w:sz w:val="18"/>
            <w:szCs w:val="18"/>
          </w:rPr>
        </w:pPr>
        <w:r>
          <w:rPr>
            <w:color w:val="7F7F7F" w:themeColor="text1" w:themeTint="80"/>
            <w:spacing w:val="60"/>
            <w:sz w:val="22"/>
            <w:szCs w:val="22"/>
          </w:rPr>
          <w:tab/>
          <w:tab/>
        </w:r>
        <w:r>
          <w:rPr>
            <w:rFonts w:cs="Arial" w:ascii="Arial" w:hAnsi="Arial"/>
            <w:color w:val="595959" w:themeColor="text1" w:themeTint="a6"/>
            <w:spacing w:val="60"/>
            <w:sz w:val="18"/>
            <w:szCs w:val="18"/>
          </w:rPr>
          <w:t>Página</w:t>
        </w:r>
        <w:r>
          <w:rPr>
            <w:rFonts w:cs="Arial" w:ascii="Arial" w:hAnsi="Arial"/>
            <w:color w:val="595959" w:themeColor="text1" w:themeTint="a6"/>
            <w:sz w:val="18"/>
            <w:szCs w:val="18"/>
          </w:rPr>
          <w:t xml:space="preserve"> </w:t>
        </w:r>
        <w:r>
          <w:rPr>
            <w:rFonts w:cs="Arial" w:ascii="Arial" w:hAnsi="Arial"/>
            <w:color w:val="595959"/>
            <w:sz w:val="18"/>
            <w:szCs w:val="18"/>
          </w:rPr>
          <w:fldChar w:fldCharType="begin"/>
        </w:r>
        <w:r>
          <w:rPr>
            <w:sz w:val="18"/>
            <w:szCs w:val="18"/>
            <w:rFonts w:cs="Arial" w:ascii="Arial" w:hAnsi="Arial"/>
            <w:color w:val="595959"/>
          </w:rPr>
          <w:instrText xml:space="preserve"> PAGE </w:instrText>
        </w:r>
        <w:r>
          <w:rPr>
            <w:sz w:val="18"/>
            <w:szCs w:val="18"/>
            <w:rFonts w:cs="Arial" w:ascii="Arial" w:hAnsi="Arial"/>
            <w:color w:val="595959"/>
          </w:rPr>
          <w:fldChar w:fldCharType="separate"/>
        </w:r>
        <w:r>
          <w:rPr>
            <w:sz w:val="18"/>
            <w:szCs w:val="18"/>
            <w:rFonts w:cs="Arial" w:ascii="Arial" w:hAnsi="Arial"/>
            <w:color w:val="595959"/>
          </w:rPr>
          <w:t>9</w:t>
        </w:r>
        <w:r>
          <w:rPr>
            <w:sz w:val="18"/>
            <w:szCs w:val="18"/>
            <w:rFonts w:cs="Arial" w:ascii="Arial" w:hAnsi="Arial"/>
            <w:color w:val="595959"/>
          </w:rPr>
          <w:fldChar w:fldCharType="end"/>
        </w:r>
        <w:r>
          <w:rPr>
            <w:rFonts w:cs="Arial" w:ascii="Arial" w:hAnsi="Arial"/>
            <w:color w:val="595959" w:themeColor="text1" w:themeTint="a6"/>
            <w:sz w:val="18"/>
            <w:szCs w:val="18"/>
          </w:rPr>
          <w:t xml:space="preserve"> | </w:t>
        </w:r>
        <w:r>
          <w:rPr>
            <w:rFonts w:cs="Arial" w:ascii="Arial" w:hAnsi="Arial"/>
            <w:color w:val="595959"/>
            <w:sz w:val="18"/>
            <w:szCs w:val="18"/>
          </w:rPr>
          <w:fldChar w:fldCharType="begin"/>
        </w:r>
        <w:r>
          <w:rPr>
            <w:sz w:val="18"/>
            <w:szCs w:val="18"/>
            <w:rFonts w:cs="Arial" w:ascii="Arial" w:hAnsi="Arial"/>
            <w:color w:val="595959"/>
          </w:rPr>
          <w:instrText xml:space="preserve"> NUMPAGES </w:instrText>
        </w:r>
        <w:r>
          <w:rPr>
            <w:sz w:val="18"/>
            <w:szCs w:val="18"/>
            <w:rFonts w:cs="Arial" w:ascii="Arial" w:hAnsi="Arial"/>
            <w:color w:val="595959"/>
          </w:rPr>
          <w:fldChar w:fldCharType="separate"/>
        </w:r>
        <w:r>
          <w:rPr>
            <w:sz w:val="18"/>
            <w:szCs w:val="18"/>
            <w:rFonts w:cs="Arial" w:ascii="Arial" w:hAnsi="Arial"/>
            <w:color w:val="595959"/>
          </w:rPr>
          <w:t>11</w:t>
        </w:r>
        <w:r>
          <w:rPr>
            <w:sz w:val="18"/>
            <w:szCs w:val="18"/>
            <w:rFonts w:cs="Arial" w:ascii="Arial" w:hAnsi="Arial"/>
            <w:color w:val="595959"/>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Termo de contrato modelo para Pregão Eletrônico para contratação de serviços/Solução de Tecnologia da Informação e Comunicação</w:t>
        </w:r>
      </w:p>
      <w:p>
        <w:pPr>
          <w:pStyle w:val="Rodap"/>
          <w:rPr>
            <w:rFonts w:ascii="Arial" w:hAnsi="Arial" w:cs="Arial"/>
            <w:sz w:val="14"/>
            <w:szCs w:val="14"/>
          </w:rPr>
        </w:pPr>
        <w:r>
          <w:rPr>
            <w:rFonts w:cs="Arial" w:ascii="Arial" w:hAnsi="Arial"/>
            <w:sz w:val="14"/>
            <w:szCs w:val="14"/>
          </w:rPr>
          <w:t>Aprovado pela Secretaria de Governo Digital</w:t>
        </w:r>
      </w:p>
      <w:p>
        <w:pPr>
          <w:pStyle w:val="Rodap"/>
          <w:rPr>
            <w:rFonts w:ascii="Arial" w:hAnsi="Arial" w:cs="Arial"/>
            <w:sz w:val="14"/>
            <w:szCs w:val="14"/>
          </w:rPr>
        </w:pPr>
        <w:r>
          <w:rPr>
            <w:rFonts w:cs="Arial" w:ascii="Arial" w:hAnsi="Arial"/>
            <w:sz w:val="14"/>
            <w:szCs w:val="14"/>
          </w:rPr>
          <w:t>Identidade visual pela Secretaria de Gestão</w:t>
        </w:r>
      </w:p>
      <w:p>
        <w:pPr>
          <w:pStyle w:val="Rodap"/>
          <w:rPr>
            <w:rFonts w:ascii="Arial" w:hAnsi="Arial" w:cs="Arial"/>
            <w:sz w:val="14"/>
            <w:szCs w:val="14"/>
          </w:rPr>
        </w:pPr>
        <w:r>
          <w:rPr>
            <w:rFonts w:cs="Arial" w:ascii="Arial" w:hAnsi="Arial"/>
            <w:sz w:val="14"/>
            <w:szCs w:val="14"/>
          </w:rPr>
          <w:t>Atualização: AGO/2025</w:t>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78920038"/>
    </w:sdtPr>
    <w:sdtContent>
      <w:p>
        <w:pPr>
          <w:pStyle w:val="Rodap"/>
          <w:rPr>
            <w:color w:val="548DD4" w:themeColor="text2" w:themeTint="99"/>
            <w:spacing w:val="60"/>
            <w:sz w:val="16"/>
            <w:szCs w:val="16"/>
          </w:rPr>
        </w:pPr>
        <w:r>
          <w:rPr>
            <w:color w:val="548DD4" w:themeColor="text2" w:themeTint="99"/>
            <w:spacing w:val="60"/>
            <w:sz w:val="22"/>
            <w:szCs w:val="22"/>
          </w:rPr>
          <w:tab/>
          <w:tab/>
        </w:r>
      </w:p>
      <w:p>
        <w:pPr>
          <w:pStyle w:val="Rodap"/>
          <w:rPr>
            <w:rFonts w:ascii="Arial" w:hAnsi="Arial" w:cs="Arial"/>
            <w:color w:val="7F7F7F" w:themeColor="text1" w:themeTint="80"/>
            <w:sz w:val="18"/>
            <w:szCs w:val="18"/>
          </w:rPr>
        </w:pPr>
        <w:r>
          <w:rPr>
            <w:color w:val="7F7F7F" w:themeColor="text1" w:themeTint="80"/>
            <w:spacing w:val="60"/>
            <w:sz w:val="22"/>
            <w:szCs w:val="22"/>
          </w:rPr>
          <w:tab/>
          <w:tab/>
        </w:r>
        <w:r>
          <w:rPr>
            <w:rFonts w:cs="Arial" w:ascii="Arial" w:hAnsi="Arial"/>
            <w:color w:val="595959" w:themeColor="text1" w:themeTint="a6"/>
            <w:spacing w:val="60"/>
            <w:sz w:val="18"/>
            <w:szCs w:val="18"/>
          </w:rPr>
          <w:t>Página</w:t>
        </w:r>
        <w:r>
          <w:rPr>
            <w:rFonts w:cs="Arial" w:ascii="Arial" w:hAnsi="Arial"/>
            <w:color w:val="595959" w:themeColor="text1" w:themeTint="a6"/>
            <w:sz w:val="18"/>
            <w:szCs w:val="18"/>
          </w:rPr>
          <w:t xml:space="preserve"> </w:t>
        </w:r>
        <w:r>
          <w:rPr>
            <w:rFonts w:cs="Arial" w:ascii="Arial" w:hAnsi="Arial"/>
            <w:color w:val="595959"/>
            <w:sz w:val="18"/>
            <w:szCs w:val="18"/>
          </w:rPr>
          <w:fldChar w:fldCharType="begin"/>
        </w:r>
        <w:r>
          <w:rPr>
            <w:sz w:val="18"/>
            <w:szCs w:val="18"/>
            <w:rFonts w:cs="Arial" w:ascii="Arial" w:hAnsi="Arial"/>
            <w:color w:val="595959"/>
          </w:rPr>
          <w:instrText xml:space="preserve"> PAGE </w:instrText>
        </w:r>
        <w:r>
          <w:rPr>
            <w:sz w:val="18"/>
            <w:szCs w:val="18"/>
            <w:rFonts w:cs="Arial" w:ascii="Arial" w:hAnsi="Arial"/>
            <w:color w:val="595959"/>
          </w:rPr>
          <w:fldChar w:fldCharType="separate"/>
        </w:r>
        <w:r>
          <w:rPr>
            <w:sz w:val="18"/>
            <w:szCs w:val="18"/>
            <w:rFonts w:cs="Arial" w:ascii="Arial" w:hAnsi="Arial"/>
            <w:color w:val="595959"/>
          </w:rPr>
          <w:t>9</w:t>
        </w:r>
        <w:r>
          <w:rPr>
            <w:sz w:val="18"/>
            <w:szCs w:val="18"/>
            <w:rFonts w:cs="Arial" w:ascii="Arial" w:hAnsi="Arial"/>
            <w:color w:val="595959"/>
          </w:rPr>
          <w:fldChar w:fldCharType="end"/>
        </w:r>
        <w:r>
          <w:rPr>
            <w:rFonts w:cs="Arial" w:ascii="Arial" w:hAnsi="Arial"/>
            <w:color w:val="595959" w:themeColor="text1" w:themeTint="a6"/>
            <w:sz w:val="18"/>
            <w:szCs w:val="18"/>
          </w:rPr>
          <w:t xml:space="preserve"> | </w:t>
        </w:r>
        <w:r>
          <w:rPr>
            <w:rFonts w:cs="Arial" w:ascii="Arial" w:hAnsi="Arial"/>
            <w:color w:val="595959"/>
            <w:sz w:val="18"/>
            <w:szCs w:val="18"/>
          </w:rPr>
          <w:fldChar w:fldCharType="begin"/>
        </w:r>
        <w:r>
          <w:rPr>
            <w:sz w:val="18"/>
            <w:szCs w:val="18"/>
            <w:rFonts w:cs="Arial" w:ascii="Arial" w:hAnsi="Arial"/>
            <w:color w:val="595959"/>
          </w:rPr>
          <w:instrText xml:space="preserve"> NUMPAGES </w:instrText>
        </w:r>
        <w:r>
          <w:rPr>
            <w:sz w:val="18"/>
            <w:szCs w:val="18"/>
            <w:rFonts w:cs="Arial" w:ascii="Arial" w:hAnsi="Arial"/>
            <w:color w:val="595959"/>
          </w:rPr>
          <w:fldChar w:fldCharType="separate"/>
        </w:r>
        <w:r>
          <w:rPr>
            <w:sz w:val="18"/>
            <w:szCs w:val="18"/>
            <w:rFonts w:cs="Arial" w:ascii="Arial" w:hAnsi="Arial"/>
            <w:color w:val="595959"/>
          </w:rPr>
          <w:t>11</w:t>
        </w:r>
        <w:r>
          <w:rPr>
            <w:sz w:val="18"/>
            <w:szCs w:val="18"/>
            <w:rFonts w:cs="Arial" w:ascii="Arial" w:hAnsi="Arial"/>
            <w:color w:val="595959"/>
          </w:rPr>
          <w:fldChar w:fldCharType="end"/>
        </w:r>
      </w:p>
      <w:p>
        <w:pPr>
          <w:pStyle w:val="Rodap"/>
          <w:rPr>
            <w:rFonts w:ascii="Arial" w:hAnsi="Arial" w:cs="Arial"/>
            <w:sz w:val="14"/>
            <w:szCs w:val="14"/>
          </w:rPr>
        </w:pPr>
        <w:r>
          <w:rPr>
            <w:rFonts w:cs="Arial" w:ascii="Arial" w:hAnsi="Arial"/>
            <w:sz w:val="14"/>
            <w:szCs w:val="14"/>
          </w:rPr>
          <w:t>Câmara Nacional de Modelos de Licitações e Contratos da Consultoria-Geral da União</w:t>
        </w:r>
      </w:p>
      <w:p>
        <w:pPr>
          <w:pStyle w:val="Rodap"/>
          <w:rPr>
            <w:rFonts w:ascii="Arial" w:hAnsi="Arial" w:cs="Arial"/>
            <w:sz w:val="14"/>
            <w:szCs w:val="14"/>
          </w:rPr>
        </w:pPr>
        <w:r>
          <w:rPr>
            <w:rFonts w:cs="Arial" w:ascii="Arial" w:hAnsi="Arial"/>
            <w:sz w:val="14"/>
            <w:szCs w:val="14"/>
          </w:rPr>
          <w:t>Termo de contrato modelo para Pregão Eletrônico para contratação de serviços/Solução de Tecnologia da Informação e Comunicação</w:t>
        </w:r>
      </w:p>
      <w:p>
        <w:pPr>
          <w:pStyle w:val="Rodap"/>
          <w:rPr>
            <w:rFonts w:ascii="Arial" w:hAnsi="Arial" w:cs="Arial"/>
            <w:sz w:val="14"/>
            <w:szCs w:val="14"/>
          </w:rPr>
        </w:pPr>
        <w:r>
          <w:rPr>
            <w:rFonts w:cs="Arial" w:ascii="Arial" w:hAnsi="Arial"/>
            <w:sz w:val="14"/>
            <w:szCs w:val="14"/>
          </w:rPr>
          <w:t>Aprovado pela Secretaria de Governo Digital</w:t>
        </w:r>
      </w:p>
      <w:p>
        <w:pPr>
          <w:pStyle w:val="Rodap"/>
          <w:rPr>
            <w:rFonts w:ascii="Arial" w:hAnsi="Arial" w:cs="Arial"/>
            <w:sz w:val="14"/>
            <w:szCs w:val="14"/>
          </w:rPr>
        </w:pPr>
        <w:r>
          <w:rPr>
            <w:rFonts w:cs="Arial" w:ascii="Arial" w:hAnsi="Arial"/>
            <w:sz w:val="14"/>
            <w:szCs w:val="14"/>
          </w:rPr>
          <w:t>Identidade visual pela Secretaria de Gestão</w:t>
        </w:r>
      </w:p>
      <w:p>
        <w:pPr>
          <w:pStyle w:val="Rodap"/>
          <w:rPr>
            <w:rFonts w:ascii="Arial" w:hAnsi="Arial" w:cs="Arial"/>
            <w:sz w:val="14"/>
            <w:szCs w:val="14"/>
          </w:rPr>
        </w:pPr>
        <w:r>
          <w:rPr>
            <w:rFonts w:cs="Arial" w:ascii="Arial" w:hAnsi="Arial"/>
            <w:sz w:val="14"/>
            <w:szCs w:val="14"/>
          </w:rPr>
          <w:t>Atualização: AGO/2025</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right"/>
      <w:rPr>
        <w:rFonts w:ascii="Arial" w:hAnsi="Arial"/>
        <w:sz w:val="20"/>
      </w:rPr>
    </w:pPr>
    <w:r>
      <w:rPr>
        <w:rFonts w:cs="Arial" w:ascii="Arial" w:hAnsi="Arial"/>
        <w:sz w:val="20"/>
        <w:szCs w:val="20"/>
      </w:rPr>
      <w:t xml:space="preserve">TERMO DE CONTRATO ADMINISTRATIVO Nº </w:t>
    </w:r>
    <w:r>
      <w:rPr>
        <w:rFonts w:cs="Arial" w:ascii="Arial" w:hAnsi="Arial"/>
        <w:i/>
        <w:iCs/>
        <w:color w:val="FF0000"/>
        <w:sz w:val="20"/>
        <w:szCs w:val="20"/>
      </w:rPr>
      <w:t>XX/XXXX</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color w:val="FFFFFF" w:themeColor="background1"/>
      </w:rPr>
    </w:lvl>
    <w:lvl w:ilvl="1">
      <w:start w:val="1"/>
      <w:numFmt w:val="decimal"/>
      <w:lvlText w:val="%1.%2."/>
      <w:lvlJc w:val="left"/>
      <w:pPr>
        <w:tabs>
          <w:tab w:val="num" w:pos="0"/>
        </w:tabs>
        <w:ind w:left="4402"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s="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bullet"/>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3">
    <w:lvl w:ilvl="0">
      <w:start w:val="1"/>
      <w:numFmt w:val="decimal"/>
      <w:lvlText w:val="%1"/>
      <w:lvlJc w:val="left"/>
      <w:pPr>
        <w:tabs>
          <w:tab w:val="num" w:pos="0"/>
        </w:tabs>
        <w:ind w:left="360" w:hanging="360"/>
      </w:pPr>
      <w:rPr/>
    </w:lvl>
    <w:lvl w:ilvl="1">
      <w:start w:val="4"/>
      <w:numFmt w:val="decimal"/>
      <w:lvlText w:val="%1.%2"/>
      <w:lvlJc w:val="left"/>
      <w:pPr>
        <w:tabs>
          <w:tab w:val="num" w:pos="0"/>
        </w:tabs>
        <w:ind w:left="360" w:hanging="36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4">
    <w:lvl w:ilvl="0">
      <w:start w:val="1"/>
      <w:numFmt w:val="decimal"/>
      <w:lvlText w:val="%1."/>
      <w:lvlJc w:val="left"/>
      <w:pPr>
        <w:tabs>
          <w:tab w:val="num" w:pos="0"/>
        </w:tabs>
        <w:ind w:left="360" w:hanging="360"/>
      </w:pPr>
      <w:rPr>
        <w:i w:val="false"/>
        <w:b/>
      </w:rPr>
    </w:lvl>
    <w:lvl w:ilvl="1">
      <w:start w:val="1"/>
      <w:numFmt w:val="upperRoman"/>
      <w:lvlText w:val="%2)"/>
      <w:lvlJc w:val="left"/>
      <w:pPr>
        <w:tabs>
          <w:tab w:val="num" w:pos="0"/>
        </w:tabs>
        <w:ind w:left="360" w:hanging="360"/>
      </w:pPr>
      <w:rPr/>
    </w:lvl>
    <w:lvl w:ilvl="2">
      <w:start w:val="1"/>
      <w:numFmt w:val="decimal"/>
      <w:suff w:val="space"/>
      <w:lvlText w:val="%1.%2.%3."/>
      <w:lvlJc w:val="left"/>
      <w:pPr>
        <w:tabs>
          <w:tab w:val="num" w:pos="0"/>
        </w:tabs>
        <w:ind w:left="1135" w:hanging="0"/>
      </w:pPr>
      <w:rPr>
        <w:i w:val="false"/>
        <w:b w:val="false"/>
      </w:rPr>
    </w:lvl>
    <w:lvl w:ilvl="3">
      <w:start w:val="1"/>
      <w:numFmt w:val="decimal"/>
      <w:suff w:val="space"/>
      <w:lvlText w:val="%1.%2.%3.%4."/>
      <w:lvlJc w:val="left"/>
      <w:pPr>
        <w:tabs>
          <w:tab w:val="num" w:pos="0"/>
        </w:tabs>
        <w:ind w:left="851" w:hanging="0"/>
      </w:pPr>
      <w:rPr>
        <w:i w:val="false"/>
        <w:b/>
      </w:rPr>
    </w:lvl>
    <w:lvl w:ilvl="4">
      <w:start w:val="1"/>
      <w:numFmt w:val="decimal"/>
      <w:suff w:val="space"/>
      <w:lvlText w:val="%1.%2.%3.%4.%5."/>
      <w:lvlJc w:val="left"/>
      <w:pPr>
        <w:tabs>
          <w:tab w:val="num" w:pos="0"/>
        </w:tabs>
        <w:ind w:left="1134" w:hanging="0"/>
      </w:pPr>
      <w:rPr>
        <w:i w:val="false"/>
        <w:b/>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80"/>
  <w:mirrorMargin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ＭＳ 明朝" w:cs="Times New Roman" w:eastAsiaTheme="minorEastAsia"/>
        <w:lang w:val="pt-BR" w:eastAsia="en-US" w:bidi="ar-SA"/>
      </w:rPr>
    </w:rPrDefault>
    <w:pPrDefault>
      <w:pPr>
        <w:suppressAutoHyphens w:val="true"/>
      </w:pPr>
    </w:pPrDefault>
  </w:docDefaults>
  <w:latentStyles w:defLockedState="0" w:defUIPriority="0" w:defSemiHidden="0" w:defUnhideWhenUsed="0" w:defQFormat="0" w:count="376">
    <w:lsdException w:name="heading 1" w:uiPriority="9"/>
    <w:lsdException w:name="heading 3" w:uiPriority="9" w:semiHidden="1" w:unhideWhenUsed="1" w:qFormat="1"/>
    <w:lsdException w:name="heading 4" w:semiHidden="1" w:unhideWhenUsed="1" w:qFormat="1"/>
    <w:lsdException w:name="heading 5" w:semiHidden="1" w:unhideWhenUsed="1" w:qFormat="1"/>
    <w:lsdException w:name="heading 6" w:uiPriority="9"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semiHidden="1" w:unhideWhenUsed="1" w:qFormat="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uiPriority="99"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uiPriority="99"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99" w:semiHidden="1"/>
    <w:lsdException w:name="List Paragraph" w:uiPriority="34"/>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a3333"/>
    <w:pPr>
      <w:widowControl/>
      <w:suppressAutoHyphens w:val="true"/>
      <w:bidi w:val="0"/>
      <w:spacing w:before="0" w:after="0"/>
      <w:jc w:val="left"/>
    </w:pPr>
    <w:rPr>
      <w:rFonts w:ascii="Ecofont_Spranq_eco_Sans" w:hAnsi="Ecofont_Spranq_eco_Sans" w:eastAsia="ＭＳ 明朝" w:cs="Tahoma" w:eastAsiaTheme="minorEastAsia"/>
      <w:color w:val="auto"/>
      <w:kern w:val="0"/>
      <w:sz w:val="24"/>
      <w:szCs w:val="24"/>
      <w:lang w:val="pt-BR" w:eastAsia="pt-BR" w:bidi="ar-SA"/>
    </w:rPr>
  </w:style>
  <w:style w:type="paragraph" w:styleId="Ttulo1">
    <w:name w:val="Heading 1"/>
    <w:basedOn w:val="Normal"/>
    <w:next w:val="Normal"/>
    <w:link w:val="Ttulo1Char"/>
    <w:uiPriority w:val="9"/>
    <w:qFormat/>
    <w:rsid w:val="007f77ad"/>
    <w:pPr>
      <w:keepNext w:val="true"/>
      <w:keepLines/>
      <w:spacing w:before="480" w:after="0"/>
      <w:outlineLvl w:val="0"/>
    </w:pPr>
    <w:rPr>
      <w:rFonts w:ascii="Calibri" w:hAnsi="Calibri" w:eastAsia="ＭＳ ゴシック" w:cs="Times New Roman" w:asciiTheme="majorHAnsi" w:cstheme="majorBidi" w:eastAsiaTheme="majorEastAsia" w:hAnsiTheme="majorHAnsi"/>
      <w:b/>
      <w:bCs/>
      <w:color w:val="365F91" w:themeColor="accent1" w:themeShade="bf"/>
      <w:sz w:val="28"/>
      <w:szCs w:val="28"/>
    </w:rPr>
  </w:style>
  <w:style w:type="paragraph" w:styleId="Ttulo2">
    <w:name w:val="Heading 2"/>
    <w:basedOn w:val="Normal"/>
    <w:next w:val="Normal"/>
    <w:link w:val="Ttulo2Char"/>
    <w:qFormat/>
    <w:rsid w:val="004b460a"/>
    <w:pPr>
      <w:keepNext w:val="true"/>
      <w:tabs>
        <w:tab w:val="clear" w:pos="708"/>
        <w:tab w:val="left" w:pos="1701" w:leader="none"/>
      </w:tabs>
      <w:ind w:right="-1" w:hanging="0"/>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val="true"/>
      <w:keepLines/>
      <w:spacing w:lineRule="auto" w:line="259" w:before="40" w:after="0"/>
      <w:outlineLvl w:val="2"/>
    </w:pPr>
    <w:rPr>
      <w:rFonts w:ascii="Calibri" w:hAnsi="Calibri" w:eastAsia="ＭＳ ゴシック" w:cs="Times New Roman" w:asciiTheme="majorHAnsi" w:cstheme="majorBidi" w:eastAsiaTheme="majorEastAsia" w:hAnsiTheme="majorHAnsi"/>
      <w:color w:val="243F60" w:themeColor="accent1" w:themeShade="7f"/>
      <w:lang w:eastAsia="en-US"/>
    </w:rPr>
  </w:style>
  <w:style w:type="paragraph" w:styleId="Ttulo4">
    <w:name w:val="Heading 4"/>
    <w:basedOn w:val="Normal"/>
    <w:next w:val="Normal"/>
    <w:link w:val="Ttulo4Char"/>
    <w:semiHidden/>
    <w:unhideWhenUsed/>
    <w:qFormat/>
    <w:rsid w:val="00a45a85"/>
    <w:pPr>
      <w:keepNext w:val="true"/>
      <w:keepLines/>
      <w:spacing w:before="40" w:after="0"/>
      <w:outlineLvl w:val="3"/>
    </w:pPr>
    <w:rPr>
      <w:rFonts w:ascii="Calibri" w:hAnsi="Calibri" w:eastAsia="ＭＳ ゴシック" w:cs="Times New Roman" w:asciiTheme="majorHAnsi" w:cstheme="majorBidi" w:eastAsiaTheme="majorEastAsia" w:hAnsiTheme="majorHAnsi"/>
      <w:i/>
      <w:iCs/>
      <w:color w:val="365F91" w:themeColor="accent1" w:themeShade="bf"/>
    </w:rPr>
  </w:style>
  <w:style w:type="paragraph" w:styleId="Ttulo6">
    <w:name w:val="Heading 6"/>
    <w:basedOn w:val="Normal"/>
    <w:next w:val="Normal"/>
    <w:link w:val="Ttulo6Char"/>
    <w:uiPriority w:val="9"/>
    <w:semiHidden/>
    <w:unhideWhenUsed/>
    <w:qFormat/>
    <w:rsid w:val="00cb3192"/>
    <w:pPr>
      <w:keepNext w:val="true"/>
      <w:keepLines/>
      <w:spacing w:lineRule="auto" w:line="259" w:before="40" w:after="0"/>
      <w:outlineLvl w:val="5"/>
    </w:pPr>
    <w:rPr>
      <w:rFonts w:ascii="Calibri" w:hAnsi="Calibri" w:eastAsia="ＭＳ ゴシック" w:cs="Times New Roman" w:asciiTheme="majorHAnsi" w:cstheme="majorBidi" w:eastAsiaTheme="majorEastAsia" w:hAnsiTheme="majorHAnsi"/>
      <w:color w:val="243F60" w:themeColor="accent1" w:themeShade="7f"/>
      <w:sz w:val="22"/>
      <w:szCs w:val="22"/>
      <w:lang w:eastAsia="en-US"/>
    </w:rPr>
  </w:style>
  <w:style w:type="character" w:styleId="DefaultParagraphFont" w:default="1">
    <w:name w:val="Default Paragraph Font"/>
    <w:uiPriority w:val="1"/>
    <w:semiHidden/>
    <w:unhideWhenUsed/>
    <w:qFormat/>
    <w:rPr/>
  </w:style>
  <w:style w:type="character" w:styleId="TextodebaloChar" w:customStyle="1">
    <w:name w:val="Texto de balão Char"/>
    <w:link w:val="BalloonText"/>
    <w:uiPriority w:val="99"/>
    <w:qFormat/>
    <w:rsid w:val="003a73c1"/>
    <w:rPr>
      <w:rFonts w:ascii="Tahoma" w:hAnsi="Tahoma" w:cs="Tahoma"/>
      <w:sz w:val="16"/>
      <w:szCs w:val="16"/>
    </w:rPr>
  </w:style>
  <w:style w:type="character" w:styleId="Ttulo2Char" w:customStyle="1">
    <w:name w:val="Título 2 Char"/>
    <w:qFormat/>
    <w:rsid w:val="004b460a"/>
    <w:rPr>
      <w:b/>
      <w:color w:val="000000"/>
      <w:sz w:val="24"/>
    </w:rPr>
  </w:style>
  <w:style w:type="character" w:styleId="Normalchar1" w:customStyle="1">
    <w:name w:val="normal__char1"/>
    <w:qFormat/>
    <w:rsid w:val="008d51cc"/>
    <w:rPr>
      <w:rFonts w:ascii="Arial" w:hAnsi="Arial" w:cs="Arial"/>
      <w:strike w:val="false"/>
      <w:dstrike w:val="false"/>
      <w:sz w:val="24"/>
      <w:szCs w:val="24"/>
      <w:u w:val="none"/>
      <w:effect w:val="none"/>
    </w:rPr>
  </w:style>
  <w:style w:type="character" w:styleId="Applestylespan" w:customStyle="1">
    <w:name w:val="apple-style-span"/>
    <w:basedOn w:val="DefaultParagraphFont"/>
    <w:qFormat/>
    <w:rsid w:val="00260802"/>
    <w:rPr/>
  </w:style>
  <w:style w:type="character" w:styleId="LinkdaInternet" w:customStyle="1">
    <w:name w:val="Link da Internet"/>
    <w:basedOn w:val="DefaultParagraphFont"/>
    <w:uiPriority w:val="99"/>
    <w:unhideWhenUsed/>
    <w:rsid w:val="00dc41dd"/>
    <w:rPr>
      <w:color w:val="0000FF" w:themeColor="hyperlink"/>
      <w:u w:val="single"/>
    </w:rPr>
  </w:style>
  <w:style w:type="character" w:styleId="CitaoChar" w:customStyle="1">
    <w:name w:val="Citação Char"/>
    <w:link w:val="Quote"/>
    <w:qFormat/>
    <w:rsid w:val="00080b53"/>
    <w:rPr>
      <w:rFonts w:ascii="Arial" w:hAnsi="Arial" w:eastAsia="Calibri" w:cs="Tahoma"/>
      <w:i/>
      <w:iCs/>
      <w:color w:val="000000"/>
      <w:szCs w:val="24"/>
      <w:shd w:fill="FFFFCC" w:val="clear"/>
    </w:rPr>
  </w:style>
  <w:style w:type="character" w:styleId="NotaexplicativaChar" w:customStyle="1">
    <w:name w:val="Nota explicativa Char"/>
    <w:basedOn w:val="CitaoChar"/>
    <w:link w:val="Notaexplicativa"/>
    <w:qFormat/>
    <w:rsid w:val="00265fb6"/>
    <w:rPr>
      <w:rFonts w:ascii="Arial" w:hAnsi="Arial" w:eastAsia="Calibri" w:cs="Tahoma"/>
      <w:i/>
      <w:iCs/>
      <w:color w:val="000000"/>
      <w:szCs w:val="24"/>
      <w:shd w:fill="FFFFCC" w:val="clear"/>
    </w:rPr>
  </w:style>
  <w:style w:type="character" w:styleId="CabealhoChar" w:customStyle="1">
    <w:name w:val="Cabeçalho Char"/>
    <w:uiPriority w:val="99"/>
    <w:qFormat/>
    <w:rsid w:val="00ca24fb"/>
    <w:rPr>
      <w:rFonts w:ascii="Ecofont_Spranq_eco_Sans" w:hAnsi="Ecofont_Spranq_eco_Sans" w:cs="Tahoma"/>
      <w:sz w:val="24"/>
      <w:szCs w:val="24"/>
    </w:rPr>
  </w:style>
  <w:style w:type="character" w:styleId="RodapChar" w:customStyle="1">
    <w:name w:val="Rodapé Char"/>
    <w:uiPriority w:val="99"/>
    <w:qFormat/>
    <w:rsid w:val="00ca24fb"/>
    <w:rPr>
      <w:rFonts w:ascii="Ecofont_Spranq_eco_Sans" w:hAnsi="Ecofont_Spranq_eco_Sans" w:cs="Tahoma"/>
      <w:sz w:val="24"/>
      <w:szCs w:val="24"/>
    </w:rPr>
  </w:style>
  <w:style w:type="character" w:styleId="Annotationreference">
    <w:name w:val="annotation reference"/>
    <w:basedOn w:val="DefaultParagraphFont"/>
    <w:unhideWhenUsed/>
    <w:qFormat/>
    <w:rsid w:val="00430fdb"/>
    <w:rPr>
      <w:sz w:val="16"/>
      <w:szCs w:val="16"/>
    </w:rPr>
  </w:style>
  <w:style w:type="character" w:styleId="TextodecomentrioChar" w:customStyle="1">
    <w:name w:val="Texto de comentário Char"/>
    <w:basedOn w:val="DefaultParagraphFont"/>
    <w:link w:val="Annotationtext"/>
    <w:uiPriority w:val="99"/>
    <w:qFormat/>
    <w:rsid w:val="00430fdb"/>
    <w:rPr>
      <w:rFonts w:ascii="Ecofont_Spranq_eco_Sans" w:hAnsi="Ecofont_Spranq_eco_Sans" w:cs="Tahoma"/>
      <w:lang w:eastAsia="pt-BR"/>
    </w:rPr>
  </w:style>
  <w:style w:type="character" w:styleId="AssuntodocomentrioChar" w:customStyle="1">
    <w:name w:val="Assunto do comentário Char"/>
    <w:basedOn w:val="TextodecomentrioChar"/>
    <w:link w:val="Annotationsubject"/>
    <w:uiPriority w:val="99"/>
    <w:semiHidden/>
    <w:qFormat/>
    <w:rsid w:val="00430fdb"/>
    <w:rPr>
      <w:rFonts w:ascii="Ecofont_Spranq_eco_Sans" w:hAnsi="Ecofont_Spranq_eco_Sans" w:cs="Tahoma"/>
      <w:b/>
      <w:bCs/>
      <w:lang w:eastAsia="pt-BR"/>
    </w:rPr>
  </w:style>
  <w:style w:type="character" w:styleId="Ttulo4Char" w:customStyle="1">
    <w:name w:val="Título 4 Char"/>
    <w:basedOn w:val="DefaultParagraphFont"/>
    <w:qFormat/>
    <w:rsid w:val="00a45a85"/>
    <w:rPr>
      <w:rFonts w:ascii="Calibri" w:hAnsi="Calibri" w:eastAsia="ＭＳ ゴシック" w:cs="Times New Roman" w:asciiTheme="majorHAnsi" w:cstheme="majorBidi" w:eastAsiaTheme="majorEastAsia" w:hAnsiTheme="majorHAnsi"/>
      <w:i/>
      <w:iCs/>
      <w:color w:val="365F91" w:themeColor="accent1" w:themeShade="bf"/>
      <w:sz w:val="24"/>
      <w:szCs w:val="24"/>
      <w:lang w:eastAsia="pt-BR"/>
    </w:rPr>
  </w:style>
  <w:style w:type="character" w:styleId="TtuloChar" w:customStyle="1">
    <w:name w:val="Título Char"/>
    <w:basedOn w:val="DefaultParagraphFont"/>
    <w:qFormat/>
    <w:rsid w:val="007f77ad"/>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lang w:eastAsia="pt-BR"/>
    </w:rPr>
  </w:style>
  <w:style w:type="character" w:styleId="Nivel01Char" w:customStyle="1">
    <w:name w:val="Nivel 01 Char"/>
    <w:basedOn w:val="TtuloChar"/>
    <w:link w:val="Nivel01"/>
    <w:qFormat/>
    <w:rsid w:val="00fa318d"/>
    <w:rPr>
      <w:rFonts w:ascii="Arial" w:hAnsi="Arial" w:eastAsia="ＭＳ ゴシック" w:cs="Arial" w:eastAsiaTheme="majorEastAsia"/>
      <w:b/>
      <w:bCs/>
      <w:color w:val="17365D" w:themeColor="text2" w:themeShade="bf"/>
      <w:spacing w:val="5"/>
      <w:kern w:val="2"/>
      <w:sz w:val="52"/>
      <w:szCs w:val="52"/>
      <w:lang w:eastAsia="pt-BR"/>
    </w:rPr>
  </w:style>
  <w:style w:type="character" w:styleId="Ttulo1Char" w:customStyle="1">
    <w:name w:val="Título 1 Char"/>
    <w:basedOn w:val="DefaultParagraphFont"/>
    <w:uiPriority w:val="9"/>
    <w:qFormat/>
    <w:rsid w:val="007f77ad"/>
    <w:rPr>
      <w:rFonts w:ascii="Calibri" w:hAnsi="Calibri" w:eastAsia="ＭＳ ゴシック" w:cs="Times New Roman" w:asciiTheme="majorHAnsi" w:cstheme="majorBidi" w:eastAsiaTheme="majorEastAsia" w:hAnsiTheme="majorHAnsi"/>
      <w:b/>
      <w:bCs/>
      <w:color w:val="365F91" w:themeColor="accent1" w:themeShade="bf"/>
      <w:sz w:val="28"/>
      <w:szCs w:val="28"/>
      <w:lang w:eastAsia="pt-BR"/>
    </w:rPr>
  </w:style>
  <w:style w:type="character" w:styleId="Nivel01TituloChar" w:customStyle="1">
    <w:name w:val="Nivel_01_Titulo Char"/>
    <w:basedOn w:val="Nivel01Char"/>
    <w:link w:val="Nivel01Titulo"/>
    <w:qFormat/>
    <w:rsid w:val="00e967ea"/>
    <w:rPr>
      <w:rFonts w:ascii="Arial" w:hAnsi="Arial" w:eastAsia="ＭＳ ゴシック" w:cs="Times New Roman" w:cstheme="majorBidi" w:eastAsiaTheme="majorEastAsia"/>
      <w:b/>
      <w:bCs/>
      <w:color w:val="000000" w:themeColor="text1"/>
      <w:spacing w:val="5"/>
      <w:kern w:val="2"/>
      <w:sz w:val="52"/>
      <w:szCs w:val="52"/>
      <w:lang w:eastAsia="pt-BR"/>
    </w:rPr>
  </w:style>
  <w:style w:type="character" w:styleId="QuoteChar" w:customStyle="1">
    <w:name w:val="Quote Char"/>
    <w:basedOn w:val="DefaultParagraphFont"/>
    <w:link w:val="Citao1"/>
    <w:qFormat/>
    <w:rsid w:val="00b77761"/>
    <w:rPr>
      <w:rFonts w:ascii="Ecofont_Spranq_eco_Sans" w:hAnsi="Ecofont_Spranq_eco_Sans" w:eastAsia="Calibri" w:cs="Tahoma"/>
      <w:i/>
      <w:iCs/>
      <w:color w:val="000000"/>
      <w:shd w:fill="FFFFCC" w:val="clear"/>
    </w:rPr>
  </w:style>
  <w:style w:type="character" w:styleId="Normaltextrun" w:customStyle="1">
    <w:name w:val="normaltextrun"/>
    <w:basedOn w:val="DefaultParagraphFont"/>
    <w:qFormat/>
    <w:rsid w:val="0053119e"/>
    <w:rPr/>
  </w:style>
  <w:style w:type="character" w:styleId="Eop" w:customStyle="1">
    <w:name w:val="eop"/>
    <w:basedOn w:val="DefaultParagraphFont"/>
    <w:qFormat/>
    <w:rsid w:val="0053119e"/>
    <w:rPr/>
  </w:style>
  <w:style w:type="character" w:styleId="Spellingerror" w:customStyle="1">
    <w:name w:val="spellingerror"/>
    <w:basedOn w:val="DefaultParagraphFont"/>
    <w:qFormat/>
    <w:rsid w:val="0053119e"/>
    <w:rPr/>
  </w:style>
  <w:style w:type="character" w:styleId="CorpodetextoChar" w:customStyle="1">
    <w:name w:val="Corpo de texto Char"/>
    <w:basedOn w:val="DefaultParagraphFont"/>
    <w:link w:val="Textbody1"/>
    <w:uiPriority w:val="99"/>
    <w:qFormat/>
    <w:rsid w:val="00405763"/>
    <w:rPr>
      <w:rFonts w:eastAsia="Times New Roman"/>
      <w:sz w:val="24"/>
      <w:szCs w:val="24"/>
      <w:lang w:eastAsia="pt-BR"/>
    </w:rPr>
  </w:style>
  <w:style w:type="character" w:styleId="Nivel1Char" w:customStyle="1">
    <w:name w:val="Nivel1 Char"/>
    <w:basedOn w:val="Ttulo1Char"/>
    <w:link w:val="Nivel1"/>
    <w:qFormat/>
    <w:rsid w:val="001b6423"/>
    <w:rPr>
      <w:rFonts w:ascii="Arial" w:hAnsi="Arial" w:eastAsia="ＭＳ ゴシック" w:cs="Arial" w:eastAsiaTheme="majorEastAsia"/>
      <w:b/>
      <w:bCs w:val="false"/>
      <w:color w:val="000000"/>
      <w:sz w:val="28"/>
      <w:szCs w:val="28"/>
      <w:lang w:eastAsia="pt-BR"/>
    </w:rPr>
  </w:style>
  <w:style w:type="character" w:styleId="Nivel4Char" w:customStyle="1">
    <w:name w:val="Nivel 4 Char"/>
    <w:basedOn w:val="DefaultParagraphFont"/>
    <w:link w:val="Nivel4"/>
    <w:qFormat/>
    <w:rsid w:val="006734e2"/>
    <w:rPr>
      <w:rFonts w:ascii="Arial" w:hAnsi="Arial" w:cs="Arial"/>
      <w:lang w:eastAsia="pt-BR"/>
    </w:rPr>
  </w:style>
  <w:style w:type="character" w:styleId="Cp0020corpodespachochar1" w:customStyle="1">
    <w:name w:val="cp_0020corpodespacho__char1"/>
    <w:qFormat/>
    <w:rsid w:val="00d30a43"/>
    <w:rPr>
      <w:rFonts w:ascii="Times New Roman" w:hAnsi="Times New Roman" w:cs="Times New Roman"/>
      <w:strike w:val="false"/>
      <w:dstrike w:val="false"/>
      <w:sz w:val="26"/>
      <w:szCs w:val="26"/>
      <w:u w:val="none"/>
      <w:effect w:val="none"/>
    </w:rPr>
  </w:style>
  <w:style w:type="character" w:styleId="Em0020ementachar1" w:customStyle="1">
    <w:name w:val="em_0020ementa__char1"/>
    <w:qFormat/>
    <w:rsid w:val="00d30a43"/>
    <w:rPr>
      <w:rFonts w:ascii="Times New Roman" w:hAnsi="Times New Roman" w:cs="Times New Roman"/>
      <w:strike w:val="false"/>
      <w:dstrike w:val="false"/>
      <w:sz w:val="28"/>
      <w:szCs w:val="28"/>
      <w:u w:val="none"/>
      <w:effect w:val="none"/>
    </w:rPr>
  </w:style>
  <w:style w:type="character" w:styleId="Strong">
    <w:name w:val="Strong"/>
    <w:basedOn w:val="DefaultParagraphFont"/>
    <w:uiPriority w:val="22"/>
    <w:qFormat/>
    <w:rsid w:val="00d30a43"/>
    <w:rPr>
      <w:b/>
      <w:bCs/>
    </w:rPr>
  </w:style>
  <w:style w:type="character" w:styleId="Nfase">
    <w:name w:val="Ênfase"/>
    <w:basedOn w:val="DefaultParagraphFont"/>
    <w:uiPriority w:val="20"/>
    <w:qFormat/>
    <w:rsid w:val="00d30a43"/>
    <w:rPr>
      <w:i/>
      <w:iCs/>
    </w:rPr>
  </w:style>
  <w:style w:type="character" w:styleId="Manoel" w:customStyle="1">
    <w:name w:val="Manoel"/>
    <w:qFormat/>
    <w:rsid w:val="00d30a43"/>
    <w:rPr>
      <w:rFonts w:ascii="Arial" w:hAnsi="Arial" w:cs="Arial"/>
      <w:color w:val="7030A0"/>
      <w:sz w:val="20"/>
    </w:rPr>
  </w:style>
  <w:style w:type="character" w:styleId="GradeColoridanfase1Char" w:customStyle="1">
    <w:name w:val="Grade Colorida - Ênfase 1 Char"/>
    <w:link w:val="GradeColoridanfase11"/>
    <w:uiPriority w:val="29"/>
    <w:qFormat/>
    <w:rsid w:val="00d30a43"/>
    <w:rPr>
      <w:rFonts w:ascii="Arial" w:hAnsi="Arial" w:eastAsia="Calibri"/>
      <w:i/>
      <w:iCs/>
      <w:color w:val="000000"/>
      <w:szCs w:val="24"/>
      <w:shd w:fill="FFFFCC" w:val="clear"/>
    </w:rPr>
  </w:style>
  <w:style w:type="character" w:styleId="Highlight" w:customStyle="1">
    <w:name w:val="highlight"/>
    <w:basedOn w:val="DefaultParagraphFont"/>
    <w:qFormat/>
    <w:rsid w:val="00d30a43"/>
    <w:rPr/>
  </w:style>
  <w:style w:type="character" w:styleId="Linkdainternetvisitado">
    <w:name w:val="Link da internet visitado"/>
    <w:basedOn w:val="DefaultParagraphFont"/>
    <w:uiPriority w:val="99"/>
    <w:semiHidden/>
    <w:unhideWhenUsed/>
    <w:rsid w:val="00d30a43"/>
    <w:rPr>
      <w:color w:val="800080" w:themeColor="followedHyperlink"/>
      <w:u w:val="single"/>
    </w:rPr>
  </w:style>
  <w:style w:type="character" w:styleId="MenoPendente1" w:customStyle="1">
    <w:name w:val="Menção Pendente1"/>
    <w:basedOn w:val="DefaultParagraphFont"/>
    <w:uiPriority w:val="99"/>
    <w:semiHidden/>
    <w:unhideWhenUsed/>
    <w:qFormat/>
    <w:rsid w:val="00d30a43"/>
    <w:rPr>
      <w:color w:val="605E5C"/>
      <w:shd w:fill="E1DFDD" w:val="clear"/>
    </w:rPr>
  </w:style>
  <w:style w:type="character" w:styleId="MenoPendente2" w:customStyle="1">
    <w:name w:val="Menção Pendente2"/>
    <w:basedOn w:val="DefaultParagraphFont"/>
    <w:uiPriority w:val="99"/>
    <w:semiHidden/>
    <w:unhideWhenUsed/>
    <w:qFormat/>
    <w:rsid w:val="0063029c"/>
    <w:rPr>
      <w:color w:val="605E5C"/>
      <w:shd w:fill="E1DFDD" w:val="clear"/>
    </w:rPr>
  </w:style>
  <w:style w:type="character" w:styleId="Nivel2Char" w:customStyle="1">
    <w:name w:val="Nivel 2 Char"/>
    <w:basedOn w:val="DefaultParagraphFont"/>
    <w:link w:val="Nivel2"/>
    <w:qFormat/>
    <w:locked/>
    <w:rsid w:val="009662d8"/>
    <w:rPr>
      <w:rFonts w:ascii="Arial" w:hAnsi="Arial" w:cs="Arial"/>
      <w:color w:val="000000"/>
      <w:lang w:eastAsia="pt-BR"/>
    </w:rPr>
  </w:style>
  <w:style w:type="character" w:styleId="Nvel2OpcionalChar" w:customStyle="1">
    <w:name w:val="Nível 2 Opcional Char"/>
    <w:basedOn w:val="DefaultParagraphFont"/>
    <w:link w:val="Nvel2Opcional"/>
    <w:qFormat/>
    <w:rsid w:val="00a831d9"/>
    <w:rPr>
      <w:rFonts w:ascii="Arial" w:hAnsi="Arial" w:eastAsia="Times New Roman" w:cs="Arial"/>
      <w:i/>
      <w:color w:val="FF0000"/>
      <w:lang w:eastAsia="pt-BR"/>
    </w:rPr>
  </w:style>
  <w:style w:type="character" w:styleId="Nvel3OpcionalChar" w:customStyle="1">
    <w:name w:val="Nível 3 Opcional Char"/>
    <w:basedOn w:val="DefaultParagraphFont"/>
    <w:link w:val="Nvel3Opcional"/>
    <w:qFormat/>
    <w:rsid w:val="00a831d9"/>
    <w:rPr>
      <w:rFonts w:ascii="Arial" w:hAnsi="Arial" w:eastAsia="Times New Roman" w:cs="Arial"/>
      <w:i/>
      <w:iCs/>
      <w:color w:val="FF0000"/>
      <w:lang w:eastAsia="pt-BR"/>
    </w:rPr>
  </w:style>
  <w:style w:type="character" w:styleId="PlaceholderText">
    <w:name w:val="Placeholder Text"/>
    <w:basedOn w:val="DefaultParagraphFont"/>
    <w:uiPriority w:val="67"/>
    <w:semiHidden/>
    <w:qFormat/>
    <w:rsid w:val="0029332d"/>
    <w:rPr>
      <w:color w:val="808080"/>
    </w:rPr>
  </w:style>
  <w:style w:type="character" w:styleId="PargrafodaListaChar" w:customStyle="1">
    <w:name w:val="Parágrafo da Lista Char"/>
    <w:basedOn w:val="DefaultParagraphFont"/>
    <w:link w:val="ListParagraph"/>
    <w:uiPriority w:val="34"/>
    <w:qFormat/>
    <w:rsid w:val="002430f2"/>
    <w:rPr>
      <w:rFonts w:ascii="Ecofont_Spranq_eco_Sans" w:hAnsi="Ecofont_Spranq_eco_Sans" w:cs="Tahoma"/>
      <w:sz w:val="24"/>
      <w:szCs w:val="24"/>
      <w:lang w:eastAsia="pt-BR"/>
    </w:rPr>
  </w:style>
  <w:style w:type="character" w:styleId="Ttulo3Char" w:customStyle="1">
    <w:name w:val="Título 3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4"/>
      <w:szCs w:val="24"/>
    </w:rPr>
  </w:style>
  <w:style w:type="character" w:styleId="Ttulo6Char" w:customStyle="1">
    <w:name w:val="Título 6 Char"/>
    <w:basedOn w:val="DefaultParagraphFont"/>
    <w:uiPriority w:val="9"/>
    <w:semiHidden/>
    <w:qFormat/>
    <w:rsid w:val="00cb3192"/>
    <w:rPr>
      <w:rFonts w:ascii="Calibri" w:hAnsi="Calibri" w:eastAsia="ＭＳ ゴシック" w:cs="Times New Roman" w:asciiTheme="majorHAnsi" w:cstheme="majorBidi" w:eastAsiaTheme="majorEastAsia" w:hAnsiTheme="majorHAnsi"/>
      <w:color w:val="243F60" w:themeColor="accent1" w:themeShade="7f"/>
      <w:sz w:val="22"/>
      <w:szCs w:val="22"/>
    </w:rPr>
  </w:style>
  <w:style w:type="character" w:styleId="Markedcontent" w:customStyle="1">
    <w:name w:val="markedcontent"/>
    <w:basedOn w:val="DefaultParagraphFont"/>
    <w:qFormat/>
    <w:rsid w:val="00cb3192"/>
    <w:rPr/>
  </w:style>
  <w:style w:type="character" w:styleId="MenoPendente3" w:customStyle="1">
    <w:name w:val="Menção Pendente3"/>
    <w:basedOn w:val="DefaultParagraphFont"/>
    <w:uiPriority w:val="99"/>
    <w:semiHidden/>
    <w:unhideWhenUsed/>
    <w:qFormat/>
    <w:rsid w:val="00cb3192"/>
    <w:rPr>
      <w:color w:val="605E5C"/>
      <w:shd w:fill="E1DFDD" w:val="clear"/>
    </w:rPr>
  </w:style>
  <w:style w:type="character" w:styleId="MenoPendente4" w:customStyle="1">
    <w:name w:val="Menção Pendente4"/>
    <w:basedOn w:val="DefaultParagraphFont"/>
    <w:uiPriority w:val="99"/>
    <w:semiHidden/>
    <w:unhideWhenUsed/>
    <w:qFormat/>
    <w:rsid w:val="00cb3192"/>
    <w:rPr>
      <w:color w:val="605E5C"/>
      <w:shd w:fill="E1DFDD" w:val="clear"/>
    </w:rPr>
  </w:style>
  <w:style w:type="character" w:styleId="OuChar" w:customStyle="1">
    <w:name w:val="ou Char"/>
    <w:basedOn w:val="PargrafodaListaChar"/>
    <w:link w:val="Ou"/>
    <w:qFormat/>
    <w:rsid w:val="00341265"/>
    <w:rPr>
      <w:rFonts w:ascii="Arial" w:hAnsi="Arial" w:eastAsia="Cambria" w:cs="Arial" w:eastAsiaTheme="minorHAnsi"/>
      <w:b/>
      <w:bCs/>
      <w:i/>
      <w:iCs/>
      <w:color w:val="FF0000"/>
      <w:sz w:val="24"/>
      <w:szCs w:val="24"/>
      <w:u w:val="single"/>
      <w:lang w:eastAsia="pt-BR"/>
    </w:rPr>
  </w:style>
  <w:style w:type="character" w:styleId="Nvel2RedChar" w:customStyle="1">
    <w:name w:val="Nível 2 -Red Char"/>
    <w:basedOn w:val="Nivel2Char"/>
    <w:link w:val="Nvel2Red"/>
    <w:qFormat/>
    <w:rsid w:val="00f83142"/>
    <w:rPr>
      <w:rFonts w:ascii="Arial" w:hAnsi="Arial" w:cs="Arial"/>
      <w:i/>
      <w:iCs/>
      <w:color w:val="FF0000"/>
      <w:lang w:eastAsia="pt-BR"/>
    </w:rPr>
  </w:style>
  <w:style w:type="character" w:styleId="Nivel3Char" w:customStyle="1">
    <w:name w:val="Nivel 3 Char"/>
    <w:basedOn w:val="DefaultParagraphFont"/>
    <w:link w:val="Nivel3"/>
    <w:qFormat/>
    <w:rsid w:val="009662d8"/>
    <w:rPr>
      <w:rFonts w:ascii="Arial" w:hAnsi="Arial" w:cs="Arial"/>
      <w:color w:val="000000"/>
      <w:lang w:eastAsia="pt-BR"/>
    </w:rPr>
  </w:style>
  <w:style w:type="character" w:styleId="Nvel3RChar" w:customStyle="1">
    <w:name w:val="Nível 3-R Char"/>
    <w:basedOn w:val="Nivel3Char"/>
    <w:link w:val="Nvel3R"/>
    <w:qFormat/>
    <w:rsid w:val="000a0d26"/>
    <w:rPr>
      <w:rFonts w:ascii="Arial" w:hAnsi="Arial" w:cs="Arial"/>
      <w:i/>
      <w:iCs/>
      <w:color w:val="FF0000"/>
      <w:lang w:eastAsia="pt-BR"/>
    </w:rPr>
  </w:style>
  <w:style w:type="character" w:styleId="Nvel4RChar" w:customStyle="1">
    <w:name w:val="Nível 4-R Char"/>
    <w:basedOn w:val="Nivel4Char"/>
    <w:link w:val="Nvel4R"/>
    <w:qFormat/>
    <w:rsid w:val="00031dbe"/>
    <w:rPr>
      <w:rFonts w:ascii="Arial" w:hAnsi="Arial" w:cs="Arial"/>
      <w:i/>
      <w:iCs/>
      <w:color w:val="FF0000"/>
      <w:lang w:eastAsia="pt-BR"/>
    </w:rPr>
  </w:style>
  <w:style w:type="character" w:styleId="Nvel1SemNumChar" w:customStyle="1">
    <w:name w:val="Nível 1-Sem Num Char"/>
    <w:basedOn w:val="Nivel01Char"/>
    <w:link w:val="Nvel1SemNum"/>
    <w:qFormat/>
    <w:rsid w:val="00e7273b"/>
    <w:rPr>
      <w:rFonts w:ascii="Arial" w:hAnsi="Arial" w:eastAsia="ＭＳ ゴシック" w:cs="Arial" w:eastAsiaTheme="majorEastAsia"/>
      <w:b/>
      <w:bCs/>
      <w:color w:val="FF0000"/>
      <w:spacing w:val="5"/>
      <w:kern w:val="2"/>
      <w:sz w:val="52"/>
      <w:szCs w:val="52"/>
      <w:lang w:eastAsia="pt-BR"/>
    </w:rPr>
  </w:style>
  <w:style w:type="character" w:styleId="PrembuloChar" w:customStyle="1">
    <w:name w:val="Preâmbulo Char"/>
    <w:basedOn w:val="DefaultParagraphFont"/>
    <w:link w:val="Prembulo"/>
    <w:qFormat/>
    <w:rsid w:val="00bb19e4"/>
    <w:rPr>
      <w:rFonts w:ascii="Arial" w:hAnsi="Arial" w:eastAsia="Arial" w:cs="Arial"/>
      <w:bCs/>
      <w:lang w:eastAsia="pt-BR"/>
    </w:rPr>
  </w:style>
  <w:style w:type="character" w:styleId="MenoPendente5" w:customStyle="1">
    <w:name w:val="Menção Pendente5"/>
    <w:basedOn w:val="DefaultParagraphFont"/>
    <w:uiPriority w:val="99"/>
    <w:semiHidden/>
    <w:unhideWhenUsed/>
    <w:qFormat/>
    <w:rsid w:val="00e27aeb"/>
    <w:rPr>
      <w:color w:val="605E5C"/>
      <w:shd w:fill="E1DFDD" w:val="clear"/>
    </w:rPr>
  </w:style>
  <w:style w:type="character" w:styleId="UnresolvedMention1" w:customStyle="1">
    <w:name w:val="Unresolved Mention1"/>
    <w:basedOn w:val="DefaultParagraphFont"/>
    <w:uiPriority w:val="99"/>
    <w:semiHidden/>
    <w:unhideWhenUsed/>
    <w:qFormat/>
    <w:rsid w:val="00ff6d4b"/>
    <w:rPr>
      <w:color w:val="605E5C"/>
      <w:shd w:fill="E1DFDD" w:val="clear"/>
    </w:rPr>
  </w:style>
  <w:style w:type="character" w:styleId="MenoPendente6" w:customStyle="1">
    <w:name w:val="Menção Pendente6"/>
    <w:basedOn w:val="DefaultParagraphFont"/>
    <w:uiPriority w:val="99"/>
    <w:semiHidden/>
    <w:unhideWhenUsed/>
    <w:qFormat/>
    <w:rsid w:val="0067216e"/>
    <w:rPr>
      <w:color w:val="605E5C"/>
      <w:shd w:fill="E1DFDD" w:val="clear"/>
    </w:rPr>
  </w:style>
  <w:style w:type="character" w:styleId="MenoPendente7" w:customStyle="1">
    <w:name w:val="Menção Pendente7"/>
    <w:basedOn w:val="DefaultParagraphFont"/>
    <w:uiPriority w:val="99"/>
    <w:semiHidden/>
    <w:unhideWhenUsed/>
    <w:qFormat/>
    <w:rsid w:val="00e707b8"/>
    <w:rPr>
      <w:color w:val="605E5C"/>
      <w:shd w:fill="E1DFDD" w:val="clear"/>
    </w:rPr>
  </w:style>
  <w:style w:type="character" w:styleId="UnresolvedMention">
    <w:name w:val="Unresolved Mention"/>
    <w:basedOn w:val="DefaultParagraphFont"/>
    <w:uiPriority w:val="99"/>
    <w:semiHidden/>
    <w:unhideWhenUsed/>
    <w:qFormat/>
    <w:rsid w:val="00b9172e"/>
    <w:rPr>
      <w:color w:val="605E5C"/>
      <w:shd w:fill="E1DFDD" w:val="clea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uiPriority w:val="99"/>
    <w:unhideWhenUsed/>
    <w:rsid w:val="00d30a43"/>
    <w:pPr>
      <w:spacing w:beforeAutospacing="1" w:afterAutospacing="1"/>
    </w:pPr>
    <w:rPr>
      <w:rFonts w:ascii="Times New Roman" w:hAnsi="Times New Roman" w:eastAsia="Times New Roman" w:cs="Times New Roman"/>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ListParagraph">
    <w:name w:val="List Paragraph"/>
    <w:basedOn w:val="Normal"/>
    <w:link w:val="PargrafodaListaChar"/>
    <w:uiPriority w:val="34"/>
    <w:qFormat/>
    <w:rsid w:val="004773fc"/>
    <w:pPr>
      <w:spacing w:before="0" w:after="0"/>
      <w:ind w:left="720" w:hanging="0"/>
      <w:contextualSpacing/>
    </w:pPr>
    <w:rPr/>
  </w:style>
  <w:style w:type="paragraph" w:styleId="NormalWeb">
    <w:name w:val="Normal (Web)"/>
    <w:basedOn w:val="Normal"/>
    <w:uiPriority w:val="99"/>
    <w:qFormat/>
    <w:rsid w:val="006b156a"/>
    <w:pPr>
      <w:spacing w:beforeAutospacing="1" w:afterAutospacing="1"/>
    </w:pPr>
    <w:rPr>
      <w:rFonts w:ascii="Times New Roman" w:hAnsi="Times New Roman" w:cs="Times New Roman"/>
    </w:rPr>
  </w:style>
  <w:style w:type="paragraph" w:styleId="BalloonText">
    <w:name w:val="Balloon Text"/>
    <w:basedOn w:val="Normal"/>
    <w:link w:val="TextodebaloChar"/>
    <w:uiPriority w:val="99"/>
    <w:qFormat/>
    <w:rsid w:val="003a73c1"/>
    <w:pPr/>
    <w:rPr>
      <w:rFonts w:ascii="Tahoma" w:hAnsi="Tahoma"/>
      <w:sz w:val="16"/>
      <w:szCs w:val="16"/>
    </w:rPr>
  </w:style>
  <w:style w:type="paragraph" w:styleId="Nvel2" w:customStyle="1">
    <w:name w:val="Nível 2"/>
    <w:basedOn w:val="Normal"/>
    <w:next w:val="Normal"/>
    <w:qFormat/>
    <w:rsid w:val="00d30a43"/>
    <w:pPr>
      <w:spacing w:before="0" w:after="120"/>
      <w:jc w:val="both"/>
    </w:pPr>
    <w:rPr>
      <w:rFonts w:ascii="Arial" w:hAnsi="Arial" w:cs="Times New Roman"/>
      <w:b/>
      <w:szCs w:val="20"/>
    </w:rPr>
  </w:style>
  <w:style w:type="paragraph" w:styleId="Quote">
    <w:name w:val="Quote"/>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i/>
      <w:iCs/>
      <w:color w:val="000000"/>
      <w:sz w:val="20"/>
      <w:lang w:eastAsia="en-US"/>
    </w:rPr>
  </w:style>
  <w:style w:type="paragraph" w:styleId="ListBullet5">
    <w:name w:val="List Bullet 5"/>
    <w:basedOn w:val="Normal"/>
    <w:qFormat/>
    <w:rsid w:val="001a3a05"/>
    <w:pPr>
      <w:numPr>
        <w:ilvl w:val="0"/>
        <w:numId w:val="2"/>
      </w:numPr>
      <w:spacing w:before="0" w:after="0"/>
      <w:contextualSpacing/>
    </w:pPr>
    <w:rPr/>
  </w:style>
  <w:style w:type="paragraph" w:styleId="Notaexplicativa" w:customStyle="1">
    <w:name w:val="Nota explicativa"/>
    <w:basedOn w:val="Quote"/>
    <w:link w:val="NotaexplicativaChar"/>
    <w:qFormat/>
    <w:rsid w:val="00265fb6"/>
    <w:pPr/>
    <w:rPr>
      <w:szCs w:val="20"/>
    </w:rPr>
  </w:style>
  <w:style w:type="paragraph" w:styleId="CabealhoeRodap">
    <w:name w:val="Cabeçalho e Rodapé"/>
    <w:basedOn w:val="Normal"/>
    <w:qFormat/>
    <w:pPr/>
    <w:rPr/>
  </w:style>
  <w:style w:type="paragraph" w:styleId="Cabealho">
    <w:name w:val="Header"/>
    <w:basedOn w:val="Normal"/>
    <w:link w:val="CabealhoChar"/>
    <w:uiPriority w:val="99"/>
    <w:rsid w:val="00ca24fb"/>
    <w:pPr>
      <w:tabs>
        <w:tab w:val="clear" w:pos="708"/>
        <w:tab w:val="center" w:pos="4252" w:leader="none"/>
        <w:tab w:val="right" w:pos="8504" w:leader="none"/>
      </w:tabs>
    </w:pPr>
    <w:rPr/>
  </w:style>
  <w:style w:type="paragraph" w:styleId="Rodap">
    <w:name w:val="Footer"/>
    <w:basedOn w:val="Normal"/>
    <w:link w:val="RodapChar"/>
    <w:uiPriority w:val="99"/>
    <w:rsid w:val="00ca24fb"/>
    <w:pPr>
      <w:tabs>
        <w:tab w:val="clear" w:pos="708"/>
        <w:tab w:val="center" w:pos="4252" w:leader="none"/>
        <w:tab w:val="right" w:pos="8504" w:leader="none"/>
      </w:tabs>
    </w:pPr>
    <w:rPr/>
  </w:style>
  <w:style w:type="paragraph" w:styleId="Annotationtext">
    <w:name w:val="annotation text"/>
    <w:basedOn w:val="Normal"/>
    <w:link w:val="TextodecomentrioChar"/>
    <w:uiPriority w:val="99"/>
    <w:unhideWhenUsed/>
    <w:qFormat/>
    <w:rsid w:val="00d30a43"/>
    <w:pPr/>
    <w:rPr>
      <w:sz w:val="20"/>
      <w:szCs w:val="20"/>
    </w:rPr>
  </w:style>
  <w:style w:type="paragraph" w:styleId="Annotationsubject">
    <w:name w:val="annotation subject"/>
    <w:basedOn w:val="Annotationtext"/>
    <w:next w:val="Annotationtext"/>
    <w:link w:val="AssuntodocomentrioChar"/>
    <w:uiPriority w:val="99"/>
    <w:semiHidden/>
    <w:unhideWhenUsed/>
    <w:qFormat/>
    <w:rsid w:val="00430fdb"/>
    <w:pPr/>
    <w:rPr>
      <w:b/>
      <w:bCs/>
    </w:rPr>
  </w:style>
  <w:style w:type="paragraph" w:styleId="Nivel01" w:customStyle="1">
    <w:name w:val="Nivel 01"/>
    <w:basedOn w:val="Ttulo1"/>
    <w:next w:val="Normal"/>
    <w:link w:val="Nivel01Char"/>
    <w:autoRedefine/>
    <w:qFormat/>
    <w:rsid w:val="00fa318d"/>
    <w:pPr>
      <w:numPr>
        <w:ilvl w:val="0"/>
        <w:numId w:val="1"/>
      </w:numPr>
      <w:tabs>
        <w:tab w:val="clear" w:pos="708"/>
        <w:tab w:val="left" w:pos="0" w:leader="none"/>
      </w:tabs>
      <w:spacing w:before="240" w:after="0"/>
      <w:jc w:val="both"/>
    </w:pPr>
    <w:rPr>
      <w:rFonts w:ascii="Arial" w:hAnsi="Arial" w:cs="Arial"/>
      <w:color w:val="auto"/>
      <w:sz w:val="20"/>
      <w:szCs w:val="20"/>
    </w:rPr>
  </w:style>
  <w:style w:type="paragraph" w:styleId="Nivel01Titulo" w:customStyle="1">
    <w:name w:val="Nivel_01_Titulo"/>
    <w:basedOn w:val="Nivel01"/>
    <w:link w:val="Nivel01TituloChar"/>
    <w:qFormat/>
    <w:rsid w:val="00e967ea"/>
    <w:pPr>
      <w:jc w:val="left"/>
    </w:pPr>
    <w:rPr>
      <w:rFonts w:cs="Times New Roman" w:cstheme="majorBidi"/>
      <w:color w:val="000000" w:themeColor="text1"/>
      <w:spacing w:val="5"/>
      <w:kern w:val="2"/>
      <w:sz w:val="52"/>
      <w:szCs w:val="52"/>
    </w:rPr>
  </w:style>
  <w:style w:type="paragraph" w:styleId="Ttulododocumento">
    <w:name w:val="Title"/>
    <w:basedOn w:val="Normal"/>
    <w:next w:val="Normal"/>
    <w:link w:val="TtuloChar"/>
    <w:qFormat/>
    <w:rsid w:val="007f77ad"/>
    <w:pPr>
      <w:pBdr>
        <w:bottom w:val="single" w:sz="8" w:space="4" w:color="4F81BD"/>
      </w:pBdr>
      <w:spacing w:before="0" w:after="300"/>
      <w:contextualSpacing/>
    </w:pPr>
    <w:rPr>
      <w:rFonts w:ascii="Calibri" w:hAnsi="Calibri" w:eastAsia="ＭＳ ゴシック" w:cs="Times New Roman" w:asciiTheme="majorHAnsi" w:cstheme="majorBidi" w:eastAsiaTheme="majorEastAsia" w:hAnsiTheme="majorHAnsi"/>
      <w:color w:val="17365D" w:themeColor="text2" w:themeShade="bf"/>
      <w:spacing w:val="5"/>
      <w:kern w:val="2"/>
      <w:sz w:val="52"/>
      <w:szCs w:val="52"/>
    </w:rPr>
  </w:style>
  <w:style w:type="paragraph" w:styleId="PADRO" w:customStyle="1">
    <w:name w:val="PADRÃO"/>
    <w:qFormat/>
    <w:rsid w:val="001e2495"/>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Citao1" w:customStyle="1">
    <w:name w:val="Citação1"/>
    <w:basedOn w:val="Normal"/>
    <w:next w:val="Normal"/>
    <w:link w:val="Quote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sz w:val="20"/>
      <w:szCs w:val="20"/>
      <w:lang w:eastAsia="en-US"/>
    </w:rPr>
  </w:style>
  <w:style w:type="paragraph" w:styleId="Paragraph" w:customStyle="1">
    <w:name w:val="paragraph"/>
    <w:basedOn w:val="Normal"/>
    <w:qFormat/>
    <w:rsid w:val="00d30a43"/>
    <w:pPr>
      <w:spacing w:beforeAutospacing="1" w:afterAutospacing="1"/>
    </w:pPr>
    <w:rPr>
      <w:rFonts w:ascii="Times New Roman" w:hAnsi="Times New Roman" w:eastAsia="Times New Roman" w:cs="Times New Roman"/>
    </w:rPr>
  </w:style>
  <w:style w:type="paragraph" w:styleId="Nivel1" w:customStyle="1">
    <w:name w:val="Nivel1"/>
    <w:basedOn w:val="Ttulo1"/>
    <w:link w:val="Nivel1Char"/>
    <w:qFormat/>
    <w:rsid w:val="00d30a43"/>
    <w:pPr>
      <w:spacing w:lineRule="auto" w:line="276"/>
      <w:ind w:left="357" w:hanging="357"/>
      <w:jc w:val="both"/>
    </w:pPr>
    <w:rPr>
      <w:rFonts w:ascii="Arial" w:hAnsi="Arial" w:cs="Arial"/>
      <w:bCs w:val="false"/>
      <w:color w:val="000000"/>
    </w:rPr>
  </w:style>
  <w:style w:type="paragraph" w:styleId="PargrafodaLista1" w:customStyle="1">
    <w:name w:val="Parágrafo da Lista1"/>
    <w:basedOn w:val="Normal"/>
    <w:qFormat/>
    <w:rsid w:val="00d30a43"/>
    <w:pPr>
      <w:ind w:left="720" w:hanging="0"/>
    </w:pPr>
    <w:rPr>
      <w:rFonts w:eastAsia="Times New Roman" w:cs="Ecofont_Spranq_eco_Sans"/>
    </w:rPr>
  </w:style>
  <w:style w:type="paragraph" w:styleId="Nivel2" w:customStyle="1">
    <w:name w:val="Nivel 2"/>
    <w:basedOn w:val="Normal"/>
    <w:link w:val="Nivel2Char"/>
    <w:qFormat/>
    <w:rsid w:val="009662d8"/>
    <w:pPr>
      <w:numPr>
        <w:ilvl w:val="1"/>
        <w:numId w:val="1"/>
      </w:numPr>
      <w:spacing w:lineRule="auto" w:line="276" w:before="120" w:after="120"/>
      <w:ind w:left="0" w:hanging="0"/>
      <w:jc w:val="both"/>
    </w:pPr>
    <w:rPr>
      <w:rFonts w:ascii="Arial" w:hAnsi="Arial" w:cs="Arial"/>
      <w:color w:val="000000"/>
      <w:sz w:val="20"/>
      <w:szCs w:val="20"/>
    </w:rPr>
  </w:style>
  <w:style w:type="paragraph" w:styleId="Nivel11" w:customStyle="1">
    <w:name w:val="Nivel 1"/>
    <w:basedOn w:val="Nivel2"/>
    <w:next w:val="Nivel2"/>
    <w:qFormat/>
    <w:rsid w:val="003629e4"/>
    <w:pPr>
      <w:numPr>
        <w:ilvl w:val="0"/>
        <w:numId w:val="0"/>
      </w:numPr>
      <w:ind w:left="360" w:hanging="360"/>
    </w:pPr>
    <w:rPr>
      <w:b/>
    </w:rPr>
  </w:style>
  <w:style w:type="paragraph" w:styleId="Nivel3" w:customStyle="1">
    <w:name w:val="Nivel 3"/>
    <w:basedOn w:val="Normal"/>
    <w:link w:val="Nivel3Char"/>
    <w:qFormat/>
    <w:rsid w:val="009662d8"/>
    <w:pPr>
      <w:numPr>
        <w:ilvl w:val="2"/>
        <w:numId w:val="1"/>
      </w:numPr>
      <w:spacing w:lineRule="auto" w:line="276" w:before="120" w:after="120"/>
      <w:ind w:left="284" w:hanging="0"/>
      <w:jc w:val="both"/>
    </w:pPr>
    <w:rPr>
      <w:rFonts w:ascii="Arial" w:hAnsi="Arial" w:cs="Arial"/>
      <w:color w:val="000000"/>
      <w:sz w:val="20"/>
      <w:szCs w:val="20"/>
    </w:rPr>
  </w:style>
  <w:style w:type="paragraph" w:styleId="Nivel4" w:customStyle="1">
    <w:name w:val="Nivel 4"/>
    <w:basedOn w:val="Nivel3"/>
    <w:link w:val="Nivel4Char"/>
    <w:qFormat/>
    <w:rsid w:val="006734e2"/>
    <w:pPr>
      <w:ind w:left="851" w:hanging="0"/>
    </w:pPr>
    <w:rPr>
      <w:color w:val="auto"/>
    </w:rPr>
  </w:style>
  <w:style w:type="paragraph" w:styleId="Nivel5" w:customStyle="1">
    <w:name w:val="Nivel 5"/>
    <w:basedOn w:val="Nivel4"/>
    <w:qFormat/>
    <w:rsid w:val="007b1e53"/>
    <w:pPr>
      <w:ind w:left="1276" w:hanging="0"/>
    </w:pPr>
    <w:rPr/>
  </w:style>
  <w:style w:type="paragraph" w:styleId="Textbody" w:customStyle="1">
    <w:name w:val="textbody"/>
    <w:basedOn w:val="Normal"/>
    <w:qFormat/>
    <w:rsid w:val="00d30a43"/>
    <w:pPr>
      <w:spacing w:beforeAutospacing="1" w:afterAutospacing="1"/>
    </w:pPr>
    <w:rPr>
      <w:rFonts w:ascii="Times New Roman" w:hAnsi="Times New Roman" w:eastAsia="Times New Roman" w:cs="Times New Roman"/>
    </w:rPr>
  </w:style>
  <w:style w:type="paragraph" w:styleId="Em0020ementa" w:customStyle="1">
    <w:name w:val="em_0020ementa"/>
    <w:basedOn w:val="Normal"/>
    <w:qFormat/>
    <w:rsid w:val="00d30a43"/>
    <w:pPr>
      <w:ind w:left="4160" w:hanging="0"/>
      <w:jc w:val="both"/>
    </w:pPr>
    <w:rPr>
      <w:rFonts w:ascii="Times New Roman" w:hAnsi="Times New Roman" w:eastAsia="Times New Roman" w:cs="Times New Roman"/>
      <w:sz w:val="28"/>
      <w:szCs w:val="28"/>
    </w:rPr>
  </w:style>
  <w:style w:type="paragraph" w:styleId="Revision">
    <w:name w:val="Revision"/>
    <w:uiPriority w:val="99"/>
    <w:semiHidden/>
    <w:qFormat/>
    <w:rsid w:val="00d30a43"/>
    <w:pPr>
      <w:widowControl/>
      <w:suppressAutoHyphens w:val="true"/>
      <w:bidi w:val="0"/>
      <w:spacing w:before="0" w:after="0"/>
      <w:jc w:val="left"/>
    </w:pPr>
    <w:rPr>
      <w:rFonts w:ascii="Ecofont_Spranq_eco_Sans" w:hAnsi="Ecofont_Spranq_eco_Sans" w:eastAsia="Times New Roman" w:cs="Tahoma"/>
      <w:color w:val="auto"/>
      <w:kern w:val="0"/>
      <w:sz w:val="24"/>
      <w:szCs w:val="24"/>
      <w:lang w:val="pt-BR" w:eastAsia="pt-BR" w:bidi="ar-SA"/>
    </w:rPr>
  </w:style>
  <w:style w:type="paragraph" w:styleId="Texto1" w:customStyle="1">
    <w:name w:val="texto1"/>
    <w:basedOn w:val="Normal"/>
    <w:qFormat/>
    <w:rsid w:val="00d30a43"/>
    <w:pPr>
      <w:spacing w:beforeAutospacing="1" w:afterAutospacing="1"/>
    </w:pPr>
    <w:rPr>
      <w:rFonts w:ascii="Times New Roman" w:hAnsi="Times New Roman" w:eastAsia="Times New Roman" w:cs="Times New Roman"/>
    </w:rPr>
  </w:style>
  <w:style w:type="paragraph" w:styleId="GradeColoridanfase11" w:customStyle="1">
    <w:name w:val="Grade Colorida - Ênfase 11"/>
    <w:basedOn w:val="Normal"/>
    <w:next w:val="Normal"/>
    <w:link w:val="GradeColoridanfase1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Arial" w:hAnsi="Arial" w:eastAsia="Calibri" w:cs="Times New Roman"/>
      <w:i/>
      <w:iCs/>
      <w:color w:val="000000"/>
      <w:sz w:val="20"/>
      <w:lang w:eastAsia="en-US"/>
    </w:rPr>
  </w:style>
  <w:style w:type="paragraph" w:styleId="Xwestern" w:customStyle="1">
    <w:name w:val="x_western"/>
    <w:basedOn w:val="Normal"/>
    <w:qFormat/>
    <w:rsid w:val="00d30a43"/>
    <w:pPr>
      <w:spacing w:beforeAutospacing="1" w:afterAutospacing="1"/>
    </w:pPr>
    <w:rPr>
      <w:rFonts w:ascii="Times New Roman" w:hAnsi="Times New Roman" w:eastAsia="Times New Roman" w:cs="Times New Roman"/>
    </w:rPr>
  </w:style>
  <w:style w:type="paragraph" w:styleId="TCUAcitem90" w:customStyle="1">
    <w:name w:val="TCU - Ac - item 9 - §§_0"/>
    <w:basedOn w:val="Normal"/>
    <w:qFormat/>
    <w:rsid w:val="00d30a43"/>
    <w:pPr>
      <w:ind w:firstLine="1134"/>
      <w:jc w:val="both"/>
    </w:pPr>
    <w:rPr>
      <w:rFonts w:ascii="Times New Roman" w:hAnsi="Times New Roman" w:eastAsia="Times New Roman" w:cs="Times New Roman"/>
      <w:szCs w:val="22"/>
      <w:lang w:eastAsia="en-US"/>
    </w:rPr>
  </w:style>
  <w:style w:type="paragraph" w:styleId="Normal1" w:customStyle="1">
    <w:name w:val="Normal_1"/>
    <w:qFormat/>
    <w:rsid w:val="00d30a43"/>
    <w:pPr>
      <w:widowControl/>
      <w:suppressAutoHyphens w:val="true"/>
      <w:bidi w:val="0"/>
      <w:spacing w:before="0" w:after="0"/>
      <w:jc w:val="left"/>
    </w:pPr>
    <w:rPr>
      <w:rFonts w:ascii="Times New Roman" w:hAnsi="Times New Roman" w:eastAsia="Times New Roman" w:cs="Times New Roman"/>
      <w:color w:val="auto"/>
      <w:kern w:val="0"/>
      <w:sz w:val="24"/>
      <w:szCs w:val="22"/>
      <w:lang w:val="pt-BR" w:eastAsia="en-US" w:bidi="ar-SA"/>
    </w:rPr>
  </w:style>
  <w:style w:type="paragraph" w:styleId="Tcuacitem91linha" w:customStyle="1">
    <w:name w:val="tcu_-__ac_-_item_9_-_1ª_linha"/>
    <w:basedOn w:val="Normal"/>
    <w:qFormat/>
    <w:rsid w:val="00d30a43"/>
    <w:pPr>
      <w:spacing w:beforeAutospacing="1" w:afterAutospacing="1"/>
    </w:pPr>
    <w:rPr>
      <w:rFonts w:ascii="Times New Roman" w:hAnsi="Times New Roman" w:eastAsia="Times New Roman" w:cs="Times New Roman"/>
    </w:rPr>
  </w:style>
  <w:style w:type="paragraph" w:styleId="Textojustificadorecuoprimeiralinha" w:customStyle="1">
    <w:name w:val="texto_justificado_recuo_primeira_linha"/>
    <w:basedOn w:val="Normal"/>
    <w:qFormat/>
    <w:rsid w:val="00d30a43"/>
    <w:pPr>
      <w:spacing w:beforeAutospacing="1" w:afterAutospacing="1"/>
    </w:pPr>
    <w:rPr>
      <w:rFonts w:ascii="Times New Roman" w:hAnsi="Times New Roman" w:eastAsia="Times New Roman" w:cs="Times New Roman"/>
    </w:rPr>
  </w:style>
  <w:style w:type="paragraph" w:styleId="Textojustificado" w:customStyle="1">
    <w:name w:val="texto_justificado"/>
    <w:basedOn w:val="Normal"/>
    <w:qFormat/>
    <w:rsid w:val="00d30a43"/>
    <w:pPr>
      <w:spacing w:beforeAutospacing="1" w:afterAutospacing="1"/>
    </w:pPr>
    <w:rPr>
      <w:rFonts w:ascii="Times New Roman" w:hAnsi="Times New Roman" w:eastAsia="Times New Roman" w:cs="Times New Roman"/>
    </w:rPr>
  </w:style>
  <w:style w:type="paragraph" w:styleId="Nvel2Opcional" w:customStyle="1">
    <w:name w:val="Nível 2 Opcional"/>
    <w:basedOn w:val="Nivel2"/>
    <w:link w:val="Nvel2OpcionalChar"/>
    <w:qFormat/>
    <w:rsid w:val="00a831d9"/>
    <w:pPr>
      <w:numPr>
        <w:ilvl w:val="0"/>
        <w:numId w:val="0"/>
      </w:numPr>
      <w:ind w:left="432" w:hanging="432"/>
    </w:pPr>
    <w:rPr>
      <w:rFonts w:eastAsia="Times New Roman"/>
      <w:i/>
      <w:color w:val="FF0000"/>
    </w:rPr>
  </w:style>
  <w:style w:type="paragraph" w:styleId="Nvel3Opcional" w:customStyle="1">
    <w:name w:val="Nível 3 Opcional"/>
    <w:basedOn w:val="Nivel3"/>
    <w:link w:val="Nvel3OpcionalChar"/>
    <w:qFormat/>
    <w:rsid w:val="00a831d9"/>
    <w:pPr>
      <w:numPr>
        <w:ilvl w:val="0"/>
        <w:numId w:val="0"/>
      </w:numPr>
      <w:ind w:left="1072" w:hanging="504"/>
    </w:pPr>
    <w:rPr>
      <w:rFonts w:eastAsia="Times New Roman"/>
      <w:i/>
      <w:iCs/>
      <w:color w:val="FF0000"/>
    </w:rPr>
  </w:style>
  <w:style w:type="paragraph" w:styleId="SombreamentoMdio1nfase31" w:customStyle="1">
    <w:name w:val="Sombreamento Médio 1 - Ênfase 31"/>
    <w:basedOn w:val="Normal"/>
    <w:next w:val="Normal"/>
    <w:qFormat/>
    <w:rsid w:val="00cb3192"/>
    <w:pPr>
      <w:pBdr>
        <w:top w:val="single" w:sz="4" w:space="1" w:color="000080"/>
        <w:left w:val="single" w:sz="4" w:space="4" w:color="000080"/>
        <w:bottom w:val="single" w:sz="4" w:space="1" w:color="000080"/>
        <w:right w:val="single" w:sz="4" w:space="4" w:color="000080"/>
      </w:pBdr>
      <w:shd w:val="clear" w:color="auto" w:fill="FFFFCC"/>
      <w:suppressAutoHyphens w:val="true"/>
      <w:spacing w:before="120" w:after="0"/>
      <w:jc w:val="both"/>
    </w:pPr>
    <w:rPr>
      <w:rFonts w:eastAsia="Calibri"/>
      <w:i/>
      <w:iCs/>
      <w:color w:val="000000"/>
      <w:sz w:val="20"/>
      <w:lang w:eastAsia="zh-CN"/>
    </w:rPr>
  </w:style>
  <w:style w:type="paragraph" w:styleId="Corpo" w:customStyle="1">
    <w:name w:val="corpo"/>
    <w:basedOn w:val="Normal"/>
    <w:qFormat/>
    <w:rsid w:val="00cb3192"/>
    <w:pPr>
      <w:spacing w:beforeAutospacing="1" w:afterAutospacing="1"/>
    </w:pPr>
    <w:rPr>
      <w:rFonts w:ascii="Times New Roman" w:hAnsi="Times New Roman" w:eastAsia="Times New Roman" w:cs="Times New Roman"/>
    </w:rPr>
  </w:style>
  <w:style w:type="paragraph" w:styleId="Itemnivel2" w:customStyle="1">
    <w:name w:val="item_nivel2"/>
    <w:basedOn w:val="Normal"/>
    <w:qFormat/>
    <w:rsid w:val="00cb3192"/>
    <w:pPr>
      <w:spacing w:beforeAutospacing="1" w:afterAutospacing="1"/>
    </w:pPr>
    <w:rPr>
      <w:rFonts w:ascii="Times New Roman" w:hAnsi="Times New Roman" w:eastAsia="Times New Roman" w:cs="Times New Roman"/>
    </w:rPr>
  </w:style>
  <w:style w:type="paragraph" w:styleId="Itemnivel1" w:customStyle="1">
    <w:name w:val="item_nivel1"/>
    <w:basedOn w:val="Normal"/>
    <w:qFormat/>
    <w:rsid w:val="00cb3192"/>
    <w:pPr>
      <w:spacing w:beforeAutospacing="1" w:afterAutospacing="1"/>
    </w:pPr>
    <w:rPr>
      <w:rFonts w:ascii="Times New Roman" w:hAnsi="Times New Roman" w:eastAsia="Times New Roman" w:cs="Times New Roman"/>
    </w:rPr>
  </w:style>
  <w:style w:type="paragraph" w:styleId="Itemalinealetra" w:customStyle="1">
    <w:name w:val="item_alinea_letra"/>
    <w:basedOn w:val="Normal"/>
    <w:qFormat/>
    <w:rsid w:val="00cb3192"/>
    <w:pPr>
      <w:spacing w:beforeAutospacing="1" w:afterAutospacing="1"/>
    </w:pPr>
    <w:rPr>
      <w:rFonts w:ascii="Times New Roman" w:hAnsi="Times New Roman" w:eastAsia="Times New Roman" w:cs="Times New Roman"/>
    </w:rPr>
  </w:style>
  <w:style w:type="paragraph" w:styleId="Standard" w:customStyle="1">
    <w:name w:val="Standard"/>
    <w:qFormat/>
    <w:rsid w:val="00cb3192"/>
    <w:pPr>
      <w:widowControl/>
      <w:suppressAutoHyphens w:val="true"/>
      <w:bidi w:val="0"/>
      <w:spacing w:before="0" w:after="0"/>
      <w:jc w:val="left"/>
    </w:pPr>
    <w:rPr>
      <w:rFonts w:ascii="Liberation Serif" w:hAnsi="Liberation Serif" w:eastAsia="NSimSun" w:cs="Lucida Sans"/>
      <w:color w:val="auto"/>
      <w:kern w:val="2"/>
      <w:sz w:val="24"/>
      <w:szCs w:val="24"/>
      <w:lang w:val="pt-BR" w:eastAsia="zh-CN" w:bidi="hi-IN"/>
    </w:rPr>
  </w:style>
  <w:style w:type="paragraph" w:styleId="Textbody1" w:customStyle="1">
    <w:name w:val="Text body"/>
    <w:basedOn w:val="Standard"/>
    <w:qFormat/>
    <w:rsid w:val="00cb3192"/>
    <w:pPr>
      <w:spacing w:lineRule="auto" w:line="276" w:before="0" w:after="140"/>
    </w:pPr>
    <w:rPr/>
  </w:style>
  <w:style w:type="paragraph" w:styleId="Ou" w:customStyle="1">
    <w:name w:val="ou"/>
    <w:basedOn w:val="ListParagraph"/>
    <w:link w:val="OuChar"/>
    <w:qFormat/>
    <w:rsid w:val="00341265"/>
    <w:pPr>
      <w:spacing w:lineRule="auto" w:line="259" w:before="60" w:after="60"/>
      <w:ind w:left="0" w:hanging="0"/>
      <w:contextualSpacing w:val="false"/>
      <w:jc w:val="center"/>
    </w:pPr>
    <w:rPr>
      <w:rFonts w:ascii="Arial" w:hAnsi="Arial" w:eastAsia="Cambria" w:cs="Arial" w:eastAsiaTheme="minorHAnsi"/>
      <w:b/>
      <w:bCs/>
      <w:i/>
      <w:iCs/>
      <w:color w:val="FF0000"/>
      <w:sz w:val="20"/>
      <w:u w:val="single"/>
    </w:rPr>
  </w:style>
  <w:style w:type="paragraph" w:styleId="Douparagraph" w:customStyle="1">
    <w:name w:val="dou-paragraph"/>
    <w:basedOn w:val="Normal"/>
    <w:qFormat/>
    <w:rsid w:val="00cb3192"/>
    <w:pPr>
      <w:spacing w:beforeAutospacing="1" w:afterAutospacing="1"/>
    </w:pPr>
    <w:rPr>
      <w:rFonts w:ascii="Times New Roman" w:hAnsi="Times New Roman" w:eastAsia="Times New Roman" w:cs="Times New Roman"/>
    </w:rPr>
  </w:style>
  <w:style w:type="paragraph" w:styleId="Nvel2Red" w:customStyle="1">
    <w:name w:val="Nível 2 -Red"/>
    <w:basedOn w:val="Nivel2"/>
    <w:link w:val="Nvel2RedChar"/>
    <w:qFormat/>
    <w:rsid w:val="00f83142"/>
    <w:pPr/>
    <w:rPr>
      <w:i/>
      <w:iCs/>
      <w:color w:val="FF0000"/>
    </w:rPr>
  </w:style>
  <w:style w:type="paragraph" w:styleId="Nvel3R" w:customStyle="1">
    <w:name w:val="Nível 3-R"/>
    <w:basedOn w:val="Nivel3"/>
    <w:link w:val="Nvel3RChar"/>
    <w:qFormat/>
    <w:rsid w:val="000a0d26"/>
    <w:pPr/>
    <w:rPr>
      <w:i/>
      <w:iCs/>
      <w:color w:val="FF0000"/>
    </w:rPr>
  </w:style>
  <w:style w:type="paragraph" w:styleId="Nvel4R" w:customStyle="1">
    <w:name w:val="Nível 4-R"/>
    <w:basedOn w:val="Nivel4"/>
    <w:link w:val="Nvel4RChar"/>
    <w:qFormat/>
    <w:rsid w:val="00031dbe"/>
    <w:pPr>
      <w:ind w:left="2491" w:hanging="648"/>
    </w:pPr>
    <w:rPr>
      <w:i/>
      <w:iCs/>
      <w:color w:val="FF0000"/>
    </w:rPr>
  </w:style>
  <w:style w:type="paragraph" w:styleId="Nvel1SemNum" w:customStyle="1">
    <w:name w:val="Nível 1-Sem Num"/>
    <w:basedOn w:val="Nivel01"/>
    <w:link w:val="Nvel1SemNumChar"/>
    <w:qFormat/>
    <w:rsid w:val="00e7273b"/>
    <w:pPr>
      <w:numPr>
        <w:ilvl w:val="0"/>
        <w:numId w:val="0"/>
      </w:numPr>
      <w:ind w:left="357" w:hanging="0"/>
      <w:outlineLvl w:val="1"/>
    </w:pPr>
    <w:rPr>
      <w:color w:val="FF0000"/>
    </w:rPr>
  </w:style>
  <w:style w:type="paragraph" w:styleId="Citao2" w:customStyle="1">
    <w:name w:val="citação 2"/>
    <w:basedOn w:val="Quote"/>
    <w:qFormat/>
    <w:rsid w:val="00dc41dd"/>
    <w:pPr>
      <w:overflowPunct w:val="false"/>
    </w:pPr>
    <w:rPr>
      <w:szCs w:val="20"/>
    </w:rPr>
  </w:style>
  <w:style w:type="paragraph" w:styleId="Prembulo" w:customStyle="1">
    <w:name w:val="Preâmbulo"/>
    <w:basedOn w:val="Normal"/>
    <w:link w:val="PrembuloChar"/>
    <w:qFormat/>
    <w:rsid w:val="00bb19e4"/>
    <w:pPr>
      <w:spacing w:lineRule="auto" w:line="360" w:before="480" w:after="120"/>
      <w:ind w:left="4253" w:right="-17" w:hanging="0"/>
      <w:jc w:val="both"/>
    </w:pPr>
    <w:rPr>
      <w:rFonts w:ascii="Arial" w:hAnsi="Arial" w:eastAsia="Arial" w:cs="Arial"/>
      <w:bCs/>
      <w:sz w:val="20"/>
      <w:szCs w:val="20"/>
    </w:rPr>
  </w:style>
  <w:style w:type="numbering" w:styleId="NoList" w:default="1">
    <w:name w:val="No List"/>
    <w:uiPriority w:val="99"/>
    <w:semiHidden/>
    <w:unhideWhenUsed/>
    <w:qFormat/>
  </w:style>
  <w:style w:type="numbering" w:styleId="Estilo1" w:customStyle="1">
    <w:name w:val="Estilo1"/>
    <w:uiPriority w:val="99"/>
    <w:qFormat/>
    <w:rsid w:val="008c6874"/>
  </w:style>
  <w:style w:type="numbering" w:styleId="Estilo2" w:customStyle="1">
    <w:name w:val="Estilo2"/>
    <w:uiPriority w:val="99"/>
    <w:qFormat/>
    <w:rsid w:val="00a72b79"/>
  </w:style>
  <w:style w:type="numbering" w:styleId="Estilo3" w:customStyle="1">
    <w:name w:val="Estilo3"/>
    <w:uiPriority w:val="99"/>
    <w:qFormat/>
    <w:rsid w:val="00a72b79"/>
  </w:style>
  <w:style w:type="numbering" w:styleId="Estilo4" w:customStyle="1">
    <w:name w:val="Estilo4"/>
    <w:uiPriority w:val="99"/>
    <w:qFormat/>
    <w:rsid w:val="0054016d"/>
  </w:style>
  <w:style w:type="numbering" w:styleId="Estilo5" w:customStyle="1">
    <w:name w:val="Estilo5"/>
    <w:uiPriority w:val="99"/>
    <w:qFormat/>
    <w:rsid w:val="0054016d"/>
  </w:style>
  <w:style w:type="numbering" w:styleId="Estilo6" w:customStyle="1">
    <w:name w:val="Estilo6"/>
    <w:uiPriority w:val="99"/>
    <w:qFormat/>
    <w:rsid w:val="0054016d"/>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db542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comments.xml.rels><?xml version="1.0" encoding="UTF-8"?>
<Relationships xmlns="http://schemas.openxmlformats.org/package/2006/relationships"><Relationship Id="rId1" Type="http://schemas.openxmlformats.org/officeDocument/2006/relationships/hyperlink" Target="mailto:cgu.modeloscontratacao@agu.gov.br" TargetMode="External"/><Relationship Id="rId2" Type="http://schemas.openxmlformats.org/officeDocument/2006/relationships/hyperlink" Target="https://www.planalto.gov.br/ccivil_03/_ato2004-2006/2004/lei/l10.973.htm" TargetMode="External"/><Relationship Id="rId3" Type="http://schemas.openxmlformats.org/officeDocument/2006/relationships/hyperlink" Target="https://www.planalto.gov.br/ccivil_03/_ato2015-2018/2018/lei/l13709.htm" TargetMode="External"/><Relationship Id="rId4" Type="http://schemas.openxmlformats.org/officeDocument/2006/relationships/hyperlink" Target="https://www.planalto.gov.br/ccivil_03/leis/l8078compilado.htm" TargetMode="External"/><Relationship Id="rId5" Type="http://schemas.openxmlformats.org/officeDocument/2006/relationships/hyperlink" Target="https://www.planalto.gov.br/ccivil_03/leis/l8078compilado.htm" TargetMode="External"/>
</Relationship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hyperlink" Target="https://www.planalto.gov.br/ccivil_03/_ato2015-2018/2018/lei/l13709.htm" TargetMode="External"/><Relationship Id="rId4" Type="http://schemas.openxmlformats.org/officeDocument/2006/relationships/hyperlink" Target="https://www.planalto.gov.br/ccivil_03/_ato2015-2018/2018/lei/l13709.htm" TargetMode="External"/><Relationship Id="rId5" Type="http://schemas.openxmlformats.org/officeDocument/2006/relationships/hyperlink" Target="http://www.planalto.gov.br/ccivil_03/_ato2019-2022/2021/lei/L14133.htm" TargetMode="External"/><Relationship Id="rId6" Type="http://schemas.openxmlformats.org/officeDocument/2006/relationships/hyperlink" Target="https://www.planalto.gov.br/ccivil_03/leis/l8078compilado.htm"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header" Target="header3.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comments" Target="comments.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91423-4C2D-4D7D-A457-68A99454D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Application>LibreOffice/7.3.7.2$Linux_X86_64 LibreOffice_project/30$Build-2</Application>
  <AppVersion>15.0000</AppVersion>
  <Pages>11</Pages>
  <Words>4477</Words>
  <Characters>25602</Characters>
  <CharactersWithSpaces>29739</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2025-08-13T18:02:00Z</dcterms:created>
  <dc:creator/>
  <dc:description/>
  <dc:language>pt-BR</dc:language>
  <cp:lastModifiedBy/>
  <dcterms:modified xsi:type="dcterms:W3CDTF">2026-06-16T16:52:22Z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