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wmf" ContentType="image/x-wmf"/>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0" w:after="170"/>
        <w:ind w:hanging="0" w:left="0"/>
        <w:rPr>
          <w:rFonts w:ascii="Times New Roman" w:hAnsi="Times New Roman" w:cs="Arial"/>
          <w:color w:val="5B5B5F"/>
          <w:sz w:val="24"/>
          <w:szCs w:val="24"/>
        </w:rPr>
      </w:pPr>
      <w:r>
        <w:rPr>
          <w:rFonts w:cs="Arial" w:ascii="Times New Roman" w:hAnsi="Times New Roman"/>
          <w:color w:val="5B5B5F"/>
          <w:sz w:val="24"/>
          <w:szCs w:val="24"/>
        </w:rPr>
      </w:r>
    </w:p>
    <w:p>
      <w:pPr>
        <w:pStyle w:val="Normal"/>
        <w:spacing w:lineRule="auto" w:line="276" w:before="0" w:after="170"/>
        <w:ind w:hanging="0" w:left="0"/>
        <w:rPr>
          <w:rFonts w:ascii="Times New Roman" w:hAnsi="Times New Roman" w:cs="Arial"/>
          <w:color w:val="5B5B5F"/>
          <w:sz w:val="24"/>
          <w:szCs w:val="24"/>
        </w:rPr>
      </w:pPr>
      <w:r>
        <w:rPr>
          <w:rFonts w:cs="Arial" w:ascii="Times New Roman" w:hAnsi="Times New Roman"/>
          <w:color w:val="5B5B5F"/>
          <w:sz w:val="24"/>
          <w:szCs w:val="24"/>
        </w:rPr>
      </w:r>
    </w:p>
    <w:p>
      <w:pPr>
        <w:pStyle w:val="Normal"/>
        <w:spacing w:lineRule="auto" w:line="276" w:before="0" w:after="170"/>
        <w:ind w:hanging="0" w:left="0"/>
        <w:rPr>
          <w:rFonts w:ascii="Times New Roman" w:hAnsi="Times New Roman"/>
          <w:sz w:val="24"/>
          <w:szCs w:val="24"/>
        </w:rPr>
      </w:pPr>
      <w:r>
        <w:rPr>
          <w:rFonts w:cs="Arial" w:ascii="Times New Roman" w:hAnsi="Times New Roman"/>
          <w:color w:val="405CA1"/>
          <w:sz w:val="24"/>
          <w:szCs w:val="24"/>
        </w:rPr>
        <w:t>PREGÃO ELETRÔNICO</w:t>
      </w:r>
    </w:p>
    <w:p>
      <w:pPr>
        <w:pStyle w:val="Normal"/>
        <w:spacing w:lineRule="auto" w:line="276" w:before="0" w:after="170"/>
        <w:ind w:hanging="0" w:left="0"/>
        <w:rPr>
          <w:rFonts w:ascii="Times New Roman" w:hAnsi="Times New Roman"/>
          <w:sz w:val="24"/>
          <w:szCs w:val="24"/>
        </w:rPr>
      </w:pPr>
      <w:r>
        <w:rPr>
          <w:rFonts w:cs="Arial" w:ascii="Times New Roman" w:hAnsi="Times New Roman"/>
          <w:i/>
          <w:iCs/>
          <w:color w:val="5B5B5F"/>
          <w:sz w:val="24"/>
          <w:szCs w:val="24"/>
          <w:lang w:eastAsia="pt-BR"/>
        </w:rPr>
        <w:t>90016</w:t>
      </w:r>
      <w:r>
        <w:rPr>
          <w:rFonts w:cs="Arial" w:ascii="Times New Roman" w:hAnsi="Times New Roman"/>
          <w:i/>
          <w:iCs/>
          <w:color w:val="5B5B5F"/>
          <w:sz w:val="24"/>
          <w:szCs w:val="24"/>
        </w:rPr>
        <w:t>/</w:t>
      </w:r>
      <w:r>
        <w:rPr>
          <w:rFonts w:cs="Arial" w:ascii="Times New Roman" w:hAnsi="Times New Roman"/>
          <w:i/>
          <w:iCs/>
          <w:color w:val="5B5B5F"/>
          <w:sz w:val="24"/>
          <w:szCs w:val="24"/>
          <w:lang w:eastAsia="pt-BR"/>
        </w:rPr>
        <w:t>2025</w:t>
      </w:r>
    </w:p>
    <w:p>
      <w:pPr>
        <w:pStyle w:val="Normal"/>
        <w:spacing w:lineRule="auto" w:line="276" w:before="0" w:after="170"/>
        <w:ind w:hanging="0" w:left="0"/>
        <w:rPr>
          <w:rFonts w:ascii="Times New Roman" w:hAnsi="Times New Roman" w:cs="Arial"/>
          <w:b/>
          <w:bCs/>
          <w:color w:val="405CA1"/>
          <w:sz w:val="24"/>
          <w:szCs w:val="24"/>
        </w:rPr>
      </w:pPr>
      <w:r>
        <w:rPr>
          <w:rFonts w:cs="Arial" w:ascii="Times New Roman" w:hAnsi="Times New Roman"/>
          <w:b/>
          <w:bCs/>
          <w:color w:val="405CA1"/>
          <w:sz w:val="24"/>
          <w:szCs w:val="24"/>
        </w:rPr>
      </w:r>
    </w:p>
    <w:p>
      <w:pPr>
        <w:pStyle w:val="Normal"/>
        <w:spacing w:lineRule="auto" w:line="276" w:before="0" w:after="170"/>
        <w:ind w:hanging="0" w:left="0"/>
        <w:rPr>
          <w:rFonts w:ascii="Times New Roman" w:hAnsi="Times New Roman"/>
          <w:sz w:val="24"/>
          <w:szCs w:val="24"/>
        </w:rPr>
      </w:pPr>
      <w:r>
        <w:rPr>
          <w:rFonts w:cs="Arial" w:ascii="Times New Roman" w:hAnsi="Times New Roman"/>
          <w:b/>
          <w:bCs/>
          <w:color w:val="405CA1"/>
          <w:sz w:val="24"/>
          <w:szCs w:val="24"/>
        </w:rPr>
        <w:t>CONTRATANTE (UASG)</w:t>
      </w:r>
    </w:p>
    <w:p>
      <w:pPr>
        <w:pStyle w:val="Normal"/>
        <w:spacing w:lineRule="auto" w:line="276" w:before="0" w:after="170"/>
        <w:ind w:hanging="0" w:left="0"/>
        <w:rPr>
          <w:rFonts w:ascii="Times New Roman" w:hAnsi="Times New Roman"/>
          <w:sz w:val="24"/>
          <w:szCs w:val="24"/>
        </w:rPr>
      </w:pPr>
      <w:r>
        <w:rPr>
          <w:rFonts w:cs="Arial" w:ascii="Times New Roman" w:hAnsi="Times New Roman"/>
          <w:color w:val="5B5B5F"/>
          <w:sz w:val="24"/>
          <w:szCs w:val="24"/>
          <w:lang w:eastAsia="pt-BR"/>
        </w:rPr>
        <w:t>160200</w:t>
      </w:r>
    </w:p>
    <w:p>
      <w:pPr>
        <w:pStyle w:val="Normal"/>
        <w:spacing w:lineRule="auto" w:line="276" w:before="0" w:after="170"/>
        <w:ind w:hanging="0" w:left="0"/>
        <w:rPr>
          <w:rFonts w:ascii="Times New Roman" w:hAnsi="Times New Roman" w:cs="Arial"/>
          <w:b/>
          <w:bCs/>
          <w:color w:val="405CA1"/>
          <w:sz w:val="24"/>
          <w:szCs w:val="24"/>
        </w:rPr>
      </w:pPr>
      <w:r>
        <w:rPr>
          <w:rFonts w:cs="Arial" w:ascii="Times New Roman" w:hAnsi="Times New Roman"/>
          <w:b/>
          <w:bCs/>
          <w:color w:val="405CA1"/>
          <w:sz w:val="24"/>
          <w:szCs w:val="24"/>
        </w:rPr>
      </w:r>
    </w:p>
    <w:p>
      <w:pPr>
        <w:pStyle w:val="Normal"/>
        <w:spacing w:lineRule="auto" w:line="276" w:before="0" w:after="170"/>
        <w:ind w:hanging="0" w:left="0"/>
        <w:rPr>
          <w:rFonts w:ascii="Times New Roman" w:hAnsi="Times New Roman" w:cs="Arial"/>
          <w:b/>
          <w:bCs/>
          <w:color w:val="405CA1"/>
          <w:sz w:val="24"/>
          <w:szCs w:val="24"/>
        </w:rPr>
      </w:pPr>
      <w:r>
        <w:rPr>
          <w:rFonts w:cs="Arial" w:ascii="Times New Roman" w:hAnsi="Times New Roman"/>
          <w:b/>
          <w:bCs/>
          <w:color w:val="405CA1"/>
          <w:sz w:val="24"/>
          <w:szCs w:val="24"/>
        </w:rPr>
      </w:r>
    </w:p>
    <w:p>
      <w:pPr>
        <w:pStyle w:val="Normal"/>
        <w:spacing w:lineRule="auto" w:line="276" w:before="0" w:after="170"/>
        <w:ind w:hanging="0" w:left="0"/>
        <w:rPr>
          <w:rFonts w:ascii="Times New Roman" w:hAnsi="Times New Roman"/>
          <w:sz w:val="24"/>
          <w:szCs w:val="24"/>
        </w:rPr>
      </w:pPr>
      <w:r>
        <w:rPr>
          <w:rFonts w:cs="Arial" w:ascii="Times New Roman" w:hAnsi="Times New Roman"/>
          <w:b/>
          <w:bCs/>
          <w:color w:val="405CA1"/>
          <w:sz w:val="24"/>
          <w:szCs w:val="24"/>
        </w:rPr>
        <w:t>OBJETO</w:t>
      </w:r>
    </w:p>
    <w:p>
      <w:pPr>
        <w:pStyle w:val="Nvel02"/>
        <w:numPr>
          <w:ilvl w:val="0"/>
          <w:numId w:val="0"/>
        </w:numPr>
        <w:spacing w:lineRule="auto" w:line="276" w:before="0" w:after="170"/>
        <w:ind w:hanging="0" w:left="0"/>
        <w:rPr>
          <w:rFonts w:ascii="Times New Roman" w:hAnsi="Times New Roman"/>
          <w:sz w:val="24"/>
          <w:szCs w:val="24"/>
        </w:rPr>
      </w:pPr>
      <w:bookmarkStart w:id="0" w:name="_Ref172096041"/>
      <w:r>
        <w:rPr>
          <w:rFonts w:ascii="Times New Roman" w:hAnsi="Times New Roman"/>
          <w:color w:themeColor="text1" w:themeTint="a6" w:val="595959"/>
          <w:sz w:val="24"/>
          <w:szCs w:val="24"/>
          <w:shd w:fill="auto" w:val="clear"/>
        </w:rPr>
        <w:t>Aquisição de</w:t>
      </w:r>
      <w:r>
        <w:rPr>
          <w:rFonts w:ascii="Times New Roman" w:hAnsi="Times New Roman"/>
          <w:color w:val="000000"/>
          <w:sz w:val="24"/>
          <w:szCs w:val="24"/>
          <w:shd w:fill="auto" w:val="clear"/>
        </w:rPr>
        <w:t xml:space="preserve"> </w:t>
      </w:r>
      <w:r>
        <w:rPr>
          <w:rFonts w:ascii="Times New Roman" w:hAnsi="Times New Roman"/>
          <w:i/>
          <w:color w:val="000000"/>
          <w:sz w:val="24"/>
          <w:szCs w:val="24"/>
          <w:shd w:fill="auto" w:val="clear"/>
        </w:rPr>
        <w:t>insumos de Correaria</w:t>
      </w:r>
      <w:r>
        <w:rPr>
          <w:rFonts w:ascii="Times New Roman" w:hAnsi="Times New Roman"/>
          <w:color w:val="000000"/>
          <w:sz w:val="24"/>
          <w:szCs w:val="24"/>
          <w:shd w:fill="auto" w:val="clear"/>
        </w:rPr>
        <w:t>, para fins de atividades de capotaria, manutenç</w:t>
      </w:r>
      <w:r>
        <w:rPr>
          <w:rFonts w:eastAsia="Arial" w:ascii="Times New Roman" w:hAnsi="Times New Roman"/>
          <w:i w:val="false"/>
          <w:iCs/>
          <w:color w:val="000000"/>
          <w:sz w:val="24"/>
          <w:szCs w:val="24"/>
          <w:shd w:fill="auto" w:val="clear"/>
          <w:lang w:eastAsia="pt-BR"/>
        </w:rPr>
        <w:t>ão, revitalização e fabricação de MEM (Materiais de Emprego Militar) Classe II</w:t>
      </w:r>
      <w:r>
        <w:rPr>
          <w:rFonts w:ascii="Times New Roman" w:hAnsi="Times New Roman"/>
          <w:i/>
          <w:color w:val="000000"/>
          <w:sz w:val="24"/>
          <w:szCs w:val="24"/>
          <w:shd w:fill="auto" w:val="clear"/>
        </w:rPr>
        <w:t>,</w:t>
      </w:r>
      <w:r>
        <w:rPr>
          <w:rFonts w:ascii="Times New Roman" w:hAnsi="Times New Roman"/>
          <w:color w:themeColor="text1" w:themeTint="a6" w:val="595959"/>
          <w:sz w:val="24"/>
          <w:szCs w:val="24"/>
          <w:shd w:fill="auto" w:val="clear"/>
        </w:rPr>
        <w:t xml:space="preserve"> nos termos da tabela abaixo, conforme condições e exigências estabelecidas neste instrumento.</w:t>
      </w:r>
      <w:bookmarkEnd w:id="0"/>
    </w:p>
    <w:p>
      <w:pPr>
        <w:pStyle w:val="Normal"/>
        <w:spacing w:lineRule="auto" w:line="276" w:before="0" w:after="170"/>
        <w:ind w:hanging="0" w:left="0"/>
        <w:rPr>
          <w:rFonts w:ascii="Times New Roman" w:hAnsi="Times New Roman" w:cs="Arial"/>
          <w:b/>
          <w:bCs/>
          <w:color w:val="405CA1"/>
          <w:sz w:val="24"/>
          <w:szCs w:val="24"/>
        </w:rPr>
      </w:pPr>
      <w:r>
        <w:rPr>
          <w:rFonts w:cs="Arial" w:ascii="Times New Roman" w:hAnsi="Times New Roman"/>
          <w:b/>
          <w:bCs/>
          <w:color w:val="405CA1"/>
          <w:sz w:val="24"/>
          <w:szCs w:val="24"/>
        </w:rPr>
      </w:r>
    </w:p>
    <w:p>
      <w:pPr>
        <w:pStyle w:val="Normal"/>
        <w:spacing w:lineRule="auto" w:line="276" w:before="0" w:after="170"/>
        <w:ind w:hanging="0" w:left="0"/>
        <w:rPr>
          <w:rFonts w:ascii="Times New Roman" w:hAnsi="Times New Roman"/>
          <w:sz w:val="24"/>
          <w:szCs w:val="24"/>
        </w:rPr>
      </w:pPr>
      <w:r>
        <w:rPr>
          <w:rFonts w:cs="Arial" w:ascii="Times New Roman" w:hAnsi="Times New Roman"/>
          <w:b/>
          <w:bCs/>
          <w:color w:val="405CA1"/>
          <w:sz w:val="24"/>
          <w:szCs w:val="24"/>
        </w:rPr>
        <w:t>DATA DA SESSÃO PÚBLICA</w:t>
      </w:r>
    </w:p>
    <w:p>
      <w:pPr>
        <w:pStyle w:val="Normal"/>
        <w:spacing w:lineRule="auto" w:line="276" w:before="0" w:after="170"/>
        <w:ind w:hanging="0" w:left="0"/>
        <w:rPr>
          <w:rFonts w:ascii="Times New Roman" w:hAnsi="Times New Roman"/>
          <w:sz w:val="24"/>
          <w:szCs w:val="24"/>
        </w:rPr>
      </w:pPr>
      <w:r>
        <w:rPr>
          <w:rFonts w:cs="Arial" w:ascii="Times New Roman" w:hAnsi="Times New Roman"/>
          <w:color w:val="5B5B5F"/>
          <w:sz w:val="24"/>
          <w:szCs w:val="24"/>
        </w:rPr>
        <w:t>Dia 2</w:t>
      </w:r>
      <w:r>
        <w:rPr>
          <w:rFonts w:cs="Arial" w:ascii="Times New Roman" w:hAnsi="Times New Roman"/>
          <w:color w:val="5B5B5F"/>
          <w:sz w:val="24"/>
          <w:szCs w:val="24"/>
        </w:rPr>
        <w:t>7</w:t>
      </w:r>
      <w:r>
        <w:rPr>
          <w:rFonts w:cs="Arial" w:ascii="Times New Roman" w:hAnsi="Times New Roman"/>
          <w:color w:val="5B5B5F"/>
          <w:sz w:val="24"/>
          <w:szCs w:val="24"/>
        </w:rPr>
        <w:t>/07/2025</w:t>
      </w:r>
      <w:r>
        <w:rPr>
          <w:rFonts w:cs="Arial" w:ascii="Times New Roman" w:hAnsi="Times New Roman"/>
          <w:b/>
          <w:bCs/>
          <w:color w:val="5B5B5F"/>
          <w:sz w:val="24"/>
          <w:szCs w:val="24"/>
        </w:rPr>
        <w:t xml:space="preserve"> </w:t>
      </w:r>
      <w:r>
        <w:rPr>
          <w:rFonts w:cs="Arial" w:ascii="Times New Roman" w:hAnsi="Times New Roman"/>
          <w:color w:val="5B5B5F"/>
          <w:sz w:val="24"/>
          <w:szCs w:val="24"/>
        </w:rPr>
        <w:t>às 09:00 hs</w:t>
      </w:r>
      <w:r>
        <w:rPr>
          <w:rFonts w:cs="Arial" w:ascii="Times New Roman" w:hAnsi="Times New Roman"/>
          <w:b/>
          <w:bCs/>
          <w:color w:val="5B5B5F"/>
          <w:sz w:val="24"/>
          <w:szCs w:val="24"/>
        </w:rPr>
        <w:t xml:space="preserve"> (horário de Brasília)</w:t>
      </w:r>
    </w:p>
    <w:p>
      <w:pPr>
        <w:pStyle w:val="Normal"/>
        <w:spacing w:lineRule="auto" w:line="276" w:before="0" w:after="170"/>
        <w:ind w:hanging="0" w:left="0"/>
        <w:rPr>
          <w:rFonts w:ascii="Times New Roman" w:hAnsi="Times New Roman" w:cs="Arial"/>
          <w:b/>
          <w:bCs/>
          <w:color w:val="405CA1"/>
          <w:sz w:val="24"/>
          <w:szCs w:val="24"/>
        </w:rPr>
      </w:pPr>
      <w:r>
        <w:rPr>
          <w:rFonts w:cs="Arial" w:ascii="Times New Roman" w:hAnsi="Times New Roman"/>
          <w:b/>
          <w:bCs/>
          <w:color w:val="405CA1"/>
          <w:sz w:val="24"/>
          <w:szCs w:val="24"/>
        </w:rPr>
      </w:r>
    </w:p>
    <w:p>
      <w:pPr>
        <w:pStyle w:val="Normal"/>
        <w:spacing w:lineRule="auto" w:line="276" w:before="0" w:after="170"/>
        <w:ind w:hanging="0" w:left="0"/>
        <w:rPr>
          <w:rFonts w:ascii="Times New Roman" w:hAnsi="Times New Roman" w:cs="Arial"/>
          <w:b/>
          <w:bCs/>
          <w:color w:val="405CA1"/>
          <w:sz w:val="24"/>
          <w:szCs w:val="24"/>
        </w:rPr>
      </w:pPr>
      <w:r>
        <w:rPr>
          <w:rFonts w:cs="Arial" w:ascii="Times New Roman" w:hAnsi="Times New Roman"/>
          <w:b/>
          <w:bCs/>
          <w:color w:val="405CA1"/>
          <w:sz w:val="24"/>
          <w:szCs w:val="24"/>
        </w:rPr>
      </w:r>
    </w:p>
    <w:p>
      <w:pPr>
        <w:pStyle w:val="Normal"/>
        <w:spacing w:lineRule="auto" w:line="276" w:before="0" w:after="170"/>
        <w:ind w:hanging="0" w:left="0"/>
        <w:jc w:val="both"/>
        <w:rPr>
          <w:rFonts w:ascii="Times New Roman" w:hAnsi="Times New Roman"/>
          <w:sz w:val="24"/>
          <w:szCs w:val="24"/>
        </w:rPr>
      </w:pPr>
      <w:r>
        <w:rPr>
          <w:rFonts w:cs="Arial" w:ascii="Times New Roman" w:hAnsi="Times New Roman"/>
          <w:b/>
          <w:bCs/>
          <w:caps/>
          <w:color w:val="405CA1"/>
          <w:sz w:val="24"/>
          <w:szCs w:val="24"/>
        </w:rPr>
        <w:t>Critério de Julgamento:</w:t>
      </w:r>
    </w:p>
    <w:p>
      <w:pPr>
        <w:pStyle w:val="Normal"/>
        <w:spacing w:lineRule="auto" w:line="276" w:before="0" w:after="170"/>
        <w:ind w:hanging="0" w:left="0"/>
        <w:jc w:val="both"/>
        <w:rPr>
          <w:rFonts w:ascii="Times New Roman" w:hAnsi="Times New Roman"/>
          <w:sz w:val="24"/>
          <w:szCs w:val="24"/>
        </w:rPr>
      </w:pPr>
      <w:r>
        <w:rPr>
          <w:rFonts w:cs="Arial" w:ascii="Times New Roman" w:hAnsi="Times New Roman"/>
          <w:color w:themeColor="text1" w:themeTint="a6" w:val="595959"/>
          <w:sz w:val="24"/>
          <w:szCs w:val="24"/>
        </w:rPr>
        <w:t>menor preço</w:t>
      </w:r>
    </w:p>
    <w:p>
      <w:pPr>
        <w:pStyle w:val="Normal"/>
        <w:spacing w:lineRule="auto" w:line="276" w:before="0" w:after="170"/>
        <w:ind w:hanging="0" w:left="0"/>
        <w:rPr>
          <w:rFonts w:ascii="Times New Roman" w:hAnsi="Times New Roman" w:cs="Arial"/>
          <w:b/>
          <w:bCs/>
          <w:color w:val="405CA1"/>
          <w:sz w:val="24"/>
          <w:szCs w:val="24"/>
        </w:rPr>
      </w:pPr>
      <w:r>
        <w:rPr>
          <w:rFonts w:cs="Arial" w:ascii="Times New Roman" w:hAnsi="Times New Roman"/>
          <w:b/>
          <w:bCs/>
          <w:color w:val="405CA1"/>
          <w:sz w:val="24"/>
          <w:szCs w:val="24"/>
        </w:rPr>
      </w:r>
    </w:p>
    <w:p>
      <w:pPr>
        <w:pStyle w:val="Normal"/>
        <w:spacing w:lineRule="auto" w:line="276" w:before="0" w:after="170"/>
        <w:ind w:hanging="0" w:left="0"/>
        <w:jc w:val="both"/>
        <w:rPr>
          <w:rFonts w:ascii="Times New Roman" w:hAnsi="Times New Roman"/>
          <w:sz w:val="24"/>
          <w:szCs w:val="24"/>
        </w:rPr>
      </w:pPr>
      <w:r>
        <w:rPr>
          <w:rFonts w:cs="Arial" w:ascii="Times New Roman" w:hAnsi="Times New Roman"/>
          <w:b/>
          <w:bCs/>
          <w:caps/>
          <w:color w:val="405CA1"/>
          <w:sz w:val="24"/>
          <w:szCs w:val="24"/>
        </w:rPr>
        <w:t>Modo de disputa:</w:t>
      </w:r>
    </w:p>
    <w:p>
      <w:pPr>
        <w:pStyle w:val="Normal"/>
        <w:spacing w:lineRule="auto" w:line="276" w:before="0" w:after="170"/>
        <w:ind w:hanging="0" w:left="0"/>
        <w:jc w:val="both"/>
        <w:rPr>
          <w:rFonts w:ascii="Times New Roman" w:hAnsi="Times New Roman" w:cs="Arial"/>
          <w:color w:themeColor="text1" w:themeTint="a6" w:val="595959"/>
          <w:sz w:val="24"/>
          <w:szCs w:val="24"/>
        </w:rPr>
      </w:pPr>
      <w:r>
        <w:rPr>
          <w:rFonts w:cs="Arial" w:ascii="Times New Roman" w:hAnsi="Times New Roman"/>
          <w:color w:themeColor="text1" w:themeTint="a6" w:val="595959"/>
          <w:sz w:val="24"/>
          <w:szCs w:val="24"/>
        </w:rPr>
        <w:t>aberto</w:t>
      </w:r>
    </w:p>
    <w:p>
      <w:pPr>
        <w:pStyle w:val="Normal"/>
        <w:spacing w:lineRule="auto" w:line="276" w:before="0" w:after="170"/>
        <w:ind w:hanging="0" w:left="0"/>
        <w:jc w:val="both"/>
        <w:rPr>
          <w:rFonts w:ascii="Times New Roman" w:hAnsi="Times New Roman" w:cs="Arial"/>
          <w:color w:themeColor="text1" w:themeTint="a6" w:val="595959"/>
          <w:sz w:val="24"/>
          <w:szCs w:val="24"/>
        </w:rPr>
      </w:pPr>
      <w:r>
        <w:rPr>
          <w:rFonts w:cs="Arial" w:ascii="Times New Roman" w:hAnsi="Times New Roman"/>
          <w:color w:themeColor="text1" w:themeTint="a6" w:val="595959"/>
          <w:sz w:val="24"/>
          <w:szCs w:val="24"/>
        </w:rPr>
      </w:r>
    </w:p>
    <w:p>
      <w:pPr>
        <w:pStyle w:val="Normal"/>
        <w:spacing w:lineRule="auto" w:line="276" w:before="0" w:after="170"/>
        <w:ind w:hanging="0" w:left="0"/>
        <w:rPr>
          <w:rFonts w:ascii="Times New Roman" w:hAnsi="Times New Roman" w:cs="Arial"/>
          <w:b/>
          <w:bCs/>
          <w:color w:val="405CA1"/>
          <w:sz w:val="24"/>
          <w:szCs w:val="24"/>
        </w:rPr>
      </w:pPr>
      <w:r>
        <w:rPr>
          <w:rFonts w:cs="Arial" w:ascii="Times New Roman" w:hAnsi="Times New Roman"/>
          <w:b/>
          <w:bCs/>
          <w:color w:val="405CA1"/>
          <w:sz w:val="24"/>
          <w:szCs w:val="24"/>
        </w:rPr>
      </w:r>
    </w:p>
    <w:p>
      <w:pPr>
        <w:pStyle w:val="Normal"/>
        <w:spacing w:lineRule="auto" w:line="276" w:before="0" w:after="170"/>
        <w:ind w:hanging="0" w:left="0"/>
        <w:rPr>
          <w:rFonts w:ascii="Times New Roman" w:hAnsi="Times New Roman"/>
          <w:sz w:val="24"/>
          <w:szCs w:val="24"/>
        </w:rPr>
      </w:pPr>
      <w:r>
        <w:rPr>
          <w:rFonts w:cs="Arial" w:ascii="Times New Roman" w:hAnsi="Times New Roman"/>
          <w:b/>
          <w:bCs/>
          <w:color w:val="405CA1"/>
          <w:sz w:val="24"/>
          <w:szCs w:val="24"/>
        </w:rPr>
        <w:t>TRATAMENTO FAVORECIDO ME/EPP/EQUIPARADAS</w:t>
      </w:r>
    </w:p>
    <w:p>
      <w:pPr>
        <w:pStyle w:val="Normal"/>
        <w:spacing w:lineRule="auto" w:line="276" w:before="0" w:after="170"/>
        <w:ind w:hanging="0" w:left="0"/>
        <w:rPr>
          <w:rFonts w:ascii="Times New Roman" w:hAnsi="Times New Roman"/>
          <w:sz w:val="24"/>
          <w:szCs w:val="24"/>
        </w:rPr>
      </w:pPr>
      <w:r>
        <w:rPr>
          <w:rFonts w:cs="Arial" w:ascii="Times New Roman" w:hAnsi="Times New Roman"/>
          <w:b/>
          <w:bCs/>
          <w:color w:val="5B5B5F"/>
          <w:sz w:val="24"/>
          <w:szCs w:val="24"/>
        </w:rPr>
        <w:t>SIM</w:t>
      </w:r>
    </w:p>
    <w:p>
      <w:pPr>
        <w:pStyle w:val="Normal"/>
        <w:spacing w:lineRule="auto" w:line="276" w:before="0" w:after="170"/>
        <w:ind w:hanging="0" w:left="0"/>
        <w:rPr>
          <w:rFonts w:ascii="Times New Roman" w:hAnsi="Times New Roman" w:cs="Arial"/>
          <w:b/>
          <w:bCs/>
          <w:color w:val="405CA1"/>
          <w:sz w:val="24"/>
          <w:szCs w:val="24"/>
        </w:rPr>
      </w:pPr>
      <w:r>
        <w:rPr>
          <w:rFonts w:cs="Arial" w:ascii="Times New Roman" w:hAnsi="Times New Roman"/>
          <w:b/>
          <w:bCs/>
          <w:color w:val="405CA1"/>
          <w:sz w:val="24"/>
          <w:szCs w:val="24"/>
        </w:rPr>
      </w:r>
    </w:p>
    <w:p>
      <w:pPr>
        <w:pStyle w:val="Normal"/>
        <w:spacing w:lineRule="auto" w:line="276" w:before="0" w:after="170"/>
        <w:ind w:hanging="0" w:left="0"/>
        <w:rPr>
          <w:rFonts w:ascii="Times New Roman" w:hAnsi="Times New Roman" w:cs="Arial"/>
          <w:b/>
          <w:bCs/>
          <w:color w:val="405CA1"/>
          <w:sz w:val="24"/>
          <w:szCs w:val="24"/>
        </w:rPr>
      </w:pPr>
      <w:r>
        <w:rPr>
          <w:rFonts w:cs="Arial" w:ascii="Times New Roman" w:hAnsi="Times New Roman"/>
          <w:b/>
          <w:bCs/>
          <w:color w:val="405CA1"/>
          <w:sz w:val="24"/>
          <w:szCs w:val="24"/>
        </w:rPr>
      </w:r>
    </w:p>
    <w:p>
      <w:pPr>
        <w:pStyle w:val="Normal"/>
        <w:spacing w:lineRule="auto" w:line="276" w:before="0" w:after="170"/>
        <w:ind w:hanging="0" w:left="0"/>
        <w:rPr>
          <w:rFonts w:ascii="Times New Roman" w:hAnsi="Times New Roman"/>
          <w:sz w:val="24"/>
          <w:szCs w:val="24"/>
        </w:rPr>
      </w:pPr>
      <w:r>
        <w:rPr>
          <w:rFonts w:cs="Arial" w:ascii="Times New Roman" w:hAnsi="Times New Roman"/>
          <w:b/>
          <w:bCs/>
          <w:color w:val="405CA1"/>
          <w:sz w:val="24"/>
          <w:szCs w:val="24"/>
        </w:rPr>
        <w:t>MARGEM DE PREFERÊNCIA PARA ALGUM ITEM</w:t>
      </w:r>
    </w:p>
    <w:p>
      <w:pPr>
        <w:pStyle w:val="Normal"/>
        <w:spacing w:lineRule="auto" w:line="276" w:before="0" w:after="170"/>
        <w:ind w:hanging="0" w:left="0"/>
        <w:rPr>
          <w:rFonts w:ascii="Times New Roman" w:hAnsi="Times New Roman"/>
          <w:sz w:val="24"/>
          <w:szCs w:val="24"/>
        </w:rPr>
      </w:pPr>
      <w:r>
        <w:rPr>
          <w:rFonts w:cs="Arial" w:ascii="Times New Roman" w:hAnsi="Times New Roman"/>
          <w:b/>
          <w:bCs/>
          <w:color w:val="5B5B5F"/>
          <w:sz w:val="24"/>
          <w:szCs w:val="24"/>
        </w:rPr>
        <w:t>NÃO</w:t>
      </w:r>
    </w:p>
    <w:sdt>
      <w:sdtPr>
        <w:docPartObj>
          <w:docPartGallery w:val="Table of Contents"/>
          <w:docPartUnique w:val="true"/>
        </w:docPartObj>
      </w:sdtPr>
      <w:sdtContent>
        <w:p>
          <w:pPr>
            <w:pStyle w:val="TOCHeading"/>
            <w:spacing w:lineRule="auto" w:line="276" w:before="0" w:after="170"/>
            <w:ind w:hanging="0" w:left="0"/>
            <w:rPr>
              <w:rFonts w:ascii="Times New Roman" w:hAnsi="Times New Roman"/>
              <w:sz w:val="24"/>
              <w:szCs w:val="24"/>
            </w:rPr>
          </w:pPr>
          <w:r>
            <w:br w:type="page"/>
          </w:r>
          <w:r>
            <w:rPr>
              <w:rFonts w:cs="Arial" w:ascii="Times New Roman" w:hAnsi="Times New Roman"/>
              <w:sz w:val="24"/>
              <w:szCs w:val="24"/>
            </w:rPr>
            <w:t>Sumário</w:t>
          </w:r>
        </w:p>
        <w:p>
          <w:pPr>
            <w:pStyle w:val="Normal"/>
            <w:spacing w:lineRule="auto" w:line="276" w:before="0" w:after="170"/>
            <w:ind w:hanging="0" w:left="0"/>
            <w:rPr>
              <w:rFonts w:ascii="Times New Roman" w:hAnsi="Times New Roman" w:cs="Arial"/>
              <w:sz w:val="24"/>
              <w:szCs w:val="24"/>
            </w:rPr>
          </w:pPr>
          <w:r>
            <w:rPr>
              <w:rFonts w:cs="Arial" w:ascii="Times New Roman" w:hAnsi="Times New Roman"/>
              <w:sz w:val="24"/>
              <w:szCs w:val="24"/>
            </w:rPr>
          </w:r>
        </w:p>
        <w:p>
          <w:pPr>
            <w:pStyle w:val="TOC1"/>
            <w:spacing w:lineRule="auto" w:line="276" w:before="0" w:after="170"/>
            <w:ind w:hanging="0" w:left="0"/>
            <w:rPr/>
          </w:pPr>
          <w:r>
            <w:fldChar w:fldCharType="begin"/>
          </w:r>
          <w:r>
            <w:rPr>
              <w:webHidden/>
              <w:rStyle w:val="Vnculodendice"/>
              <w:sz w:val="24"/>
              <w:szCs w:val="24"/>
              <w:vanish w:val="false"/>
              <w:rFonts w:ascii="Times New Roman" w:hAnsi="Times New Roman"/>
              <w:lang w:eastAsia="en-US"/>
            </w:rPr>
            <w:instrText xml:space="preserve"> TOC \z \o "1-3" \u \h</w:instrText>
          </w:r>
          <w:r>
            <w:rPr>
              <w:webHidden/>
              <w:rStyle w:val="Vnculodendice"/>
              <w:sz w:val="24"/>
              <w:szCs w:val="24"/>
              <w:vanish w:val="false"/>
              <w:rFonts w:ascii="Times New Roman" w:hAnsi="Times New Roman"/>
              <w:lang w:eastAsia="en-US"/>
            </w:rPr>
            <w:fldChar w:fldCharType="separate"/>
          </w:r>
          <w:hyperlink w:anchor="_Toc215145266">
            <w:r>
              <w:rPr>
                <w:webHidden/>
                <w:rStyle w:val="Vnculodendice"/>
                <w:rFonts w:ascii="Times New Roman" w:hAnsi="Times New Roman"/>
                <w:vanish w:val="false"/>
                <w:sz w:val="24"/>
                <w:szCs w:val="24"/>
                <w:lang w:eastAsia="en-US"/>
              </w:rPr>
              <w:t>1.</w:t>
            </w:r>
            <w:r>
              <w:rPr>
                <w:rStyle w:val="Vnculodendice"/>
                <w:rFonts w:eastAsia="" w:cs="" w:ascii="Times New Roman" w:hAnsi="Times New Roman" w:cstheme="minorBidi" w:eastAsiaTheme="minorEastAsia"/>
                <w:kern w:val="2"/>
                <w:sz w:val="24"/>
                <w:szCs w:val="24"/>
                <w14:ligatures w14:val="standardContextual"/>
              </w:rPr>
              <w:tab/>
            </w:r>
            <w:r>
              <w:rPr>
                <w:rStyle w:val="Vnculodendice"/>
                <w:rFonts w:ascii="Times New Roman" w:hAnsi="Times New Roman"/>
                <w:sz w:val="24"/>
                <w:szCs w:val="24"/>
                <w:lang w:eastAsia="en-US"/>
              </w:rPr>
              <w:t>DO OBJETO</w:t>
            </w:r>
            <w:r>
              <w:rPr>
                <w:rStyle w:val="Vnculodendice"/>
                <w:rFonts w:ascii="Times New Roman" w:hAnsi="Times New Roman"/>
                <w:vanish w:val="false"/>
                <w:sz w:val="24"/>
                <w:szCs w:val="24"/>
              </w:rPr>
              <w:tab/>
            </w:r>
            <w:r>
              <w:rPr>
                <w:webHidden/>
              </w:rPr>
              <w:fldChar w:fldCharType="begin"/>
            </w:r>
            <w:r>
              <w:rPr>
                <w:webHidden/>
              </w:rPr>
              <w:instrText xml:space="preserve">PAGEREF _Toc215145266 \h</w:instrText>
            </w:r>
            <w:r>
              <w:rPr>
                <w:webHidden/>
              </w:rPr>
              <w:fldChar w:fldCharType="separate"/>
            </w:r>
            <w:r>
              <w:rPr>
                <w:rStyle w:val="Vnculodendice"/>
                <w:rFonts w:ascii="Times New Roman" w:hAnsi="Times New Roman"/>
                <w:vanish w:val="false"/>
                <w:sz w:val="24"/>
                <w:szCs w:val="24"/>
              </w:rPr>
              <w:t>3</w:t>
            </w:r>
            <w:r>
              <w:rPr>
                <w:webHidden/>
              </w:rPr>
              <w:fldChar w:fldCharType="end"/>
            </w:r>
          </w:hyperlink>
        </w:p>
        <w:p>
          <w:pPr>
            <w:pStyle w:val="TOC1"/>
            <w:spacing w:lineRule="auto" w:line="276" w:before="0" w:after="170"/>
            <w:ind w:hanging="0" w:left="0"/>
            <w:rPr/>
          </w:pPr>
          <w:hyperlink w:anchor="_Toc215145267">
            <w:r>
              <w:rPr>
                <w:webHidden/>
                <w:rStyle w:val="Vnculodendice"/>
                <w:rFonts w:ascii="Times New Roman" w:hAnsi="Times New Roman"/>
                <w:vanish w:val="false"/>
                <w:sz w:val="24"/>
                <w:szCs w:val="24"/>
                <w:highlight w:val="cyan"/>
              </w:rPr>
              <w:t>2.</w:t>
            </w:r>
            <w:r>
              <w:rPr>
                <w:rStyle w:val="Vnculodendice"/>
                <w:rFonts w:eastAsia="" w:cs="" w:ascii="Times New Roman" w:hAnsi="Times New Roman" w:cstheme="minorBidi" w:eastAsiaTheme="minorEastAsia"/>
                <w:kern w:val="2"/>
                <w:sz w:val="24"/>
                <w:szCs w:val="24"/>
                <w14:ligatures w14:val="standardContextual"/>
              </w:rPr>
              <w:tab/>
            </w:r>
            <w:r>
              <w:rPr>
                <w:rStyle w:val="Vnculodendice"/>
                <w:rFonts w:ascii="Times New Roman" w:hAnsi="Times New Roman"/>
                <w:sz w:val="24"/>
                <w:szCs w:val="24"/>
                <w:highlight w:val="cyan"/>
              </w:rPr>
              <w:t>DO REGISTRO DE PREÇOS</w:t>
            </w:r>
            <w:r>
              <w:rPr>
                <w:rStyle w:val="Vnculodendice"/>
                <w:rFonts w:ascii="Times New Roman" w:hAnsi="Times New Roman"/>
                <w:vanish w:val="false"/>
                <w:sz w:val="24"/>
                <w:szCs w:val="24"/>
              </w:rPr>
              <w:tab/>
            </w:r>
            <w:r>
              <w:rPr>
                <w:webHidden/>
              </w:rPr>
              <w:fldChar w:fldCharType="begin"/>
            </w:r>
            <w:r>
              <w:rPr>
                <w:webHidden/>
              </w:rPr>
              <w:instrText xml:space="preserve">PAGEREF _Toc215145267 \h</w:instrText>
            </w:r>
            <w:r>
              <w:rPr>
                <w:webHidden/>
              </w:rPr>
              <w:fldChar w:fldCharType="separate"/>
            </w:r>
            <w:r>
              <w:rPr>
                <w:rStyle w:val="Vnculodendice"/>
                <w:rFonts w:ascii="Times New Roman" w:hAnsi="Times New Roman"/>
                <w:vanish w:val="false"/>
                <w:sz w:val="24"/>
                <w:szCs w:val="24"/>
              </w:rPr>
              <w:t>3</w:t>
            </w:r>
            <w:r>
              <w:rPr>
                <w:webHidden/>
              </w:rPr>
              <w:fldChar w:fldCharType="end"/>
            </w:r>
          </w:hyperlink>
        </w:p>
        <w:p>
          <w:pPr>
            <w:pStyle w:val="TOC1"/>
            <w:spacing w:lineRule="auto" w:line="276" w:before="0" w:after="170"/>
            <w:ind w:hanging="0" w:left="0"/>
            <w:rPr/>
          </w:pPr>
          <w:hyperlink w:anchor="_Toc215145268">
            <w:r>
              <w:rPr>
                <w:webHidden/>
                <w:rStyle w:val="Vnculodendice"/>
                <w:rFonts w:ascii="Times New Roman" w:hAnsi="Times New Roman"/>
                <w:vanish w:val="false"/>
                <w:sz w:val="24"/>
                <w:szCs w:val="24"/>
              </w:rPr>
              <w:t>3.</w:t>
            </w:r>
            <w:r>
              <w:rPr>
                <w:rStyle w:val="Vnculodendice"/>
                <w:rFonts w:eastAsia="" w:cs="" w:ascii="Times New Roman" w:hAnsi="Times New Roman" w:cstheme="minorBidi" w:eastAsiaTheme="minorEastAsia"/>
                <w:kern w:val="2"/>
                <w:sz w:val="24"/>
                <w:szCs w:val="24"/>
                <w14:ligatures w14:val="standardContextual"/>
              </w:rPr>
              <w:tab/>
            </w:r>
            <w:r>
              <w:rPr>
                <w:rStyle w:val="Vnculodendice"/>
                <w:rFonts w:ascii="Times New Roman" w:hAnsi="Times New Roman"/>
                <w:sz w:val="24"/>
                <w:szCs w:val="24"/>
              </w:rPr>
              <w:t>DA PARTICIPAÇÃO NA LICITAÇÃO</w:t>
            </w:r>
            <w:r>
              <w:rPr>
                <w:rStyle w:val="Vnculodendice"/>
                <w:rFonts w:ascii="Times New Roman" w:hAnsi="Times New Roman"/>
                <w:vanish w:val="false"/>
                <w:sz w:val="24"/>
                <w:szCs w:val="24"/>
              </w:rPr>
              <w:tab/>
            </w:r>
            <w:r>
              <w:rPr>
                <w:webHidden/>
              </w:rPr>
              <w:fldChar w:fldCharType="begin"/>
            </w:r>
            <w:r>
              <w:rPr>
                <w:webHidden/>
              </w:rPr>
              <w:instrText xml:space="preserve">PAGEREF _Toc215145268 \h</w:instrText>
            </w:r>
            <w:r>
              <w:rPr>
                <w:webHidden/>
              </w:rPr>
              <w:fldChar w:fldCharType="separate"/>
            </w:r>
            <w:r>
              <w:rPr>
                <w:rStyle w:val="Vnculodendice"/>
                <w:rFonts w:ascii="Times New Roman" w:hAnsi="Times New Roman"/>
                <w:vanish w:val="false"/>
                <w:sz w:val="24"/>
                <w:szCs w:val="24"/>
              </w:rPr>
              <w:t>4</w:t>
            </w:r>
            <w:r>
              <w:rPr>
                <w:webHidden/>
              </w:rPr>
              <w:fldChar w:fldCharType="end"/>
            </w:r>
          </w:hyperlink>
        </w:p>
        <w:p>
          <w:pPr>
            <w:pStyle w:val="TOC1"/>
            <w:spacing w:lineRule="auto" w:line="276" w:before="0" w:after="170"/>
            <w:ind w:hanging="0" w:left="0"/>
            <w:rPr/>
          </w:pPr>
          <w:hyperlink w:anchor="_Toc215145269">
            <w:r>
              <w:rPr>
                <w:webHidden/>
                <w:rStyle w:val="Vnculodendice"/>
                <w:rFonts w:ascii="Times New Roman" w:hAnsi="Times New Roman"/>
                <w:i/>
                <w:vanish w:val="false"/>
                <w:sz w:val="24"/>
                <w:szCs w:val="24"/>
              </w:rPr>
              <w:t>4.</w:t>
            </w:r>
            <w:r>
              <w:rPr>
                <w:rStyle w:val="Vnculodendice"/>
                <w:rFonts w:eastAsia="" w:cs="" w:ascii="Times New Roman" w:hAnsi="Times New Roman" w:cstheme="minorBidi" w:eastAsiaTheme="minorEastAsia"/>
                <w:kern w:val="2"/>
                <w:sz w:val="24"/>
                <w:szCs w:val="24"/>
                <w14:ligatures w14:val="standardContextual"/>
              </w:rPr>
              <w:tab/>
            </w:r>
            <w:r>
              <w:rPr>
                <w:rStyle w:val="Vnculodendice"/>
                <w:rFonts w:ascii="Times New Roman" w:hAnsi="Times New Roman"/>
                <w:i/>
                <w:sz w:val="24"/>
                <w:szCs w:val="24"/>
              </w:rPr>
              <w:t>DO ORÇAMENTO ESTIMADO</w:t>
            </w:r>
            <w:r>
              <w:rPr>
                <w:rStyle w:val="Vnculodendice"/>
                <w:rFonts w:ascii="Times New Roman" w:hAnsi="Times New Roman"/>
                <w:vanish w:val="false"/>
                <w:sz w:val="24"/>
                <w:szCs w:val="24"/>
              </w:rPr>
              <w:tab/>
            </w:r>
            <w:r>
              <w:rPr>
                <w:webHidden/>
              </w:rPr>
              <w:fldChar w:fldCharType="begin"/>
            </w:r>
            <w:r>
              <w:rPr>
                <w:webHidden/>
              </w:rPr>
              <w:instrText xml:space="preserve">PAGEREF _Toc215145269 \h</w:instrText>
            </w:r>
            <w:r>
              <w:rPr>
                <w:webHidden/>
              </w:rPr>
              <w:fldChar w:fldCharType="separate"/>
            </w:r>
            <w:r>
              <w:rPr>
                <w:rStyle w:val="Vnculodendice"/>
                <w:rFonts w:ascii="Times New Roman" w:hAnsi="Times New Roman"/>
                <w:vanish w:val="false"/>
                <w:sz w:val="24"/>
                <w:szCs w:val="24"/>
              </w:rPr>
              <w:t>5</w:t>
            </w:r>
            <w:r>
              <w:rPr>
                <w:webHidden/>
              </w:rPr>
              <w:fldChar w:fldCharType="end"/>
            </w:r>
          </w:hyperlink>
        </w:p>
        <w:p>
          <w:pPr>
            <w:pStyle w:val="TOC1"/>
            <w:spacing w:lineRule="auto" w:line="276" w:before="0" w:after="170"/>
            <w:ind w:hanging="0" w:left="0"/>
            <w:rPr/>
          </w:pPr>
          <w:hyperlink w:anchor="_Toc215145270">
            <w:r>
              <w:rPr>
                <w:webHidden/>
                <w:rStyle w:val="Vnculodendice"/>
                <w:rFonts w:ascii="Times New Roman" w:hAnsi="Times New Roman"/>
                <w:vanish w:val="false"/>
                <w:sz w:val="24"/>
                <w:szCs w:val="24"/>
              </w:rPr>
              <w:t>5.</w:t>
            </w:r>
            <w:r>
              <w:rPr>
                <w:rStyle w:val="Vnculodendice"/>
                <w:rFonts w:eastAsia="" w:cs="" w:ascii="Times New Roman" w:hAnsi="Times New Roman" w:cstheme="minorBidi" w:eastAsiaTheme="minorEastAsia"/>
                <w:kern w:val="2"/>
                <w:sz w:val="24"/>
                <w:szCs w:val="24"/>
                <w14:ligatures w14:val="standardContextual"/>
              </w:rPr>
              <w:tab/>
            </w:r>
            <w:r>
              <w:rPr>
                <w:rStyle w:val="Vnculodendice"/>
                <w:rFonts w:ascii="Times New Roman" w:hAnsi="Times New Roman"/>
                <w:sz w:val="24"/>
                <w:szCs w:val="24"/>
              </w:rPr>
              <w:t>DA APRESENTAÇÃO DA PROPOSTA E DOS DOCUMENTOS DE HABILITAÇÃO</w:t>
            </w:r>
            <w:r>
              <w:rPr>
                <w:rStyle w:val="Vnculodendice"/>
                <w:rFonts w:ascii="Times New Roman" w:hAnsi="Times New Roman"/>
                <w:vanish w:val="false"/>
                <w:sz w:val="24"/>
                <w:szCs w:val="24"/>
              </w:rPr>
              <w:tab/>
            </w:r>
            <w:r>
              <w:rPr>
                <w:webHidden/>
              </w:rPr>
              <w:fldChar w:fldCharType="begin"/>
            </w:r>
            <w:r>
              <w:rPr>
                <w:webHidden/>
              </w:rPr>
              <w:instrText xml:space="preserve">PAGEREF _Toc215145270 \h</w:instrText>
            </w:r>
            <w:r>
              <w:rPr>
                <w:webHidden/>
              </w:rPr>
              <w:fldChar w:fldCharType="separate"/>
            </w:r>
            <w:r>
              <w:rPr>
                <w:rStyle w:val="Vnculodendice"/>
                <w:rFonts w:ascii="Times New Roman" w:hAnsi="Times New Roman"/>
                <w:vanish w:val="false"/>
                <w:sz w:val="24"/>
                <w:szCs w:val="24"/>
              </w:rPr>
              <w:t>6</w:t>
            </w:r>
            <w:r>
              <w:rPr>
                <w:webHidden/>
              </w:rPr>
              <w:fldChar w:fldCharType="end"/>
            </w:r>
          </w:hyperlink>
        </w:p>
        <w:p>
          <w:pPr>
            <w:pStyle w:val="TOC1"/>
            <w:spacing w:lineRule="auto" w:line="276" w:before="0" w:after="170"/>
            <w:ind w:hanging="0" w:left="0"/>
            <w:rPr/>
          </w:pPr>
          <w:hyperlink w:anchor="_Toc215145271">
            <w:r>
              <w:rPr>
                <w:webHidden/>
                <w:rStyle w:val="Vnculodendice"/>
                <w:rFonts w:ascii="Times New Roman" w:hAnsi="Times New Roman"/>
                <w:vanish w:val="false"/>
                <w:sz w:val="24"/>
                <w:szCs w:val="24"/>
              </w:rPr>
              <w:t>6.</w:t>
            </w:r>
            <w:r>
              <w:rPr>
                <w:rStyle w:val="Vnculodendice"/>
                <w:rFonts w:eastAsia="" w:cs="" w:ascii="Times New Roman" w:hAnsi="Times New Roman" w:cstheme="minorBidi" w:eastAsiaTheme="minorEastAsia"/>
                <w:kern w:val="2"/>
                <w:sz w:val="24"/>
                <w:szCs w:val="24"/>
                <w14:ligatures w14:val="standardContextual"/>
              </w:rPr>
              <w:tab/>
            </w:r>
            <w:r>
              <w:rPr>
                <w:rStyle w:val="Vnculodendice"/>
                <w:rFonts w:ascii="Times New Roman" w:hAnsi="Times New Roman"/>
                <w:sz w:val="24"/>
                <w:szCs w:val="24"/>
              </w:rPr>
              <w:t>DO PREENCHIMENTO DA PROPOSTA</w:t>
            </w:r>
            <w:r>
              <w:rPr>
                <w:rStyle w:val="Vnculodendice"/>
                <w:rFonts w:ascii="Times New Roman" w:hAnsi="Times New Roman"/>
                <w:vanish w:val="false"/>
                <w:sz w:val="24"/>
                <w:szCs w:val="24"/>
              </w:rPr>
              <w:tab/>
            </w:r>
            <w:r>
              <w:rPr>
                <w:webHidden/>
              </w:rPr>
              <w:fldChar w:fldCharType="begin"/>
            </w:r>
            <w:r>
              <w:rPr>
                <w:webHidden/>
              </w:rPr>
              <w:instrText xml:space="preserve">PAGEREF _Toc215145271 \h</w:instrText>
            </w:r>
            <w:r>
              <w:rPr>
                <w:webHidden/>
              </w:rPr>
              <w:fldChar w:fldCharType="separate"/>
            </w:r>
            <w:r>
              <w:rPr>
                <w:rStyle w:val="Vnculodendice"/>
                <w:rFonts w:ascii="Times New Roman" w:hAnsi="Times New Roman"/>
                <w:vanish w:val="false"/>
                <w:sz w:val="24"/>
                <w:szCs w:val="24"/>
              </w:rPr>
              <w:t>8</w:t>
            </w:r>
            <w:r>
              <w:rPr>
                <w:webHidden/>
              </w:rPr>
              <w:fldChar w:fldCharType="end"/>
            </w:r>
          </w:hyperlink>
        </w:p>
        <w:p>
          <w:pPr>
            <w:pStyle w:val="TOC1"/>
            <w:spacing w:lineRule="auto" w:line="276" w:before="0" w:after="170"/>
            <w:ind w:hanging="0" w:left="0"/>
            <w:rPr/>
          </w:pPr>
          <w:hyperlink w:anchor="_Toc215145272">
            <w:r>
              <w:rPr>
                <w:webHidden/>
                <w:rStyle w:val="Vnculodendice"/>
                <w:rFonts w:ascii="Times New Roman" w:hAnsi="Times New Roman"/>
                <w:vanish w:val="false"/>
                <w:sz w:val="24"/>
                <w:szCs w:val="24"/>
              </w:rPr>
              <w:t>7.</w:t>
            </w:r>
            <w:r>
              <w:rPr>
                <w:rStyle w:val="Vnculodendice"/>
                <w:rFonts w:eastAsia="" w:cs="" w:ascii="Times New Roman" w:hAnsi="Times New Roman" w:cstheme="minorBidi" w:eastAsiaTheme="minorEastAsia"/>
                <w:kern w:val="2"/>
                <w:sz w:val="24"/>
                <w:szCs w:val="24"/>
                <w14:ligatures w14:val="standardContextual"/>
              </w:rPr>
              <w:tab/>
            </w:r>
            <w:r>
              <w:rPr>
                <w:rStyle w:val="Vnculodendice"/>
                <w:rFonts w:ascii="Times New Roman" w:hAnsi="Times New Roman"/>
                <w:sz w:val="24"/>
                <w:szCs w:val="24"/>
              </w:rPr>
              <w:t>DA ABERTURA DA SESSÃO, CLASSIFICAÇÃO DAS PROPOSTAS E FORMULAÇÃO DE LANCES</w:t>
            </w:r>
            <w:r>
              <w:rPr>
                <w:rStyle w:val="Vnculodendice"/>
                <w:rFonts w:ascii="Times New Roman" w:hAnsi="Times New Roman"/>
                <w:vanish w:val="false"/>
                <w:sz w:val="24"/>
                <w:szCs w:val="24"/>
              </w:rPr>
              <w:tab/>
            </w:r>
            <w:r>
              <w:rPr>
                <w:webHidden/>
              </w:rPr>
              <w:fldChar w:fldCharType="begin"/>
            </w:r>
            <w:r>
              <w:rPr>
                <w:webHidden/>
              </w:rPr>
              <w:instrText xml:space="preserve">PAGEREF _Toc215145272 \h</w:instrText>
            </w:r>
            <w:r>
              <w:rPr>
                <w:webHidden/>
              </w:rPr>
              <w:fldChar w:fldCharType="separate"/>
            </w:r>
            <w:r>
              <w:rPr>
                <w:rStyle w:val="Vnculodendice"/>
                <w:rFonts w:ascii="Times New Roman" w:hAnsi="Times New Roman"/>
                <w:vanish w:val="false"/>
                <w:sz w:val="24"/>
                <w:szCs w:val="24"/>
              </w:rPr>
              <w:t>10</w:t>
            </w:r>
            <w:r>
              <w:rPr>
                <w:webHidden/>
              </w:rPr>
              <w:fldChar w:fldCharType="end"/>
            </w:r>
          </w:hyperlink>
        </w:p>
        <w:p>
          <w:pPr>
            <w:pStyle w:val="TOC1"/>
            <w:spacing w:lineRule="auto" w:line="276" w:before="0" w:after="170"/>
            <w:ind w:hanging="0" w:left="0"/>
            <w:rPr/>
          </w:pPr>
          <w:hyperlink w:anchor="_Toc215145273">
            <w:r>
              <w:rPr>
                <w:webHidden/>
                <w:rStyle w:val="Vnculodendice"/>
                <w:rFonts w:ascii="Times New Roman" w:hAnsi="Times New Roman"/>
                <w:vanish w:val="false"/>
                <w:sz w:val="24"/>
                <w:szCs w:val="24"/>
              </w:rPr>
              <w:t>8.</w:t>
            </w:r>
            <w:r>
              <w:rPr>
                <w:rStyle w:val="Vnculodendice"/>
                <w:rFonts w:eastAsia="" w:cs="" w:ascii="Times New Roman" w:hAnsi="Times New Roman" w:cstheme="minorBidi" w:eastAsiaTheme="minorEastAsia"/>
                <w:kern w:val="2"/>
                <w:sz w:val="24"/>
                <w:szCs w:val="24"/>
                <w14:ligatures w14:val="standardContextual"/>
              </w:rPr>
              <w:tab/>
            </w:r>
            <w:r>
              <w:rPr>
                <w:rStyle w:val="Vnculodendice"/>
                <w:rFonts w:ascii="Times New Roman" w:hAnsi="Times New Roman"/>
                <w:sz w:val="24"/>
                <w:szCs w:val="24"/>
              </w:rPr>
              <w:t>DA FASE DE JULGAMENTO</w:t>
            </w:r>
            <w:r>
              <w:rPr>
                <w:rStyle w:val="Vnculodendice"/>
                <w:rFonts w:ascii="Times New Roman" w:hAnsi="Times New Roman"/>
                <w:vanish w:val="false"/>
                <w:sz w:val="24"/>
                <w:szCs w:val="24"/>
              </w:rPr>
              <w:tab/>
            </w:r>
            <w:r>
              <w:rPr>
                <w:webHidden/>
              </w:rPr>
              <w:fldChar w:fldCharType="begin"/>
            </w:r>
            <w:r>
              <w:rPr>
                <w:webHidden/>
              </w:rPr>
              <w:instrText xml:space="preserve">PAGEREF _Toc215145273 \h</w:instrText>
            </w:r>
            <w:r>
              <w:rPr>
                <w:webHidden/>
              </w:rPr>
              <w:fldChar w:fldCharType="separate"/>
            </w:r>
            <w:r>
              <w:rPr>
                <w:rStyle w:val="Vnculodendice"/>
                <w:rFonts w:ascii="Times New Roman" w:hAnsi="Times New Roman"/>
                <w:vanish w:val="false"/>
                <w:sz w:val="24"/>
                <w:szCs w:val="24"/>
              </w:rPr>
              <w:t>14</w:t>
            </w:r>
            <w:r>
              <w:rPr>
                <w:webHidden/>
              </w:rPr>
              <w:fldChar w:fldCharType="end"/>
            </w:r>
          </w:hyperlink>
        </w:p>
        <w:p>
          <w:pPr>
            <w:pStyle w:val="TOC1"/>
            <w:spacing w:lineRule="auto" w:line="276" w:before="0" w:after="170"/>
            <w:ind w:hanging="0" w:left="0"/>
            <w:rPr/>
          </w:pPr>
          <w:hyperlink w:anchor="_Toc215145274">
            <w:r>
              <w:rPr>
                <w:webHidden/>
                <w:rStyle w:val="Vnculodendice"/>
                <w:rFonts w:ascii="Times New Roman" w:hAnsi="Times New Roman"/>
                <w:vanish w:val="false"/>
                <w:sz w:val="24"/>
                <w:szCs w:val="24"/>
              </w:rPr>
              <w:t>9.</w:t>
            </w:r>
            <w:r>
              <w:rPr>
                <w:rStyle w:val="Vnculodendice"/>
                <w:rFonts w:eastAsia="" w:cs="" w:ascii="Times New Roman" w:hAnsi="Times New Roman" w:cstheme="minorBidi" w:eastAsiaTheme="minorEastAsia"/>
                <w:kern w:val="2"/>
                <w:sz w:val="24"/>
                <w:szCs w:val="24"/>
                <w14:ligatures w14:val="standardContextual"/>
              </w:rPr>
              <w:tab/>
            </w:r>
            <w:r>
              <w:rPr>
                <w:rStyle w:val="Vnculodendice"/>
                <w:rFonts w:ascii="Times New Roman" w:hAnsi="Times New Roman"/>
                <w:sz w:val="24"/>
                <w:szCs w:val="24"/>
              </w:rPr>
              <w:t>DA FASE DE HABILITAÇÃO</w:t>
            </w:r>
            <w:r>
              <w:rPr>
                <w:rStyle w:val="Vnculodendice"/>
                <w:rFonts w:ascii="Times New Roman" w:hAnsi="Times New Roman"/>
                <w:vanish w:val="false"/>
                <w:sz w:val="24"/>
                <w:szCs w:val="24"/>
              </w:rPr>
              <w:tab/>
            </w:r>
            <w:r>
              <w:rPr>
                <w:webHidden/>
              </w:rPr>
              <w:fldChar w:fldCharType="begin"/>
            </w:r>
            <w:r>
              <w:rPr>
                <w:webHidden/>
              </w:rPr>
              <w:instrText xml:space="preserve">PAGEREF _Toc215145274 \h</w:instrText>
            </w:r>
            <w:r>
              <w:rPr>
                <w:webHidden/>
              </w:rPr>
              <w:fldChar w:fldCharType="separate"/>
            </w:r>
            <w:r>
              <w:rPr>
                <w:rStyle w:val="Vnculodendice"/>
                <w:rFonts w:ascii="Times New Roman" w:hAnsi="Times New Roman"/>
                <w:vanish w:val="false"/>
                <w:sz w:val="24"/>
                <w:szCs w:val="24"/>
              </w:rPr>
              <w:t>18</w:t>
            </w:r>
            <w:r>
              <w:rPr>
                <w:webHidden/>
              </w:rPr>
              <w:fldChar w:fldCharType="end"/>
            </w:r>
          </w:hyperlink>
        </w:p>
        <w:p>
          <w:pPr>
            <w:pStyle w:val="TOC1"/>
            <w:spacing w:lineRule="auto" w:line="276" w:before="0" w:after="170"/>
            <w:ind w:hanging="0" w:left="0"/>
            <w:rPr/>
          </w:pPr>
          <w:hyperlink w:anchor="_Toc215145275">
            <w:r>
              <w:rPr>
                <w:webHidden/>
                <w:rStyle w:val="Vnculodendice"/>
                <w:rFonts w:ascii="Times New Roman" w:hAnsi="Times New Roman"/>
                <w:vanish w:val="false"/>
                <w:sz w:val="24"/>
                <w:szCs w:val="24"/>
              </w:rPr>
              <w:t>10.</w:t>
            </w:r>
            <w:r>
              <w:rPr>
                <w:rStyle w:val="Vnculodendice"/>
                <w:rFonts w:eastAsia="" w:cs="" w:ascii="Times New Roman" w:hAnsi="Times New Roman" w:cstheme="minorBidi" w:eastAsiaTheme="minorEastAsia"/>
                <w:kern w:val="2"/>
                <w:sz w:val="24"/>
                <w:szCs w:val="24"/>
                <w14:ligatures w14:val="standardContextual"/>
              </w:rPr>
              <w:tab/>
            </w:r>
            <w:r>
              <w:rPr>
                <w:rStyle w:val="Vnculodendice"/>
                <w:rFonts w:ascii="Times New Roman" w:hAnsi="Times New Roman"/>
                <w:sz w:val="24"/>
                <w:szCs w:val="24"/>
              </w:rPr>
              <w:t>DO TERMO DE CONTRATO</w:t>
            </w:r>
            <w:r>
              <w:rPr>
                <w:rStyle w:val="Vnculodendice"/>
                <w:rFonts w:ascii="Times New Roman" w:hAnsi="Times New Roman"/>
                <w:vanish w:val="false"/>
                <w:sz w:val="24"/>
                <w:szCs w:val="24"/>
              </w:rPr>
              <w:tab/>
            </w:r>
            <w:r>
              <w:rPr>
                <w:webHidden/>
              </w:rPr>
              <w:fldChar w:fldCharType="begin"/>
            </w:r>
            <w:r>
              <w:rPr>
                <w:webHidden/>
              </w:rPr>
              <w:instrText xml:space="preserve">PAGEREF _Toc215145275 \h</w:instrText>
            </w:r>
            <w:r>
              <w:rPr>
                <w:webHidden/>
              </w:rPr>
              <w:fldChar w:fldCharType="separate"/>
            </w:r>
            <w:r>
              <w:rPr>
                <w:rStyle w:val="Vnculodendice"/>
                <w:rFonts w:ascii="Times New Roman" w:hAnsi="Times New Roman"/>
                <w:vanish w:val="false"/>
                <w:sz w:val="24"/>
                <w:szCs w:val="24"/>
              </w:rPr>
              <w:t>20</w:t>
            </w:r>
            <w:r>
              <w:rPr>
                <w:webHidden/>
              </w:rPr>
              <w:fldChar w:fldCharType="end"/>
            </w:r>
          </w:hyperlink>
        </w:p>
        <w:p>
          <w:pPr>
            <w:pStyle w:val="TOC1"/>
            <w:spacing w:lineRule="auto" w:line="276" w:before="0" w:after="170"/>
            <w:ind w:hanging="0" w:left="0"/>
            <w:rPr/>
          </w:pPr>
          <w:hyperlink w:anchor="_Toc215145276">
            <w:r>
              <w:rPr>
                <w:webHidden/>
                <w:rStyle w:val="Vnculodendice"/>
                <w:rFonts w:ascii="Times New Roman" w:hAnsi="Times New Roman"/>
                <w:vanish w:val="false"/>
                <w:sz w:val="24"/>
                <w:szCs w:val="24"/>
                <w:highlight w:val="cyan"/>
              </w:rPr>
              <w:t>11.</w:t>
            </w:r>
            <w:r>
              <w:rPr>
                <w:rStyle w:val="Vnculodendice"/>
                <w:rFonts w:eastAsia="" w:cs="" w:ascii="Times New Roman" w:hAnsi="Times New Roman" w:cstheme="minorBidi" w:eastAsiaTheme="minorEastAsia"/>
                <w:kern w:val="2"/>
                <w:sz w:val="24"/>
                <w:szCs w:val="24"/>
                <w14:ligatures w14:val="standardContextual"/>
              </w:rPr>
              <w:tab/>
            </w:r>
            <w:r>
              <w:rPr>
                <w:rStyle w:val="Vnculodendice"/>
                <w:rFonts w:ascii="Times New Roman" w:hAnsi="Times New Roman"/>
                <w:sz w:val="24"/>
                <w:szCs w:val="24"/>
                <w:highlight w:val="cyan"/>
              </w:rPr>
              <w:t>DA ATA DE REGISTRO DE PREÇOS</w:t>
            </w:r>
            <w:r>
              <w:rPr>
                <w:rStyle w:val="Vnculodendice"/>
                <w:rFonts w:ascii="Times New Roman" w:hAnsi="Times New Roman"/>
                <w:vanish w:val="false"/>
                <w:sz w:val="24"/>
                <w:szCs w:val="24"/>
              </w:rPr>
              <w:tab/>
            </w:r>
            <w:r>
              <w:rPr>
                <w:webHidden/>
              </w:rPr>
              <w:fldChar w:fldCharType="begin"/>
            </w:r>
            <w:r>
              <w:rPr>
                <w:webHidden/>
              </w:rPr>
              <w:instrText xml:space="preserve">PAGEREF _Toc215145276 \h</w:instrText>
            </w:r>
            <w:r>
              <w:rPr>
                <w:webHidden/>
              </w:rPr>
              <w:fldChar w:fldCharType="separate"/>
            </w:r>
            <w:r>
              <w:rPr>
                <w:rStyle w:val="Vnculodendice"/>
                <w:rFonts w:ascii="Times New Roman" w:hAnsi="Times New Roman"/>
                <w:vanish w:val="false"/>
                <w:sz w:val="24"/>
                <w:szCs w:val="24"/>
              </w:rPr>
              <w:t>21</w:t>
            </w:r>
            <w:r>
              <w:rPr>
                <w:webHidden/>
              </w:rPr>
              <w:fldChar w:fldCharType="end"/>
            </w:r>
          </w:hyperlink>
        </w:p>
        <w:p>
          <w:pPr>
            <w:pStyle w:val="TOC1"/>
            <w:spacing w:lineRule="auto" w:line="276" w:before="0" w:after="170"/>
            <w:ind w:hanging="0" w:left="0"/>
            <w:rPr/>
          </w:pPr>
          <w:hyperlink w:anchor="_Toc215145277">
            <w:r>
              <w:rPr>
                <w:webHidden/>
                <w:rStyle w:val="Vnculodendice"/>
                <w:rFonts w:ascii="Times New Roman" w:hAnsi="Times New Roman"/>
                <w:vanish w:val="false"/>
                <w:sz w:val="24"/>
                <w:szCs w:val="24"/>
                <w:highlight w:val="cyan"/>
              </w:rPr>
              <w:t>12.</w:t>
            </w:r>
            <w:r>
              <w:rPr>
                <w:rStyle w:val="Vnculodendice"/>
                <w:rFonts w:eastAsia="" w:cs="" w:ascii="Times New Roman" w:hAnsi="Times New Roman" w:cstheme="minorBidi" w:eastAsiaTheme="minorEastAsia"/>
                <w:kern w:val="2"/>
                <w:sz w:val="24"/>
                <w:szCs w:val="24"/>
                <w14:ligatures w14:val="standardContextual"/>
              </w:rPr>
              <w:tab/>
            </w:r>
            <w:r>
              <w:rPr>
                <w:rStyle w:val="Vnculodendice"/>
                <w:rFonts w:ascii="Times New Roman" w:hAnsi="Times New Roman"/>
                <w:sz w:val="24"/>
                <w:szCs w:val="24"/>
                <w:highlight w:val="cyan"/>
              </w:rPr>
              <w:t>DA FORMAÇÃO DO CADASTRO DE RESERVA</w:t>
            </w:r>
            <w:r>
              <w:rPr>
                <w:rStyle w:val="Vnculodendice"/>
                <w:rFonts w:ascii="Times New Roman" w:hAnsi="Times New Roman"/>
                <w:vanish w:val="false"/>
                <w:sz w:val="24"/>
                <w:szCs w:val="24"/>
              </w:rPr>
              <w:tab/>
            </w:r>
            <w:r>
              <w:rPr>
                <w:webHidden/>
              </w:rPr>
              <w:fldChar w:fldCharType="begin"/>
            </w:r>
            <w:r>
              <w:rPr>
                <w:webHidden/>
              </w:rPr>
              <w:instrText xml:space="preserve">PAGEREF _Toc215145277 \h</w:instrText>
            </w:r>
            <w:r>
              <w:rPr>
                <w:webHidden/>
              </w:rPr>
              <w:fldChar w:fldCharType="separate"/>
            </w:r>
            <w:r>
              <w:rPr>
                <w:rStyle w:val="Vnculodendice"/>
                <w:rFonts w:ascii="Times New Roman" w:hAnsi="Times New Roman"/>
                <w:vanish w:val="false"/>
                <w:sz w:val="24"/>
                <w:szCs w:val="24"/>
              </w:rPr>
              <w:t>22</w:t>
            </w:r>
            <w:r>
              <w:rPr>
                <w:webHidden/>
              </w:rPr>
              <w:fldChar w:fldCharType="end"/>
            </w:r>
          </w:hyperlink>
        </w:p>
        <w:p>
          <w:pPr>
            <w:pStyle w:val="TOC1"/>
            <w:spacing w:lineRule="auto" w:line="276" w:before="0" w:after="170"/>
            <w:ind w:hanging="0" w:left="0"/>
            <w:rPr/>
          </w:pPr>
          <w:hyperlink w:anchor="_Toc215145278">
            <w:r>
              <w:rPr>
                <w:webHidden/>
                <w:rStyle w:val="Vnculodendice"/>
                <w:rFonts w:ascii="Times New Roman" w:hAnsi="Times New Roman"/>
                <w:vanish w:val="false"/>
                <w:sz w:val="24"/>
                <w:szCs w:val="24"/>
              </w:rPr>
              <w:t>13.</w:t>
            </w:r>
            <w:r>
              <w:rPr>
                <w:rStyle w:val="Vnculodendice"/>
                <w:rFonts w:eastAsia="" w:cs="" w:ascii="Times New Roman" w:hAnsi="Times New Roman" w:cstheme="minorBidi" w:eastAsiaTheme="minorEastAsia"/>
                <w:kern w:val="2"/>
                <w:sz w:val="24"/>
                <w:szCs w:val="24"/>
                <w14:ligatures w14:val="standardContextual"/>
              </w:rPr>
              <w:tab/>
            </w:r>
            <w:r>
              <w:rPr>
                <w:rStyle w:val="Vnculodendice"/>
                <w:rFonts w:ascii="Times New Roman" w:hAnsi="Times New Roman"/>
                <w:sz w:val="24"/>
                <w:szCs w:val="24"/>
              </w:rPr>
              <w:t>DOS RECURSOS</w:t>
            </w:r>
            <w:r>
              <w:rPr>
                <w:rStyle w:val="Vnculodendice"/>
                <w:rFonts w:ascii="Times New Roman" w:hAnsi="Times New Roman"/>
                <w:vanish w:val="false"/>
                <w:sz w:val="24"/>
                <w:szCs w:val="24"/>
              </w:rPr>
              <w:tab/>
            </w:r>
            <w:r>
              <w:rPr>
                <w:webHidden/>
              </w:rPr>
              <w:fldChar w:fldCharType="begin"/>
            </w:r>
            <w:r>
              <w:rPr>
                <w:webHidden/>
              </w:rPr>
              <w:instrText xml:space="preserve">PAGEREF _Toc215145278 \h</w:instrText>
            </w:r>
            <w:r>
              <w:rPr>
                <w:webHidden/>
              </w:rPr>
              <w:fldChar w:fldCharType="separate"/>
            </w:r>
            <w:r>
              <w:rPr>
                <w:rStyle w:val="Vnculodendice"/>
                <w:rFonts w:ascii="Times New Roman" w:hAnsi="Times New Roman"/>
                <w:vanish w:val="false"/>
                <w:sz w:val="24"/>
                <w:szCs w:val="24"/>
              </w:rPr>
              <w:t>23</w:t>
            </w:r>
            <w:r>
              <w:rPr>
                <w:webHidden/>
              </w:rPr>
              <w:fldChar w:fldCharType="end"/>
            </w:r>
          </w:hyperlink>
        </w:p>
        <w:p>
          <w:pPr>
            <w:pStyle w:val="TOC1"/>
            <w:spacing w:lineRule="auto" w:line="276" w:before="0" w:after="170"/>
            <w:ind w:hanging="0" w:left="0"/>
            <w:rPr/>
          </w:pPr>
          <w:hyperlink w:anchor="_Toc215145279">
            <w:r>
              <w:rPr>
                <w:webHidden/>
                <w:rStyle w:val="Vnculodendice"/>
                <w:rFonts w:ascii="Times New Roman" w:hAnsi="Times New Roman"/>
                <w:vanish w:val="false"/>
                <w:sz w:val="24"/>
                <w:szCs w:val="24"/>
              </w:rPr>
              <w:t>14.</w:t>
            </w:r>
            <w:r>
              <w:rPr>
                <w:rStyle w:val="Vnculodendice"/>
                <w:rFonts w:eastAsia="" w:cs="" w:ascii="Times New Roman" w:hAnsi="Times New Roman" w:cstheme="minorBidi" w:eastAsiaTheme="minorEastAsia"/>
                <w:kern w:val="2"/>
                <w:sz w:val="24"/>
                <w:szCs w:val="24"/>
                <w14:ligatures w14:val="standardContextual"/>
              </w:rPr>
              <w:tab/>
            </w:r>
            <w:r>
              <w:rPr>
                <w:rStyle w:val="Vnculodendice"/>
                <w:rFonts w:ascii="Times New Roman" w:hAnsi="Times New Roman"/>
                <w:sz w:val="24"/>
                <w:szCs w:val="24"/>
              </w:rPr>
              <w:t>DAS INFRAÇÕES ADMINISTRATIVAS E SANÇÕES</w:t>
            </w:r>
            <w:r>
              <w:rPr>
                <w:rStyle w:val="Vnculodendice"/>
                <w:rFonts w:ascii="Times New Roman" w:hAnsi="Times New Roman"/>
                <w:vanish w:val="false"/>
                <w:sz w:val="24"/>
                <w:szCs w:val="24"/>
              </w:rPr>
              <w:tab/>
            </w:r>
            <w:r>
              <w:rPr>
                <w:webHidden/>
              </w:rPr>
              <w:fldChar w:fldCharType="begin"/>
            </w:r>
            <w:r>
              <w:rPr>
                <w:webHidden/>
              </w:rPr>
              <w:instrText xml:space="preserve">PAGEREF _Toc215145279 \h</w:instrText>
            </w:r>
            <w:r>
              <w:rPr>
                <w:webHidden/>
              </w:rPr>
              <w:fldChar w:fldCharType="separate"/>
            </w:r>
            <w:r>
              <w:rPr>
                <w:rStyle w:val="Vnculodendice"/>
                <w:rFonts w:ascii="Times New Roman" w:hAnsi="Times New Roman"/>
                <w:vanish w:val="false"/>
                <w:sz w:val="24"/>
                <w:szCs w:val="24"/>
              </w:rPr>
              <w:t>23</w:t>
            </w:r>
            <w:r>
              <w:rPr>
                <w:webHidden/>
              </w:rPr>
              <w:fldChar w:fldCharType="end"/>
            </w:r>
          </w:hyperlink>
        </w:p>
        <w:p>
          <w:pPr>
            <w:pStyle w:val="TOC1"/>
            <w:spacing w:lineRule="auto" w:line="276" w:before="0" w:after="170"/>
            <w:ind w:hanging="0" w:left="0"/>
            <w:rPr/>
          </w:pPr>
          <w:hyperlink w:anchor="_Toc215145280">
            <w:r>
              <w:rPr>
                <w:webHidden/>
                <w:rStyle w:val="Vnculodendice"/>
                <w:rFonts w:ascii="Times New Roman" w:hAnsi="Times New Roman"/>
                <w:vanish w:val="false"/>
                <w:sz w:val="24"/>
                <w:szCs w:val="24"/>
              </w:rPr>
              <w:t>15.</w:t>
            </w:r>
            <w:r>
              <w:rPr>
                <w:rStyle w:val="Vnculodendice"/>
                <w:rFonts w:eastAsia="" w:cs="" w:ascii="Times New Roman" w:hAnsi="Times New Roman" w:cstheme="minorBidi" w:eastAsiaTheme="minorEastAsia"/>
                <w:kern w:val="2"/>
                <w:sz w:val="24"/>
                <w:szCs w:val="24"/>
                <w14:ligatures w14:val="standardContextual"/>
              </w:rPr>
              <w:tab/>
            </w:r>
            <w:r>
              <w:rPr>
                <w:rStyle w:val="Vnculodendice"/>
                <w:rFonts w:ascii="Times New Roman" w:hAnsi="Times New Roman"/>
                <w:sz w:val="24"/>
                <w:szCs w:val="24"/>
              </w:rPr>
              <w:t>DA IMPUGNAÇÃO AO EDITAL E DO PEDIDO DE ESCLARECIMENTO</w:t>
            </w:r>
            <w:r>
              <w:rPr>
                <w:rStyle w:val="Vnculodendice"/>
                <w:rFonts w:ascii="Times New Roman" w:hAnsi="Times New Roman"/>
                <w:vanish w:val="false"/>
                <w:sz w:val="24"/>
                <w:szCs w:val="24"/>
              </w:rPr>
              <w:tab/>
            </w:r>
            <w:r>
              <w:rPr>
                <w:webHidden/>
              </w:rPr>
              <w:fldChar w:fldCharType="begin"/>
            </w:r>
            <w:r>
              <w:rPr>
                <w:webHidden/>
              </w:rPr>
              <w:instrText xml:space="preserve">PAGEREF _Toc215145280 \h</w:instrText>
            </w:r>
            <w:r>
              <w:rPr>
                <w:webHidden/>
              </w:rPr>
              <w:fldChar w:fldCharType="separate"/>
            </w:r>
            <w:r>
              <w:rPr>
                <w:rStyle w:val="Vnculodendice"/>
                <w:rFonts w:ascii="Times New Roman" w:hAnsi="Times New Roman"/>
                <w:vanish w:val="false"/>
                <w:sz w:val="24"/>
                <w:szCs w:val="24"/>
              </w:rPr>
              <w:t>26</w:t>
            </w:r>
            <w:r>
              <w:rPr>
                <w:webHidden/>
              </w:rPr>
              <w:fldChar w:fldCharType="end"/>
            </w:r>
          </w:hyperlink>
        </w:p>
        <w:p>
          <w:pPr>
            <w:pStyle w:val="TOC1"/>
            <w:spacing w:lineRule="auto" w:line="276" w:before="0" w:after="170"/>
            <w:ind w:hanging="0" w:left="0"/>
            <w:rPr/>
          </w:pPr>
          <w:hyperlink w:anchor="_Toc215145281">
            <w:r>
              <w:rPr>
                <w:webHidden/>
                <w:rStyle w:val="Vnculodendice"/>
                <w:rFonts w:ascii="Times New Roman" w:hAnsi="Times New Roman"/>
                <w:vanish w:val="false"/>
                <w:sz w:val="24"/>
                <w:szCs w:val="24"/>
              </w:rPr>
              <w:t>16.</w:t>
            </w:r>
            <w:r>
              <w:rPr>
                <w:rStyle w:val="Vnculodendice"/>
                <w:rFonts w:eastAsia="" w:cs="" w:ascii="Times New Roman" w:hAnsi="Times New Roman" w:cstheme="minorBidi" w:eastAsiaTheme="minorEastAsia"/>
                <w:kern w:val="2"/>
                <w:sz w:val="24"/>
                <w:szCs w:val="24"/>
                <w14:ligatures w14:val="standardContextual"/>
              </w:rPr>
              <w:tab/>
            </w:r>
            <w:r>
              <w:rPr>
                <w:rStyle w:val="Vnculodendice"/>
                <w:rFonts w:ascii="Times New Roman" w:hAnsi="Times New Roman"/>
                <w:sz w:val="24"/>
                <w:szCs w:val="24"/>
              </w:rPr>
              <w:t>DAS DISPOSIÇÕES GERAIS</w:t>
            </w:r>
            <w:r>
              <w:rPr>
                <w:rStyle w:val="Vnculodendice"/>
                <w:rFonts w:ascii="Times New Roman" w:hAnsi="Times New Roman"/>
                <w:vanish w:val="false"/>
                <w:sz w:val="24"/>
                <w:szCs w:val="24"/>
              </w:rPr>
              <w:tab/>
            </w:r>
            <w:r>
              <w:rPr>
                <w:webHidden/>
              </w:rPr>
              <w:fldChar w:fldCharType="begin"/>
            </w:r>
            <w:r>
              <w:rPr>
                <w:webHidden/>
              </w:rPr>
              <w:instrText xml:space="preserve">PAGEREF _Toc215145281 \h</w:instrText>
            </w:r>
            <w:r>
              <w:rPr>
                <w:webHidden/>
              </w:rPr>
              <w:fldChar w:fldCharType="separate"/>
            </w:r>
            <w:r>
              <w:rPr>
                <w:rStyle w:val="Vnculodendice"/>
                <w:rFonts w:ascii="Times New Roman" w:hAnsi="Times New Roman"/>
                <w:vanish w:val="false"/>
                <w:sz w:val="24"/>
                <w:szCs w:val="24"/>
              </w:rPr>
              <w:t>26</w:t>
            </w:r>
            <w:r>
              <w:rPr>
                <w:webHidden/>
              </w:rPr>
              <w:fldChar w:fldCharType="end"/>
            </w:r>
          </w:hyperlink>
        </w:p>
        <w:p>
          <w:pPr>
            <w:pStyle w:val="Normal"/>
            <w:spacing w:lineRule="auto" w:line="276" w:before="0" w:after="170"/>
            <w:ind w:hanging="0" w:left="0"/>
            <w:rPr>
              <w:rFonts w:ascii="Times New Roman" w:hAnsi="Times New Roman" w:cs="Arial"/>
              <w:b/>
              <w:bCs/>
              <w:sz w:val="24"/>
              <w:szCs w:val="24"/>
            </w:rPr>
          </w:pPr>
          <w:r>
            <w:rPr>
              <w:rFonts w:cs="Arial" w:ascii="Times New Roman" w:hAnsi="Times New Roman"/>
              <w:b/>
              <w:bCs/>
              <w:sz w:val="24"/>
              <w:szCs w:val="24"/>
            </w:rPr>
          </w:r>
          <w:r>
            <w:rPr>
              <w:sz w:val="24"/>
              <w:b/>
              <w:szCs w:val="24"/>
              <w:bCs/>
              <w:rFonts w:cs="Arial" w:ascii="Times New Roman" w:hAnsi="Times New Roman"/>
            </w:rPr>
            <w:fldChar w:fldCharType="end"/>
          </w:r>
        </w:p>
      </w:sdtContent>
    </w:sdt>
    <w:p>
      <w:pPr>
        <w:pStyle w:val="Normal"/>
        <w:spacing w:lineRule="auto" w:line="276" w:before="0" w:after="170"/>
        <w:ind w:hanging="0" w:left="0"/>
        <w:rPr>
          <w:rFonts w:ascii="Times New Roman" w:hAnsi="Times New Roman" w:cs="Arial"/>
          <w:b/>
          <w:bCs/>
          <w:color w:val="5B5B5F"/>
          <w:sz w:val="24"/>
          <w:szCs w:val="24"/>
        </w:rPr>
      </w:pPr>
      <w:r>
        <w:rPr>
          <w:rFonts w:cs="Arial" w:ascii="Times New Roman" w:hAnsi="Times New Roman"/>
          <w:b/>
          <w:bCs/>
          <w:color w:val="5B5B5F"/>
          <w:sz w:val="24"/>
          <w:szCs w:val="24"/>
        </w:rPr>
      </w:r>
    </w:p>
    <w:p>
      <w:pPr>
        <w:pStyle w:val="Normal"/>
        <w:spacing w:lineRule="auto" w:line="276" w:before="0" w:after="170"/>
        <w:ind w:hanging="0" w:left="0"/>
        <w:rPr>
          <w:rFonts w:ascii="Times New Roman" w:hAnsi="Times New Roman" w:cs="Arial"/>
          <w:b/>
          <w:bCs/>
          <w:color w:val="5B5B5F"/>
          <w:sz w:val="24"/>
          <w:szCs w:val="24"/>
        </w:rPr>
      </w:pPr>
      <w:r>
        <w:rPr>
          <w:rFonts w:cs="Arial" w:ascii="Times New Roman" w:hAnsi="Times New Roman"/>
          <w:b/>
          <w:bCs/>
          <w:color w:val="5B5B5F"/>
          <w:sz w:val="24"/>
          <w:szCs w:val="24"/>
        </w:rPr>
      </w:r>
    </w:p>
    <w:p>
      <w:pPr>
        <w:pStyle w:val="Normal"/>
        <w:spacing w:lineRule="auto" w:line="276" w:before="0" w:after="170"/>
        <w:ind w:hanging="0" w:left="0"/>
        <w:rPr>
          <w:rFonts w:ascii="Times New Roman" w:hAnsi="Times New Roman" w:cs="Arial"/>
          <w:b/>
          <w:bCs/>
          <w:color w:val="5B5B5F"/>
          <w:sz w:val="24"/>
          <w:szCs w:val="24"/>
        </w:rPr>
      </w:pPr>
      <w:r>
        <w:rPr>
          <w:rFonts w:cs="Arial" w:ascii="Times New Roman" w:hAnsi="Times New Roman"/>
          <w:b/>
          <w:bCs/>
          <w:color w:val="5B5B5F"/>
          <w:sz w:val="24"/>
          <w:szCs w:val="24"/>
        </w:rPr>
      </w:r>
    </w:p>
    <w:p>
      <w:pPr>
        <w:pStyle w:val="Normal"/>
        <w:spacing w:lineRule="auto" w:line="276" w:before="0" w:after="170"/>
        <w:ind w:hanging="0" w:left="0"/>
        <w:rPr>
          <w:rFonts w:ascii="Times New Roman" w:hAnsi="Times New Roman" w:cs="Arial"/>
          <w:b/>
          <w:bCs/>
          <w:color w:val="5B5B5F"/>
          <w:sz w:val="24"/>
          <w:szCs w:val="24"/>
        </w:rPr>
      </w:pPr>
      <w:r>
        <w:rPr>
          <w:rFonts w:cs="Arial" w:ascii="Times New Roman" w:hAnsi="Times New Roman"/>
          <w:b/>
          <w:bCs/>
          <w:color w:val="5B5B5F"/>
          <w:sz w:val="24"/>
          <w:szCs w:val="24"/>
        </w:rPr>
      </w:r>
    </w:p>
    <w:p>
      <w:pPr>
        <w:pStyle w:val="Normal"/>
        <w:spacing w:lineRule="auto" w:line="276" w:before="0" w:after="170"/>
        <w:ind w:hanging="0" w:left="0"/>
        <w:rPr>
          <w:rFonts w:ascii="Times New Roman" w:hAnsi="Times New Roman" w:cs="Arial"/>
          <w:b/>
          <w:bCs/>
          <w:color w:val="5B5B5F"/>
          <w:sz w:val="24"/>
          <w:szCs w:val="24"/>
        </w:rPr>
      </w:pPr>
      <w:r>
        <w:rPr>
          <w:rFonts w:cs="Arial" w:ascii="Times New Roman" w:hAnsi="Times New Roman"/>
          <w:b/>
          <w:bCs/>
          <w:color w:val="5B5B5F"/>
          <w:sz w:val="24"/>
          <w:szCs w:val="24"/>
        </w:rPr>
      </w:r>
    </w:p>
    <w:p>
      <w:pPr>
        <w:pStyle w:val="Normal"/>
        <w:spacing w:lineRule="auto" w:line="276" w:before="0" w:after="170"/>
        <w:ind w:hanging="0" w:left="0"/>
        <w:rPr>
          <w:rFonts w:ascii="Times New Roman" w:hAnsi="Times New Roman" w:cs="Arial"/>
          <w:b/>
          <w:bCs/>
          <w:color w:val="5B5B5F"/>
          <w:sz w:val="24"/>
          <w:szCs w:val="24"/>
        </w:rPr>
      </w:pPr>
      <w:r>
        <w:rPr>
          <w:rFonts w:cs="Arial" w:ascii="Times New Roman" w:hAnsi="Times New Roman"/>
          <w:b/>
          <w:bCs/>
          <w:color w:val="5B5B5F"/>
          <w:sz w:val="24"/>
          <w:szCs w:val="24"/>
        </w:rPr>
      </w:r>
    </w:p>
    <w:p>
      <w:pPr>
        <w:pStyle w:val="Normal"/>
        <w:spacing w:lineRule="auto" w:line="276" w:before="0" w:after="170"/>
        <w:ind w:hanging="0" w:left="0"/>
        <w:rPr>
          <w:rFonts w:ascii="Times New Roman" w:hAnsi="Times New Roman" w:cs="Arial"/>
          <w:b/>
          <w:bCs/>
          <w:color w:val="5B5B5F"/>
          <w:sz w:val="24"/>
          <w:szCs w:val="24"/>
        </w:rPr>
      </w:pPr>
      <w:r>
        <w:rPr>
          <w:rFonts w:cs="Arial" w:ascii="Times New Roman" w:hAnsi="Times New Roman"/>
          <w:b/>
          <w:bCs/>
          <w:color w:val="5B5B5F"/>
          <w:sz w:val="24"/>
          <w:szCs w:val="24"/>
        </w:rPr>
      </w:r>
    </w:p>
    <w:p>
      <w:pPr>
        <w:pStyle w:val="Normal"/>
        <w:spacing w:lineRule="auto" w:line="276" w:before="0" w:after="170"/>
        <w:ind w:hanging="0" w:left="0"/>
        <w:rPr>
          <w:rFonts w:ascii="Times New Roman" w:hAnsi="Times New Roman" w:cs="Arial"/>
          <w:b/>
          <w:bCs/>
          <w:color w:val="5B5B5F"/>
          <w:sz w:val="24"/>
          <w:szCs w:val="24"/>
        </w:rPr>
      </w:pPr>
      <w:r>
        <w:rPr>
          <w:rFonts w:cs="Arial" w:ascii="Times New Roman" w:hAnsi="Times New Roman"/>
          <w:b/>
          <w:bCs/>
          <w:color w:val="5B5B5F"/>
          <w:sz w:val="24"/>
          <w:szCs w:val="24"/>
        </w:rPr>
      </w:r>
    </w:p>
    <w:p>
      <w:pPr>
        <w:pStyle w:val="Normal"/>
        <w:spacing w:lineRule="auto" w:line="276" w:before="0" w:after="170"/>
        <w:ind w:hanging="0" w:left="0"/>
        <w:rPr>
          <w:rFonts w:ascii="Times New Roman" w:hAnsi="Times New Roman" w:cs="Arial"/>
          <w:b/>
          <w:bCs/>
          <w:color w:val="5B5B5F"/>
          <w:sz w:val="24"/>
          <w:szCs w:val="24"/>
        </w:rPr>
      </w:pPr>
      <w:r>
        <w:rPr>
          <w:rFonts w:cs="Arial" w:ascii="Times New Roman" w:hAnsi="Times New Roman"/>
          <w:b/>
          <w:bCs/>
          <w:color w:val="5B5B5F"/>
          <w:sz w:val="24"/>
          <w:szCs w:val="24"/>
        </w:rPr>
      </w:r>
    </w:p>
    <w:p>
      <w:pPr>
        <w:pStyle w:val="Normal"/>
        <w:spacing w:lineRule="auto" w:line="276" w:before="0" w:after="170"/>
        <w:ind w:hanging="0" w:left="0"/>
        <w:rPr>
          <w:rFonts w:ascii="Times New Roman" w:hAnsi="Times New Roman" w:cs="Arial"/>
          <w:b/>
          <w:bCs/>
          <w:color w:val="5B5B5F"/>
          <w:sz w:val="24"/>
          <w:szCs w:val="24"/>
        </w:rPr>
      </w:pPr>
      <w:r>
        <w:rPr>
          <w:rFonts w:cs="Arial" w:ascii="Times New Roman" w:hAnsi="Times New Roman"/>
          <w:b/>
          <w:bCs/>
          <w:color w:val="5B5B5F"/>
          <w:sz w:val="24"/>
          <w:szCs w:val="24"/>
        </w:rPr>
      </w:r>
    </w:p>
    <w:p>
      <w:pPr>
        <w:pStyle w:val="Normal"/>
        <w:spacing w:lineRule="auto" w:line="276" w:before="0" w:after="170"/>
        <w:ind w:hanging="0" w:left="0"/>
        <w:rPr>
          <w:rFonts w:ascii="Times New Roman" w:hAnsi="Times New Roman" w:cs="Arial"/>
          <w:b/>
          <w:bCs/>
          <w:color w:val="5B5B5F"/>
          <w:sz w:val="24"/>
          <w:szCs w:val="24"/>
        </w:rPr>
      </w:pPr>
      <w:r>
        <w:rPr>
          <w:rFonts w:cs="Arial" w:ascii="Times New Roman" w:hAnsi="Times New Roman"/>
          <w:b/>
          <w:bCs/>
          <w:color w:val="5B5B5F"/>
          <w:sz w:val="24"/>
          <w:szCs w:val="24"/>
        </w:rPr>
      </w:r>
    </w:p>
    <w:p>
      <w:pPr>
        <w:pStyle w:val="Normal"/>
        <w:spacing w:lineRule="auto" w:line="276" w:before="0" w:after="170"/>
        <w:ind w:hanging="0" w:left="0"/>
        <w:jc w:val="center"/>
        <w:rPr>
          <w:rFonts w:ascii="Times New Roman" w:hAnsi="Times New Roman"/>
          <w:sz w:val="24"/>
          <w:szCs w:val="24"/>
        </w:rPr>
      </w:pPr>
      <w:r>
        <w:rPr>
          <w:rFonts w:ascii="Times New Roman" w:hAnsi="Times New Roman"/>
          <w:sz w:val="24"/>
          <w:szCs w:val="24"/>
        </w:rPr>
        <w:drawing>
          <wp:anchor behindDoc="0" distT="0" distB="0" distL="114300" distR="114300" simplePos="0" locked="0" layoutInCell="0" allowOverlap="1" relativeHeight="2">
            <wp:simplePos x="0" y="0"/>
            <wp:positionH relativeFrom="column">
              <wp:posOffset>2703830</wp:posOffset>
            </wp:positionH>
            <wp:positionV relativeFrom="paragraph">
              <wp:posOffset>-125730</wp:posOffset>
            </wp:positionV>
            <wp:extent cx="737870" cy="805815"/>
            <wp:effectExtent l="0" t="0" r="0" b="0"/>
            <wp:wrapTopAndBottom/>
            <wp:docPr id="1" name="Imagem 18669637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866963775" descr=""/>
                    <pic:cNvPicPr>
                      <a:picLocks noChangeAspect="1" noChangeArrowheads="1"/>
                    </pic:cNvPicPr>
                  </pic:nvPicPr>
                  <pic:blipFill>
                    <a:blip r:embed="rId2"/>
                    <a:stretch>
                      <a:fillRect/>
                    </a:stretch>
                  </pic:blipFill>
                  <pic:spPr bwMode="auto">
                    <a:xfrm>
                      <a:off x="0" y="0"/>
                      <a:ext cx="737870" cy="805815"/>
                    </a:xfrm>
                    <a:prstGeom prst="rect">
                      <a:avLst/>
                    </a:prstGeom>
                    <a:noFill/>
                  </pic:spPr>
                </pic:pic>
              </a:graphicData>
            </a:graphic>
          </wp:anchor>
        </w:drawing>
      </w:r>
    </w:p>
    <w:p>
      <w:pPr>
        <w:pStyle w:val="Normal"/>
        <w:spacing w:lineRule="auto" w:line="276" w:before="0" w:after="170"/>
        <w:ind w:hanging="0" w:left="0"/>
        <w:jc w:val="center"/>
        <w:rPr>
          <w:rFonts w:ascii="Times New Roman" w:hAnsi="Times New Roman"/>
          <w:sz w:val="24"/>
          <w:szCs w:val="24"/>
        </w:rPr>
      </w:pPr>
      <w:r>
        <w:rPr>
          <w:rFonts w:ascii="Times New Roman" w:hAnsi="Times New Roman"/>
          <w:b/>
          <w:sz w:val="24"/>
          <w:szCs w:val="24"/>
        </w:rPr>
        <w:t>EXÉRCITO BRASILEIRO</w:t>
      </w:r>
    </w:p>
    <w:p>
      <w:pPr>
        <w:pStyle w:val="Normal"/>
        <w:spacing w:lineRule="auto" w:line="276" w:before="0" w:after="170"/>
        <w:ind w:hanging="0" w:left="0"/>
        <w:jc w:val="center"/>
        <w:rPr>
          <w:rFonts w:ascii="Times New Roman" w:hAnsi="Times New Roman"/>
          <w:sz w:val="24"/>
          <w:szCs w:val="24"/>
        </w:rPr>
      </w:pPr>
      <w:r>
        <w:rPr>
          <w:rFonts w:ascii="Times New Roman" w:hAnsi="Times New Roman"/>
          <w:b/>
          <w:sz w:val="24"/>
          <w:szCs w:val="24"/>
        </w:rPr>
        <w:t>CMNE – 7a RM</w:t>
      </w:r>
    </w:p>
    <w:p>
      <w:pPr>
        <w:pStyle w:val="Normal"/>
        <w:spacing w:lineRule="auto" w:line="276" w:before="0" w:after="170"/>
        <w:ind w:hanging="0" w:left="0"/>
        <w:jc w:val="center"/>
        <w:rPr>
          <w:rFonts w:ascii="Times New Roman" w:hAnsi="Times New Roman"/>
          <w:sz w:val="24"/>
          <w:szCs w:val="24"/>
        </w:rPr>
      </w:pPr>
      <w:r>
        <w:rPr>
          <w:rFonts w:ascii="Times New Roman" w:hAnsi="Times New Roman"/>
          <w:b/>
          <w:sz w:val="24"/>
          <w:szCs w:val="24"/>
        </w:rPr>
        <w:t>PARQUE REGIONAL DE MANUTENÇÃO/7</w:t>
      </w:r>
    </w:p>
    <w:p>
      <w:pPr>
        <w:pStyle w:val="Normal"/>
        <w:spacing w:lineRule="auto" w:line="276" w:before="0" w:after="170"/>
        <w:ind w:hanging="0" w:left="0"/>
        <w:jc w:val="center"/>
        <w:rPr>
          <w:rFonts w:ascii="Times New Roman" w:hAnsi="Times New Roman"/>
          <w:sz w:val="24"/>
          <w:szCs w:val="24"/>
        </w:rPr>
      </w:pPr>
      <w:r>
        <w:rPr>
          <w:rFonts w:ascii="Times New Roman" w:hAnsi="Times New Roman"/>
          <w:b/>
          <w:color w:val="000000"/>
          <w:sz w:val="24"/>
          <w:szCs w:val="24"/>
        </w:rPr>
        <w:t>(Pq R MB/7a RM/1947)</w:t>
      </w:r>
    </w:p>
    <w:p>
      <w:pPr>
        <w:pStyle w:val="Normal"/>
        <w:spacing w:lineRule="auto" w:line="276" w:before="0" w:after="170"/>
        <w:ind w:hanging="0" w:left="0"/>
        <w:jc w:val="center"/>
        <w:rPr>
          <w:rFonts w:ascii="Times New Roman" w:hAnsi="Times New Roman"/>
          <w:sz w:val="24"/>
          <w:szCs w:val="24"/>
        </w:rPr>
      </w:pPr>
      <w:r>
        <w:rPr>
          <w:rFonts w:cs="Arial" w:ascii="Times New Roman" w:hAnsi="Times New Roman"/>
          <w:b/>
          <w:bCs/>
          <w:i/>
          <w:color w:val="000000"/>
          <w:sz w:val="24"/>
          <w:szCs w:val="24"/>
        </w:rPr>
        <w:t>PARQUE DE MANUTENÇÃO BATALHA DE CASA FORTE</w:t>
      </w:r>
    </w:p>
    <w:p>
      <w:pPr>
        <w:pStyle w:val="Normal"/>
        <w:spacing w:lineRule="auto" w:line="276" w:before="0" w:after="170"/>
        <w:ind w:hanging="0" w:left="0"/>
        <w:jc w:val="center"/>
        <w:rPr>
          <w:rFonts w:ascii="Times New Roman" w:hAnsi="Times New Roman"/>
          <w:sz w:val="24"/>
          <w:szCs w:val="24"/>
        </w:rPr>
      </w:pPr>
      <w:r>
        <w:rPr>
          <w:rFonts w:cs="Arial" w:ascii="Times New Roman" w:hAnsi="Times New Roman"/>
          <w:b/>
          <w:bCs/>
          <w:i/>
          <w:color w:val="000000"/>
          <w:sz w:val="24"/>
          <w:szCs w:val="24"/>
        </w:rPr>
        <w:t xml:space="preserve"> </w:t>
      </w:r>
      <w:r>
        <w:rPr>
          <w:rFonts w:cs="Arial" w:ascii="Times New Roman" w:hAnsi="Times New Roman"/>
          <w:b/>
          <w:bCs/>
          <w:i/>
          <w:color w:val="000000"/>
          <w:sz w:val="24"/>
          <w:szCs w:val="24"/>
        </w:rPr>
        <w:t>(Av. 17 de Agosto, 784, Casa Forte, Recife – PE, CEP 52.060-590)</w:t>
      </w:r>
    </w:p>
    <w:p>
      <w:pPr>
        <w:pStyle w:val="Normal"/>
        <w:spacing w:lineRule="auto" w:line="276" w:before="0" w:after="170"/>
        <w:ind w:hanging="0" w:left="0"/>
        <w:jc w:val="center"/>
        <w:rPr>
          <w:rFonts w:ascii="Times New Roman" w:hAnsi="Times New Roman"/>
          <w:sz w:val="24"/>
          <w:szCs w:val="24"/>
        </w:rPr>
      </w:pPr>
      <w:r>
        <w:rPr>
          <w:rFonts w:cs="Arial" w:ascii="Times New Roman" w:hAnsi="Times New Roman"/>
          <w:b/>
          <w:color w:val="000000"/>
          <w:sz w:val="24"/>
          <w:szCs w:val="24"/>
        </w:rPr>
        <w:t>PREGÃO ELETRÔNICO</w:t>
      </w:r>
      <w:r>
        <w:rPr>
          <w:rFonts w:cs="Arial" w:ascii="Times New Roman" w:hAnsi="Times New Roman"/>
          <w:b/>
          <w:color w:val="FF0000"/>
          <w:sz w:val="24"/>
          <w:szCs w:val="24"/>
        </w:rPr>
        <w:t xml:space="preserve"> </w:t>
      </w:r>
      <w:r>
        <w:rPr>
          <w:rFonts w:cs="Arial" w:ascii="Times New Roman" w:hAnsi="Times New Roman"/>
          <w:b/>
          <w:color w:val="000000"/>
          <w:sz w:val="24"/>
          <w:szCs w:val="24"/>
        </w:rPr>
        <w:t>Nº 90016/2025</w:t>
      </w:r>
    </w:p>
    <w:p>
      <w:pPr>
        <w:pStyle w:val="Normal"/>
        <w:spacing w:lineRule="auto" w:line="276" w:before="0" w:after="170"/>
        <w:ind w:hanging="0" w:left="0"/>
        <w:jc w:val="center"/>
        <w:rPr>
          <w:rFonts w:ascii="Times New Roman" w:hAnsi="Times New Roman"/>
          <w:sz w:val="24"/>
          <w:szCs w:val="24"/>
        </w:rPr>
      </w:pPr>
      <w:r>
        <w:rPr>
          <w:rFonts w:cs="Arial" w:ascii="Times New Roman" w:hAnsi="Times New Roman"/>
          <w:color w:val="000000"/>
          <w:sz w:val="24"/>
          <w:szCs w:val="24"/>
        </w:rPr>
        <w:t>(Processo Administrativo n</w:t>
      </w:r>
      <w:r>
        <w:rPr>
          <w:rFonts w:cs="Arial" w:ascii="Times New Roman" w:hAnsi="Times New Roman"/>
          <w:bCs/>
          <w:color w:val="000000"/>
          <w:sz w:val="24"/>
          <w:szCs w:val="24"/>
        </w:rPr>
        <w:t xml:space="preserve">° </w:t>
      </w:r>
      <w:r>
        <w:rPr>
          <w:rFonts w:cs="Times new roman" w:ascii="Times New Roman" w:hAnsi="Times New Roman"/>
          <w:b/>
          <w:bCs/>
          <w:i/>
          <w:iCs w:val="false"/>
          <w:color w:val="000000"/>
          <w:sz w:val="24"/>
          <w:szCs w:val="24"/>
          <w:shd w:fill="auto" w:val="clear"/>
        </w:rPr>
        <w:t>64621.008396/2025-75</w:t>
      </w:r>
    </w:p>
    <w:p>
      <w:pPr>
        <w:pStyle w:val="Normal"/>
        <w:spacing w:lineRule="auto" w:line="276" w:before="0" w:after="170"/>
        <w:ind w:hanging="0" w:left="0"/>
        <w:jc w:val="center"/>
        <w:rPr>
          <w:rFonts w:ascii="Times New Roman" w:hAnsi="Times New Roman" w:cs="Times new roman"/>
          <w:b/>
          <w:bCs/>
          <w:i/>
          <w:i/>
          <w:iCs w:val="false"/>
          <w:color w:val="000000"/>
          <w:sz w:val="24"/>
          <w:szCs w:val="24"/>
          <w:shd w:fill="auto" w:val="clear"/>
        </w:rPr>
      </w:pPr>
      <w:r>
        <w:rPr>
          <w:rFonts w:cs="Times new roman" w:ascii="Times New Roman" w:hAnsi="Times New Roman"/>
          <w:b/>
          <w:bCs/>
          <w:i/>
          <w:iCs w:val="false"/>
          <w:color w:val="000000"/>
          <w:sz w:val="24"/>
          <w:szCs w:val="24"/>
          <w:shd w:fill="auto" w:val="clear"/>
        </w:rPr>
      </w:r>
    </w:p>
    <w:p>
      <w:pPr>
        <w:pStyle w:val="Nivel2"/>
        <w:numPr>
          <w:ilvl w:val="0"/>
          <w:numId w:val="0"/>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Torna-se público que o </w:t>
      </w:r>
      <w:r>
        <w:rPr>
          <w:rFonts w:cs="Arial" w:ascii="Times New Roman" w:hAnsi="Times New Roman"/>
          <w:color w:val="000000"/>
          <w:sz w:val="24"/>
          <w:szCs w:val="24"/>
          <w:lang w:eastAsia="pt-BR"/>
        </w:rPr>
        <w:t>Parque Regional de Manutenção/7ª RM</w:t>
      </w:r>
      <w:r>
        <w:rPr>
          <w:rFonts w:ascii="Times New Roman" w:hAnsi="Times New Roman"/>
          <w:sz w:val="24"/>
          <w:szCs w:val="24"/>
        </w:rPr>
        <w:t xml:space="preserve">, por meio da </w:t>
      </w:r>
      <w:r>
        <w:rPr>
          <w:rFonts w:cs="Arial" w:ascii="Times New Roman" w:hAnsi="Times New Roman"/>
          <w:color w:val="000000"/>
          <w:sz w:val="24"/>
          <w:szCs w:val="24"/>
          <w:lang w:eastAsia="pt-BR"/>
        </w:rPr>
        <w:t>Seção de Aquisição, Licitações e Contratos (SALC)</w:t>
      </w:r>
      <w:r>
        <w:rPr>
          <w:rFonts w:ascii="Times New Roman" w:hAnsi="Times New Roman"/>
          <w:sz w:val="24"/>
          <w:szCs w:val="24"/>
        </w:rPr>
        <w:t>, sediado na Av Dezessete de Agosto, 784, bairro Casa Forte, CEP: 52060-590, Recife/PE, realizará licitação,</w:t>
      </w:r>
      <w:r>
        <w:rPr>
          <w:rFonts w:ascii="Times New Roman" w:hAnsi="Times New Roman"/>
          <w:sz w:val="24"/>
          <w:szCs w:val="24"/>
          <w:shd w:fill="auto" w:val="clear"/>
        </w:rPr>
        <w:t xml:space="preserve"> para registro de preços</w:t>
      </w:r>
      <w:r>
        <w:rPr>
          <w:rFonts w:ascii="Times New Roman" w:hAnsi="Times New Roman"/>
          <w:sz w:val="24"/>
          <w:szCs w:val="24"/>
        </w:rPr>
        <w:t xml:space="preserve">, na modalidade </w:t>
      </w:r>
      <w:r>
        <w:rPr>
          <w:rFonts w:ascii="Times New Roman" w:hAnsi="Times New Roman"/>
          <w:b/>
          <w:bCs/>
          <w:color w:val="000000"/>
          <w:sz w:val="24"/>
          <w:szCs w:val="24"/>
        </w:rPr>
        <w:t>PREGÃO ELETRÔNICO</w:t>
      </w:r>
      <w:r>
        <w:rPr>
          <w:rFonts w:ascii="Times New Roman" w:hAnsi="Times New Roman"/>
          <w:sz w:val="24"/>
          <w:szCs w:val="24"/>
        </w:rPr>
        <w:t>, na forma ELETRÔNICA, nos termos da Lei nº 14.133, de 1º de abril de 2021,</w:t>
      </w:r>
      <w:r>
        <w:rPr>
          <w:rFonts w:ascii="Times New Roman" w:hAnsi="Times New Roman"/>
          <w:sz w:val="24"/>
          <w:szCs w:val="24"/>
          <w:shd w:fill="auto" w:val="clear"/>
        </w:rPr>
        <w:t xml:space="preserve"> do Decreto nº 11.462, de 31 de março de 2023</w:t>
      </w:r>
      <w:r>
        <w:rPr>
          <w:rFonts w:ascii="Times New Roman" w:hAnsi="Times New Roman"/>
          <w:sz w:val="24"/>
          <w:szCs w:val="24"/>
        </w:rPr>
        <w:t>, e demais legislação aplicável e, ainda, de acordo com as condições estabelecidas neste Edital.</w:t>
      </w:r>
    </w:p>
    <w:p>
      <w:pPr>
        <w:pStyle w:val="Nivel01"/>
        <w:numPr>
          <w:ilvl w:val="0"/>
          <w:numId w:val="1"/>
        </w:numPr>
        <w:spacing w:lineRule="auto" w:line="276" w:before="0" w:after="170"/>
        <w:ind w:hanging="0" w:left="0"/>
        <w:rPr>
          <w:rFonts w:ascii="Times New Roman" w:hAnsi="Times New Roman"/>
          <w:sz w:val="24"/>
          <w:szCs w:val="24"/>
        </w:rPr>
      </w:pPr>
      <w:bookmarkStart w:id="1" w:name="_Toc193719190"/>
      <w:bookmarkStart w:id="2" w:name="_Toc135469195_Copia_1"/>
      <w:r>
        <w:rPr>
          <w:rFonts w:ascii="Times New Roman" w:hAnsi="Times New Roman"/>
          <w:sz w:val="24"/>
          <w:szCs w:val="24"/>
          <w:lang w:eastAsia="en-US"/>
        </w:rPr>
        <w:t>DO OBJETO</w:t>
      </w:r>
      <w:bookmarkEnd w:id="1"/>
      <w:bookmarkEnd w:id="2"/>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O objeto da presente licitação é a Aquisição de </w:t>
      </w:r>
      <w:r>
        <w:rPr>
          <w:rFonts w:ascii="Times New Roman" w:hAnsi="Times New Roman"/>
          <w:i/>
          <w:sz w:val="24"/>
          <w:szCs w:val="24"/>
        </w:rPr>
        <w:t>insumos de Correaria</w:t>
      </w:r>
      <w:r>
        <w:rPr>
          <w:rFonts w:ascii="Times New Roman" w:hAnsi="Times New Roman"/>
          <w:i w:val="false"/>
          <w:sz w:val="24"/>
          <w:szCs w:val="24"/>
        </w:rPr>
        <w:t xml:space="preserve">, para fins de atividades de capotaria, manutenção, revitalização e fabricação de MEM (Materiais de Emprego Militar) Classe II </w:t>
      </w:r>
      <w:r>
        <w:rPr>
          <w:rFonts w:ascii="Times New Roman" w:hAnsi="Times New Roman"/>
          <w:sz w:val="24"/>
          <w:szCs w:val="24"/>
        </w:rPr>
        <w:t>.</w:t>
      </w:r>
    </w:p>
    <w:p>
      <w:pPr>
        <w:pStyle w:val="Nvel2-Red"/>
        <w:numPr>
          <w:ilvl w:val="1"/>
          <w:numId w:val="1"/>
        </w:numPr>
        <w:spacing w:lineRule="auto" w:line="276" w:before="0" w:after="170"/>
        <w:ind w:hanging="0" w:left="0"/>
        <w:rPr>
          <w:color w:val="000000"/>
        </w:rPr>
      </w:pPr>
      <w:r>
        <w:rPr>
          <w:rFonts w:ascii="Times New Roman" w:hAnsi="Times New Roman"/>
          <w:color w:val="000000"/>
          <w:sz w:val="24"/>
          <w:szCs w:val="24"/>
        </w:rPr>
        <w:t>A licitação será dividida em itens, conforme tabela constante do Termo de Referência/Projeto Básico, facultando-se ao licitante a participação em quantos itens forem de seu interesse.</w:t>
      </w:r>
    </w:p>
    <w:p>
      <w:pPr>
        <w:pStyle w:val="Normal"/>
        <w:spacing w:lineRule="auto" w:line="276" w:before="0" w:after="170"/>
        <w:ind w:hanging="0" w:left="0"/>
        <w:jc w:val="center"/>
        <w:rPr>
          <w:color w:val="000000"/>
        </w:rPr>
      </w:pPr>
      <w:r>
        <w:rPr>
          <w:rFonts w:ascii="Times New Roman" w:hAnsi="Times New Roman"/>
          <w:b/>
          <w:strike/>
          <w:color w:val="000000"/>
          <w:sz w:val="24"/>
          <w:szCs w:val="24"/>
          <w:u w:val="single"/>
        </w:rPr>
        <w:t>OU</w:t>
      </w:r>
    </w:p>
    <w:p>
      <w:pPr>
        <w:pStyle w:val="Nvel2-Red"/>
        <w:numPr>
          <w:ilvl w:val="1"/>
          <w:numId w:val="1"/>
        </w:numPr>
        <w:spacing w:lineRule="auto" w:line="276" w:before="0" w:after="170"/>
        <w:ind w:hanging="0" w:left="0"/>
        <w:rPr>
          <w:color w:val="000000"/>
        </w:rPr>
      </w:pPr>
      <w:r>
        <w:rPr>
          <w:rFonts w:ascii="Times New Roman" w:hAnsi="Times New Roman"/>
          <w:strike/>
          <w:color w:val="000000"/>
          <w:sz w:val="24"/>
          <w:szCs w:val="24"/>
        </w:rPr>
        <w:t>A licitação será realizada em único item.</w:t>
      </w:r>
    </w:p>
    <w:p>
      <w:pPr>
        <w:pStyle w:val="Normal"/>
        <w:spacing w:lineRule="auto" w:line="276" w:before="0" w:after="170"/>
        <w:ind w:hanging="0" w:left="0"/>
        <w:jc w:val="center"/>
        <w:rPr>
          <w:color w:val="000000"/>
        </w:rPr>
      </w:pPr>
      <w:r>
        <w:rPr>
          <w:rFonts w:ascii="Times New Roman" w:hAnsi="Times New Roman"/>
          <w:b/>
          <w:strike/>
          <w:color w:val="000000"/>
          <w:sz w:val="24"/>
          <w:szCs w:val="24"/>
          <w:u w:val="single"/>
        </w:rPr>
        <w:t>OU</w:t>
      </w:r>
    </w:p>
    <w:p>
      <w:pPr>
        <w:pStyle w:val="Nvel2-Red"/>
        <w:numPr>
          <w:ilvl w:val="1"/>
          <w:numId w:val="1"/>
        </w:numPr>
        <w:spacing w:lineRule="auto" w:line="276" w:before="0" w:after="170"/>
        <w:ind w:hanging="0" w:left="0"/>
        <w:rPr>
          <w:color w:val="000000"/>
        </w:rPr>
      </w:pPr>
      <w:r>
        <w:rPr>
          <w:rFonts w:ascii="Times New Roman" w:hAnsi="Times New Roman"/>
          <w:strike/>
          <w:color w:val="000000"/>
          <w:sz w:val="24"/>
          <w:szCs w:val="24"/>
        </w:rPr>
        <w:t>A licitação será dividida em grupos, formados por um ou mais itens, conforme tabela constante do Termo de Referência/Projeto Básico, facultando-se ao licitante a participação em quantos grupos forem de seu interesse, devendo oferecer proposta para todos os itens que os compõem.</w:t>
      </w:r>
    </w:p>
    <w:p>
      <w:pPr>
        <w:pStyle w:val="ou"/>
        <w:spacing w:lineRule="auto" w:line="276" w:before="0" w:after="170"/>
        <w:ind w:hanging="0" w:left="0"/>
        <w:rPr>
          <w:color w:val="000000"/>
        </w:rPr>
      </w:pPr>
      <w:r>
        <w:rPr>
          <w:rFonts w:ascii="Times New Roman" w:hAnsi="Times New Roman"/>
          <w:b w:val="false"/>
          <w:bCs w:val="false"/>
          <w:strike/>
          <w:color w:val="000000"/>
          <w:sz w:val="24"/>
          <w:szCs w:val="24"/>
        </w:rPr>
        <w:t>OU</w:t>
      </w:r>
    </w:p>
    <w:p>
      <w:pPr>
        <w:pStyle w:val="Nvel2-Red"/>
        <w:numPr>
          <w:ilvl w:val="1"/>
          <w:numId w:val="1"/>
        </w:numPr>
        <w:spacing w:lineRule="auto" w:line="276" w:before="0" w:after="170"/>
        <w:ind w:hanging="0" w:left="0"/>
        <w:rPr>
          <w:color w:val="000000"/>
        </w:rPr>
      </w:pPr>
      <w:r>
        <w:rPr>
          <w:rFonts w:ascii="Times New Roman" w:hAnsi="Times New Roman"/>
          <w:strike/>
          <w:color w:val="000000"/>
          <w:sz w:val="24"/>
          <w:szCs w:val="24"/>
        </w:rPr>
        <w:t>A licitação será realizada em grupo único, formado por .... itens, conforme tabela constante no Termo de Referência/Projeto Básico, devendo o licitante oferecer proposta para todos os itens que o compõem.</w:t>
      </w:r>
    </w:p>
    <w:p>
      <w:pPr>
        <w:pStyle w:val="Nvel2-Red"/>
        <w:numPr>
          <w:ilvl w:val="0"/>
          <w:numId w:val="0"/>
        </w:numPr>
        <w:spacing w:lineRule="auto" w:line="276" w:before="0" w:after="170"/>
        <w:ind w:hanging="0" w:left="0"/>
        <w:jc w:val="center"/>
        <w:rPr>
          <w:color w:val="000000"/>
        </w:rPr>
      </w:pPr>
      <w:r>
        <w:rPr>
          <w:rFonts w:ascii="Times New Roman" w:hAnsi="Times New Roman"/>
          <w:b/>
          <w:bCs/>
          <w:strike/>
          <w:color w:val="000000"/>
          <w:sz w:val="24"/>
          <w:szCs w:val="24"/>
          <w:u w:val="single"/>
        </w:rPr>
        <w:t>OU</w:t>
      </w:r>
    </w:p>
    <w:p>
      <w:pPr>
        <w:pStyle w:val="Nvel2-Red"/>
        <w:numPr>
          <w:ilvl w:val="1"/>
          <w:numId w:val="1"/>
        </w:numPr>
        <w:spacing w:lineRule="auto" w:line="276" w:before="0" w:after="170"/>
        <w:ind w:hanging="0" w:left="0"/>
        <w:rPr>
          <w:color w:val="000000"/>
        </w:rPr>
      </w:pPr>
      <w:r>
        <w:rPr>
          <w:rFonts w:ascii="Times New Roman" w:hAnsi="Times New Roman"/>
          <w:strike/>
          <w:color w:val="000000"/>
          <w:sz w:val="24"/>
          <w:szCs w:val="24"/>
        </w:rPr>
        <w:t>A licitação será dividida em item(s) e grupo(s), sendo este(s) último(s) formado(s) por dois ou mais itens, conforme tabela constante do Termo de Referência/Projeto Básico.</w:t>
      </w:r>
    </w:p>
    <w:p>
      <w:pPr>
        <w:pStyle w:val="Nvel3-R"/>
        <w:numPr>
          <w:ilvl w:val="2"/>
          <w:numId w:val="184"/>
        </w:numPr>
        <w:spacing w:lineRule="auto" w:line="276" w:before="0" w:after="170"/>
        <w:ind w:hanging="0" w:left="0"/>
        <w:rPr>
          <w:color w:val="000000"/>
        </w:rPr>
      </w:pPr>
      <w:r>
        <w:rPr>
          <w:rFonts w:ascii="Times New Roman" w:hAnsi="Times New Roman"/>
          <w:strike/>
          <w:color w:val="000000"/>
          <w:sz w:val="24"/>
          <w:szCs w:val="24"/>
        </w:rPr>
        <w:t>relativamente ao(s) item(s) isolado(s), faculta-se ao licitante a participação em quantos itens forem de seu interesse;</w:t>
      </w:r>
    </w:p>
    <w:p>
      <w:pPr>
        <w:pStyle w:val="Nvel3-R"/>
        <w:numPr>
          <w:ilvl w:val="2"/>
          <w:numId w:val="185"/>
        </w:numPr>
        <w:spacing w:lineRule="auto" w:line="276" w:before="0" w:after="170"/>
        <w:ind w:hanging="0" w:left="0"/>
        <w:rPr>
          <w:color w:val="000000"/>
        </w:rPr>
      </w:pPr>
      <w:r>
        <w:rPr>
          <w:rFonts w:ascii="Times New Roman" w:hAnsi="Times New Roman"/>
          <w:strike/>
          <w:color w:val="000000"/>
          <w:sz w:val="24"/>
          <w:szCs w:val="24"/>
        </w:rPr>
        <w:t>relativamente ao(s) grupo(s), faculta-se ao licitante a participação em quantos grupos forem de seu interesse, devendo oferecer proposta para todos os itens que os compõem.</w:t>
      </w:r>
    </w:p>
    <w:p>
      <w:pPr>
        <w:pStyle w:val="Nivel01"/>
        <w:numPr>
          <w:ilvl w:val="0"/>
          <w:numId w:val="1"/>
        </w:numPr>
        <w:spacing w:lineRule="auto" w:line="276" w:before="0" w:after="170"/>
        <w:ind w:hanging="0" w:left="0"/>
        <w:rPr>
          <w:rFonts w:ascii="Times New Roman" w:hAnsi="Times New Roman"/>
          <w:sz w:val="24"/>
          <w:szCs w:val="24"/>
          <w:highlight w:val="none"/>
          <w:shd w:fill="auto" w:val="clear"/>
        </w:rPr>
      </w:pPr>
      <w:bookmarkStart w:id="3" w:name="_Toc215145267"/>
      <w:bookmarkStart w:id="4" w:name="_Toc135469196"/>
      <w:r>
        <w:rPr>
          <w:rFonts w:ascii="Times New Roman" w:hAnsi="Times New Roman"/>
          <w:sz w:val="24"/>
          <w:szCs w:val="24"/>
          <w:shd w:fill="auto" w:val="clear"/>
        </w:rPr>
        <w:t>DO REGISTRO DE PREÇOS</w:t>
      </w:r>
      <w:bookmarkEnd w:id="3"/>
      <w:bookmarkEnd w:id="4"/>
    </w:p>
    <w:p>
      <w:pPr>
        <w:pStyle w:val="Nivel2"/>
        <w:numPr>
          <w:ilvl w:val="1"/>
          <w:numId w:val="1"/>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As regras referentes aos órgãos gerenciador e participantes, bem como a eventuais adesões são as que constam da minuta de Ata de Registro de Preços.</w:t>
      </w:r>
    </w:p>
    <w:p>
      <w:pPr>
        <w:pStyle w:val="Nivel01"/>
        <w:numPr>
          <w:ilvl w:val="0"/>
          <w:numId w:val="1"/>
        </w:numPr>
        <w:spacing w:lineRule="auto" w:line="276" w:before="0" w:after="170"/>
        <w:ind w:hanging="0" w:left="0"/>
        <w:rPr>
          <w:rFonts w:ascii="Times New Roman" w:hAnsi="Times New Roman"/>
          <w:sz w:val="24"/>
          <w:szCs w:val="24"/>
        </w:rPr>
      </w:pPr>
      <w:bookmarkStart w:id="5" w:name="_Toc215145268"/>
      <w:bookmarkStart w:id="6" w:name="_Toc135469197"/>
      <w:r>
        <w:rPr>
          <w:rFonts w:ascii="Times New Roman" w:hAnsi="Times New Roman"/>
          <w:sz w:val="24"/>
          <w:szCs w:val="24"/>
        </w:rPr>
        <w:t>DA PARTICIPAÇÃO NA LICITAÇÃO</w:t>
      </w:r>
      <w:bookmarkEnd w:id="5"/>
      <w:bookmarkEnd w:id="6"/>
    </w:p>
    <w:p>
      <w:pPr>
        <w:pStyle w:val="Nivel2"/>
        <w:numPr>
          <w:ilvl w:val="1"/>
          <w:numId w:val="1"/>
        </w:numPr>
        <w:spacing w:lineRule="auto" w:line="276" w:before="0" w:after="170"/>
        <w:ind w:hanging="0" w:left="0"/>
        <w:rPr>
          <w:rFonts w:ascii="Times New Roman" w:hAnsi="Times New Roman"/>
          <w:sz w:val="24"/>
          <w:szCs w:val="24"/>
        </w:rPr>
      </w:pPr>
      <w:bookmarkStart w:id="7" w:name="_Hlk135302270"/>
      <w:r>
        <w:rPr>
          <w:rFonts w:ascii="Times New Roman" w:hAnsi="Times New Roman"/>
          <w:sz w:val="24"/>
          <w:szCs w:val="24"/>
        </w:rPr>
        <w:t>Poderão participar deste certame os interessados previamente credenciados no Sistema de Cadastramento Unificado de Fornecedores - SICAF e no Sistema de Compras do Governo Federal (www.gov.br/compras).</w:t>
      </w:r>
      <w:bookmarkEnd w:id="7"/>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O</w:t>
      </w:r>
      <w:bookmarkStart w:id="8" w:name="_Hlk135304247"/>
      <w:r>
        <w:rPr>
          <w:rFonts w:ascii="Times New Roman" w:hAnsi="Times New Roman"/>
          <w:sz w:val="24"/>
          <w:szCs w:val="24"/>
        </w:rPr>
        <w:t>s interessados deverão atender às condições exigidas no cadastramento no Sicaf até o terceiro dia útil anterior à data prevista para recebimento das propostas.</w:t>
      </w:r>
      <w:bookmarkEnd w:id="8"/>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A não observância do disposto no item anterior poderá ensejar desclassificação no momento da habilitação.</w:t>
      </w:r>
    </w:p>
    <w:p>
      <w:pPr>
        <w:pStyle w:val="Nvel2-Red"/>
        <w:numPr>
          <w:ilvl w:val="1"/>
          <w:numId w:val="1"/>
        </w:numPr>
        <w:spacing w:lineRule="auto" w:line="276" w:before="0" w:after="170"/>
        <w:ind w:hanging="0" w:left="0"/>
        <w:rPr>
          <w:rFonts w:ascii="Times New Roman" w:hAnsi="Times New Roman"/>
          <w:sz w:val="24"/>
          <w:szCs w:val="24"/>
        </w:rPr>
      </w:pPr>
      <w:r>
        <w:rPr>
          <w:rFonts w:ascii="Times New Roman" w:hAnsi="Times New Roman"/>
          <w:color w:val="2A6099"/>
          <w:sz w:val="24"/>
          <w:szCs w:val="24"/>
          <w:shd w:fill="auto" w:val="clear"/>
        </w:rPr>
        <w:t>Conforme Termo de Referência, alguns itens são de</w:t>
      </w:r>
      <w:r>
        <w:rPr>
          <w:rFonts w:ascii="Times New Roman" w:hAnsi="Times New Roman"/>
          <w:sz w:val="24"/>
          <w:szCs w:val="24"/>
        </w:rPr>
        <w:t xml:space="preserve"> </w:t>
      </w:r>
      <w:r>
        <w:rPr>
          <w:rFonts w:ascii="Times New Roman" w:hAnsi="Times New Roman"/>
          <w:color w:val="000000"/>
          <w:sz w:val="24"/>
          <w:szCs w:val="24"/>
        </w:rPr>
        <w:t>participação é exclusiva a microempresas e empresas de pequeno porte, nos termos do art. 48 da Lei Complementar nº 123, de 14 de dezembro de 2006.</w:t>
      </w:r>
    </w:p>
    <w:p>
      <w:pPr>
        <w:pStyle w:val="Nvel2-Red"/>
        <w:numPr>
          <w:ilvl w:val="1"/>
          <w:numId w:val="1"/>
        </w:numPr>
        <w:spacing w:lineRule="auto" w:line="276" w:before="0" w:after="170"/>
        <w:ind w:hanging="0" w:left="0"/>
        <w:rPr>
          <w:rFonts w:ascii="Times New Roman" w:hAnsi="Times New Roman"/>
          <w:color w:val="000000"/>
          <w:sz w:val="24"/>
          <w:szCs w:val="24"/>
        </w:rPr>
      </w:pPr>
      <w:bookmarkStart w:id="9" w:name="_Ref117015508"/>
      <w:r>
        <w:rPr>
          <w:rFonts w:ascii="Times New Roman" w:hAnsi="Times New Roman"/>
          <w:color w:val="000000"/>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9"/>
    </w:p>
    <w:p>
      <w:pPr>
        <w:pStyle w:val="Nvel2-Red"/>
        <w:widowControl/>
        <w:numPr>
          <w:ilvl w:val="1"/>
          <w:numId w:val="1"/>
        </w:numPr>
        <w:suppressAutoHyphens w:val="true"/>
        <w:bidi w:val="0"/>
        <w:spacing w:lineRule="auto" w:line="276" w:before="0" w:after="170"/>
        <w:ind w:hanging="0" w:left="-227" w:right="0"/>
        <w:rPr>
          <w:rFonts w:ascii="Times New Roman" w:hAnsi="Times New Roman"/>
          <w:color w:val="000000"/>
          <w:sz w:val="24"/>
          <w:szCs w:val="24"/>
        </w:rPr>
      </w:pPr>
      <w:r>
        <w:rPr>
          <w:rFonts w:ascii="Times New Roman" w:hAnsi="Times New Roman"/>
          <w:color w:val="000000"/>
          <w:sz w:val="24"/>
          <w:szCs w:val="24"/>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pPr>
        <w:pStyle w:val="ou"/>
        <w:widowControl/>
        <w:suppressAutoHyphens w:val="true"/>
        <w:bidi w:val="0"/>
        <w:spacing w:lineRule="auto" w:line="276" w:before="0" w:after="170"/>
        <w:ind w:hanging="0" w:left="-227" w:right="0"/>
        <w:rPr>
          <w:color w:val="000000"/>
        </w:rPr>
      </w:pPr>
      <w:r>
        <w:rPr>
          <w:rFonts w:ascii="Times New Roman" w:hAnsi="Times New Roman"/>
          <w:strike/>
          <w:color w:val="000000"/>
          <w:sz w:val="24"/>
          <w:szCs w:val="24"/>
        </w:rPr>
        <w:t>OU</w:t>
      </w:r>
    </w:p>
    <w:p>
      <w:pPr>
        <w:pStyle w:val="Nvel2-Red"/>
        <w:widowControl/>
        <w:numPr>
          <w:ilvl w:val="1"/>
          <w:numId w:val="1"/>
        </w:numPr>
        <w:suppressAutoHyphens w:val="true"/>
        <w:bidi w:val="0"/>
        <w:spacing w:lineRule="auto" w:line="276" w:before="0" w:after="170"/>
        <w:ind w:hanging="0" w:left="-227" w:right="0"/>
        <w:rPr>
          <w:color w:val="000000"/>
        </w:rPr>
      </w:pPr>
      <w:r>
        <w:rPr>
          <w:rFonts w:ascii="Times New Roman" w:hAnsi="Times New Roman"/>
          <w:strike/>
          <w:color w:val="000000"/>
          <w:sz w:val="24"/>
          <w:szCs w:val="24"/>
        </w:rPr>
        <w:t xml:space="preserve">Nos itens </w:t>
      </w:r>
      <w:r>
        <w:rPr>
          <w:rFonts w:ascii="Times New Roman" w:hAnsi="Times New Roman"/>
          <w:b/>
          <w:bCs/>
          <w:strike/>
          <w:color w:val="000000"/>
          <w:sz w:val="24"/>
          <w:szCs w:val="24"/>
        </w:rPr>
        <w:t>XX</w:t>
      </w:r>
      <w:r>
        <w:rPr>
          <w:rFonts w:ascii="Times New Roman" w:hAnsi="Times New Roman"/>
          <w:strike/>
          <w:color w:val="000000"/>
          <w:sz w:val="24"/>
          <w:szCs w:val="24"/>
        </w:rPr>
        <w:t xml:space="preserve">, </w:t>
      </w:r>
      <w:r>
        <w:rPr>
          <w:rFonts w:ascii="Times New Roman" w:hAnsi="Times New Roman"/>
          <w:b/>
          <w:bCs/>
          <w:strike/>
          <w:color w:val="000000"/>
          <w:sz w:val="24"/>
          <w:szCs w:val="24"/>
        </w:rPr>
        <w:t>XX</w:t>
      </w:r>
      <w:r>
        <w:rPr>
          <w:rFonts w:ascii="Times New Roman" w:hAnsi="Times New Roman"/>
          <w:strike/>
          <w:color w:val="000000"/>
          <w:sz w:val="24"/>
          <w:szCs w:val="24"/>
        </w:rPr>
        <w:t xml:space="preserve"> e </w:t>
      </w:r>
      <w:r>
        <w:rPr>
          <w:rFonts w:ascii="Times New Roman" w:hAnsi="Times New Roman"/>
          <w:b/>
          <w:bCs/>
          <w:strike/>
          <w:color w:val="000000"/>
          <w:sz w:val="24"/>
          <w:szCs w:val="24"/>
        </w:rPr>
        <w:t>XX</w:t>
      </w:r>
      <w:r>
        <w:rPr>
          <w:rFonts w:ascii="Times New Roman" w:hAnsi="Times New Roman"/>
          <w:strike/>
          <w:color w:val="000000"/>
          <w:sz w:val="24"/>
          <w:szCs w:val="24"/>
        </w:rPr>
        <w:t xml:space="preserve"> não será concedido nesta Licitação tratamento favorecido para microempresas, empresas de pequeno porte e figuras equiparadas, nos termos da Lei Complementar nº 123, de 2006, em razão da incidência, no caso, do art. 4º, § 1º da Lei nº 14.133, de 2021.</w:t>
      </w:r>
    </w:p>
    <w:p>
      <w:pPr>
        <w:pStyle w:val="Nivel2"/>
        <w:widowControl/>
        <w:numPr>
          <w:ilvl w:val="1"/>
          <w:numId w:val="1"/>
        </w:numPr>
        <w:suppressAutoHyphens w:val="true"/>
        <w:bidi w:val="0"/>
        <w:spacing w:lineRule="auto" w:line="276" w:before="0" w:after="170"/>
        <w:ind w:hanging="0" w:left="-227" w:right="0"/>
        <w:rPr>
          <w:color w:val="000000"/>
        </w:rPr>
      </w:pPr>
      <w:bookmarkStart w:id="10" w:name="_Ref117000692"/>
      <w:r>
        <w:rPr>
          <w:rFonts w:ascii="Times New Roman" w:hAnsi="Times New Roman"/>
          <w:color w:val="000000"/>
          <w:sz w:val="24"/>
          <w:szCs w:val="24"/>
        </w:rPr>
        <w:t>Não poderão disputar esta licitação:</w:t>
      </w:r>
      <w:bookmarkEnd w:id="10"/>
    </w:p>
    <w:p>
      <w:pPr>
        <w:pStyle w:val="Nivel3"/>
        <w:numPr>
          <w:ilvl w:val="2"/>
          <w:numId w:val="186"/>
        </w:numPr>
        <w:spacing w:lineRule="auto" w:line="276" w:before="0" w:after="170"/>
        <w:ind w:hanging="0" w:left="0"/>
        <w:rPr>
          <w:rFonts w:ascii="Times New Roman" w:hAnsi="Times New Roman"/>
          <w:sz w:val="24"/>
          <w:szCs w:val="24"/>
        </w:rPr>
      </w:pPr>
      <w:r>
        <w:rPr>
          <w:rFonts w:ascii="Times New Roman" w:hAnsi="Times New Roman"/>
          <w:sz w:val="24"/>
          <w:szCs w:val="24"/>
        </w:rPr>
        <w:t>aquele que não atenda às condições deste Edital e seu(s) anexo(s);</w:t>
      </w:r>
    </w:p>
    <w:p>
      <w:pPr>
        <w:pStyle w:val="Nivel3"/>
        <w:numPr>
          <w:ilvl w:val="2"/>
          <w:numId w:val="187"/>
        </w:numPr>
        <w:spacing w:lineRule="auto" w:line="276" w:before="0" w:after="170"/>
        <w:ind w:hanging="0" w:left="0"/>
        <w:rPr>
          <w:rFonts w:ascii="Times New Roman" w:hAnsi="Times New Roman"/>
          <w:sz w:val="24"/>
          <w:szCs w:val="24"/>
        </w:rPr>
      </w:pPr>
      <w:r>
        <w:rPr>
          <w:rFonts w:ascii="Times New Roman" w:hAnsi="Times New Roman"/>
          <w:sz w:val="24"/>
          <w:szCs w:val="24"/>
        </w:rPr>
        <w:t>sociedade que desempenhe atividade incompatível com o objeto da licitação;</w:t>
      </w:r>
    </w:p>
    <w:p>
      <w:pPr>
        <w:pStyle w:val="Nivel3"/>
        <w:numPr>
          <w:ilvl w:val="2"/>
          <w:numId w:val="188"/>
        </w:numPr>
        <w:spacing w:lineRule="auto" w:line="276" w:before="0" w:after="170"/>
        <w:ind w:hanging="0" w:left="0"/>
        <w:rPr>
          <w:rFonts w:ascii="Times New Roman" w:hAnsi="Times New Roman"/>
          <w:sz w:val="24"/>
          <w:szCs w:val="24"/>
        </w:rPr>
      </w:pPr>
      <w:r>
        <w:rPr>
          <w:rFonts w:ascii="Times New Roman" w:hAnsi="Times New Roman"/>
          <w:sz w:val="24"/>
          <w:szCs w:val="24"/>
        </w:rPr>
        <w:t>empresas estrangeiras que não tenham representação legal no Brasil com poderes expressos para receber citação e responder administrativa ou judicialmente;</w:t>
      </w:r>
    </w:p>
    <w:p>
      <w:pPr>
        <w:pStyle w:val="Nivel3"/>
        <w:numPr>
          <w:ilvl w:val="2"/>
          <w:numId w:val="189"/>
        </w:numPr>
        <w:spacing w:lineRule="auto" w:line="276" w:before="0" w:after="170"/>
        <w:ind w:hanging="0" w:left="0"/>
        <w:rPr>
          <w:rFonts w:ascii="Times New Roman" w:hAnsi="Times New Roman"/>
          <w:sz w:val="24"/>
          <w:szCs w:val="24"/>
        </w:rPr>
      </w:pPr>
      <w:bookmarkStart w:id="11" w:name="_Ref113883338"/>
      <w:bookmarkStart w:id="12" w:name="_Ref114659912"/>
      <w:r>
        <w:rPr>
          <w:rFonts w:ascii="Times New Roman" w:hAnsi="Times New Roman"/>
          <w:sz w:val="24"/>
          <w:szCs w:val="24"/>
        </w:rPr>
        <w:t>autor do anteprojeto, do projeto básico ou do projeto executivo, pessoa física ou jurídica, quando a licitação versar sobre serviços ou fornecimento de bens a ele relacionados;</w:t>
      </w:r>
      <w:bookmarkEnd w:id="11"/>
      <w:bookmarkEnd w:id="12"/>
    </w:p>
    <w:p>
      <w:pPr>
        <w:pStyle w:val="Nivel3"/>
        <w:numPr>
          <w:ilvl w:val="2"/>
          <w:numId w:val="190"/>
        </w:numPr>
        <w:spacing w:lineRule="auto" w:line="276" w:before="0" w:after="170"/>
        <w:ind w:hanging="0" w:left="0"/>
        <w:rPr>
          <w:rFonts w:ascii="Times New Roman" w:hAnsi="Times New Roman"/>
          <w:sz w:val="24"/>
          <w:szCs w:val="24"/>
        </w:rPr>
      </w:pPr>
      <w:bookmarkStart w:id="13" w:name="_Ref113883339"/>
      <w:bookmarkStart w:id="14" w:name="_Ref114659913"/>
      <w:r>
        <w:rPr>
          <w:rFonts w:ascii="Times New Roman" w:hAnsi="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4"/>
      <w:r>
        <w:rPr>
          <w:rFonts w:ascii="Times New Roman" w:hAnsi="Times New Roman"/>
          <w:sz w:val="24"/>
          <w:szCs w:val="24"/>
        </w:rPr>
        <w:t xml:space="preserve"> </w:t>
      </w:r>
      <w:bookmarkEnd w:id="13"/>
    </w:p>
    <w:p>
      <w:pPr>
        <w:pStyle w:val="Nivel3"/>
        <w:numPr>
          <w:ilvl w:val="2"/>
          <w:numId w:val="191"/>
        </w:numPr>
        <w:spacing w:lineRule="auto" w:line="276" w:before="0" w:after="170"/>
        <w:ind w:hanging="0" w:left="0"/>
        <w:rPr>
          <w:rFonts w:ascii="Times New Roman" w:hAnsi="Times New Roman"/>
          <w:sz w:val="24"/>
          <w:szCs w:val="24"/>
        </w:rPr>
      </w:pPr>
      <w:bookmarkStart w:id="15" w:name="_Ref113883003"/>
      <w:r>
        <w:rPr>
          <w:rFonts w:ascii="Times New Roman" w:hAnsi="Times New Roman"/>
          <w:sz w:val="24"/>
          <w:szCs w:val="24"/>
        </w:rPr>
        <w:t>pessoa física ou jurídica que se encontre, ao tempo da licitação, impossibilitada de participar da licitação em decorrência de sanção que lhe foi imposta;</w:t>
      </w:r>
      <w:bookmarkEnd w:id="15"/>
    </w:p>
    <w:p>
      <w:pPr>
        <w:pStyle w:val="Nivel3"/>
        <w:numPr>
          <w:ilvl w:val="2"/>
          <w:numId w:val="192"/>
        </w:numPr>
        <w:spacing w:lineRule="auto" w:line="276" w:before="0" w:after="170"/>
        <w:ind w:hanging="0" w:left="0"/>
        <w:rPr>
          <w:rFonts w:ascii="Times New Roman" w:hAnsi="Times New Roman"/>
          <w:sz w:val="24"/>
          <w:szCs w:val="24"/>
        </w:rPr>
      </w:pPr>
      <w:r>
        <w:rPr>
          <w:rFonts w:ascii="Times New Roman" w:hAnsi="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ivel3"/>
        <w:numPr>
          <w:ilvl w:val="2"/>
          <w:numId w:val="193"/>
        </w:numPr>
        <w:spacing w:lineRule="auto" w:line="276" w:before="0" w:after="170"/>
        <w:ind w:hanging="0" w:left="0"/>
        <w:rPr>
          <w:rFonts w:ascii="Times New Roman" w:hAnsi="Times New Roman"/>
          <w:sz w:val="24"/>
          <w:szCs w:val="24"/>
        </w:rPr>
      </w:pPr>
      <w:bookmarkStart w:id="16" w:name="_Ref113883579"/>
      <w:r>
        <w:rPr>
          <w:rFonts w:ascii="Times New Roman" w:hAnsi="Times New Roman"/>
          <w:sz w:val="24"/>
          <w:szCs w:val="24"/>
        </w:rPr>
        <w:t>empresas controladoras, controladas ou coligadas, nos termos da Lei nº 6.404, de 15 de dezembro de 1976, concorrendo entre si;</w:t>
      </w:r>
      <w:bookmarkEnd w:id="16"/>
    </w:p>
    <w:p>
      <w:pPr>
        <w:pStyle w:val="Nivel3"/>
        <w:numPr>
          <w:ilvl w:val="2"/>
          <w:numId w:val="194"/>
        </w:numPr>
        <w:spacing w:lineRule="auto" w:line="276" w:before="0" w:after="170"/>
        <w:ind w:hanging="0" w:left="0"/>
        <w:rPr>
          <w:rFonts w:ascii="Times New Roman" w:hAnsi="Times New Roman"/>
          <w:sz w:val="24"/>
          <w:szCs w:val="24"/>
        </w:rPr>
      </w:pPr>
      <w:r>
        <w:rPr>
          <w:rFonts w:ascii="Times New Roman" w:hAnsi="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w:t>
      </w:r>
      <w:r>
        <w:rPr>
          <w:rFonts w:ascii="Times New Roman" w:hAnsi="Times New Roman"/>
          <w:color w:val="000000"/>
          <w:sz w:val="24"/>
          <w:szCs w:val="24"/>
        </w:rPr>
        <w:t>ados pela legislação trabalhista;</w:t>
      </w:r>
    </w:p>
    <w:p>
      <w:pPr>
        <w:pStyle w:val="Nivel3"/>
        <w:numPr>
          <w:ilvl w:val="2"/>
          <w:numId w:val="195"/>
        </w:numPr>
        <w:spacing w:lineRule="auto" w:line="276" w:before="0" w:after="170"/>
        <w:ind w:hanging="0" w:left="0"/>
        <w:rPr>
          <w:color w:val="000000"/>
        </w:rPr>
      </w:pPr>
      <w:r>
        <w:rPr>
          <w:rFonts w:ascii="Times New Roman" w:hAnsi="Times New Roman"/>
          <w:color w:val="000000"/>
          <w:sz w:val="24"/>
          <w:szCs w:val="24"/>
        </w:rPr>
        <w:t>Organizações da Sociedade Civil de Interesse Público - OSCIP, atuando nessa condição;</w:t>
      </w:r>
    </w:p>
    <w:p>
      <w:pPr>
        <w:pStyle w:val="Nvel3-R"/>
        <w:numPr>
          <w:ilvl w:val="2"/>
          <w:numId w:val="196"/>
        </w:numPr>
        <w:spacing w:lineRule="auto" w:line="276" w:before="0" w:after="170"/>
        <w:ind w:hanging="0" w:left="0"/>
        <w:rPr>
          <w:color w:val="000000"/>
        </w:rPr>
      </w:pPr>
      <w:r>
        <w:rPr>
          <w:rFonts w:ascii="Times New Roman" w:hAnsi="Times New Roman"/>
          <w:color w:val="000000"/>
          <w:sz w:val="24"/>
          <w:szCs w:val="24"/>
        </w:rPr>
        <w:t>sociedades cooperativas;</w:t>
      </w:r>
    </w:p>
    <w:p>
      <w:pPr>
        <w:pStyle w:val="Nvel3-R"/>
        <w:numPr>
          <w:ilvl w:val="2"/>
          <w:numId w:val="197"/>
        </w:numPr>
        <w:spacing w:lineRule="auto" w:line="276" w:before="0" w:after="170"/>
        <w:ind w:hanging="0" w:left="0"/>
        <w:rPr>
          <w:color w:val="000000"/>
        </w:rPr>
      </w:pPr>
      <w:r>
        <w:rPr>
          <w:rFonts w:ascii="Times New Roman" w:hAnsi="Times New Roman"/>
          <w:color w:val="000000"/>
          <w:sz w:val="24"/>
          <w:szCs w:val="24"/>
        </w:rPr>
        <w:t>pessoas jurídicas reunidas em consórcio;</w:t>
      </w:r>
    </w:p>
    <w:p>
      <w:pPr>
        <w:pStyle w:val="Nvel3-R"/>
        <w:numPr>
          <w:ilvl w:val="2"/>
          <w:numId w:val="198"/>
        </w:numPr>
        <w:spacing w:lineRule="auto" w:line="276" w:before="0" w:after="170"/>
        <w:ind w:hanging="0" w:left="0"/>
        <w:rPr>
          <w:color w:val="000000"/>
        </w:rPr>
      </w:pPr>
      <w:r>
        <w:rPr>
          <w:rFonts w:ascii="Times New Roman" w:hAnsi="Times New Roman"/>
          <w:color w:val="000000"/>
          <w:sz w:val="24"/>
          <w:szCs w:val="24"/>
        </w:rPr>
        <w:t>pessoas físicas.</w:t>
      </w:r>
    </w:p>
    <w:p>
      <w:pPr>
        <w:pStyle w:val="Nivel2"/>
        <w:numPr>
          <w:ilvl w:val="1"/>
          <w:numId w:val="1"/>
        </w:numPr>
        <w:spacing w:lineRule="auto" w:line="276" w:before="0" w:after="170"/>
        <w:ind w:hanging="0" w:left="0"/>
        <w:rPr>
          <w:rFonts w:ascii="Times New Roman" w:hAnsi="Times New Roman"/>
          <w:sz w:val="24"/>
          <w:szCs w:val="24"/>
        </w:rPr>
      </w:pPr>
      <w:bookmarkStart w:id="17" w:name="_Ref168486586"/>
      <w:r>
        <w:rPr>
          <w:rFonts w:ascii="Times New Roman" w:hAnsi="Times New Roman"/>
          <w:color w:val="000000"/>
          <w:sz w:val="24"/>
          <w:szCs w:val="24"/>
        </w:rPr>
        <w:t xml:space="preserve">Não poderá participar, direta ou indiretamente, da licitação ou da execução do contrato agente público do órgão ou entidade </w:t>
      </w:r>
      <w:r>
        <w:rPr>
          <w:rFonts w:ascii="Times New Roman" w:hAnsi="Times New Roman"/>
          <w:sz w:val="24"/>
          <w:szCs w:val="24"/>
        </w:rPr>
        <w:t>contratante, devendo ser observadas as situações que possam configurar conflito de interesses no exercício ou após o exercício do cargo ou emprego, nos termos da legislação que disciplina a matéria, conforme § 1º do art. 9º da Lei nº 14.133, de 2021.</w:t>
      </w:r>
      <w:bookmarkEnd w:id="17"/>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O impedimento de que trata o item </w:t>
      </w:r>
      <w:r>
        <w:rPr>
          <w:rFonts w:ascii="Times New Roman" w:hAnsi="Times New Roman"/>
          <w:sz w:val="24"/>
          <w:szCs w:val="24"/>
        </w:rPr>
        <w:fldChar w:fldCharType="begin"/>
      </w:r>
      <w:r>
        <w:rPr>
          <w:sz w:val="24"/>
          <w:szCs w:val="24"/>
          <w:rFonts w:ascii="Times New Roman" w:hAnsi="Times New Roman"/>
        </w:rPr>
        <w:instrText xml:space="preserve"> REF _Ref113883003 \r \r \h </w:instrText>
      </w:r>
      <w:r>
        <w:rPr>
          <w:sz w:val="24"/>
          <w:szCs w:val="24"/>
          <w:rFonts w:ascii="Times New Roman" w:hAnsi="Times New Roman"/>
        </w:rPr>
        <w:fldChar w:fldCharType="separate"/>
      </w:r>
      <w:r>
        <w:rPr>
          <w:sz w:val="24"/>
          <w:szCs w:val="24"/>
          <w:rFonts w:ascii="Times New Roman" w:hAnsi="Times New Roman"/>
        </w:rPr>
        <w:t>3.10.6</w:t>
      </w:r>
      <w:r>
        <w:rPr>
          <w:sz w:val="24"/>
          <w:szCs w:val="24"/>
          <w:rFonts w:ascii="Times New Roman" w:hAnsi="Times New Roman"/>
        </w:rPr>
        <w:fldChar w:fldCharType="end"/>
      </w:r>
      <w:r>
        <w:rPr>
          <w:rFonts w:ascii="Times New Roman" w:hAnsi="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ivel2"/>
        <w:numPr>
          <w:ilvl w:val="1"/>
          <w:numId w:val="1"/>
        </w:numPr>
        <w:spacing w:lineRule="auto" w:line="276" w:before="0" w:after="170"/>
        <w:ind w:hanging="0" w:left="0"/>
        <w:rPr>
          <w:rFonts w:ascii="Times New Roman" w:hAnsi="Times New Roman"/>
          <w:sz w:val="24"/>
          <w:szCs w:val="24"/>
        </w:rPr>
      </w:pPr>
      <w:bookmarkStart w:id="18" w:name="art14§2"/>
      <w:bookmarkEnd w:id="18"/>
      <w:r>
        <w:rPr>
          <w:rFonts w:ascii="Times New Roman" w:hAnsi="Times New Roman"/>
          <w:sz w:val="24"/>
          <w:szCs w:val="24"/>
        </w:rPr>
        <w:t xml:space="preserve">A critério da Administração e exclusivamente a seu serviço, o autor dos projetos e a empresa a que se referem os itens </w:t>
      </w:r>
      <w:r>
        <w:rPr>
          <w:rFonts w:ascii="Times New Roman" w:hAnsi="Times New Roman"/>
          <w:sz w:val="24"/>
          <w:szCs w:val="24"/>
        </w:rPr>
        <w:fldChar w:fldCharType="begin"/>
      </w:r>
      <w:r>
        <w:rPr>
          <w:sz w:val="24"/>
          <w:szCs w:val="24"/>
          <w:rFonts w:ascii="Times New Roman" w:hAnsi="Times New Roman"/>
        </w:rPr>
        <w:instrText xml:space="preserve"> REF _Ref114659912 \r \r \h </w:instrText>
      </w:r>
      <w:r>
        <w:rPr>
          <w:sz w:val="24"/>
          <w:szCs w:val="24"/>
          <w:rFonts w:ascii="Times New Roman" w:hAnsi="Times New Roman"/>
        </w:rPr>
        <w:fldChar w:fldCharType="separate"/>
      </w:r>
      <w:r>
        <w:rPr>
          <w:sz w:val="24"/>
          <w:szCs w:val="24"/>
          <w:rFonts w:ascii="Times New Roman" w:hAnsi="Times New Roman"/>
        </w:rPr>
        <w:t>3.10.4</w:t>
      </w:r>
      <w:r>
        <w:rPr>
          <w:sz w:val="24"/>
          <w:szCs w:val="24"/>
          <w:rFonts w:ascii="Times New Roman" w:hAnsi="Times New Roman"/>
        </w:rPr>
        <w:fldChar w:fldCharType="end"/>
      </w:r>
      <w:r>
        <w:rPr>
          <w:rFonts w:ascii="Times New Roman" w:hAnsi="Times New Roman"/>
          <w:sz w:val="24"/>
          <w:szCs w:val="24"/>
        </w:rPr>
        <w:t xml:space="preserve"> e </w:t>
      </w:r>
      <w:r>
        <w:rPr>
          <w:rFonts w:ascii="Times New Roman" w:hAnsi="Times New Roman"/>
          <w:sz w:val="24"/>
          <w:szCs w:val="24"/>
        </w:rPr>
        <w:fldChar w:fldCharType="begin"/>
      </w:r>
      <w:r>
        <w:rPr>
          <w:sz w:val="24"/>
          <w:szCs w:val="24"/>
          <w:rFonts w:ascii="Times New Roman" w:hAnsi="Times New Roman"/>
        </w:rPr>
        <w:instrText xml:space="preserve"> REF _Ref114659913 \r \r \h </w:instrText>
      </w:r>
      <w:r>
        <w:rPr>
          <w:sz w:val="24"/>
          <w:szCs w:val="24"/>
          <w:rFonts w:ascii="Times New Roman" w:hAnsi="Times New Roman"/>
        </w:rPr>
        <w:fldChar w:fldCharType="separate"/>
      </w:r>
      <w:r>
        <w:rPr>
          <w:sz w:val="24"/>
          <w:szCs w:val="24"/>
          <w:rFonts w:ascii="Times New Roman" w:hAnsi="Times New Roman"/>
        </w:rPr>
        <w:t>3.10.5</w:t>
      </w:r>
      <w:r>
        <w:rPr>
          <w:sz w:val="24"/>
          <w:szCs w:val="24"/>
          <w:rFonts w:ascii="Times New Roman" w:hAnsi="Times New Roman"/>
        </w:rPr>
        <w:fldChar w:fldCharType="end"/>
      </w:r>
      <w:r>
        <w:rPr>
          <w:rFonts w:ascii="Times New Roman" w:hAnsi="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pPr>
        <w:pStyle w:val="Nivel2"/>
        <w:numPr>
          <w:ilvl w:val="1"/>
          <w:numId w:val="1"/>
        </w:numPr>
        <w:spacing w:lineRule="auto" w:line="276" w:before="0" w:after="170"/>
        <w:ind w:hanging="0" w:left="0"/>
        <w:rPr>
          <w:rFonts w:ascii="Times New Roman" w:hAnsi="Times New Roman"/>
          <w:sz w:val="24"/>
          <w:szCs w:val="24"/>
        </w:rPr>
      </w:pPr>
      <w:bookmarkStart w:id="19" w:name="art14§3"/>
      <w:bookmarkEnd w:id="19"/>
      <w:r>
        <w:rPr>
          <w:rFonts w:ascii="Times New Roman" w:hAnsi="Times New Roman"/>
          <w:sz w:val="24"/>
          <w:szCs w:val="24"/>
        </w:rPr>
        <w:t>Equiparam-se aos autores do projeto as empresas integrantes do mesmo grupo econômico.</w:t>
      </w:r>
    </w:p>
    <w:p>
      <w:pPr>
        <w:pStyle w:val="Nivel2"/>
        <w:numPr>
          <w:ilvl w:val="1"/>
          <w:numId w:val="1"/>
        </w:numPr>
        <w:spacing w:lineRule="auto" w:line="276" w:before="0" w:after="170"/>
        <w:ind w:hanging="0" w:left="0"/>
        <w:rPr>
          <w:rFonts w:ascii="Times New Roman" w:hAnsi="Times New Roman"/>
          <w:sz w:val="24"/>
          <w:szCs w:val="24"/>
        </w:rPr>
      </w:pPr>
      <w:bookmarkStart w:id="20" w:name="art14§4"/>
      <w:bookmarkEnd w:id="20"/>
      <w:r>
        <w:rPr>
          <w:rFonts w:ascii="Times New Roman" w:hAnsi="Times New Roman"/>
          <w:sz w:val="24"/>
          <w:szCs w:val="24"/>
        </w:rPr>
        <w:t xml:space="preserve">O disposto nos itens </w:t>
      </w:r>
      <w:r>
        <w:rPr>
          <w:rFonts w:ascii="Times New Roman" w:hAnsi="Times New Roman"/>
          <w:sz w:val="24"/>
          <w:szCs w:val="24"/>
        </w:rPr>
        <w:fldChar w:fldCharType="begin"/>
      </w:r>
      <w:r>
        <w:rPr>
          <w:sz w:val="24"/>
          <w:szCs w:val="24"/>
          <w:rFonts w:ascii="Times New Roman" w:hAnsi="Times New Roman"/>
        </w:rPr>
        <w:instrText xml:space="preserve"> REF _Ref114659912 \r \r \h </w:instrText>
      </w:r>
      <w:r>
        <w:rPr>
          <w:sz w:val="24"/>
          <w:szCs w:val="24"/>
          <w:rFonts w:ascii="Times New Roman" w:hAnsi="Times New Roman"/>
        </w:rPr>
        <w:fldChar w:fldCharType="separate"/>
      </w:r>
      <w:r>
        <w:rPr>
          <w:sz w:val="24"/>
          <w:szCs w:val="24"/>
          <w:rFonts w:ascii="Times New Roman" w:hAnsi="Times New Roman"/>
        </w:rPr>
        <w:t>3.10.4</w:t>
      </w:r>
      <w:r>
        <w:rPr>
          <w:sz w:val="24"/>
          <w:szCs w:val="24"/>
          <w:rFonts w:ascii="Times New Roman" w:hAnsi="Times New Roman"/>
        </w:rPr>
        <w:fldChar w:fldCharType="end"/>
      </w:r>
      <w:r>
        <w:rPr>
          <w:rFonts w:ascii="Times New Roman" w:hAnsi="Times New Roman"/>
          <w:sz w:val="24"/>
          <w:szCs w:val="24"/>
        </w:rPr>
        <w:t xml:space="preserve"> e </w:t>
      </w:r>
      <w:r>
        <w:rPr>
          <w:rFonts w:ascii="Times New Roman" w:hAnsi="Times New Roman"/>
          <w:sz w:val="24"/>
          <w:szCs w:val="24"/>
        </w:rPr>
        <w:fldChar w:fldCharType="begin"/>
      </w:r>
      <w:r>
        <w:rPr>
          <w:sz w:val="24"/>
          <w:szCs w:val="24"/>
          <w:rFonts w:ascii="Times New Roman" w:hAnsi="Times New Roman"/>
        </w:rPr>
        <w:instrText xml:space="preserve"> REF _Ref114659913 \r \r \h </w:instrText>
      </w:r>
      <w:r>
        <w:rPr>
          <w:sz w:val="24"/>
          <w:szCs w:val="24"/>
          <w:rFonts w:ascii="Times New Roman" w:hAnsi="Times New Roman"/>
        </w:rPr>
        <w:fldChar w:fldCharType="separate"/>
      </w:r>
      <w:r>
        <w:rPr>
          <w:sz w:val="24"/>
          <w:szCs w:val="24"/>
          <w:rFonts w:ascii="Times New Roman" w:hAnsi="Times New Roman"/>
        </w:rPr>
        <w:t>3.10.5</w:t>
      </w:r>
      <w:r>
        <w:rPr>
          <w:sz w:val="24"/>
          <w:szCs w:val="24"/>
          <w:rFonts w:ascii="Times New Roman" w:hAnsi="Times New Roman"/>
        </w:rPr>
        <w:fldChar w:fldCharType="end"/>
      </w:r>
      <w:r>
        <w:rPr>
          <w:rFonts w:ascii="Times New Roman" w:hAnsi="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spacing w:lineRule="auto" w:line="276" w:before="0" w:after="170"/>
        <w:ind w:hanging="0" w:left="0"/>
        <w:rPr>
          <w:rFonts w:ascii="Times New Roman" w:hAnsi="Times New Roman"/>
          <w:sz w:val="24"/>
          <w:szCs w:val="24"/>
        </w:rPr>
      </w:pPr>
      <w:bookmarkStart w:id="21" w:name="art14§5"/>
      <w:bookmarkEnd w:id="21"/>
      <w:r>
        <w:rPr>
          <w:rFonts w:ascii="Times New Roman" w:hAnsi="Times New Roman"/>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A vedação de que trata o item </w:t>
      </w:r>
      <w:r>
        <w:rPr>
          <w:rFonts w:ascii="Times New Roman" w:hAnsi="Times New Roman"/>
          <w:sz w:val="24"/>
          <w:szCs w:val="24"/>
        </w:rPr>
        <w:fldChar w:fldCharType="begin"/>
      </w:r>
      <w:r>
        <w:rPr>
          <w:sz w:val="24"/>
          <w:szCs w:val="24"/>
          <w:rFonts w:ascii="Times New Roman" w:hAnsi="Times New Roman"/>
        </w:rPr>
        <w:instrText xml:space="preserve"> REF _Ref168486586 \r \r \h </w:instrText>
      </w:r>
      <w:r>
        <w:rPr>
          <w:sz w:val="24"/>
          <w:szCs w:val="24"/>
          <w:rFonts w:ascii="Times New Roman" w:hAnsi="Times New Roman"/>
        </w:rPr>
        <w:fldChar w:fldCharType="separate"/>
      </w:r>
      <w:r>
        <w:rPr>
          <w:sz w:val="24"/>
          <w:szCs w:val="24"/>
          <w:rFonts w:ascii="Times New Roman" w:hAnsi="Times New Roman"/>
        </w:rPr>
        <w:t>3.11</w:t>
      </w:r>
      <w:r>
        <w:rPr>
          <w:sz w:val="24"/>
          <w:szCs w:val="24"/>
          <w:rFonts w:ascii="Times New Roman" w:hAnsi="Times New Roman"/>
        </w:rPr>
        <w:fldChar w:fldCharType="end"/>
      </w:r>
      <w:r>
        <w:rPr>
          <w:rFonts w:ascii="Times New Roman" w:hAnsi="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lineRule="auto" w:line="276" w:before="0" w:after="170"/>
        <w:ind w:hanging="0" w:left="0"/>
        <w:rPr>
          <w:rFonts w:ascii="Times New Roman" w:hAnsi="Times New Roman"/>
          <w:color w:val="000000"/>
          <w:sz w:val="24"/>
          <w:szCs w:val="24"/>
        </w:rPr>
      </w:pPr>
      <w:bookmarkStart w:id="22" w:name="_Toc215145269"/>
      <w:r>
        <w:rPr>
          <w:rFonts w:ascii="Times New Roman" w:hAnsi="Times New Roman"/>
          <w:i/>
          <w:color w:val="000000"/>
          <w:sz w:val="24"/>
          <w:szCs w:val="24"/>
        </w:rPr>
        <w:t>DO ORÇAMENTO ESTIMADO</w:t>
      </w:r>
      <w:bookmarkEnd w:id="22"/>
      <w:r>
        <w:rPr>
          <w:rFonts w:ascii="Times New Roman" w:hAnsi="Times New Roman"/>
          <w:i/>
          <w:color w:val="000000"/>
          <w:sz w:val="24"/>
          <w:szCs w:val="24"/>
        </w:rPr>
        <w:t xml:space="preserve"> </w:t>
      </w:r>
    </w:p>
    <w:p>
      <w:pPr>
        <w:pStyle w:val="Nvel2-Red"/>
        <w:numPr>
          <w:ilvl w:val="1"/>
          <w:numId w:val="1"/>
        </w:numPr>
        <w:spacing w:lineRule="auto" w:line="276" w:before="0" w:after="170"/>
        <w:ind w:hanging="0" w:left="0"/>
        <w:rPr>
          <w:rFonts w:ascii="Times New Roman" w:hAnsi="Times New Roman"/>
          <w:color w:val="000000"/>
          <w:sz w:val="24"/>
          <w:szCs w:val="24"/>
        </w:rPr>
      </w:pPr>
      <w:r>
        <w:rPr>
          <w:rFonts w:ascii="Times New Roman" w:hAnsi="Times New Roman"/>
          <w:color w:val="000000"/>
          <w:sz w:val="24"/>
          <w:szCs w:val="24"/>
        </w:rPr>
        <w:t>O orçamento estimado da presente contratação não será de caráter sigiloso.</w:t>
      </w:r>
    </w:p>
    <w:p>
      <w:pPr>
        <w:pStyle w:val="ou"/>
        <w:spacing w:lineRule="auto" w:line="276" w:before="0" w:after="170"/>
        <w:ind w:hanging="0" w:left="0"/>
        <w:rPr>
          <w:color w:val="000000"/>
        </w:rPr>
      </w:pPr>
      <w:r>
        <w:rPr>
          <w:rFonts w:ascii="Times New Roman" w:hAnsi="Times New Roman"/>
          <w:strike/>
          <w:color w:val="000000"/>
          <w:sz w:val="24"/>
          <w:szCs w:val="24"/>
        </w:rPr>
        <w:t>OU</w:t>
      </w:r>
    </w:p>
    <w:p>
      <w:pPr>
        <w:pStyle w:val="Nvel2-Red"/>
        <w:numPr>
          <w:ilvl w:val="1"/>
          <w:numId w:val="1"/>
        </w:numPr>
        <w:spacing w:lineRule="auto" w:line="276" w:before="0" w:after="170"/>
        <w:ind w:hanging="0" w:left="0"/>
        <w:rPr>
          <w:color w:val="000000"/>
        </w:rPr>
      </w:pPr>
      <w:r>
        <w:rPr>
          <w:rFonts w:ascii="Times New Roman" w:hAnsi="Times New Roman"/>
          <w:strike/>
          <w:color w:val="000000"/>
          <w:sz w:val="24"/>
          <w:szCs w:val="24"/>
        </w:rPr>
        <w:t>O orçamento estimado da presente contratação será de caráter sigiloso.</w:t>
      </w:r>
    </w:p>
    <w:p>
      <w:pPr>
        <w:pStyle w:val="Nvel2-Red"/>
        <w:numPr>
          <w:ilvl w:val="1"/>
          <w:numId w:val="1"/>
        </w:numPr>
        <w:spacing w:lineRule="auto" w:line="276" w:before="0" w:after="170"/>
        <w:ind w:hanging="0" w:left="0"/>
        <w:rPr>
          <w:color w:val="000000"/>
        </w:rPr>
      </w:pPr>
      <w:r>
        <w:rPr>
          <w:rFonts w:ascii="Times New Roman" w:hAnsi="Times New Roman"/>
          <w:strike/>
          <w:color w:val="000000"/>
          <w:sz w:val="24"/>
          <w:szCs w:val="24"/>
        </w:rPr>
        <w:t>Para fins do disposto no item anterior, o orçamento estimado para a contratação não será tornado público antes de definido o resultado do julgamento das propostas.</w:t>
      </w:r>
    </w:p>
    <w:p>
      <w:pPr>
        <w:pStyle w:val="Nvel2-Red"/>
        <w:numPr>
          <w:ilvl w:val="1"/>
          <w:numId w:val="1"/>
        </w:numPr>
        <w:spacing w:lineRule="auto" w:line="276" w:before="0" w:after="170"/>
        <w:ind w:hanging="0" w:left="0"/>
        <w:rPr>
          <w:color w:val="000000"/>
        </w:rPr>
      </w:pPr>
      <w:r>
        <w:rPr>
          <w:rFonts w:ascii="Times New Roman" w:hAnsi="Times New Roman"/>
          <w:strike/>
          <w:color w:val="000000"/>
          <w:sz w:val="24"/>
          <w:szCs w:val="24"/>
        </w:rPr>
        <w:t>O caráter sigiloso do orçamento estimado para a contratação não prevalecerá para os órgãos de controle interno e externo.</w:t>
      </w:r>
    </w:p>
    <w:p>
      <w:pPr>
        <w:pStyle w:val="Nivel01"/>
        <w:numPr>
          <w:ilvl w:val="0"/>
          <w:numId w:val="1"/>
        </w:numPr>
        <w:spacing w:lineRule="auto" w:line="276" w:before="0" w:after="170"/>
        <w:ind w:hanging="0" w:left="0"/>
        <w:rPr>
          <w:color w:val="000000"/>
        </w:rPr>
      </w:pPr>
      <w:bookmarkStart w:id="23" w:name="_Toc215145270"/>
      <w:bookmarkStart w:id="24" w:name="_Toc135469198"/>
      <w:r>
        <w:rPr>
          <w:rFonts w:ascii="Times New Roman" w:hAnsi="Times New Roman"/>
          <w:color w:val="000000"/>
          <w:sz w:val="24"/>
          <w:szCs w:val="24"/>
        </w:rPr>
        <w:t>DA APRESENTAÇÃO DA PROPOSTA E DOS DOCUMENTOS DE HABILITAÇÃO</w:t>
      </w:r>
      <w:bookmarkEnd w:id="23"/>
      <w:bookmarkEnd w:id="24"/>
    </w:p>
    <w:p>
      <w:pPr>
        <w:pStyle w:val="Nvel2-Red"/>
        <w:numPr>
          <w:ilvl w:val="1"/>
          <w:numId w:val="1"/>
        </w:numPr>
        <w:spacing w:lineRule="auto" w:line="276" w:before="0" w:after="170"/>
        <w:ind w:hanging="0" w:left="0"/>
        <w:rPr>
          <w:color w:val="000000"/>
        </w:rPr>
      </w:pPr>
      <w:r>
        <w:rPr>
          <w:rFonts w:ascii="Times New Roman" w:hAnsi="Times New Roman"/>
          <w:color w:val="000000"/>
          <w:sz w:val="24"/>
          <w:szCs w:val="24"/>
        </w:rPr>
        <w:t>Na presente licitação, a fase de habilitação sucederá as fases de apresentação de propostas e lances e de julgamento.</w:t>
      </w:r>
    </w:p>
    <w:p>
      <w:pPr>
        <w:pStyle w:val="Nivel2"/>
        <w:numPr>
          <w:ilvl w:val="1"/>
          <w:numId w:val="1"/>
        </w:numPr>
        <w:spacing w:lineRule="auto" w:line="276" w:before="0" w:after="170"/>
        <w:ind w:hanging="0" w:left="0"/>
        <w:rPr>
          <w:color w:val="000000"/>
        </w:rPr>
      </w:pPr>
      <w:bookmarkStart w:id="25" w:name="_Ref113886867"/>
      <w:r>
        <w:rPr>
          <w:rFonts w:ascii="Times New Roman" w:hAnsi="Times New Roman"/>
          <w:color w:val="000000"/>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5"/>
    </w:p>
    <w:p>
      <w:pPr>
        <w:pStyle w:val="Nivel2"/>
        <w:numPr>
          <w:ilvl w:val="1"/>
          <w:numId w:val="1"/>
        </w:numPr>
        <w:spacing w:lineRule="auto" w:line="276" w:before="0" w:after="170"/>
        <w:ind w:hanging="0" w:left="0"/>
        <w:rPr>
          <w:color w:val="000000"/>
        </w:rPr>
      </w:pPr>
      <w:bookmarkStart w:id="26" w:name="_Ref113889589"/>
      <w:r>
        <w:rPr>
          <w:rFonts w:ascii="Times New Roman" w:hAnsi="Times New Roman"/>
          <w:color w:val="000000"/>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Pr>
          <w:rFonts w:ascii="Times New Roman" w:hAnsi="Times New Roman"/>
          <w:color w:val="000000"/>
          <w:sz w:val="24"/>
          <w:szCs w:val="24"/>
          <w:highlight w:val="yellow"/>
        </w:rPr>
        <w:fldChar w:fldCharType="begin"/>
      </w:r>
      <w:r>
        <w:rPr>
          <w:sz w:val="24"/>
          <w:szCs w:val="24"/>
          <w:highlight w:val="yellow"/>
          <w:rFonts w:ascii="Times New Roman" w:hAnsi="Times New Roman"/>
          <w:color w:val="000000"/>
        </w:rPr>
        <w:instrText xml:space="preserve"> REF _Ref114663777 \r \r \h </w:instrText>
      </w:r>
      <w:r>
        <w:rPr>
          <w:sz w:val="24"/>
          <w:szCs w:val="24"/>
          <w:highlight w:val="yellow"/>
          <w:rFonts w:ascii="Times New Roman" w:hAnsi="Times New Roman"/>
          <w:color w:val="000000"/>
        </w:rPr>
        <w:fldChar w:fldCharType="separate"/>
      </w:r>
      <w:r>
        <w:rPr>
          <w:sz w:val="24"/>
          <w:szCs w:val="24"/>
          <w:highlight w:val="yellow"/>
          <w:rFonts w:ascii="Times New Roman" w:hAnsi="Times New Roman"/>
          <w:color w:val="000000"/>
        </w:rPr>
        <w:t>9.1.1</w:t>
      </w:r>
      <w:r>
        <w:rPr>
          <w:sz w:val="24"/>
          <w:szCs w:val="24"/>
          <w:highlight w:val="yellow"/>
          <w:rFonts w:ascii="Times New Roman" w:hAnsi="Times New Roman"/>
          <w:color w:val="000000"/>
        </w:rPr>
        <w:fldChar w:fldCharType="end"/>
      </w:r>
      <w:r>
        <w:rPr>
          <w:rFonts w:ascii="Times New Roman" w:hAnsi="Times New Roman"/>
          <w:color w:val="000000"/>
          <w:sz w:val="24"/>
          <w:szCs w:val="24"/>
        </w:rPr>
        <w:t xml:space="preserve"> e </w:t>
      </w:r>
      <w:r>
        <w:rPr>
          <w:rFonts w:ascii="Times New Roman" w:hAnsi="Times New Roman"/>
          <w:color w:val="000000"/>
          <w:sz w:val="24"/>
          <w:szCs w:val="24"/>
        </w:rPr>
        <w:fldChar w:fldCharType="begin"/>
      </w:r>
      <w:r>
        <w:rPr>
          <w:sz w:val="24"/>
          <w:szCs w:val="24"/>
          <w:rFonts w:ascii="Times New Roman" w:hAnsi="Times New Roman"/>
          <w:color w:val="000000"/>
        </w:rPr>
        <w:instrText xml:space="preserve"> REF _Ref201824335 \r \r \h </w:instrText>
      </w:r>
      <w:r>
        <w:rPr>
          <w:sz w:val="24"/>
          <w:szCs w:val="24"/>
          <w:rFonts w:ascii="Times New Roman" w:hAnsi="Times New Roman"/>
          <w:color w:val="000000"/>
        </w:rPr>
        <w:fldChar w:fldCharType="separate"/>
      </w:r>
      <w:r>
        <w:rPr>
          <w:sz w:val="24"/>
          <w:szCs w:val="24"/>
          <w:rFonts w:ascii="Times New Roman" w:hAnsi="Times New Roman"/>
          <w:color w:val="000000"/>
        </w:rPr>
        <w:t>9.13.2</w:t>
      </w:r>
      <w:r>
        <w:rPr>
          <w:sz w:val="24"/>
          <w:szCs w:val="24"/>
          <w:rFonts w:ascii="Times New Roman" w:hAnsi="Times New Roman"/>
          <w:color w:val="000000"/>
        </w:rPr>
        <w:fldChar w:fldCharType="end"/>
      </w:r>
      <w:r>
        <w:rPr>
          <w:rFonts w:ascii="Times New Roman" w:hAnsi="Times New Roman"/>
          <w:color w:val="000000"/>
          <w:sz w:val="24"/>
          <w:szCs w:val="24"/>
        </w:rPr>
        <w:t xml:space="preserve"> deste Edital.</w:t>
      </w:r>
      <w:bookmarkEnd w:id="26"/>
    </w:p>
    <w:p>
      <w:pPr>
        <w:pStyle w:val="Nivel2"/>
        <w:numPr>
          <w:ilvl w:val="1"/>
          <w:numId w:val="1"/>
        </w:numPr>
        <w:spacing w:lineRule="auto" w:line="276" w:before="0" w:after="170"/>
        <w:ind w:hanging="0" w:left="0"/>
        <w:rPr>
          <w:color w:val="000000"/>
        </w:rPr>
      </w:pPr>
      <w:bookmarkStart w:id="27" w:name="_Ref113968921"/>
      <w:r>
        <w:rPr>
          <w:rFonts w:ascii="Times New Roman" w:hAnsi="Times New Roman"/>
          <w:color w:val="000000"/>
          <w:sz w:val="24"/>
          <w:szCs w:val="24"/>
        </w:rPr>
        <w:t>No cadastramento da proposta inicial, o licitante declarará, em campo próprio do sistema, que:</w:t>
      </w:r>
      <w:bookmarkEnd w:id="27"/>
    </w:p>
    <w:p>
      <w:pPr>
        <w:pStyle w:val="Nivel3"/>
        <w:numPr>
          <w:ilvl w:val="2"/>
          <w:numId w:val="199"/>
        </w:numPr>
        <w:spacing w:lineRule="auto" w:line="276" w:before="0" w:after="170"/>
        <w:ind w:hanging="0" w:left="0"/>
        <w:rPr>
          <w:color w:val="000000"/>
        </w:rPr>
      </w:pPr>
      <w:r>
        <w:rPr>
          <w:rFonts w:ascii="Times New Roman" w:hAnsi="Times New Roman"/>
          <w:color w:val="000000"/>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ivel3"/>
        <w:numPr>
          <w:ilvl w:val="2"/>
          <w:numId w:val="200"/>
        </w:numPr>
        <w:spacing w:lineRule="auto" w:line="276" w:before="0" w:after="170"/>
        <w:ind w:hanging="0" w:left="0"/>
        <w:rPr>
          <w:color w:val="000000"/>
        </w:rPr>
      </w:pPr>
      <w:r>
        <w:rPr>
          <w:rFonts w:ascii="Times New Roman" w:hAnsi="Times New Roman"/>
          <w:color w:val="000000"/>
          <w:sz w:val="24"/>
          <w:szCs w:val="24"/>
        </w:rPr>
        <w:t>não emprega menor de 18 anos em trabalho noturno, perigoso ou insalubre e não emprega menor de 16 anos, salvo menor, a partir de 14 anos, na condição de aprendiz, nos termos do artigo 7°, XXXIII, da Constituição;</w:t>
      </w:r>
    </w:p>
    <w:p>
      <w:pPr>
        <w:pStyle w:val="Nivel3"/>
        <w:numPr>
          <w:ilvl w:val="2"/>
          <w:numId w:val="201"/>
        </w:numPr>
        <w:spacing w:lineRule="auto" w:line="276" w:before="0" w:after="170"/>
        <w:ind w:hanging="0" w:left="0"/>
        <w:rPr>
          <w:color w:val="000000"/>
        </w:rPr>
      </w:pPr>
      <w:r>
        <w:rPr>
          <w:rFonts w:ascii="Times New Roman" w:hAnsi="Times New Roman"/>
          <w:color w:val="000000"/>
          <w:sz w:val="24"/>
          <w:szCs w:val="24"/>
        </w:rPr>
        <w:t>não possui empregados executando trabalho degradante ou forçado, observando o disposto nos incisos III e IV do art. 1º e no inciso III do art. 5º da Constituição Federal;</w:t>
      </w:r>
    </w:p>
    <w:p>
      <w:pPr>
        <w:pStyle w:val="Nivel3"/>
        <w:numPr>
          <w:ilvl w:val="2"/>
          <w:numId w:val="202"/>
        </w:numPr>
        <w:spacing w:lineRule="auto" w:line="276" w:before="0" w:after="170"/>
        <w:ind w:hanging="0" w:left="0"/>
        <w:rPr>
          <w:color w:val="000000"/>
        </w:rPr>
      </w:pPr>
      <w:r>
        <w:rPr>
          <w:rFonts w:ascii="Times New Roman" w:hAnsi="Times New Roman"/>
          <w:color w:val="000000"/>
          <w:sz w:val="24"/>
          <w:szCs w:val="24"/>
        </w:rPr>
        <w:t>cumpre as exigências de reserva de cargos para pessoa com deficiência e para reabilitado da Previdência Social, previstas em lei e em outras normas específicas.</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color w:val="000000"/>
          <w:sz w:val="24"/>
          <w:szCs w:val="24"/>
        </w:rPr>
        <w:t xml:space="preserve">O licitante organizado em cooperativa deverá </w:t>
      </w:r>
      <w:r>
        <w:rPr>
          <w:rFonts w:ascii="Times New Roman" w:hAnsi="Times New Roman"/>
          <w:sz w:val="24"/>
          <w:szCs w:val="24"/>
        </w:rPr>
        <w:t>declarar, ainda, em campo próprio do sistema eletrônico, que cumpre os requisitos estabelecidos no artigo 16 da Lei nº 14.133, de 2021.</w:t>
      </w:r>
    </w:p>
    <w:p>
      <w:pPr>
        <w:pStyle w:val="Nivel2"/>
        <w:numPr>
          <w:ilvl w:val="1"/>
          <w:numId w:val="1"/>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O licitante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No caso das empresas que foram beneficiadas pela Lei nº 12.546, de 2011, as propostas de preços deverão ser apresentadas com as alíquotas em vigor, nos termos da Lei nº 14.973, de 2024, aplicáveis para o ano de apresentação da proposta.</w:t>
      </w:r>
    </w:p>
    <w:p>
      <w:pPr>
        <w:pStyle w:val="Nivel3"/>
        <w:numPr>
          <w:ilvl w:val="2"/>
          <w:numId w:val="203"/>
        </w:numPr>
        <w:spacing w:lineRule="auto" w:line="276" w:before="0" w:after="170"/>
        <w:ind w:hanging="0" w:left="0"/>
        <w:rPr>
          <w:rFonts w:ascii="Times New Roman" w:hAnsi="Times New Roman"/>
          <w:sz w:val="24"/>
          <w:szCs w:val="24"/>
        </w:rPr>
      </w:pPr>
      <w:r>
        <w:rPr>
          <w:rFonts w:ascii="Times New Roman" w:hAnsi="Times New Roman"/>
          <w:sz w:val="24"/>
          <w:szCs w:val="24"/>
        </w:rPr>
        <w:t>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pPr>
        <w:pStyle w:val="Nivel2"/>
        <w:numPr>
          <w:ilvl w:val="1"/>
          <w:numId w:val="1"/>
        </w:numPr>
        <w:spacing w:lineRule="auto" w:line="276" w:before="0" w:after="170"/>
        <w:ind w:hanging="0" w:left="0"/>
        <w:rPr>
          <w:rFonts w:ascii="Times New Roman" w:hAnsi="Times New Roman"/>
          <w:sz w:val="24"/>
          <w:szCs w:val="24"/>
        </w:rPr>
      </w:pPr>
      <w:bookmarkStart w:id="28" w:name="_Ref215145392"/>
      <w:bookmarkStart w:id="29" w:name="_Ref117000019"/>
      <w:r>
        <w:rPr>
          <w:rFonts w:ascii="Times New Roman" w:hAnsi="Times New Roman"/>
          <w:sz w:val="24"/>
          <w:szCs w:val="24"/>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bookmarkEnd w:id="29"/>
      <w:r>
        <w:rPr>
          <w:rFonts w:ascii="Times New Roman" w:hAnsi="Times New Roman"/>
          <w:sz w:val="24"/>
          <w:szCs w:val="24"/>
        </w:rPr>
        <w:t>arts. 42 a 49, observado o disposto nos §§ 1º ao 3º do art. 4º, da Lei nº 14.133, de 2021.</w:t>
      </w:r>
      <w:bookmarkEnd w:id="28"/>
    </w:p>
    <w:p>
      <w:pPr>
        <w:pStyle w:val="Nivel3"/>
        <w:numPr>
          <w:ilvl w:val="2"/>
          <w:numId w:val="204"/>
        </w:numPr>
        <w:spacing w:lineRule="auto" w:line="276" w:before="0" w:after="170"/>
        <w:ind w:hanging="0" w:left="0"/>
        <w:rPr>
          <w:rFonts w:ascii="Times New Roman" w:hAnsi="Times New Roman"/>
          <w:sz w:val="24"/>
          <w:szCs w:val="24"/>
        </w:rPr>
      </w:pPr>
      <w:r>
        <w:rPr>
          <w:rFonts w:ascii="Times New Roman" w:hAnsi="Times New Roman"/>
          <w:sz w:val="24"/>
          <w:szCs w:val="24"/>
        </w:rPr>
        <w:t>No item exclusivo para participação de microempresas e empresas de pequeno porte, a assinalação do campo “não” impedirá o prosseguimento no certame, para aquele item;</w:t>
      </w:r>
    </w:p>
    <w:p>
      <w:pPr>
        <w:pStyle w:val="Nivel3"/>
        <w:numPr>
          <w:ilvl w:val="2"/>
          <w:numId w:val="205"/>
        </w:numPr>
        <w:spacing w:lineRule="auto" w:line="276" w:before="0" w:after="170"/>
        <w:ind w:hanging="0" w:left="0"/>
        <w:rPr>
          <w:rFonts w:ascii="Times New Roman" w:hAnsi="Times New Roman"/>
          <w:sz w:val="24"/>
          <w:szCs w:val="24"/>
        </w:rPr>
      </w:pPr>
      <w:r>
        <w:rPr>
          <w:rFonts w:ascii="Times New Roman" w:hAnsi="Times New Roman"/>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Não poderá se beneficiar do tratamento jurídico diferenciado estabelecido nos arts. 42 a 49 da Lei Complementar nº 123, de 2006, a pessoa jurídica:</w:t>
      </w:r>
    </w:p>
    <w:p>
      <w:pPr>
        <w:pStyle w:val="Nivel3"/>
        <w:numPr>
          <w:ilvl w:val="2"/>
          <w:numId w:val="206"/>
        </w:numPr>
        <w:spacing w:lineRule="auto" w:line="276" w:before="0" w:after="170"/>
        <w:ind w:hanging="0" w:left="0"/>
        <w:rPr>
          <w:rFonts w:ascii="Times New Roman" w:hAnsi="Times New Roman"/>
          <w:sz w:val="24"/>
          <w:szCs w:val="24"/>
        </w:rPr>
      </w:pPr>
      <w:r>
        <w:rPr>
          <w:rFonts w:ascii="Times New Roman" w:hAnsi="Times New Roman"/>
          <w:sz w:val="24"/>
          <w:szCs w:val="24"/>
        </w:rPr>
        <w:t>de cujo capital participe outra pessoa jurídica;</w:t>
      </w:r>
    </w:p>
    <w:p>
      <w:pPr>
        <w:pStyle w:val="Nivel3"/>
        <w:numPr>
          <w:ilvl w:val="2"/>
          <w:numId w:val="207"/>
        </w:numPr>
        <w:spacing w:lineRule="auto" w:line="276" w:before="0" w:after="170"/>
        <w:ind w:hanging="0" w:left="0"/>
        <w:rPr>
          <w:rFonts w:ascii="Times New Roman" w:hAnsi="Times New Roman"/>
          <w:sz w:val="24"/>
          <w:szCs w:val="24"/>
        </w:rPr>
      </w:pPr>
      <w:r>
        <w:rPr>
          <w:rFonts w:ascii="Times New Roman" w:hAnsi="Times New Roman"/>
          <w:sz w:val="24"/>
          <w:szCs w:val="24"/>
        </w:rPr>
        <w:t>que seja filial, sucursal, agência ou representação, no País, de pessoa jurídica com sede no exterior;</w:t>
      </w:r>
    </w:p>
    <w:p>
      <w:pPr>
        <w:pStyle w:val="Nivel3"/>
        <w:numPr>
          <w:ilvl w:val="2"/>
          <w:numId w:val="208"/>
        </w:numPr>
        <w:spacing w:lineRule="auto" w:line="276" w:before="0" w:after="170"/>
        <w:ind w:hanging="0" w:left="0"/>
        <w:rPr>
          <w:rFonts w:ascii="Times New Roman" w:hAnsi="Times New Roman"/>
          <w:sz w:val="24"/>
          <w:szCs w:val="24"/>
        </w:rPr>
      </w:pPr>
      <w:r>
        <w:rPr>
          <w:rFonts w:ascii="Times New Roman" w:hAnsi="Times New Roman"/>
          <w:sz w:val="24"/>
          <w:szCs w:val="24"/>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pPr>
        <w:pStyle w:val="Nivel3"/>
        <w:numPr>
          <w:ilvl w:val="2"/>
          <w:numId w:val="209"/>
        </w:numPr>
        <w:spacing w:lineRule="auto" w:line="276" w:before="0" w:after="170"/>
        <w:ind w:hanging="0" w:left="0"/>
        <w:rPr>
          <w:rFonts w:ascii="Times New Roman" w:hAnsi="Times New Roman"/>
          <w:sz w:val="24"/>
          <w:szCs w:val="24"/>
        </w:rPr>
      </w:pPr>
      <w:r>
        <w:rPr>
          <w:rFonts w:ascii="Times New Roman" w:hAnsi="Times New Roman"/>
          <w:sz w:val="24"/>
          <w:szCs w:val="24"/>
        </w:rPr>
        <w:t>cujo titular ou sócio participe com mais de 10% (dez por cento) do capital de outra empresa não beneficiada pela Lei Complementar nº 123, de 2006, desde que a receita bruta global ultrapasse o limite de que trata o inciso II do art. 3º da referida lei;</w:t>
      </w:r>
    </w:p>
    <w:p>
      <w:pPr>
        <w:pStyle w:val="Nivel3"/>
        <w:numPr>
          <w:ilvl w:val="2"/>
          <w:numId w:val="210"/>
        </w:numPr>
        <w:spacing w:lineRule="auto" w:line="276" w:before="0" w:after="170"/>
        <w:ind w:hanging="0" w:left="0"/>
        <w:rPr>
          <w:rFonts w:ascii="Times New Roman" w:hAnsi="Times New Roman"/>
          <w:sz w:val="24"/>
          <w:szCs w:val="24"/>
        </w:rPr>
      </w:pPr>
      <w:r>
        <w:rPr>
          <w:rFonts w:ascii="Times New Roman" w:hAnsi="Times New Roman"/>
          <w:sz w:val="24"/>
          <w:szCs w:val="24"/>
        </w:rPr>
        <w:t>cujo sócio ou titular seja administrador ou equiparado de outra pessoa jurídica com fins lucrativos, desde que a receita bruta global ultrapasse o limite de que trata o inciso II do art. 3º da referida lei;</w:t>
      </w:r>
    </w:p>
    <w:p>
      <w:pPr>
        <w:pStyle w:val="Nivel3"/>
        <w:numPr>
          <w:ilvl w:val="2"/>
          <w:numId w:val="211"/>
        </w:numPr>
        <w:spacing w:lineRule="auto" w:line="276" w:before="0" w:after="170"/>
        <w:ind w:hanging="0" w:left="0"/>
        <w:rPr>
          <w:rFonts w:ascii="Times New Roman" w:hAnsi="Times New Roman"/>
          <w:sz w:val="24"/>
          <w:szCs w:val="24"/>
        </w:rPr>
      </w:pPr>
      <w:r>
        <w:rPr>
          <w:rFonts w:ascii="Times New Roman" w:hAnsi="Times New Roman"/>
          <w:sz w:val="24"/>
          <w:szCs w:val="24"/>
        </w:rPr>
        <w:t>constituída sob a forma de cooperativas, salvo as de consumo;</w:t>
      </w:r>
    </w:p>
    <w:p>
      <w:pPr>
        <w:pStyle w:val="Nivel3"/>
        <w:numPr>
          <w:ilvl w:val="2"/>
          <w:numId w:val="212"/>
        </w:numPr>
        <w:spacing w:lineRule="auto" w:line="276" w:before="0" w:after="170"/>
        <w:ind w:hanging="0" w:left="0"/>
        <w:rPr>
          <w:rFonts w:ascii="Times New Roman" w:hAnsi="Times New Roman"/>
          <w:sz w:val="24"/>
          <w:szCs w:val="24"/>
        </w:rPr>
      </w:pPr>
      <w:r>
        <w:rPr>
          <w:rFonts w:ascii="Times New Roman" w:hAnsi="Times New Roman"/>
          <w:sz w:val="24"/>
          <w:szCs w:val="24"/>
        </w:rPr>
        <w:t>que participe do capital de outra pessoa jurídica;</w:t>
      </w:r>
    </w:p>
    <w:p>
      <w:pPr>
        <w:pStyle w:val="Nivel3"/>
        <w:numPr>
          <w:ilvl w:val="2"/>
          <w:numId w:val="213"/>
        </w:numPr>
        <w:spacing w:lineRule="auto" w:line="276" w:before="0" w:after="170"/>
        <w:ind w:hanging="0" w:left="0"/>
        <w:rPr>
          <w:rFonts w:ascii="Times New Roman" w:hAnsi="Times New Roman"/>
          <w:sz w:val="24"/>
          <w:szCs w:val="24"/>
        </w:rPr>
      </w:pPr>
      <w:r>
        <w:rPr>
          <w:rFonts w:ascii="Times New Roman" w:hAnsi="Times New Roman"/>
          <w:sz w:val="24"/>
          <w:szCs w:val="24"/>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pPr>
        <w:pStyle w:val="Nivel3"/>
        <w:numPr>
          <w:ilvl w:val="2"/>
          <w:numId w:val="214"/>
        </w:numPr>
        <w:spacing w:lineRule="auto" w:line="276" w:before="0" w:after="170"/>
        <w:ind w:hanging="0" w:left="0"/>
        <w:rPr>
          <w:rFonts w:ascii="Times New Roman" w:hAnsi="Times New Roman"/>
          <w:sz w:val="24"/>
          <w:szCs w:val="24"/>
        </w:rPr>
      </w:pPr>
      <w:r>
        <w:rPr>
          <w:rFonts w:ascii="Times New Roman" w:hAnsi="Times New Roman"/>
          <w:sz w:val="24"/>
          <w:szCs w:val="24"/>
        </w:rPr>
        <w:t>resultante ou remanescente de cisão ou qualquer outra forma de desmembramento de pessoa jurídica que tenha ocorrido em um dos 5 (cinco) anos-calendário anteriores;</w:t>
      </w:r>
    </w:p>
    <w:p>
      <w:pPr>
        <w:pStyle w:val="Nivel3"/>
        <w:numPr>
          <w:ilvl w:val="2"/>
          <w:numId w:val="215"/>
        </w:numPr>
        <w:spacing w:lineRule="auto" w:line="276" w:before="0" w:after="170"/>
        <w:ind w:hanging="0" w:left="0"/>
        <w:rPr>
          <w:rFonts w:ascii="Times New Roman" w:hAnsi="Times New Roman"/>
          <w:sz w:val="24"/>
          <w:szCs w:val="24"/>
        </w:rPr>
      </w:pPr>
      <w:r>
        <w:rPr>
          <w:rFonts w:ascii="Times New Roman" w:hAnsi="Times New Roman"/>
          <w:sz w:val="24"/>
          <w:szCs w:val="24"/>
        </w:rPr>
        <w:t>constituída sob a forma de sociedade por ações.</w:t>
      </w:r>
    </w:p>
    <w:p>
      <w:pPr>
        <w:pStyle w:val="Nivel3"/>
        <w:numPr>
          <w:ilvl w:val="2"/>
          <w:numId w:val="216"/>
        </w:numPr>
        <w:spacing w:lineRule="auto" w:line="276" w:before="0" w:after="170"/>
        <w:ind w:hanging="0" w:left="0"/>
        <w:rPr>
          <w:rFonts w:ascii="Times New Roman" w:hAnsi="Times New Roman"/>
          <w:sz w:val="24"/>
          <w:szCs w:val="24"/>
        </w:rPr>
      </w:pPr>
      <w:r>
        <w:rPr>
          <w:rFonts w:ascii="Times New Roman" w:hAnsi="Times New Roman"/>
          <w:sz w:val="24"/>
          <w:szCs w:val="24"/>
        </w:rPr>
        <w:t>cujos titulares ou só</w:t>
      </w:r>
      <w:r>
        <w:rPr>
          <w:rFonts w:ascii="Times New Roman" w:hAnsi="Times New Roman"/>
          <w:color w:val="000000"/>
          <w:sz w:val="24"/>
          <w:szCs w:val="24"/>
          <w:shd w:fill="auto" w:val="clear"/>
        </w:rPr>
        <w:t>cios guardem, cumulativamente, com o contratante do serviço, relação de pessoalidade, subordinação e habitualidade.</w:t>
      </w:r>
    </w:p>
    <w:p>
      <w:pPr>
        <w:pStyle w:val="Nivel2"/>
        <w:numPr>
          <w:ilvl w:val="1"/>
          <w:numId w:val="1"/>
        </w:numPr>
        <w:spacing w:lineRule="auto" w:line="276" w:before="0" w:after="170"/>
        <w:ind w:hanging="0" w:left="0"/>
        <w:rPr>
          <w:color w:val="000000"/>
          <w:highlight w:val="none"/>
          <w:shd w:fill="auto" w:val="clear"/>
        </w:rPr>
      </w:pPr>
      <w:bookmarkStart w:id="30" w:name="_Ref211935755"/>
      <w:r>
        <w:rPr>
          <w:rFonts w:ascii="Times New Roman" w:hAnsi="Times New Roman"/>
          <w:color w:val="000000"/>
          <w:sz w:val="24"/>
          <w:szCs w:val="24"/>
          <w:shd w:fill="auto" w:val="clear"/>
        </w:rPr>
        <w:t>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bookmarkEnd w:id="30"/>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color w:val="000000"/>
          <w:sz w:val="24"/>
          <w:szCs w:val="24"/>
          <w:shd w:fill="auto" w:val="clear"/>
        </w:rPr>
        <w:t>A falsidade da declaração de qu</w:t>
      </w:r>
      <w:r>
        <w:rPr>
          <w:rFonts w:ascii="Times New Roman" w:hAnsi="Times New Roman"/>
          <w:sz w:val="24"/>
          <w:szCs w:val="24"/>
        </w:rPr>
        <w:t xml:space="preserve">e trata os itens </w:t>
      </w:r>
      <w:r>
        <w:rPr>
          <w:rFonts w:ascii="Times New Roman" w:hAnsi="Times New Roman"/>
          <w:sz w:val="24"/>
          <w:szCs w:val="24"/>
        </w:rPr>
        <w:fldChar w:fldCharType="begin"/>
      </w:r>
      <w:r>
        <w:rPr>
          <w:sz w:val="24"/>
          <w:szCs w:val="24"/>
          <w:rFonts w:ascii="Times New Roman" w:hAnsi="Times New Roman"/>
        </w:rPr>
        <w:instrText xml:space="preserve"> REF _Ref113968921 \r \r \h </w:instrText>
      </w:r>
      <w:r>
        <w:rPr>
          <w:sz w:val="24"/>
          <w:szCs w:val="24"/>
          <w:rFonts w:ascii="Times New Roman" w:hAnsi="Times New Roman"/>
        </w:rPr>
        <w:fldChar w:fldCharType="separate"/>
      </w:r>
      <w:r>
        <w:rPr>
          <w:sz w:val="24"/>
          <w:szCs w:val="24"/>
          <w:rFonts w:ascii="Times New Roman" w:hAnsi="Times New Roman"/>
        </w:rPr>
        <w:t>5.4</w:t>
      </w:r>
      <w:r>
        <w:rPr>
          <w:sz w:val="24"/>
          <w:szCs w:val="24"/>
          <w:rFonts w:ascii="Times New Roman" w:hAnsi="Times New Roman"/>
        </w:rPr>
        <w:fldChar w:fldCharType="end"/>
      </w:r>
      <w:r>
        <w:rPr>
          <w:rFonts w:ascii="Times New Roman" w:hAnsi="Times New Roman"/>
          <w:sz w:val="24"/>
          <w:szCs w:val="24"/>
        </w:rPr>
        <w:t xml:space="preserve">, </w:t>
      </w:r>
      <w:r>
        <w:rPr>
          <w:rFonts w:ascii="Times New Roman" w:hAnsi="Times New Roman"/>
          <w:sz w:val="24"/>
          <w:szCs w:val="24"/>
        </w:rPr>
        <w:fldChar w:fldCharType="begin"/>
      </w:r>
      <w:r>
        <w:rPr>
          <w:sz w:val="24"/>
          <w:szCs w:val="24"/>
          <w:rFonts w:ascii="Times New Roman" w:hAnsi="Times New Roman"/>
        </w:rPr>
        <w:instrText xml:space="preserve"> REF _Ref215145392 \r \r \h </w:instrText>
      </w:r>
      <w:r>
        <w:rPr>
          <w:sz w:val="24"/>
          <w:szCs w:val="24"/>
          <w:rFonts w:ascii="Times New Roman" w:hAnsi="Times New Roman"/>
        </w:rPr>
        <w:fldChar w:fldCharType="separate"/>
      </w:r>
      <w:r>
        <w:rPr>
          <w:sz w:val="24"/>
          <w:szCs w:val="24"/>
          <w:rFonts w:ascii="Times New Roman" w:hAnsi="Times New Roman"/>
        </w:rPr>
        <w:t>5.8</w:t>
      </w:r>
      <w:r>
        <w:rPr>
          <w:sz w:val="24"/>
          <w:szCs w:val="24"/>
          <w:rFonts w:ascii="Times New Roman" w:hAnsi="Times New Roman"/>
        </w:rPr>
        <w:fldChar w:fldCharType="end"/>
      </w:r>
      <w:r>
        <w:rPr>
          <w:rFonts w:ascii="Times New Roman" w:hAnsi="Times New Roman"/>
          <w:sz w:val="24"/>
          <w:szCs w:val="24"/>
        </w:rPr>
        <w:t xml:space="preserve"> ou </w:t>
      </w:r>
      <w:r>
        <w:rPr>
          <w:rFonts w:ascii="Times New Roman" w:hAnsi="Times New Roman"/>
          <w:sz w:val="24"/>
          <w:szCs w:val="24"/>
        </w:rPr>
        <w:fldChar w:fldCharType="begin"/>
      </w:r>
      <w:r>
        <w:rPr>
          <w:sz w:val="24"/>
          <w:szCs w:val="24"/>
          <w:rFonts w:ascii="Times New Roman" w:hAnsi="Times New Roman"/>
        </w:rPr>
        <w:instrText xml:space="preserve"> REF _Ref211935755 \r \r \h </w:instrText>
      </w:r>
      <w:r>
        <w:rPr>
          <w:sz w:val="24"/>
          <w:szCs w:val="24"/>
          <w:rFonts w:ascii="Times New Roman" w:hAnsi="Times New Roman"/>
        </w:rPr>
        <w:fldChar w:fldCharType="separate"/>
      </w:r>
      <w:r>
        <w:rPr>
          <w:sz w:val="24"/>
          <w:szCs w:val="24"/>
          <w:rFonts w:ascii="Times New Roman" w:hAnsi="Times New Roman"/>
        </w:rPr>
        <w:t>5.10</w:t>
      </w:r>
      <w:r>
        <w:rPr>
          <w:sz w:val="24"/>
          <w:szCs w:val="24"/>
          <w:rFonts w:ascii="Times New Roman" w:hAnsi="Times New Roman"/>
        </w:rPr>
        <w:fldChar w:fldCharType="end"/>
      </w:r>
      <w:r>
        <w:rPr>
          <w:rFonts w:ascii="Times New Roman" w:hAnsi="Times New Roman"/>
          <w:sz w:val="24"/>
          <w:szCs w:val="24"/>
        </w:rPr>
        <w:t xml:space="preserve"> sujeitará o licitante às sanções previstas na Lei nº 14.133, de 2021, e neste Edital.</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Serão disponibilizados para acesso público os documentos que compõem a proposta dos licitantes convocados para apresentação de propostas, após a fase de envio de lances.</w:t>
      </w:r>
    </w:p>
    <w:p>
      <w:pPr>
        <w:pStyle w:val="Nivel2"/>
        <w:numPr>
          <w:ilvl w:val="1"/>
          <w:numId w:val="1"/>
        </w:numPr>
        <w:spacing w:lineRule="auto" w:line="276" w:before="0" w:after="170"/>
        <w:ind w:hanging="0" w:left="0"/>
        <w:rPr>
          <w:rFonts w:ascii="Times New Roman" w:hAnsi="Times New Roman"/>
          <w:sz w:val="24"/>
          <w:szCs w:val="24"/>
        </w:rPr>
      </w:pPr>
      <w:bookmarkStart w:id="31" w:name="_Ref116992247"/>
      <w:r>
        <w:rPr>
          <w:rFonts w:ascii="Times New Roman" w:hAnsi="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31"/>
    </w:p>
    <w:p>
      <w:pPr>
        <w:pStyle w:val="Nivel3"/>
        <w:numPr>
          <w:ilvl w:val="2"/>
          <w:numId w:val="217"/>
        </w:numPr>
        <w:spacing w:lineRule="auto" w:line="276" w:before="0" w:after="170"/>
        <w:ind w:hanging="0" w:left="0"/>
        <w:rPr>
          <w:rFonts w:ascii="Times New Roman" w:hAnsi="Times New Roman"/>
          <w:sz w:val="24"/>
          <w:szCs w:val="24"/>
        </w:rPr>
      </w:pPr>
      <w:r>
        <w:rPr>
          <w:rFonts w:ascii="Times New Roman" w:hAnsi="Times New Roman"/>
          <w:sz w:val="24"/>
          <w:szCs w:val="24"/>
        </w:rPr>
        <w:t>a aplicação do intervalo mínimo de diferença de valores ou de percentuais entre os lances, que incidirá tanto em relação aos lances intermediários quanto em relação ao lance que cobrir a melhor oferta; e</w:t>
      </w:r>
    </w:p>
    <w:p>
      <w:pPr>
        <w:pStyle w:val="Nivel3"/>
        <w:numPr>
          <w:ilvl w:val="2"/>
          <w:numId w:val="218"/>
        </w:numPr>
        <w:spacing w:lineRule="auto" w:line="276" w:before="0" w:after="170"/>
        <w:ind w:hanging="0" w:left="0"/>
        <w:rPr>
          <w:rFonts w:ascii="Times New Roman" w:hAnsi="Times New Roman"/>
          <w:sz w:val="24"/>
          <w:szCs w:val="24"/>
        </w:rPr>
      </w:pPr>
      <w:r>
        <w:rPr>
          <w:rFonts w:ascii="Times New Roman" w:hAnsi="Times New Roman"/>
          <w:sz w:val="24"/>
          <w:szCs w:val="24"/>
        </w:rPr>
        <w:t>os lances serão de envio automático pelo sistema, respeitado o valor final mínimo, caso estabelecido, e o intervalo de que trata o subitem acima.</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O valor final mínimo ou o percentual de desconto final máximo parametrizado no sistema poderá ser alterado pelo fornecedor durante a fase de disputa, sendo vedado:</w:t>
      </w:r>
    </w:p>
    <w:p>
      <w:pPr>
        <w:pStyle w:val="Nivel3"/>
        <w:numPr>
          <w:ilvl w:val="2"/>
          <w:numId w:val="219"/>
        </w:numPr>
        <w:spacing w:lineRule="auto" w:line="276" w:before="0" w:after="170"/>
        <w:ind w:hanging="0" w:left="0"/>
        <w:rPr>
          <w:rFonts w:ascii="Times New Roman" w:hAnsi="Times New Roman"/>
          <w:sz w:val="24"/>
          <w:szCs w:val="24"/>
        </w:rPr>
      </w:pPr>
      <w:r>
        <w:rPr>
          <w:rFonts w:ascii="Times New Roman" w:hAnsi="Times New Roman"/>
          <w:sz w:val="24"/>
          <w:szCs w:val="24"/>
        </w:rPr>
        <w:t>valor superior a lance já registrado pelo fornecedor no sistema, quando adotado o critério de julgamento por menor preço; e</w:t>
      </w:r>
    </w:p>
    <w:p>
      <w:pPr>
        <w:pStyle w:val="Nivel3"/>
        <w:numPr>
          <w:ilvl w:val="2"/>
          <w:numId w:val="220"/>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percentual de desconto inferior a lance já registrado pelo fornecedor no sistema, quando adotado o critério de julgamento por maior desconto.</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O valor final mínimo ou o percentual de desconto final máximo parametrizado na forma do item </w:t>
      </w:r>
      <w:r>
        <w:rPr>
          <w:rFonts w:ascii="Times New Roman" w:hAnsi="Times New Roman"/>
          <w:sz w:val="24"/>
          <w:szCs w:val="24"/>
        </w:rPr>
        <w:fldChar w:fldCharType="begin"/>
      </w:r>
      <w:r>
        <w:rPr>
          <w:sz w:val="24"/>
          <w:szCs w:val="24"/>
          <w:rFonts w:ascii="Times New Roman" w:hAnsi="Times New Roman"/>
        </w:rPr>
        <w:instrText xml:space="preserve"> REF _Ref116992247 \r \r \h </w:instrText>
      </w:r>
      <w:r>
        <w:rPr>
          <w:sz w:val="24"/>
          <w:szCs w:val="24"/>
          <w:rFonts w:ascii="Times New Roman" w:hAnsi="Times New Roman"/>
        </w:rPr>
        <w:fldChar w:fldCharType="separate"/>
      </w:r>
      <w:r>
        <w:rPr>
          <w:sz w:val="24"/>
          <w:szCs w:val="24"/>
          <w:rFonts w:ascii="Times New Roman" w:hAnsi="Times New Roman"/>
        </w:rPr>
        <w:t>5.15</w:t>
      </w:r>
      <w:r>
        <w:rPr>
          <w:sz w:val="24"/>
          <w:szCs w:val="24"/>
          <w:rFonts w:ascii="Times New Roman" w:hAnsi="Times New Roman"/>
        </w:rPr>
        <w:fldChar w:fldCharType="end"/>
      </w:r>
      <w:r>
        <w:rPr>
          <w:rFonts w:ascii="Times New Roman" w:hAnsi="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O licitante deverá comunicar imediatamente ao provedor do sistema qualquer acontecimento que possa comprometer o sigilo ou a segurança, para imediato bloqueio de acesso.</w:t>
      </w:r>
    </w:p>
    <w:p>
      <w:pPr>
        <w:pStyle w:val="Nivel01"/>
        <w:numPr>
          <w:ilvl w:val="0"/>
          <w:numId w:val="1"/>
        </w:numPr>
        <w:spacing w:lineRule="auto" w:line="276" w:before="0" w:after="170"/>
        <w:ind w:hanging="0" w:left="0"/>
        <w:rPr>
          <w:rFonts w:ascii="Times New Roman" w:hAnsi="Times New Roman"/>
          <w:sz w:val="24"/>
          <w:szCs w:val="24"/>
        </w:rPr>
      </w:pPr>
      <w:bookmarkStart w:id="32" w:name="_Toc215145271"/>
      <w:bookmarkStart w:id="33" w:name="_Toc135469199"/>
      <w:r>
        <w:rPr>
          <w:rFonts w:ascii="Times New Roman" w:hAnsi="Times New Roman"/>
          <w:sz w:val="24"/>
          <w:szCs w:val="24"/>
        </w:rPr>
        <w:t>DO PREENCHIMENTO DA PROPOSTA</w:t>
      </w:r>
      <w:bookmarkEnd w:id="32"/>
      <w:bookmarkEnd w:id="33"/>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O </w:t>
      </w:r>
      <w:r>
        <w:rPr>
          <w:rFonts w:eastAsia="Times New Roman" w:ascii="Times New Roman" w:hAnsi="Times New Roman"/>
          <w:sz w:val="24"/>
          <w:szCs w:val="24"/>
        </w:rPr>
        <w:t>licitante</w:t>
      </w:r>
      <w:r>
        <w:rPr>
          <w:rFonts w:ascii="Times New Roman" w:hAnsi="Times New Roman"/>
          <w:sz w:val="24"/>
          <w:szCs w:val="24"/>
        </w:rPr>
        <w:t xml:space="preserve"> deverá enviar sua proposta mediante o preenchimento, no sistema eletrônico, dos seguintes campos:</w:t>
      </w:r>
    </w:p>
    <w:p>
      <w:pPr>
        <w:pStyle w:val="Nvel3-R"/>
        <w:numPr>
          <w:ilvl w:val="2"/>
          <w:numId w:val="221"/>
        </w:numPr>
        <w:spacing w:lineRule="auto" w:line="276" w:before="0" w:after="170"/>
        <w:ind w:hanging="0" w:left="0"/>
        <w:rPr>
          <w:color w:val="000000"/>
        </w:rPr>
      </w:pPr>
      <w:r>
        <w:rPr>
          <w:rFonts w:ascii="Times New Roman" w:hAnsi="Times New Roman"/>
          <w:color w:val="000000"/>
          <w:sz w:val="24"/>
          <w:szCs w:val="24"/>
        </w:rPr>
        <w:t xml:space="preserve">valor unitário </w:t>
      </w:r>
      <w:r>
        <w:rPr>
          <w:rFonts w:ascii="Times New Roman" w:hAnsi="Times New Roman"/>
          <w:strike/>
          <w:color w:val="000000"/>
          <w:sz w:val="24"/>
          <w:szCs w:val="24"/>
        </w:rPr>
        <w:t xml:space="preserve"> ou desconto...... (mensal, unitário etc., conforme o caso) e ...... (anual, total) do item;</w:t>
      </w:r>
    </w:p>
    <w:p>
      <w:pPr>
        <w:pStyle w:val="Nvel3-R"/>
        <w:numPr>
          <w:ilvl w:val="2"/>
          <w:numId w:val="222"/>
        </w:numPr>
        <w:spacing w:lineRule="auto" w:line="276" w:before="0" w:after="170"/>
        <w:ind w:hanging="0" w:left="0"/>
        <w:rPr>
          <w:color w:val="000000"/>
        </w:rPr>
      </w:pPr>
      <w:r>
        <w:rPr>
          <w:rFonts w:ascii="Times New Roman" w:hAnsi="Times New Roman"/>
          <w:color w:val="000000"/>
          <w:sz w:val="24"/>
          <w:szCs w:val="24"/>
        </w:rPr>
        <w:t>marca;</w:t>
      </w:r>
    </w:p>
    <w:p>
      <w:pPr>
        <w:pStyle w:val="Nvel3-R"/>
        <w:numPr>
          <w:ilvl w:val="2"/>
          <w:numId w:val="223"/>
        </w:numPr>
        <w:spacing w:lineRule="auto" w:line="276" w:before="0" w:after="170"/>
        <w:ind w:hanging="0" w:left="0"/>
        <w:rPr>
          <w:rFonts w:ascii="Times New Roman" w:hAnsi="Times New Roman"/>
          <w:color w:val="000000"/>
          <w:sz w:val="24"/>
          <w:szCs w:val="24"/>
        </w:rPr>
      </w:pPr>
      <w:r>
        <w:rPr>
          <w:rFonts w:ascii="Times New Roman" w:hAnsi="Times New Roman"/>
          <w:color w:val="000000"/>
          <w:sz w:val="24"/>
          <w:szCs w:val="24"/>
        </w:rPr>
        <w:t xml:space="preserve">fabricante; </w:t>
      </w:r>
    </w:p>
    <w:p>
      <w:pPr>
        <w:pStyle w:val="Nivel3"/>
        <w:numPr>
          <w:ilvl w:val="2"/>
          <w:numId w:val="224"/>
        </w:numPr>
        <w:spacing w:lineRule="auto" w:line="276" w:before="0" w:after="170"/>
        <w:ind w:hanging="0" w:left="0"/>
        <w:rPr/>
      </w:pPr>
      <w:r>
        <w:rPr>
          <w:rStyle w:val="normaltextrun"/>
          <w:rFonts w:ascii="Times New Roman" w:hAnsi="Times New Roman"/>
          <w:i/>
          <w:strike/>
          <w:color w:val="000000"/>
          <w:sz w:val="24"/>
          <w:szCs w:val="24"/>
          <w:shd w:fill="auto" w:val="clear"/>
        </w:rPr>
        <w:t>Quantidade cotada, devendo respeitar o mínimo de</w:t>
      </w:r>
      <w:r>
        <w:rPr>
          <w:rStyle w:val="normaltextrun"/>
          <w:rFonts w:ascii="Times New Roman" w:hAnsi="Times New Roman"/>
          <w:i/>
          <w:iCs/>
          <w:strike/>
          <w:color w:val="000000"/>
          <w:sz w:val="24"/>
          <w:szCs w:val="24"/>
          <w:shd w:fill="auto" w:val="clear"/>
        </w:rPr>
        <w:t xml:space="preserve"> ......</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Todas as </w:t>
      </w:r>
      <w:r>
        <w:rPr>
          <w:rFonts w:eastAsia="Times New Roman" w:ascii="Times New Roman" w:hAnsi="Times New Roman"/>
          <w:sz w:val="24"/>
          <w:szCs w:val="24"/>
        </w:rPr>
        <w:t>especificações</w:t>
      </w:r>
      <w:r>
        <w:rPr>
          <w:rFonts w:ascii="Times New Roman" w:hAnsi="Times New Roman"/>
          <w:sz w:val="24"/>
          <w:szCs w:val="24"/>
        </w:rPr>
        <w:t xml:space="preserve"> do objeto contidas na proposta vinculam o licitante.</w:t>
      </w:r>
    </w:p>
    <w:p>
      <w:pPr>
        <w:pStyle w:val="Nivel3"/>
        <w:numPr>
          <w:ilvl w:val="2"/>
          <w:numId w:val="225"/>
        </w:numPr>
        <w:spacing w:lineRule="auto" w:line="276" w:before="0" w:after="170"/>
        <w:ind w:hanging="0" w:lef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 xml:space="preserve">O licitante </w:t>
      </w:r>
      <w:r>
        <w:rPr>
          <w:rFonts w:ascii="Times New Roman" w:hAnsi="Times New Roman"/>
          <w:i/>
          <w:color w:val="000000"/>
          <w:sz w:val="24"/>
          <w:szCs w:val="24"/>
          <w:shd w:fill="auto" w:val="clear"/>
        </w:rPr>
        <w:t>NÃO</w:t>
      </w:r>
      <w:r>
        <w:rPr>
          <w:rFonts w:ascii="Times New Roman" w:hAnsi="Times New Roman"/>
          <w:color w:val="000000"/>
          <w:sz w:val="24"/>
          <w:szCs w:val="24"/>
          <w:shd w:fill="auto" w:val="clear"/>
        </w:rPr>
        <w:t xml:space="preserve"> poderá oferecer proposta em quantitativo inferior ao máximo previsto para contratação.</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Nos valores propostos estarão inclusos todos os custos operacionais, encargos previdenciários, trabalhistas, tributários, comerciais e quaisquer outros que incidam direta ou indiretamente na execução do objeto.</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Se o regime tributário da empresa implicar o recolhimento de tributos em percentuais variáveis, a cotação adequada será a que corresponde à média dos efetivos recolhimentos da empresa nos últimos doze meses.</w:t>
      </w:r>
    </w:p>
    <w:p>
      <w:pPr>
        <w:pStyle w:val="Nivel3"/>
        <w:numPr>
          <w:ilvl w:val="2"/>
          <w:numId w:val="226"/>
        </w:numPr>
        <w:spacing w:lineRule="auto" w:line="276" w:before="0" w:after="170"/>
        <w:ind w:hanging="0" w:left="0"/>
        <w:rPr>
          <w:rFonts w:ascii="Times New Roman" w:hAnsi="Times New Roman"/>
          <w:sz w:val="24"/>
          <w:szCs w:val="24"/>
        </w:rPr>
      </w:pPr>
      <w:r>
        <w:rPr>
          <w:rFonts w:ascii="Times New Roman" w:hAnsi="Times New Roman"/>
          <w:sz w:val="24"/>
          <w:szCs w:val="24"/>
        </w:rPr>
        <w:t>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Independentemente do percentual de tributo inserido na planilha, no pagamento serão retidos na fonte os percentuais estabelecidos na legislação vigente.</w:t>
      </w:r>
    </w:p>
    <w:p>
      <w:pPr>
        <w:pStyle w:val="Nvel2-Red"/>
        <w:numPr>
          <w:ilvl w:val="1"/>
          <w:numId w:val="1"/>
        </w:numPr>
        <w:spacing w:lineRule="auto" w:line="276" w:before="0" w:after="170"/>
        <w:ind w:hanging="0" w:left="0"/>
        <w:rPr>
          <w:rFonts w:ascii="Times New Roman" w:hAnsi="Times New Roman"/>
          <w:color w:val="000000"/>
          <w:sz w:val="24"/>
          <w:szCs w:val="24"/>
        </w:rPr>
      </w:pPr>
      <w:r>
        <w:rPr>
          <w:rFonts w:ascii="Times New Roman" w:hAnsi="Times New Roman"/>
          <w:color w:val="000000"/>
          <w:sz w:val="24"/>
          <w:szCs w:val="24"/>
        </w:rPr>
        <w:t xml:space="preserve">Na presente licitação, a Microempresa e a Empresa de Pequeno Porte poderão se beneficiar do </w:t>
      </w:r>
      <w:r>
        <w:rPr>
          <w:rFonts w:eastAsia="Times New Roman" w:ascii="Times New Roman" w:hAnsi="Times New Roman"/>
          <w:color w:val="000000"/>
          <w:sz w:val="24"/>
          <w:szCs w:val="24"/>
        </w:rPr>
        <w:t>regime de tributação pelo Simples Nacional.</w:t>
      </w:r>
    </w:p>
    <w:p>
      <w:pPr>
        <w:pStyle w:val="ou"/>
        <w:spacing w:lineRule="auto" w:line="276" w:before="0" w:after="170"/>
        <w:ind w:hanging="0" w:left="0"/>
        <w:rPr>
          <w:color w:val="000000"/>
        </w:rPr>
      </w:pPr>
      <w:r>
        <w:rPr>
          <w:rFonts w:ascii="Times New Roman" w:hAnsi="Times New Roman"/>
          <w:strike/>
          <w:color w:val="000000"/>
          <w:sz w:val="24"/>
          <w:szCs w:val="24"/>
        </w:rPr>
        <w:t>OU</w:t>
      </w:r>
    </w:p>
    <w:p>
      <w:pPr>
        <w:pStyle w:val="Nvel2-Red"/>
        <w:numPr>
          <w:ilvl w:val="1"/>
          <w:numId w:val="1"/>
        </w:numPr>
        <w:spacing w:lineRule="auto" w:line="276" w:before="0" w:after="170"/>
        <w:ind w:hanging="0" w:left="0"/>
        <w:rPr>
          <w:color w:val="000000"/>
        </w:rPr>
      </w:pPr>
      <w:r>
        <w:rPr>
          <w:rFonts w:ascii="Times New Roman" w:hAnsi="Times New Roman"/>
          <w:strike/>
          <w:color w:val="000000"/>
          <w:sz w:val="24"/>
          <w:szCs w:val="24"/>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pPr>
        <w:pStyle w:val="Nivel2"/>
        <w:numPr>
          <w:ilvl w:val="1"/>
          <w:numId w:val="1"/>
        </w:numPr>
        <w:spacing w:lineRule="auto" w:line="276" w:before="0" w:after="170"/>
        <w:ind w:hanging="0" w:left="0"/>
        <w:rPr>
          <w:color w:val="000000"/>
        </w:rPr>
      </w:pPr>
      <w:r>
        <w:rPr>
          <w:rFonts w:ascii="Times New Roman" w:hAnsi="Times New Roman"/>
          <w:color w:val="000000"/>
          <w:sz w:val="24"/>
          <w:szCs w:val="24"/>
        </w:rP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spacing w:lineRule="auto" w:line="276" w:before="0" w:after="170"/>
        <w:ind w:hanging="0" w:left="0"/>
        <w:rPr>
          <w:color w:val="000000"/>
        </w:rPr>
      </w:pPr>
      <w:r>
        <w:rPr>
          <w:rFonts w:ascii="Times New Roman" w:hAnsi="Times New Roman"/>
          <w:color w:val="000000"/>
          <w:sz w:val="24"/>
          <w:szCs w:val="24"/>
        </w:rPr>
        <w:t xml:space="preserve">O prazo de validade da proposta não será inferior a </w:t>
      </w:r>
      <w:r>
        <w:rPr>
          <w:rFonts w:ascii="Times New Roman" w:hAnsi="Times New Roman"/>
          <w:b/>
          <w:bCs/>
          <w:color w:val="000000"/>
          <w:sz w:val="24"/>
          <w:szCs w:val="24"/>
        </w:rPr>
        <w:t>60 (sessenta)</w:t>
      </w:r>
      <w:r>
        <w:rPr>
          <w:rFonts w:ascii="Times New Roman" w:hAnsi="Times New Roman"/>
          <w:color w:val="000000"/>
          <w:sz w:val="24"/>
          <w:szCs w:val="24"/>
        </w:rPr>
        <w:t xml:space="preserve"> dias</w:t>
      </w:r>
      <w:r>
        <w:rPr>
          <w:rFonts w:ascii="Times New Roman" w:hAnsi="Times New Roman"/>
          <w:b/>
          <w:bCs/>
          <w:color w:val="000000"/>
          <w:sz w:val="24"/>
          <w:szCs w:val="24"/>
        </w:rPr>
        <w:t>,</w:t>
      </w:r>
      <w:r>
        <w:rPr>
          <w:rFonts w:ascii="Times New Roman" w:hAnsi="Times New Roman"/>
          <w:color w:val="000000"/>
          <w:sz w:val="24"/>
          <w:szCs w:val="24"/>
        </w:rPr>
        <w:t xml:space="preserve"> a contar da data de sua apresentação.</w:t>
      </w:r>
    </w:p>
    <w:p>
      <w:pPr>
        <w:pStyle w:val="Nivel2"/>
        <w:numPr>
          <w:ilvl w:val="1"/>
          <w:numId w:val="1"/>
        </w:numPr>
        <w:spacing w:lineRule="auto" w:line="276" w:before="0" w:after="170"/>
        <w:ind w:hanging="0" w:left="0"/>
        <w:rPr>
          <w:color w:val="000000"/>
        </w:rPr>
      </w:pPr>
      <w:r>
        <w:rPr>
          <w:rFonts w:ascii="Times New Roman" w:hAnsi="Times New Roman"/>
          <w:color w:val="000000"/>
          <w:sz w:val="24"/>
          <w:szCs w:val="24"/>
        </w:rPr>
        <w:t>Os licitantes devem respeitar os preços máximos estabelecidos nas normas de regência de contratações públicas federais, quando participarem de licitações públicas;</w:t>
      </w:r>
    </w:p>
    <w:p>
      <w:pPr>
        <w:pStyle w:val="Nivel2"/>
        <w:numPr>
          <w:ilvl w:val="1"/>
          <w:numId w:val="1"/>
        </w:numPr>
        <w:spacing w:lineRule="auto" w:line="276" w:before="0" w:after="170"/>
        <w:ind w:hanging="0" w:left="0"/>
        <w:rPr>
          <w:color w:val="000000"/>
        </w:rPr>
      </w:pPr>
      <w:r>
        <w:rPr>
          <w:rFonts w:ascii="Times New Roman" w:hAnsi="Times New Roman"/>
          <w:color w:val="000000"/>
          <w:sz w:val="24"/>
          <w:szCs w:val="24"/>
        </w:rPr>
        <w:t>Caso o critério de julgamento seja o de menor preço, os licitantes devem respeitar os preços máximos previstos no Termo de Referência/Projeto Básico;</w:t>
      </w:r>
    </w:p>
    <w:p>
      <w:pPr>
        <w:pStyle w:val="Nivel2"/>
        <w:numPr>
          <w:ilvl w:val="1"/>
          <w:numId w:val="1"/>
        </w:numPr>
        <w:spacing w:lineRule="auto" w:line="276" w:before="0" w:after="170"/>
        <w:ind w:hanging="0" w:left="0"/>
        <w:rPr>
          <w:color w:val="000000"/>
        </w:rPr>
      </w:pPr>
      <w:r>
        <w:rPr>
          <w:rFonts w:ascii="Times New Roman" w:hAnsi="Times New Roman"/>
          <w:color w:val="000000"/>
          <w:sz w:val="24"/>
          <w:szCs w:val="24"/>
        </w:rPr>
        <w:t>Caso o critério de julgamento seja o de maior desconto, o preço já decorrente da aplicação do desconto ofertado deverá respeitar os preços máximos previstos no Termo de Referência/Projeto Básico.</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color w:val="000000"/>
          <w:sz w:val="24"/>
          <w:szCs w:val="24"/>
        </w:rPr>
        <w:t>O descumprimento das regras supramencionadas pode ensejar a responsabilização pelo Tribunal de Contas da União e, após o devido process</w:t>
      </w:r>
      <w:r>
        <w:rPr>
          <w:rFonts w:ascii="Times New Roman" w:hAnsi="Times New Roman"/>
          <w:sz w:val="24"/>
          <w:szCs w:val="24"/>
        </w:rPr>
        <w:t xml:space="preserve">o legal, gerar as seguintes consequências: assinatura de prazo para a adoção das medidas </w:t>
      </w:r>
      <w:r>
        <w:rPr>
          <w:rFonts w:eastAsia="Times New Roman" w:ascii="Times New Roman" w:hAnsi="Times New Roman"/>
          <w:sz w:val="24"/>
          <w:szCs w:val="24"/>
        </w:rPr>
        <w:t>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pPr>
        <w:pStyle w:val="Nivel2"/>
        <w:numPr>
          <w:ilvl w:val="1"/>
          <w:numId w:val="1"/>
        </w:numPr>
        <w:spacing w:lineRule="auto" w:line="276" w:before="0" w:after="170"/>
        <w:ind w:hanging="0" w:left="0"/>
        <w:rPr>
          <w:rFonts w:ascii="Times New Roman" w:hAnsi="Times New Roman"/>
          <w:strike/>
          <w:sz w:val="24"/>
          <w:szCs w:val="24"/>
          <w:highlight w:val="none"/>
          <w:shd w:fill="auto" w:val="clear"/>
        </w:rPr>
      </w:pPr>
      <w:r>
        <w:rPr>
          <w:rFonts w:ascii="Times New Roman" w:hAnsi="Times New Roman"/>
          <w:strike/>
          <w:sz w:val="24"/>
          <w:szCs w:val="24"/>
          <w:shd w:fill="auto" w:val="clear"/>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pPr>
        <w:pStyle w:val="Nivel2"/>
        <w:numPr>
          <w:ilvl w:val="1"/>
          <w:numId w:val="1"/>
        </w:numPr>
        <w:spacing w:lineRule="auto" w:line="276" w:before="0" w:after="170"/>
        <w:ind w:hanging="0" w:left="0"/>
        <w:rPr>
          <w:rFonts w:ascii="Times New Roman" w:hAnsi="Times New Roman"/>
          <w:strike/>
          <w:sz w:val="24"/>
          <w:szCs w:val="24"/>
          <w:highlight w:val="none"/>
          <w:shd w:fill="auto" w:val="clear"/>
        </w:rPr>
      </w:pPr>
      <w:r>
        <w:rPr>
          <w:rFonts w:ascii="Times New Roman" w:hAnsi="Times New Roman"/>
          <w:strike/>
          <w:sz w:val="24"/>
          <w:szCs w:val="24"/>
          <w:shd w:fill="auto" w:val="clear"/>
        </w:rPr>
        <w:t>Os custos mínimos relevantes e demais informações referentes aos benefícios trabalhistas encontram-se definidos no Termo de Referência.</w:t>
      </w:r>
    </w:p>
    <w:p>
      <w:pPr>
        <w:pStyle w:val="Nivel01"/>
        <w:numPr>
          <w:ilvl w:val="0"/>
          <w:numId w:val="1"/>
        </w:numPr>
        <w:spacing w:lineRule="auto" w:line="276" w:before="0" w:after="170"/>
        <w:ind w:hanging="0" w:left="0"/>
        <w:rPr>
          <w:rFonts w:ascii="Times New Roman" w:hAnsi="Times New Roman"/>
          <w:sz w:val="24"/>
          <w:szCs w:val="24"/>
        </w:rPr>
      </w:pPr>
      <w:bookmarkStart w:id="34" w:name="_Toc215145272"/>
      <w:bookmarkStart w:id="35" w:name="_Toc135469200"/>
      <w:r>
        <w:rPr>
          <w:rFonts w:ascii="Times New Roman" w:hAnsi="Times New Roman"/>
          <w:sz w:val="24"/>
          <w:szCs w:val="24"/>
        </w:rPr>
        <w:t>DA ABERTURA DA SESSÃO, CLASSIFICAÇÃO DAS PROPOSTAS E FORMULAÇÃO DE LANCES</w:t>
      </w:r>
      <w:bookmarkEnd w:id="34"/>
      <w:bookmarkEnd w:id="35"/>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A abertura da presente licitação dar-se-á automaticamente em sessão pública, por meio de sistema eletrônico, na data, horário e local indicados neste Edital.</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Os licitantes poderão retirar ou substituir a proposta ou os documentos de habilitação, quando for o caso, anteriormente inseridos no sistema, até a abertura da sessão pública.</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O sistema disponibilizará campo próprio para troca de mensagens entre o Pregoeiro/Agente de Contratação/Comissão e os licitantes.</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Iniciada a etapa competitiva, os licitantes deverão encaminhar lances exclusivamente por meio de sistema eletrônico, sendo imediatamente informados do seu recebimento e do valor consignado no registro. </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O lance deverá ser ofertado pelo valor unitário do item.</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Os licitantes poderão oferecer lances sucessivos, observando o horário fixado para abertura da sessão e as regras estabelecidas no Edital.</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O licitante somente poderá oferecer lance de valor inferior ou percentual de desconto superior ao último por ele ofertado e registrado pelo sistema. </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O intervalo mínimo de diferença de valores ou percentuais entre os lances, que incidirá tanto em relação aos lances intermediários quanto em relação à proposta que cobrir a melhor oferta deverá ser</w:t>
      </w:r>
      <w:r>
        <w:rPr>
          <w:rFonts w:ascii="Times New Roman" w:hAnsi="Times New Roman"/>
          <w:i/>
          <w:color w:val="5983B0"/>
          <w:sz w:val="24"/>
          <w:szCs w:val="24"/>
          <w:shd w:fill="auto" w:val="clear"/>
        </w:rPr>
        <w:t xml:space="preserve"> </w:t>
      </w:r>
      <w:r>
        <w:rPr>
          <w:rFonts w:ascii="Times New Roman" w:hAnsi="Times New Roman"/>
          <w:i/>
          <w:color w:val="2A6099"/>
          <w:sz w:val="24"/>
          <w:szCs w:val="24"/>
          <w:shd w:fill="auto" w:val="clear"/>
        </w:rPr>
        <w:t>de 1 %.</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O licitante poderá, uma única vez, excluir seu último lance ofertado, no intervalo de quinze segundos após o registro no sistema, na hipótese de lance inconsistente ou inexequível.</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O procedimento seguirá de acordo com o modo de disputa adotado.</w:t>
      </w:r>
    </w:p>
    <w:p>
      <w:pPr>
        <w:pStyle w:val="Nivel2"/>
        <w:numPr>
          <w:ilvl w:val="1"/>
          <w:numId w:val="1"/>
        </w:numPr>
        <w:spacing w:lineRule="auto" w:line="276" w:before="0" w:after="170"/>
        <w:ind w:hanging="0" w:left="0"/>
        <w:rPr>
          <w:rFonts w:ascii="Times New Roman" w:hAnsi="Times New Roman"/>
          <w:sz w:val="24"/>
          <w:szCs w:val="24"/>
        </w:rPr>
      </w:pPr>
      <w:bookmarkStart w:id="36" w:name="_Hlk113697759"/>
      <w:bookmarkEnd w:id="36"/>
      <w:r>
        <w:rPr>
          <w:rFonts w:ascii="Times New Roman" w:hAnsi="Times New Roman"/>
          <w:sz w:val="24"/>
          <w:szCs w:val="24"/>
        </w:rPr>
        <w:t>Caso seja adotado para o envio de lances na licitação o modo de disputa “aberto”, os licitantes apresentarão lances públicos e sucessivos, com prorrogações.</w:t>
      </w:r>
    </w:p>
    <w:p>
      <w:pPr>
        <w:pStyle w:val="Nivel3"/>
        <w:numPr>
          <w:ilvl w:val="2"/>
          <w:numId w:val="227"/>
        </w:numPr>
        <w:spacing w:lineRule="auto" w:line="276" w:before="0" w:after="170"/>
        <w:ind w:hanging="0" w:left="0"/>
        <w:rPr>
          <w:rFonts w:ascii="Times New Roman" w:hAnsi="Times New Roman"/>
          <w:sz w:val="24"/>
          <w:szCs w:val="24"/>
        </w:rPr>
      </w:pPr>
      <w:bookmarkStart w:id="37" w:name="_Hlk113697759_Copia_1"/>
      <w:bookmarkEnd w:id="37"/>
      <w:r>
        <w:rPr>
          <w:rFonts w:ascii="Times New Roman" w:hAnsi="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pPr>
        <w:pStyle w:val="Nivel3"/>
        <w:numPr>
          <w:ilvl w:val="2"/>
          <w:numId w:val="228"/>
        </w:numPr>
        <w:spacing w:lineRule="auto" w:line="276" w:before="0" w:after="170"/>
        <w:ind w:hanging="0" w:left="0"/>
        <w:rPr>
          <w:rFonts w:ascii="Times New Roman" w:hAnsi="Times New Roman"/>
          <w:sz w:val="24"/>
          <w:szCs w:val="24"/>
        </w:rPr>
      </w:pPr>
      <w:r>
        <w:rPr>
          <w:rFonts w:ascii="Times New Roman" w:hAnsi="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pPr>
        <w:pStyle w:val="Nivel3"/>
        <w:numPr>
          <w:ilvl w:val="2"/>
          <w:numId w:val="229"/>
        </w:numPr>
        <w:spacing w:lineRule="auto" w:line="276" w:before="0" w:after="170"/>
        <w:ind w:hanging="0" w:left="0"/>
        <w:rPr>
          <w:rFonts w:ascii="Times New Roman" w:hAnsi="Times New Roman"/>
          <w:sz w:val="24"/>
          <w:szCs w:val="24"/>
        </w:rPr>
      </w:pPr>
      <w:r>
        <w:rPr>
          <w:rFonts w:ascii="Times New Roman" w:hAnsi="Times New Roman"/>
          <w:sz w:val="24"/>
          <w:szCs w:val="24"/>
        </w:rPr>
        <w:t>Não havendo novos lances na forma estabelecida nos itens anteriores, a sessão pública encerrar-se-á automaticamente, e o sistema ordenará e divulgará os lances conforme a ordem de classificaç</w:t>
      </w:r>
      <w:r>
        <w:rPr>
          <w:rFonts w:ascii="Times New Roman" w:hAnsi="Times New Roman"/>
          <w:sz w:val="24"/>
          <w:szCs w:val="24"/>
          <w:shd w:fill="auto" w:val="clear"/>
        </w:rPr>
        <w:t>ão, sem prejuízo da aplicação da margem de preferência e do desempate ficto, conforme disposto neste edital, quando for o caso.</w:t>
      </w:r>
    </w:p>
    <w:p>
      <w:pPr>
        <w:pStyle w:val="Nivel3"/>
        <w:numPr>
          <w:ilvl w:val="2"/>
          <w:numId w:val="230"/>
        </w:numPr>
        <w:spacing w:lineRule="auto" w:line="276" w:before="0" w:after="170"/>
        <w:ind w:hanging="0" w:left="0"/>
        <w:rPr>
          <w:rFonts w:ascii="Times New Roman" w:hAnsi="Times New Roman"/>
          <w:sz w:val="24"/>
          <w:szCs w:val="24"/>
        </w:rPr>
      </w:pPr>
      <w:r>
        <w:rPr>
          <w:rFonts w:ascii="Times New Roman" w:hAnsi="Times New Roman"/>
          <w:sz w:val="24"/>
          <w:szCs w:val="24"/>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pPr>
        <w:pStyle w:val="Nivel3"/>
        <w:numPr>
          <w:ilvl w:val="2"/>
          <w:numId w:val="231"/>
        </w:numPr>
        <w:spacing w:lineRule="auto" w:line="276" w:before="0" w:after="170"/>
        <w:ind w:hanging="0" w:left="0"/>
        <w:rPr>
          <w:rFonts w:ascii="Times New Roman" w:hAnsi="Times New Roman"/>
          <w:sz w:val="24"/>
          <w:szCs w:val="24"/>
        </w:rPr>
      </w:pPr>
      <w:bookmarkStart w:id="38" w:name="_Hlk113697816"/>
      <w:r>
        <w:rPr>
          <w:rFonts w:ascii="Times New Roman" w:hAnsi="Times New Roman"/>
          <w:sz w:val="24"/>
          <w:szCs w:val="24"/>
        </w:rPr>
        <w:t>Após o reinício previsto no item supra, os licitantes serão convocados para apresentar lances intermediários.</w:t>
      </w:r>
      <w:bookmarkStart w:id="39" w:name="_Hlk113631522"/>
      <w:bookmarkEnd w:id="38"/>
      <w:bookmarkEnd w:id="39"/>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Caso seja adotado para o envio de lances na licitação o modo de disputa “aberto e fechado”, os licitantes apresentarão lances públicos e sucessivos, com lance final e fechado.</w:t>
      </w:r>
    </w:p>
    <w:p>
      <w:pPr>
        <w:pStyle w:val="Nivel3"/>
        <w:numPr>
          <w:ilvl w:val="2"/>
          <w:numId w:val="232"/>
        </w:numPr>
        <w:spacing w:lineRule="auto" w:line="276" w:before="0" w:after="170"/>
        <w:ind w:hanging="0" w:left="0"/>
        <w:rPr>
          <w:rFonts w:ascii="Times New Roman" w:hAnsi="Times New Roman"/>
          <w:sz w:val="24"/>
          <w:szCs w:val="24"/>
        </w:rPr>
      </w:pPr>
      <w:r>
        <w:rPr>
          <w:rFonts w:ascii="Times New Roman" w:hAnsi="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pPr>
        <w:pStyle w:val="Nivel3"/>
        <w:numPr>
          <w:ilvl w:val="2"/>
          <w:numId w:val="233"/>
        </w:numPr>
        <w:spacing w:lineRule="auto" w:line="276" w:before="0" w:after="170"/>
        <w:ind w:hanging="0" w:left="0"/>
        <w:rPr>
          <w:rFonts w:ascii="Times New Roman" w:hAnsi="Times New Roman"/>
          <w:sz w:val="24"/>
          <w:szCs w:val="24"/>
        </w:rPr>
      </w:pPr>
      <w:r>
        <w:rPr>
          <w:rFonts w:ascii="Times New Roman" w:hAnsi="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Nivel3"/>
        <w:numPr>
          <w:ilvl w:val="2"/>
          <w:numId w:val="234"/>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Caso o item em disputa envolva objeto abrangido por margem de preferência, o percentual referido na disposição anterior será de 20%, nos termos do § 6º do artigo 24 da Instrução Normativa SEGES/ME nº 73, de 30 de setembro de 2022, incluído pela Instrução Normativa SEGES/MGI nº 79, de 12 de setembro de 2024.</w:t>
      </w:r>
    </w:p>
    <w:p>
      <w:pPr>
        <w:pStyle w:val="Nivel3"/>
        <w:numPr>
          <w:ilvl w:val="2"/>
          <w:numId w:val="235"/>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No procedimento de que trata o subitem supra, o licitante poderá optar por manter o seu último lance da etapa aberta, ou por ofertar melhor lance.</w:t>
      </w:r>
    </w:p>
    <w:p>
      <w:pPr>
        <w:pStyle w:val="Nivel3"/>
        <w:numPr>
          <w:ilvl w:val="2"/>
          <w:numId w:val="236"/>
        </w:numPr>
        <w:spacing w:lineRule="auto" w:line="276" w:before="0" w:after="170"/>
        <w:ind w:hanging="0" w:left="0"/>
        <w:rPr>
          <w:rFonts w:ascii="Times New Roman" w:hAnsi="Times New Roman"/>
          <w:sz w:val="24"/>
          <w:szCs w:val="24"/>
        </w:rPr>
      </w:pPr>
      <w:r>
        <w:rPr>
          <w:rFonts w:ascii="Times New Roman" w:hAnsi="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pPr>
        <w:pStyle w:val="Nivel2"/>
        <w:numPr>
          <w:ilvl w:val="1"/>
          <w:numId w:val="1"/>
        </w:numPr>
        <w:spacing w:lineRule="auto" w:line="276" w:before="0" w:after="170"/>
        <w:ind w:hanging="0" w:left="0"/>
        <w:rPr>
          <w:rFonts w:ascii="Times New Roman" w:hAnsi="Times New Roman"/>
          <w:sz w:val="24"/>
          <w:szCs w:val="24"/>
        </w:rPr>
      </w:pPr>
      <w:bookmarkStart w:id="40" w:name="_Ref116973524"/>
      <w:r>
        <w:rPr>
          <w:rFonts w:ascii="Times New Roman" w:hAnsi="Times New Roman"/>
          <w:sz w:val="24"/>
          <w:szCs w:val="24"/>
        </w:rPr>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40"/>
    </w:p>
    <w:p>
      <w:pPr>
        <w:pStyle w:val="Nivel3"/>
        <w:numPr>
          <w:ilvl w:val="2"/>
          <w:numId w:val="237"/>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Caso o item em disputa envolva objeto abrangido por margem de preferência, o percentual referido na disposição anterior será de 20%, nos termos do § 5º do artigo 25 da Instrução Normativa SEGES/ME nº 73, de 30 de setembro de 2022, incluído pela Instrução Normativa SEGES/MGI nº 79, de 12 de setembro de 2024.</w:t>
      </w:r>
    </w:p>
    <w:p>
      <w:pPr>
        <w:pStyle w:val="Nivel3"/>
        <w:numPr>
          <w:ilvl w:val="2"/>
          <w:numId w:val="238"/>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Não havendo pelo menos 3 (três) propostas nas condições definidas no item </w:t>
      </w:r>
      <w:r>
        <w:rPr>
          <w:rFonts w:ascii="Times New Roman" w:hAnsi="Times New Roman"/>
          <w:sz w:val="24"/>
          <w:szCs w:val="24"/>
        </w:rPr>
        <w:fldChar w:fldCharType="begin"/>
      </w:r>
      <w:r>
        <w:rPr>
          <w:sz w:val="24"/>
          <w:szCs w:val="24"/>
          <w:rFonts w:ascii="Times New Roman" w:hAnsi="Times New Roman"/>
        </w:rPr>
        <w:instrText xml:space="preserve"> REF _Ref116973524 \r \r \h </w:instrText>
      </w:r>
      <w:r>
        <w:rPr>
          <w:sz w:val="24"/>
          <w:szCs w:val="24"/>
          <w:rFonts w:ascii="Times New Roman" w:hAnsi="Times New Roman"/>
        </w:rPr>
        <w:fldChar w:fldCharType="separate"/>
      </w:r>
      <w:r>
        <w:rPr>
          <w:sz w:val="24"/>
          <w:szCs w:val="24"/>
          <w:rFonts w:ascii="Times New Roman" w:hAnsi="Times New Roman"/>
        </w:rPr>
        <w:t>7.13</w:t>
      </w:r>
      <w:r>
        <w:rPr>
          <w:sz w:val="24"/>
          <w:szCs w:val="24"/>
          <w:rFonts w:ascii="Times New Roman" w:hAnsi="Times New Roman"/>
        </w:rPr>
        <w:fldChar w:fldCharType="end"/>
      </w:r>
      <w:r>
        <w:rPr>
          <w:rFonts w:ascii="Times New Roman" w:hAnsi="Times New Roman"/>
          <w:sz w:val="24"/>
          <w:szCs w:val="24"/>
        </w:rPr>
        <w:t>, poderão os licitantes que apresentaram as três melhores propostas, consideradas as empatadas, oferecer novos lances sucessivos.</w:t>
      </w:r>
    </w:p>
    <w:p>
      <w:pPr>
        <w:pStyle w:val="Nivel3"/>
        <w:numPr>
          <w:ilvl w:val="2"/>
          <w:numId w:val="239"/>
        </w:numPr>
        <w:spacing w:lineRule="auto" w:line="276" w:before="0" w:after="170"/>
        <w:ind w:hanging="0" w:left="0"/>
        <w:rPr>
          <w:rFonts w:ascii="Times New Roman" w:hAnsi="Times New Roman"/>
          <w:sz w:val="24"/>
          <w:szCs w:val="24"/>
        </w:rPr>
      </w:pPr>
      <w:r>
        <w:rPr>
          <w:rFonts w:ascii="Times New Roman" w:hAnsi="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pPr>
        <w:pStyle w:val="Nivel3"/>
        <w:numPr>
          <w:ilvl w:val="2"/>
          <w:numId w:val="240"/>
        </w:numPr>
        <w:spacing w:lineRule="auto" w:line="276" w:before="0" w:after="170"/>
        <w:ind w:hanging="0" w:left="0"/>
        <w:rPr>
          <w:rFonts w:ascii="Times New Roman" w:hAnsi="Times New Roman"/>
          <w:sz w:val="24"/>
          <w:szCs w:val="24"/>
        </w:rPr>
      </w:pPr>
      <w:r>
        <w:rPr>
          <w:rFonts w:ascii="Times New Roman" w:hAnsi="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pPr>
        <w:pStyle w:val="Nivel3"/>
        <w:numPr>
          <w:ilvl w:val="2"/>
          <w:numId w:val="241"/>
        </w:numPr>
        <w:spacing w:lineRule="auto" w:line="276" w:before="0" w:after="170"/>
        <w:ind w:hanging="0" w:left="0"/>
        <w:rPr>
          <w:rFonts w:ascii="Times New Roman" w:hAnsi="Times New Roman"/>
          <w:sz w:val="24"/>
          <w:szCs w:val="24"/>
        </w:rPr>
      </w:pPr>
      <w:r>
        <w:rPr>
          <w:rFonts w:ascii="Times New Roman" w:hAnsi="Times New Roman"/>
          <w:sz w:val="24"/>
          <w:szCs w:val="24"/>
        </w:rPr>
        <w:t>Não havendo novos lances na forma estabelecida nos itens anteriores, a sessão pública encerrar-se-á automaticamente, e o sistema ordenará e divulgará os lances conforme a ordem final de classificação.</w:t>
      </w:r>
    </w:p>
    <w:p>
      <w:pPr>
        <w:pStyle w:val="Nivel3"/>
        <w:numPr>
          <w:ilvl w:val="2"/>
          <w:numId w:val="242"/>
        </w:numPr>
        <w:spacing w:lineRule="auto" w:line="276" w:before="0" w:after="170"/>
        <w:ind w:hanging="0" w:left="0"/>
        <w:rPr>
          <w:rFonts w:ascii="Times New Roman" w:hAnsi="Times New Roman"/>
          <w:sz w:val="24"/>
          <w:szCs w:val="24"/>
        </w:rPr>
      </w:pPr>
      <w:r>
        <w:rPr>
          <w:rFonts w:ascii="Times New Roman" w:hAnsi="Times New Roman"/>
          <w:sz w:val="24"/>
          <w:szCs w:val="24"/>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pPr>
        <w:pStyle w:val="Nivel3"/>
        <w:numPr>
          <w:ilvl w:val="2"/>
          <w:numId w:val="243"/>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Após o reinício previsto no subitem supra, os licitantes serão convocados para apresentar lances intermediários.  </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Após o término dos prazos estabelecidos nos subitens anteriores, o sistema ordenará e divulgará os lances segundo a ordem crescente de valores.</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Não serão aceitos dois ou mais lances de mesmo valor, prevalecendo aquele que for recebido e registrado em primeiro lugar. </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Durante o transcurso da sessão pública, os licitantes serão informados, em tempo real, do valor do menor lance registrado, vedada a identificação do licitante. </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No caso de desconexão com o Pregoeiro/Agente de Contratação/Comissão, no decorrer da etapa competitiva da licitação, o sistema eletrônico poderá permanecer acessível aos licitantes para a recepção dos lances. </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Caso o licitante não apresente lances, concorrerá com o valor de sua proposta.</w:t>
      </w:r>
    </w:p>
    <w:p>
      <w:pPr>
        <w:pStyle w:val="Nivel2"/>
        <w:numPr>
          <w:ilvl w:val="1"/>
          <w:numId w:val="1"/>
        </w:numPr>
        <w:spacing w:lineRule="auto" w:line="276" w:before="0" w:after="170"/>
        <w:ind w:hanging="0" w:left="0"/>
        <w:rPr>
          <w:rFonts w:ascii="Times New Roman" w:hAnsi="Times New Roman"/>
          <w:strike/>
          <w:sz w:val="24"/>
          <w:szCs w:val="24"/>
          <w:highlight w:val="none"/>
          <w:shd w:fill="auto" w:val="clear"/>
        </w:rPr>
      </w:pPr>
      <w:r>
        <w:rPr>
          <w:rFonts w:ascii="Times New Roman" w:hAnsi="Times New Roman"/>
          <w:strike/>
          <w:sz w:val="24"/>
          <w:szCs w:val="24"/>
          <w:shd w:fill="auto" w:val="clear"/>
        </w:rPr>
        <w:t>Ao final da fase de lances, será aplicado o benefício da margem de preferência, nos termos do art. 26 da Lei nº 14.133, de 2021.</w:t>
      </w:r>
    </w:p>
    <w:p>
      <w:pPr>
        <w:pStyle w:val="Nivel3"/>
        <w:numPr>
          <w:ilvl w:val="2"/>
          <w:numId w:val="244"/>
        </w:numPr>
        <w:spacing w:lineRule="auto" w:line="276" w:before="0" w:after="170"/>
        <w:ind w:hanging="0" w:left="0"/>
        <w:rPr>
          <w:rFonts w:ascii="Times New Roman" w:hAnsi="Times New Roman"/>
          <w:strike/>
          <w:sz w:val="24"/>
          <w:szCs w:val="24"/>
          <w:highlight w:val="none"/>
          <w:shd w:fill="auto" w:val="clear"/>
        </w:rPr>
      </w:pPr>
      <w:r>
        <w:rPr>
          <w:rFonts w:ascii="Times New Roman" w:hAnsi="Times New Roman"/>
          <w:strike/>
          <w:sz w:val="24"/>
          <w:szCs w:val="24"/>
          <w:shd w:fill="auto" w:val="clear"/>
        </w:rPr>
        <w:t>Para produtos ou serviços abrangidos por margem de preferência normal ou adicional, caso a proposta de menor preço não tenha por objeto produto ou serviço contemplado pela referida margem, o sistema automaticamente indicará as propostas de produtos ou serviços que façam jus ao diferencial de preço, pela ordem de classificação, para fins de aceitação pelo Pregoeiro/Agente de Contratação/Comissão.</w:t>
      </w:r>
    </w:p>
    <w:p>
      <w:pPr>
        <w:pStyle w:val="Nivel3"/>
        <w:numPr>
          <w:ilvl w:val="2"/>
          <w:numId w:val="245"/>
        </w:numPr>
        <w:spacing w:lineRule="auto" w:line="276" w:before="0" w:after="170"/>
        <w:ind w:hanging="0" w:left="0"/>
        <w:rPr>
          <w:rFonts w:ascii="Times New Roman" w:hAnsi="Times New Roman"/>
          <w:strike/>
          <w:sz w:val="24"/>
          <w:szCs w:val="24"/>
          <w:highlight w:val="none"/>
          <w:shd w:fill="auto" w:val="clear"/>
        </w:rPr>
      </w:pPr>
      <w:r>
        <w:rPr>
          <w:rFonts w:ascii="Times New Roman" w:hAnsi="Times New Roman"/>
          <w:strike/>
          <w:sz w:val="24"/>
          <w:szCs w:val="24"/>
          <w:shd w:fill="auto" w:val="clear"/>
        </w:rPr>
        <w:t>Nestas situações, a proposta beneficiada pela aplicação da margem de preferência normal ou adicional, conforme o caso, tornar-se-á a proposta classificada em primeiro lugar.</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Em relação a itens não exclusivos para participação de microempresas e empresas de pequeno porte, uma vez encerrada a etapa de la</w:t>
      </w:r>
      <w:r>
        <w:rPr>
          <w:rFonts w:eastAsia="Arial" w:ascii="Times New Roman" w:hAnsi="Times New Roman"/>
          <w:sz w:val="24"/>
          <w:szCs w:val="24"/>
        </w:rPr>
        <w:t>nces, será efetivada a verificação automática, junto à Receita Federal, do porte da entidade empresarial,</w:t>
      </w:r>
      <w:r>
        <w:rPr>
          <w:rFonts w:eastAsia="Arial" w:ascii="Times New Roman" w:hAnsi="Times New Roman"/>
          <w:color w:themeColor="text1" w:val="000000"/>
          <w:sz w:val="24"/>
          <w:szCs w:val="24"/>
        </w:rPr>
        <w:t xml:space="preserve"> caso a contratação não se enquadre nas vedações dos </w:t>
      </w:r>
      <w:r>
        <w:rPr>
          <w:rFonts w:eastAsia="Arial" w:ascii="Times New Roman" w:hAnsi="Times New Roman"/>
          <w:sz w:val="24"/>
          <w:szCs w:val="24"/>
        </w:rPr>
        <w:t>§§1º e 2º do art. 4º da Lei nº 14.133, de 2021. O sistema ide</w:t>
      </w:r>
      <w:r>
        <w:rPr>
          <w:rFonts w:eastAsia="Zurich BT" w:ascii="Times New Roman" w:hAnsi="Times New Roman"/>
          <w:sz w:val="24"/>
          <w:szCs w:val="24"/>
        </w:rPr>
        <w:t xml:space="preserve">ntificará em coluna própria as microempresas e empresas de pequeno porte </w:t>
      </w:r>
      <w:r>
        <w:rPr>
          <w:rFonts w:ascii="Times New Roman" w:hAnsi="Times New Roman"/>
          <w:sz w:val="24"/>
          <w:szCs w:val="24"/>
        </w:rPr>
        <w:t>participantes</w:t>
      </w:r>
      <w:r>
        <w:rPr>
          <w:rFonts w:eastAsia="Zurich BT" w:ascii="Times New Roman" w:hAnsi="Times New Roman"/>
          <w:sz w:val="24"/>
          <w:szCs w:val="24"/>
        </w:rPr>
        <w:t>, procedendo à comparação com os valores da primeira colocada, se esta for empresa de maior porte, assim como das demais classificadas, para o fim de aplicar-se o disposto nos arts. 44 e 45 da Lei Complementar nº 123, de 2006, regulamentada pelo Decreto nº 8.538, de 2015.</w:t>
      </w:r>
    </w:p>
    <w:p>
      <w:pPr>
        <w:pStyle w:val="Nivel3"/>
        <w:numPr>
          <w:ilvl w:val="2"/>
          <w:numId w:val="246"/>
        </w:numPr>
        <w:spacing w:lineRule="auto" w:line="276" w:before="0" w:after="170"/>
        <w:ind w:hanging="0" w:left="0"/>
        <w:rPr>
          <w:rFonts w:ascii="Times New Roman" w:hAnsi="Times New Roman"/>
          <w:strike/>
          <w:sz w:val="24"/>
          <w:szCs w:val="24"/>
          <w:highlight w:val="none"/>
          <w:shd w:fill="auto" w:val="clear"/>
        </w:rPr>
      </w:pPr>
      <w:r>
        <w:rPr>
          <w:rFonts w:ascii="Times New Roman" w:hAnsi="Times New Roman"/>
          <w:strike/>
          <w:sz w:val="24"/>
          <w:szCs w:val="24"/>
          <w:shd w:fill="auto" w:val="clear"/>
        </w:rPr>
        <w:t>Quando houver propostas beneficiadas com as margens de preferência, apenas poderão se valer do critério de desempate previsto nos arts. 44 e 45 da Lei Complementar nº 123, de 2006, as propostas de microempresas e empresas de pequeno porte que também fizerem jus às margens de preferência (art. 5º, §9º, I, do Decreto nº 8538, de 2015).</w:t>
      </w:r>
    </w:p>
    <w:p>
      <w:pPr>
        <w:pStyle w:val="Nivel3"/>
        <w:numPr>
          <w:ilvl w:val="2"/>
          <w:numId w:val="247"/>
        </w:numPr>
        <w:spacing w:lineRule="auto" w:line="276" w:before="0" w:after="170"/>
        <w:ind w:hanging="0" w:left="0"/>
        <w:rPr>
          <w:rFonts w:ascii="Times New Roman" w:hAnsi="Times New Roman"/>
          <w:strike/>
          <w:sz w:val="24"/>
          <w:szCs w:val="24"/>
          <w:highlight w:val="none"/>
          <w:shd w:fill="auto" w:val="clear"/>
        </w:rPr>
      </w:pPr>
      <w:r>
        <w:rPr>
          <w:rFonts w:ascii="Times New Roman" w:hAnsi="Times New Roman"/>
          <w:strike/>
          <w:sz w:val="24"/>
          <w:szCs w:val="24"/>
          <w:shd w:fill="auto" w:val="clear"/>
        </w:rPr>
        <w:t>O parâmetro para o empate ficto, nesse caso, consistirá no preço ofertado pela fornecedora classificada em primeiro lugar em razão da aplicação da margem de preferência.</w:t>
      </w:r>
    </w:p>
    <w:p>
      <w:pPr>
        <w:pStyle w:val="Nivel3"/>
        <w:numPr>
          <w:ilvl w:val="2"/>
          <w:numId w:val="248"/>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Nessas condições, as propostas de </w:t>
      </w:r>
      <w:r>
        <w:rPr>
          <w:rFonts w:eastAsia="Zurich BT" w:ascii="Times New Roman" w:hAnsi="Times New Roman"/>
          <w:sz w:val="24"/>
          <w:szCs w:val="24"/>
        </w:rPr>
        <w:t xml:space="preserve">microempresas e empresas de pequeno porte </w:t>
      </w:r>
      <w:r>
        <w:rPr>
          <w:rFonts w:ascii="Times New Roman" w:hAnsi="Times New Roman"/>
          <w:sz w:val="24"/>
          <w:szCs w:val="24"/>
        </w:rPr>
        <w:t>que se encontrarem na faixa</w:t>
      </w:r>
      <w:r>
        <w:rPr>
          <w:rFonts w:ascii="Times New Roman" w:hAnsi="Times New Roman"/>
          <w:sz w:val="24"/>
          <w:szCs w:val="24"/>
          <w:shd w:fill="auto" w:val="clear"/>
        </w:rPr>
        <w:t xml:space="preserve"> de até 10% (dez por cento), caso se trate de uma concorrência, ou de até 5% (cinco por cento), caso se trate de um pregão, </w:t>
      </w:r>
      <w:r>
        <w:rPr>
          <w:rFonts w:ascii="Times New Roman" w:hAnsi="Times New Roman"/>
          <w:sz w:val="24"/>
          <w:szCs w:val="24"/>
        </w:rPr>
        <w:t>serão consideradas empatadas com a primeira colocada.</w:t>
      </w:r>
    </w:p>
    <w:p>
      <w:pPr>
        <w:pStyle w:val="Nivel3"/>
        <w:numPr>
          <w:ilvl w:val="2"/>
          <w:numId w:val="249"/>
        </w:numPr>
        <w:spacing w:lineRule="auto" w:line="276" w:before="0" w:after="170"/>
        <w:ind w:hanging="0" w:left="0"/>
        <w:rPr>
          <w:rFonts w:ascii="Times New Roman" w:hAnsi="Times New Roman"/>
          <w:sz w:val="24"/>
          <w:szCs w:val="24"/>
        </w:rPr>
      </w:pPr>
      <w:r>
        <w:rPr>
          <w:rFonts w:ascii="Times New Roman" w:hAnsi="Times New Roman"/>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Nivel3"/>
        <w:numPr>
          <w:ilvl w:val="2"/>
          <w:numId w:val="250"/>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Caso a </w:t>
      </w:r>
      <w:r>
        <w:rPr>
          <w:rFonts w:eastAsia="Zurich BT" w:ascii="Times New Roman" w:hAnsi="Times New Roman"/>
          <w:sz w:val="24"/>
          <w:szCs w:val="24"/>
        </w:rPr>
        <w:t>microempresa ou a empresa de pequeno porte</w:t>
      </w:r>
      <w:r>
        <w:rPr>
          <w:rFonts w:ascii="Times New Roman" w:hAnsi="Times New Roman"/>
          <w:sz w:val="24"/>
          <w:szCs w:val="24"/>
        </w:rPr>
        <w:t xml:space="preserve"> melhor classificada desista ou não se manifeste no prazo estabelecido, serão convocadas as demais licitantes </w:t>
      </w:r>
      <w:r>
        <w:rPr>
          <w:rFonts w:eastAsia="Zurich BT" w:ascii="Times New Roman" w:hAnsi="Times New Roman"/>
          <w:sz w:val="24"/>
          <w:szCs w:val="24"/>
        </w:rPr>
        <w:t>microempresa e empresa de pequeno porte</w:t>
      </w:r>
      <w:r>
        <w:rPr>
          <w:rFonts w:ascii="Times New Roman" w:hAnsi="Times New Roman"/>
          <w:sz w:val="24"/>
          <w:szCs w:val="24"/>
        </w:rPr>
        <w:t xml:space="preserve"> que se encontrem naquele intervalo</w:t>
      </w:r>
      <w:r>
        <w:rPr>
          <w:rFonts w:ascii="Times New Roman" w:hAnsi="Times New Roman"/>
          <w:sz w:val="24"/>
          <w:szCs w:val="24"/>
          <w:shd w:fill="auto" w:val="clear"/>
        </w:rPr>
        <w:t xml:space="preserve"> de até 10% (dez por cento), caso se trate de uma concorrência, ou de até 5% (cinco por cento), caso se trate de um pregão,</w:t>
      </w:r>
      <w:r>
        <w:rPr>
          <w:rFonts w:ascii="Times New Roman" w:hAnsi="Times New Roman"/>
          <w:sz w:val="24"/>
          <w:szCs w:val="24"/>
        </w:rPr>
        <w:t xml:space="preserve"> na ordem de classificação, para o exercício do mesmo direito, no prazo estabelecido no subitem anterior.</w:t>
      </w:r>
    </w:p>
    <w:p>
      <w:pPr>
        <w:pStyle w:val="Nivel3"/>
        <w:numPr>
          <w:ilvl w:val="2"/>
          <w:numId w:val="251"/>
        </w:numPr>
        <w:spacing w:lineRule="auto" w:line="276" w:before="0" w:after="170"/>
        <w:ind w:hanging="0" w:left="0"/>
        <w:rPr>
          <w:rFonts w:ascii="Times New Roman" w:hAnsi="Times New Roman"/>
          <w:sz w:val="24"/>
          <w:szCs w:val="24"/>
        </w:rPr>
      </w:pPr>
      <w:r>
        <w:rPr>
          <w:rFonts w:ascii="Times New Roman" w:hAnsi="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pStyle w:val="Nivel3"/>
        <w:numPr>
          <w:ilvl w:val="2"/>
          <w:numId w:val="252"/>
        </w:numPr>
        <w:spacing w:lineRule="auto" w:line="276" w:before="0" w:after="170"/>
        <w:ind w:hanging="0" w:left="0"/>
        <w:rPr>
          <w:rFonts w:ascii="Times New Roman" w:hAnsi="Times New Roman"/>
          <w:sz w:val="24"/>
          <w:szCs w:val="24"/>
        </w:rPr>
      </w:pPr>
      <w:r>
        <w:rPr>
          <w:rFonts w:ascii="Times New Roman" w:hAnsi="Times New Roman"/>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Só poderá haver empate entre propostas iguais (não seguidas de lances), ou entre lances finais da fase fechada do modo de disputa aberto e fechado. </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Havendo eventual empate entre propostas ou lances, o critério de desempate será aquele previsto no art. 60 da Lei nº 14.133, de 2021, nesta ordem:</w:t>
      </w:r>
    </w:p>
    <w:p>
      <w:pPr>
        <w:pStyle w:val="Nivel3"/>
        <w:numPr>
          <w:ilvl w:val="2"/>
          <w:numId w:val="253"/>
        </w:numPr>
        <w:spacing w:lineRule="auto" w:line="276" w:before="0" w:after="170"/>
        <w:ind w:hanging="0" w:left="0"/>
        <w:rPr>
          <w:rFonts w:ascii="Times New Roman" w:hAnsi="Times New Roman"/>
          <w:sz w:val="24"/>
          <w:szCs w:val="24"/>
        </w:rPr>
      </w:pPr>
      <w:r>
        <w:rPr>
          <w:rFonts w:ascii="Times New Roman" w:hAnsi="Times New Roman"/>
          <w:sz w:val="24"/>
          <w:szCs w:val="24"/>
        </w:rPr>
        <w:t>disputa final, hipótese em que os licitantes empatados poderão apresentar nova proposta em ato contínuo à classificação;</w:t>
      </w:r>
    </w:p>
    <w:p>
      <w:pPr>
        <w:pStyle w:val="Nivel3"/>
        <w:numPr>
          <w:ilvl w:val="2"/>
          <w:numId w:val="254"/>
        </w:numPr>
        <w:spacing w:lineRule="auto" w:line="276" w:before="0" w:after="170"/>
        <w:ind w:hanging="0" w:left="0"/>
        <w:rPr>
          <w:rFonts w:ascii="Times New Roman" w:hAnsi="Times New Roman"/>
          <w:sz w:val="24"/>
          <w:szCs w:val="24"/>
        </w:rPr>
      </w:pPr>
      <w:r>
        <w:rPr>
          <w:rFonts w:ascii="Times New Roman" w:hAnsi="Times New Roman"/>
          <w:sz w:val="24"/>
          <w:szCs w:val="24"/>
        </w:rPr>
        <w:t>avaliação do desempenho contratual prévio dos licitantes, para a qual deverão preferencialmente ser utilizados registros cadastrais para efeito de atesto de cumprimento de obrigações previstos nesta Lei;</w:t>
      </w:r>
    </w:p>
    <w:p>
      <w:pPr>
        <w:pStyle w:val="Nivel3"/>
        <w:numPr>
          <w:ilvl w:val="2"/>
          <w:numId w:val="255"/>
        </w:numPr>
        <w:spacing w:lineRule="auto" w:line="276" w:before="0" w:after="170"/>
        <w:ind w:hanging="0" w:left="0"/>
        <w:rPr>
          <w:rFonts w:ascii="Times New Roman" w:hAnsi="Times New Roman"/>
          <w:sz w:val="24"/>
          <w:szCs w:val="24"/>
        </w:rPr>
      </w:pPr>
      <w:r>
        <w:rPr>
          <w:rFonts w:ascii="Times New Roman" w:hAnsi="Times New Roman"/>
          <w:sz w:val="24"/>
          <w:szCs w:val="24"/>
        </w:rPr>
        <w:t>desenvolvimento pelo licitante de a</w:t>
      </w:r>
      <w:r>
        <w:rPr>
          <w:rFonts w:ascii="Times New Roman" w:hAnsi="Times New Roman"/>
          <w:sz w:val="24"/>
          <w:szCs w:val="24"/>
          <w:shd w:fill="auto" w:val="clear"/>
        </w:rPr>
        <w:t>ções de equidade entre homens e mulheres no ambiente de trabalho, nos termos do Decreto nº 11.430, de 2023, e da Instrução Normativa SEGES/MGI nº 382, de 17 de setembro de 2025;</w:t>
      </w:r>
    </w:p>
    <w:p>
      <w:pPr>
        <w:pStyle w:val="Nivel3"/>
        <w:numPr>
          <w:ilvl w:val="2"/>
          <w:numId w:val="256"/>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declaração do licitante de que desenvolve programa de integridade, conforme Decreto n° 12.304, de 2024, e Portaria Normativa SE/CGU n° 226, de 9 de setembro de 2025.</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shd w:fill="auto" w:val="clear"/>
        </w:rPr>
        <w:t>Persistindo o empate, será assegurada preferência, s</w:t>
      </w:r>
      <w:r>
        <w:rPr>
          <w:rFonts w:ascii="Times New Roman" w:hAnsi="Times New Roman"/>
          <w:sz w:val="24"/>
          <w:szCs w:val="24"/>
        </w:rPr>
        <w:t xml:space="preserve">ucessivamente, aos bens e serviços </w:t>
      </w:r>
      <w:r>
        <w:rPr>
          <w:rFonts w:ascii="Times New Roman" w:hAnsi="Times New Roman"/>
          <w:color w:val="111111"/>
          <w:sz w:val="24"/>
          <w:szCs w:val="24"/>
          <w:shd w:fill="auto" w:val="clear"/>
        </w:rPr>
        <w:t>produzidos ou prestados por:</w:t>
      </w:r>
    </w:p>
    <w:p>
      <w:pPr>
        <w:pStyle w:val="Nvel3-R"/>
        <w:numPr>
          <w:ilvl w:val="2"/>
          <w:numId w:val="257"/>
        </w:numPr>
        <w:spacing w:lineRule="auto" w:line="276" w:before="0" w:after="170"/>
        <w:ind w:hanging="0" w:left="0"/>
        <w:rPr>
          <w:rFonts w:ascii="Times New Roman" w:hAnsi="Times New Roman"/>
          <w:color w:val="111111"/>
          <w:sz w:val="24"/>
          <w:szCs w:val="24"/>
          <w:highlight w:val="none"/>
          <w:shd w:fill="auto" w:val="clear"/>
        </w:rPr>
      </w:pPr>
      <w:bookmarkStart w:id="41" w:name="art60§1i"/>
      <w:bookmarkEnd w:id="41"/>
      <w:r>
        <w:rPr>
          <w:rFonts w:ascii="Times New Roman" w:hAnsi="Times New Roman"/>
          <w:color w:val="111111"/>
          <w:sz w:val="24"/>
          <w:szCs w:val="24"/>
          <w:shd w:fill="auto" w:val="clear"/>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Nivel3"/>
        <w:numPr>
          <w:ilvl w:val="2"/>
          <w:numId w:val="258"/>
        </w:numPr>
        <w:spacing w:lineRule="auto" w:line="276" w:before="0" w:after="170"/>
        <w:ind w:hanging="0" w:left="0"/>
        <w:rPr>
          <w:rFonts w:ascii="Times New Roman" w:hAnsi="Times New Roman"/>
          <w:sz w:val="24"/>
          <w:szCs w:val="24"/>
        </w:rPr>
      </w:pPr>
      <w:bookmarkStart w:id="42" w:name="art60§1ii"/>
      <w:bookmarkEnd w:id="42"/>
      <w:r>
        <w:rPr>
          <w:rFonts w:ascii="Times New Roman" w:hAnsi="Times New Roman"/>
          <w:sz w:val="24"/>
          <w:szCs w:val="24"/>
        </w:rPr>
        <w:t>empresas brasileiras;</w:t>
      </w:r>
    </w:p>
    <w:p>
      <w:pPr>
        <w:pStyle w:val="Nivel3"/>
        <w:numPr>
          <w:ilvl w:val="2"/>
          <w:numId w:val="259"/>
        </w:numPr>
        <w:spacing w:lineRule="auto" w:line="276" w:before="0" w:after="170"/>
        <w:ind w:hanging="0" w:left="0"/>
        <w:rPr>
          <w:rFonts w:ascii="Times New Roman" w:hAnsi="Times New Roman"/>
          <w:sz w:val="24"/>
          <w:szCs w:val="24"/>
        </w:rPr>
      </w:pPr>
      <w:bookmarkStart w:id="43" w:name="art60§1iii"/>
      <w:bookmarkEnd w:id="43"/>
      <w:r>
        <w:rPr>
          <w:rFonts w:ascii="Times New Roman" w:hAnsi="Times New Roman"/>
          <w:sz w:val="24"/>
          <w:szCs w:val="24"/>
        </w:rPr>
        <w:t>empresas que invistam em pesquisa e no desenvolvimento de tecnologia no País;</w:t>
      </w:r>
    </w:p>
    <w:p>
      <w:pPr>
        <w:pStyle w:val="Nivel3"/>
        <w:numPr>
          <w:ilvl w:val="2"/>
          <w:numId w:val="260"/>
        </w:numPr>
        <w:spacing w:lineRule="auto" w:line="276" w:before="0" w:after="170"/>
        <w:ind w:hanging="0" w:left="0"/>
        <w:rPr>
          <w:rFonts w:ascii="Times New Roman" w:hAnsi="Times New Roman"/>
          <w:sz w:val="24"/>
          <w:szCs w:val="24"/>
        </w:rPr>
      </w:pPr>
      <w:bookmarkStart w:id="44" w:name="art60§1iv"/>
      <w:bookmarkEnd w:id="44"/>
      <w:r>
        <w:rPr>
          <w:rFonts w:ascii="Times New Roman" w:hAnsi="Times New Roman"/>
          <w:sz w:val="24"/>
          <w:szCs w:val="24"/>
        </w:rPr>
        <w:t>empresas que comprovem a prática de mitigação, nos termos da Lei nº 12.187, de 29 de dezembro de 2009.</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Esgotados todos os demais critérios de desempate previstos em lei, a escolha do licitante vencedor ocorrerá por sorteio, em ato público, para o qual todos os licitantes serão convocados, vedado qualquer outro processo.</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w:t>
      </w:r>
      <w:r>
        <w:rPr>
          <w:rFonts w:ascii="Times New Roman" w:hAnsi="Times New Roman"/>
          <w:sz w:val="24"/>
          <w:szCs w:val="24"/>
          <w:shd w:fill="auto" w:val="clear"/>
        </w:rPr>
        <w:t>tado do julgamento.</w:t>
      </w:r>
    </w:p>
    <w:p>
      <w:pPr>
        <w:pStyle w:val="Nivel3"/>
        <w:numPr>
          <w:ilvl w:val="2"/>
          <w:numId w:val="261"/>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 xml:space="preserve">Tratando-se de licitação em grupo, a contratação posterior de item específico do grupo exigirá prévia pesquisa de mercado e demonstração de sua vantagem para o órgão ou a entidade e serão observados como critério de aceitabilidade os preços unitários máximos definidos no Termo de Referência. </w:t>
      </w:r>
    </w:p>
    <w:p>
      <w:pPr>
        <w:pStyle w:val="Nivel3"/>
        <w:numPr>
          <w:ilvl w:val="2"/>
          <w:numId w:val="262"/>
        </w:numPr>
        <w:spacing w:lineRule="auto" w:line="276" w:before="0" w:after="170"/>
        <w:ind w:hanging="0" w:left="0"/>
        <w:rPr>
          <w:rFonts w:ascii="Times New Roman" w:hAnsi="Times New Roman"/>
          <w:sz w:val="24"/>
          <w:szCs w:val="24"/>
        </w:rPr>
      </w:pPr>
      <w:r>
        <w:rPr>
          <w:rFonts w:ascii="Times New Roman" w:hAnsi="Times New Roman"/>
          <w:sz w:val="24"/>
          <w:szCs w:val="24"/>
          <w:shd w:fill="auto" w:val="clear"/>
        </w:rPr>
        <w:t xml:space="preserve">A negociação poderá ser feita com os </w:t>
      </w:r>
      <w:r>
        <w:rPr>
          <w:rFonts w:ascii="Times New Roman" w:hAnsi="Times New Roman"/>
          <w:sz w:val="24"/>
          <w:szCs w:val="24"/>
        </w:rPr>
        <w:t>demais licitantes, segundo a ordem de classificação inicialmente estabelecida, quando o primeiro colocado, mesmo após a negociação, for desclassificado em razão de sua proposta permanecer acima do preço máximo definido pela Administração.</w:t>
      </w:r>
    </w:p>
    <w:p>
      <w:pPr>
        <w:pStyle w:val="Nivel3"/>
        <w:numPr>
          <w:ilvl w:val="2"/>
          <w:numId w:val="263"/>
        </w:numPr>
        <w:spacing w:lineRule="auto" w:line="276" w:before="0" w:after="170"/>
        <w:ind w:hanging="0" w:left="0"/>
        <w:rPr>
          <w:rFonts w:ascii="Times New Roman" w:hAnsi="Times New Roman"/>
          <w:sz w:val="24"/>
          <w:szCs w:val="24"/>
        </w:rPr>
      </w:pPr>
      <w:r>
        <w:rPr>
          <w:rFonts w:eastAsia="Times New Roman" w:ascii="Times New Roman" w:hAnsi="Times New Roman"/>
          <w:sz w:val="24"/>
          <w:szCs w:val="24"/>
        </w:rPr>
        <w:t xml:space="preserve">A </w:t>
      </w:r>
      <w:r>
        <w:rPr>
          <w:rFonts w:ascii="Times New Roman" w:hAnsi="Times New Roman"/>
          <w:sz w:val="24"/>
          <w:szCs w:val="24"/>
        </w:rPr>
        <w:t>negociação será realizada por meio do sistema, podendo ser acompanhada pelos demais licitantes.</w:t>
      </w:r>
    </w:p>
    <w:p>
      <w:pPr>
        <w:pStyle w:val="Nivel3"/>
        <w:numPr>
          <w:ilvl w:val="2"/>
          <w:numId w:val="264"/>
        </w:numPr>
        <w:spacing w:lineRule="auto" w:line="276" w:before="0" w:after="170"/>
        <w:ind w:hanging="0" w:left="0"/>
        <w:rPr>
          <w:rFonts w:ascii="Times New Roman" w:hAnsi="Times New Roman"/>
          <w:sz w:val="24"/>
          <w:szCs w:val="24"/>
        </w:rPr>
      </w:pPr>
      <w:r>
        <w:rPr>
          <w:rFonts w:ascii="Times New Roman" w:hAnsi="Times New Roman"/>
          <w:sz w:val="24"/>
          <w:szCs w:val="24"/>
        </w:rPr>
        <w:t>O resultado da negociação será divulgado a todos os licitantes e anexado aos autos do processo licitatório.</w:t>
      </w:r>
    </w:p>
    <w:p>
      <w:pPr>
        <w:pStyle w:val="Nivel3"/>
        <w:numPr>
          <w:ilvl w:val="2"/>
          <w:numId w:val="265"/>
        </w:numPr>
        <w:spacing w:lineRule="auto" w:line="276" w:before="0" w:after="170"/>
        <w:ind w:hanging="0" w:left="0"/>
        <w:rPr>
          <w:rFonts w:ascii="Times New Roman" w:hAnsi="Times New Roman"/>
          <w:sz w:val="24"/>
          <w:szCs w:val="24"/>
        </w:rPr>
      </w:pPr>
      <w:r>
        <w:rPr>
          <w:rFonts w:ascii="Times New Roman" w:hAnsi="Times New Roman"/>
          <w:sz w:val="24"/>
          <w:szCs w:val="24"/>
          <w:shd w:fill="auto" w:val="clear"/>
        </w:rPr>
        <w:t>O Pregoeiro/Agente de Contratação/Comissão soli</w:t>
      </w:r>
      <w:r>
        <w:rPr>
          <w:rFonts w:ascii="Times New Roman" w:hAnsi="Times New Roman"/>
          <w:sz w:val="24"/>
          <w:szCs w:val="24"/>
        </w:rPr>
        <w:t xml:space="preserve">citará ao licitante mais bem classificado que, no prazo de </w:t>
      </w:r>
      <w:r>
        <w:rPr>
          <w:rFonts w:ascii="Times New Roman" w:hAnsi="Times New Roman"/>
          <w:color w:val="111111"/>
          <w:sz w:val="24"/>
          <w:szCs w:val="24"/>
        </w:rPr>
        <w:t>2 (duas) horas,</w:t>
      </w:r>
      <w:r>
        <w:rPr>
          <w:rFonts w:ascii="Times New Roman" w:hAnsi="Times New Roman"/>
          <w:sz w:val="24"/>
          <w:szCs w:val="24"/>
        </w:rPr>
        <w:t xml:space="preserve"> envie a proposta adequada ao último lance ofertado após a negociação realizada, acompanhada, se for o caso, dos documentos complementares, quando necessários à confirmação daqueles exigidos neste Edital e já apresentados.</w:t>
      </w:r>
      <w:bookmarkStart w:id="45" w:name="_Hlk117016948"/>
      <w:bookmarkEnd w:id="45"/>
    </w:p>
    <w:p>
      <w:pPr>
        <w:pStyle w:val="Nivel3"/>
        <w:numPr>
          <w:ilvl w:val="2"/>
          <w:numId w:val="266"/>
        </w:numPr>
        <w:spacing w:lineRule="auto" w:line="276" w:before="0" w:after="170"/>
        <w:ind w:hanging="0" w:left="0"/>
        <w:rPr>
          <w:rFonts w:ascii="Times New Roman" w:hAnsi="Times New Roman"/>
          <w:sz w:val="24"/>
          <w:szCs w:val="24"/>
        </w:rPr>
      </w:pPr>
      <w:r>
        <w:rPr>
          <w:rFonts w:ascii="Times New Roman" w:hAnsi="Times New Roman"/>
          <w:sz w:val="24"/>
          <w:szCs w:val="24"/>
        </w:rPr>
        <w:t>É facultado ao Pregoeiro/Agente de Contratação/Comissão prorrogar o prazo estabelecido, a partir de solicitação fundamentada feita no chat pelo licitante, antes de findo o prazo.</w:t>
      </w:r>
    </w:p>
    <w:p>
      <w:pPr>
        <w:pStyle w:val="Nivel2"/>
        <w:numPr>
          <w:ilvl w:val="1"/>
          <w:numId w:val="1"/>
        </w:numPr>
        <w:spacing w:lineRule="auto" w:line="276" w:before="0" w:after="170"/>
        <w:ind w:hanging="0" w:left="0"/>
        <w:rPr>
          <w:rFonts w:ascii="Times New Roman" w:hAnsi="Times New Roman"/>
          <w:sz w:val="24"/>
          <w:szCs w:val="24"/>
        </w:rPr>
      </w:pPr>
      <w:bookmarkStart w:id="46" w:name="_Hlk114646655"/>
      <w:r>
        <w:rPr>
          <w:rFonts w:ascii="Times New Roman" w:hAnsi="Times New Roman"/>
          <w:sz w:val="24"/>
          <w:szCs w:val="24"/>
        </w:rPr>
        <w:t>Após a negociação do preço, o Pregoeiro/Agente de Contratação/Comissão iniciará a fase de aceitação e julgamento da proposta.</w:t>
      </w:r>
      <w:bookmarkEnd w:id="46"/>
    </w:p>
    <w:p>
      <w:pPr>
        <w:pStyle w:val="Nivel01"/>
        <w:numPr>
          <w:ilvl w:val="0"/>
          <w:numId w:val="1"/>
        </w:numPr>
        <w:spacing w:lineRule="auto" w:line="276" w:before="0" w:after="170"/>
        <w:ind w:hanging="0" w:left="0"/>
        <w:rPr>
          <w:rFonts w:ascii="Times New Roman" w:hAnsi="Times New Roman"/>
          <w:sz w:val="24"/>
          <w:szCs w:val="24"/>
        </w:rPr>
      </w:pPr>
      <w:bookmarkStart w:id="47" w:name="_Toc215145273"/>
      <w:bookmarkStart w:id="48" w:name="_Toc135469201"/>
      <w:r>
        <w:rPr>
          <w:rFonts w:ascii="Times New Roman" w:hAnsi="Times New Roman"/>
          <w:sz w:val="24"/>
          <w:szCs w:val="24"/>
        </w:rPr>
        <w:t>DA FASE DE JULGAMENTO</w:t>
      </w:r>
      <w:bookmarkEnd w:id="47"/>
      <w:bookmarkEnd w:id="48"/>
    </w:p>
    <w:p>
      <w:pPr>
        <w:pStyle w:val="Nivel2"/>
        <w:numPr>
          <w:ilvl w:val="1"/>
          <w:numId w:val="1"/>
        </w:numPr>
        <w:spacing w:lineRule="auto" w:line="276" w:before="0" w:after="170"/>
        <w:ind w:hanging="0" w:left="0"/>
        <w:rPr>
          <w:rFonts w:ascii="Times New Roman" w:hAnsi="Times New Roman"/>
          <w:sz w:val="24"/>
          <w:szCs w:val="24"/>
        </w:rPr>
      </w:pPr>
      <w:bookmarkStart w:id="49" w:name="_Ref117019424"/>
      <w:r>
        <w:rPr>
          <w:rFonts w:ascii="Times New Roman" w:hAnsi="Times New Roman"/>
          <w:sz w:val="24"/>
          <w:szCs w:val="24"/>
        </w:rPr>
        <w:t xml:space="preserve">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r>
        <w:rPr>
          <w:rFonts w:ascii="Times New Roman" w:hAnsi="Times New Roman"/>
          <w:sz w:val="24"/>
          <w:szCs w:val="24"/>
        </w:rPr>
        <w:fldChar w:fldCharType="begin"/>
      </w:r>
      <w:r>
        <w:rPr>
          <w:sz w:val="24"/>
          <w:szCs w:val="24"/>
          <w:rFonts w:ascii="Times New Roman" w:hAnsi="Times New Roman"/>
        </w:rPr>
        <w:instrText xml:space="preserve"> REF _Ref117000692 \r \r \h </w:instrText>
      </w:r>
      <w:r>
        <w:rPr>
          <w:sz w:val="24"/>
          <w:szCs w:val="24"/>
          <w:rFonts w:ascii="Times New Roman" w:hAnsi="Times New Roman"/>
        </w:rPr>
        <w:fldChar w:fldCharType="separate"/>
      </w:r>
      <w:r>
        <w:rPr>
          <w:sz w:val="24"/>
          <w:szCs w:val="24"/>
          <w:rFonts w:ascii="Times New Roman" w:hAnsi="Times New Roman"/>
        </w:rPr>
        <w:t>3.10</w:t>
      </w:r>
      <w:r>
        <w:rPr>
          <w:sz w:val="24"/>
          <w:szCs w:val="24"/>
          <w:rFonts w:ascii="Times New Roman" w:hAnsi="Times New Roman"/>
        </w:rPr>
        <w:fldChar w:fldCharType="end"/>
      </w:r>
      <w:r>
        <w:rPr>
          <w:rFonts w:ascii="Times New Roman" w:hAnsi="Times New Roman"/>
          <w:sz w:val="24"/>
          <w:szCs w:val="24"/>
        </w:rPr>
        <w:t xml:space="preserve"> do edital, </w:t>
      </w:r>
      <w:bookmarkEnd w:id="49"/>
      <w:r>
        <w:rPr>
          <w:rFonts w:ascii="Times New Roman" w:hAnsi="Times New Roman"/>
          <w:color w:val="auto"/>
          <w:sz w:val="24"/>
          <w:szCs w:val="24"/>
          <w:lang w:eastAsia="ar-SA"/>
        </w:rPr>
        <w:t>especialmente quanto à existência de sanção que impeça a participação no certame ou a futura contratação,</w:t>
      </w:r>
      <w:r>
        <w:rPr>
          <w:rFonts w:ascii="Times New Roman" w:hAnsi="Times New Roman"/>
          <w:sz w:val="24"/>
          <w:szCs w:val="24"/>
          <w:lang w:eastAsia="ar-SA"/>
        </w:rPr>
        <w:t xml:space="preserve"> mediante a consulta aos seguintes cadastros:</w:t>
      </w:r>
    </w:p>
    <w:p>
      <w:pPr>
        <w:pStyle w:val="Nivel3"/>
        <w:numPr>
          <w:ilvl w:val="2"/>
          <w:numId w:val="267"/>
        </w:numPr>
        <w:spacing w:lineRule="auto" w:line="276" w:before="0" w:after="170"/>
        <w:ind w:hanging="0" w:left="0"/>
        <w:rPr>
          <w:highlight w:val="none"/>
          <w:shd w:fill="auto" w:val="clear"/>
        </w:rPr>
      </w:pPr>
      <w:r>
        <w:rPr>
          <w:rFonts w:ascii="Times New Roman" w:hAnsi="Times New Roman"/>
          <w:sz w:val="24"/>
          <w:szCs w:val="24"/>
        </w:rPr>
        <w:t>Sicaf;</w:t>
      </w:r>
    </w:p>
    <w:p>
      <w:pPr>
        <w:pStyle w:val="Nivel3"/>
        <w:numPr>
          <w:ilvl w:val="2"/>
          <w:numId w:val="268"/>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 xml:space="preserve">Cadastro Nacional de Empresas Inidôneas e Suspensas – CEIS, </w:t>
      </w:r>
    </w:p>
    <w:p>
      <w:pPr>
        <w:pStyle w:val="Nivel3"/>
        <w:numPr>
          <w:ilvl w:val="2"/>
          <w:numId w:val="269"/>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Cadastro Nacional de Empresas Punidas – CNEP e</w:t>
      </w:r>
    </w:p>
    <w:p>
      <w:pPr>
        <w:pStyle w:val="Nivel3"/>
        <w:numPr>
          <w:ilvl w:val="2"/>
          <w:numId w:val="270"/>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Lista de licitantes inidôneos, mantida pelo Tribunal de Contas da União.</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A consulta aos cadastros será realizada no nome e no CNPJ da empresa licitante.</w:t>
      </w:r>
    </w:p>
    <w:p>
      <w:pPr>
        <w:pStyle w:val="Nivel3"/>
        <w:numPr>
          <w:ilvl w:val="2"/>
          <w:numId w:val="271"/>
        </w:numPr>
        <w:spacing w:lineRule="auto" w:line="276" w:before="0" w:after="170"/>
        <w:ind w:hanging="0" w:left="0"/>
        <w:rPr>
          <w:rFonts w:ascii="Times New Roman" w:hAnsi="Times New Roman"/>
          <w:sz w:val="24"/>
          <w:szCs w:val="24"/>
        </w:rPr>
      </w:pPr>
      <w:r>
        <w:rPr>
          <w:rFonts w:ascii="Times New Roman" w:hAnsi="Times New Roman"/>
          <w:sz w:val="24"/>
          <w:szCs w:val="24"/>
        </w:rPr>
        <w:t>A cons</w:t>
      </w:r>
      <w:r>
        <w:rPr>
          <w:rFonts w:ascii="Times New Roman" w:hAnsi="Times New Roman"/>
          <w:sz w:val="24"/>
          <w:szCs w:val="24"/>
          <w:shd w:fill="auto" w:val="clear"/>
        </w:rPr>
        <w:t>ulta no CEIS quanto às sanções previstas na Lei nº 8.429, de 1992, também ocorrerá no nome e no CPF do sócio majoritário da empresa licitante, se houver, por força do art. 12 da citada lei.</w:t>
      </w:r>
    </w:p>
    <w:p>
      <w:pPr>
        <w:pStyle w:val="Nivel2"/>
        <w:numPr>
          <w:ilvl w:val="1"/>
          <w:numId w:val="1"/>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Caso conste na Consulta de Situação do l</w:t>
      </w:r>
      <w:r>
        <w:rPr>
          <w:rFonts w:ascii="Times New Roman" w:hAnsi="Times New Roman"/>
          <w:color w:val="auto"/>
          <w:sz w:val="24"/>
          <w:szCs w:val="24"/>
        </w:rPr>
        <w:t xml:space="preserve">icitante </w:t>
      </w:r>
      <w:r>
        <w:rPr>
          <w:rFonts w:ascii="Times New Roman" w:hAnsi="Times New Roman"/>
          <w:sz w:val="24"/>
          <w:szCs w:val="24"/>
        </w:rPr>
        <w:t xml:space="preserve">a existência de Ocorrências Impeditivas Indiretas, o </w:t>
      </w:r>
      <w:r>
        <w:rPr>
          <w:rFonts w:ascii="Times New Roman" w:hAnsi="Times New Roman"/>
          <w:color w:val="auto"/>
          <w:sz w:val="24"/>
          <w:szCs w:val="24"/>
        </w:rPr>
        <w:t>Pregoeiro</w:t>
      </w:r>
      <w:r>
        <w:rPr>
          <w:rFonts w:ascii="Times New Roman" w:hAnsi="Times New Roman"/>
          <w:sz w:val="24"/>
          <w:szCs w:val="24"/>
        </w:rPr>
        <w:t xml:space="preserve">/Agente de Contratação/Comissão </w:t>
      </w:r>
      <w:r>
        <w:rPr>
          <w:rFonts w:ascii="Times New Roman" w:hAnsi="Times New Roman"/>
          <w:color w:val="auto"/>
          <w:sz w:val="24"/>
          <w:szCs w:val="24"/>
        </w:rPr>
        <w:t>diligenciará para v</w:t>
      </w:r>
      <w:r>
        <w:rPr>
          <w:rFonts w:ascii="Times New Roman" w:hAnsi="Times New Roman"/>
          <w:sz w:val="24"/>
          <w:szCs w:val="24"/>
        </w:rPr>
        <w:t>erificar se houve fraude por parte das empresas apontadas no Relatório de Ocorrências Impeditivas Indiretas.</w:t>
      </w:r>
    </w:p>
    <w:p>
      <w:pPr>
        <w:pStyle w:val="Nivel3"/>
        <w:numPr>
          <w:ilvl w:val="2"/>
          <w:numId w:val="272"/>
        </w:numPr>
        <w:spacing w:lineRule="auto" w:line="276" w:before="0" w:after="170"/>
        <w:ind w:hanging="0" w:left="0"/>
        <w:rPr>
          <w:rFonts w:ascii="Times New Roman" w:hAnsi="Times New Roman"/>
          <w:sz w:val="24"/>
          <w:szCs w:val="24"/>
        </w:rPr>
      </w:pPr>
      <w:r>
        <w:rPr>
          <w:rFonts w:ascii="Times New Roman" w:hAnsi="Times New Roman"/>
          <w:sz w:val="24"/>
          <w:szCs w:val="24"/>
        </w:rPr>
        <w:t>A tentativa de burla será verificada por meio dos vínculos societários, linhas de fornecimento similares, dentre outros.</w:t>
      </w:r>
    </w:p>
    <w:p>
      <w:pPr>
        <w:pStyle w:val="Nivel3"/>
        <w:numPr>
          <w:ilvl w:val="2"/>
          <w:numId w:val="273"/>
        </w:numPr>
        <w:spacing w:lineRule="auto" w:line="276" w:before="0" w:after="170"/>
        <w:ind w:hanging="0" w:left="0"/>
        <w:rPr>
          <w:rFonts w:ascii="Times New Roman" w:hAnsi="Times New Roman"/>
          <w:sz w:val="24"/>
          <w:szCs w:val="24"/>
        </w:rPr>
      </w:pPr>
      <w:r>
        <w:rPr>
          <w:rFonts w:ascii="Times New Roman" w:hAnsi="Times New Roman"/>
          <w:sz w:val="24"/>
          <w:szCs w:val="24"/>
        </w:rPr>
        <w:t>O licitante será convocado para manifestação previamente a uma eventual desclassificação.</w:t>
      </w:r>
    </w:p>
    <w:p>
      <w:pPr>
        <w:pStyle w:val="Nivel3"/>
        <w:numPr>
          <w:ilvl w:val="2"/>
          <w:numId w:val="274"/>
        </w:numPr>
        <w:spacing w:lineRule="auto" w:line="276" w:before="0" w:after="170"/>
        <w:ind w:hanging="0" w:left="0"/>
        <w:rPr>
          <w:rFonts w:ascii="Times New Roman" w:hAnsi="Times New Roman"/>
          <w:sz w:val="24"/>
          <w:szCs w:val="24"/>
        </w:rPr>
      </w:pPr>
      <w:r>
        <w:rPr>
          <w:rFonts w:ascii="Times New Roman" w:hAnsi="Times New Roman"/>
          <w:sz w:val="24"/>
          <w:szCs w:val="24"/>
        </w:rPr>
        <w:t>Constatada a existência de sanção, o licitante será reputado inabilitado, por falta de condição de participação.</w:t>
      </w:r>
    </w:p>
    <w:p>
      <w:pPr>
        <w:pStyle w:val="Nivel2"/>
        <w:numPr>
          <w:ilvl w:val="1"/>
          <w:numId w:val="1"/>
        </w:numPr>
        <w:spacing w:lineRule="auto" w:line="276" w:before="0" w:after="170"/>
        <w:ind w:hanging="0" w:left="0"/>
        <w:rPr>
          <w:rFonts w:ascii="Times New Roman" w:hAnsi="Times New Roman"/>
          <w:sz w:val="24"/>
          <w:szCs w:val="24"/>
        </w:rPr>
      </w:pPr>
      <w:bookmarkStart w:id="50" w:name="_Hlk135317550"/>
      <w:r>
        <w:rPr>
          <w:rFonts w:ascii="Times New Roman" w:hAnsi="Times New Roman"/>
          <w:sz w:val="24"/>
          <w:szCs w:val="24"/>
        </w:rPr>
        <w:t>Na hipótese de inversão das fases de habilitação e julgamento, caso atendidas as condições de participação, será inicia</w:t>
      </w:r>
      <w:r>
        <w:rPr>
          <w:rFonts w:ascii="Times New Roman" w:hAnsi="Times New Roman"/>
          <w:sz w:val="24"/>
          <w:szCs w:val="24"/>
          <w:shd w:fill="auto" w:val="clear"/>
        </w:rPr>
        <w:t>do o procedimento de habilitação.</w:t>
      </w:r>
      <w:bookmarkEnd w:id="50"/>
    </w:p>
    <w:p>
      <w:pPr>
        <w:pStyle w:val="Nivel2"/>
        <w:numPr>
          <w:ilvl w:val="1"/>
          <w:numId w:val="1"/>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Caso o licitante provisoriamente classificado em primeiro lugar tenha se utilizado de algum tratamento favorecido às ME/EPPs ou tenha se valido da aplicação da margem de preferência, o Pregoeiro/Agente de Contratação/Comissão verificará se o licitante faz jus ao benefício aplicado.</w:t>
      </w:r>
    </w:p>
    <w:p>
      <w:pPr>
        <w:pStyle w:val="Nivel3"/>
        <w:numPr>
          <w:ilvl w:val="2"/>
          <w:numId w:val="275"/>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Caso o licitante não venha a comprovar o atendimento dos requisitos para fazer jus ao benefício da margem de preferência, as propostas serão reclassificadas, para fins de nova aplicação da margem de preferência.</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nos arts. 29 a 35 da Instrução Normativa SEGES/ME nº 73, de 30 de setembro de 2022.</w:t>
      </w:r>
    </w:p>
    <w:p>
      <w:pPr>
        <w:pStyle w:val="Nivel2"/>
        <w:numPr>
          <w:ilvl w:val="1"/>
          <w:numId w:val="1"/>
        </w:numPr>
        <w:spacing w:lineRule="auto" w:line="276" w:before="0" w:after="170"/>
        <w:ind w:hanging="0" w:left="0"/>
        <w:rPr>
          <w:rFonts w:ascii="Times New Roman" w:hAnsi="Times New Roman"/>
          <w:strike/>
          <w:sz w:val="24"/>
          <w:szCs w:val="24"/>
          <w:highlight w:val="none"/>
          <w:shd w:fill="auto" w:val="clear"/>
        </w:rPr>
      </w:pPr>
      <w:r>
        <w:rPr>
          <w:rFonts w:ascii="Times New Roman" w:hAnsi="Times New Roman"/>
          <w:strike/>
          <w:sz w:val="24"/>
          <w:szCs w:val="24"/>
          <w:shd w:fill="auto" w:val="clear"/>
        </w:rPr>
        <w:t>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pPr>
        <w:pStyle w:val="Nivel3"/>
        <w:numPr>
          <w:ilvl w:val="2"/>
          <w:numId w:val="276"/>
        </w:numPr>
        <w:spacing w:lineRule="auto" w:line="276" w:before="0" w:after="170"/>
        <w:ind w:hanging="0" w:left="0"/>
        <w:rPr>
          <w:rFonts w:ascii="Times New Roman" w:hAnsi="Times New Roman"/>
          <w:strike/>
          <w:sz w:val="24"/>
          <w:szCs w:val="24"/>
          <w:highlight w:val="none"/>
          <w:shd w:fill="auto" w:val="clear"/>
        </w:rPr>
      </w:pPr>
      <w:r>
        <w:rPr>
          <w:rFonts w:ascii="Times New Roman" w:hAnsi="Times New Roman"/>
          <w:b/>
          <w:bCs/>
          <w:strike/>
          <w:sz w:val="24"/>
          <w:szCs w:val="24"/>
          <w:shd w:fill="auto" w:val="clear"/>
        </w:rPr>
        <w:t xml:space="preserve">[indicar </w:t>
      </w:r>
      <w:bookmarkStart w:id="51" w:name="_Hlk190251820"/>
      <w:r>
        <w:rPr>
          <w:rFonts w:ascii="Times New Roman" w:hAnsi="Times New Roman"/>
          <w:b/>
          <w:bCs/>
          <w:strike/>
          <w:sz w:val="24"/>
          <w:szCs w:val="24"/>
          <w:shd w:fill="auto" w:val="clear"/>
        </w:rPr>
        <w:t>os acordos, dissídios ou convenções coletivas</w:t>
      </w:r>
      <w:bookmarkEnd w:id="51"/>
      <w:r>
        <w:rPr>
          <w:rFonts w:ascii="Times New Roman" w:hAnsi="Times New Roman"/>
          <w:b/>
          <w:bCs/>
          <w:strike/>
          <w:sz w:val="24"/>
          <w:szCs w:val="24"/>
          <w:shd w:fill="auto" w:val="clear"/>
        </w:rPr>
        <w:t>]</w:t>
      </w:r>
      <w:r>
        <w:rPr>
          <w:rFonts w:ascii="Times New Roman" w:hAnsi="Times New Roman"/>
          <w:strike/>
          <w:sz w:val="24"/>
          <w:szCs w:val="24"/>
          <w:shd w:fill="auto" w:val="clear"/>
        </w:rPr>
        <w:t>;</w:t>
      </w:r>
    </w:p>
    <w:p>
      <w:pPr>
        <w:pStyle w:val="Nivel2"/>
        <w:numPr>
          <w:ilvl w:val="1"/>
          <w:numId w:val="1"/>
        </w:numPr>
        <w:spacing w:lineRule="auto" w:line="276" w:before="0" w:after="170"/>
        <w:ind w:hanging="0" w:left="0"/>
        <w:rPr>
          <w:rFonts w:ascii="Times New Roman" w:hAnsi="Times New Roman"/>
          <w:strike/>
          <w:sz w:val="24"/>
          <w:szCs w:val="24"/>
          <w:highlight w:val="none"/>
          <w:shd w:fill="auto" w:val="clear"/>
        </w:rPr>
      </w:pPr>
      <w:r>
        <w:rPr>
          <w:rFonts w:ascii="Times New Roman" w:hAnsi="Times New Roman"/>
          <w:strike/>
          <w:sz w:val="24"/>
          <w:szCs w:val="24"/>
          <w:shd w:fill="auto" w:val="clear"/>
        </w:rPr>
        <w:t>Os acordos, dissídios ou convenções coletivas indicado(s)no subitem acima não é (são) de utilização obrigatória pelos licitantes, mas, ao longo da execução contratual, sempre se exigirá o cumprimento dos acordos, dissídios ou convenções coletivas adotados por cada licitante/contratado, obedecidos os custos mínimos relevantes fixados pela Administração.</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Será desclassificada a </w:t>
      </w:r>
      <w:r>
        <w:rPr>
          <w:rFonts w:ascii="Times New Roman" w:hAnsi="Times New Roman"/>
          <w:color w:val="auto"/>
          <w:sz w:val="24"/>
          <w:szCs w:val="24"/>
        </w:rPr>
        <w:t>proposta</w:t>
      </w:r>
      <w:r>
        <w:rPr>
          <w:rFonts w:ascii="Times New Roman" w:hAnsi="Times New Roman"/>
          <w:sz w:val="24"/>
          <w:szCs w:val="24"/>
        </w:rPr>
        <w:t xml:space="preserve"> vencedora que: </w:t>
      </w:r>
    </w:p>
    <w:p>
      <w:pPr>
        <w:pStyle w:val="Nivel3"/>
        <w:numPr>
          <w:ilvl w:val="2"/>
          <w:numId w:val="277"/>
        </w:numPr>
        <w:spacing w:lineRule="auto" w:line="276" w:before="0" w:after="170"/>
        <w:ind w:hanging="0" w:left="0"/>
        <w:rPr>
          <w:rFonts w:ascii="Times New Roman" w:hAnsi="Times New Roman"/>
          <w:sz w:val="24"/>
          <w:szCs w:val="24"/>
        </w:rPr>
      </w:pPr>
      <w:r>
        <w:rPr>
          <w:rFonts w:ascii="Times New Roman" w:hAnsi="Times New Roman"/>
          <w:sz w:val="24"/>
          <w:szCs w:val="24"/>
        </w:rPr>
        <w:t>contiver vícios insanáveis;</w:t>
      </w:r>
    </w:p>
    <w:p>
      <w:pPr>
        <w:pStyle w:val="Nivel3"/>
        <w:numPr>
          <w:ilvl w:val="2"/>
          <w:numId w:val="278"/>
        </w:numPr>
        <w:spacing w:lineRule="auto" w:line="276" w:before="0" w:after="170"/>
        <w:ind w:hanging="0" w:left="0"/>
        <w:rPr>
          <w:rFonts w:ascii="Times New Roman" w:hAnsi="Times New Roman"/>
          <w:sz w:val="24"/>
          <w:szCs w:val="24"/>
        </w:rPr>
      </w:pPr>
      <w:r>
        <w:rPr>
          <w:rFonts w:ascii="Times New Roman" w:hAnsi="Times New Roman"/>
          <w:sz w:val="24"/>
          <w:szCs w:val="24"/>
        </w:rPr>
        <w:t>não obedecer às especificações técnicas contidas no Termo de Referência/Projeto Básico;</w:t>
      </w:r>
    </w:p>
    <w:p>
      <w:pPr>
        <w:pStyle w:val="Nivel3"/>
        <w:numPr>
          <w:ilvl w:val="2"/>
          <w:numId w:val="279"/>
        </w:numPr>
        <w:spacing w:lineRule="auto" w:line="276" w:before="0" w:after="170"/>
        <w:ind w:hanging="0" w:left="0"/>
        <w:rPr>
          <w:rFonts w:ascii="Times New Roman" w:hAnsi="Times New Roman"/>
          <w:sz w:val="24"/>
          <w:szCs w:val="24"/>
        </w:rPr>
      </w:pPr>
      <w:r>
        <w:rPr>
          <w:rFonts w:ascii="Times New Roman" w:hAnsi="Times New Roman"/>
          <w:sz w:val="24"/>
          <w:szCs w:val="24"/>
        </w:rPr>
        <w:t>apresentar preços inexequíveis ou permanecerem acima do preço máximo definido para a contratação;</w:t>
      </w:r>
    </w:p>
    <w:p>
      <w:pPr>
        <w:pStyle w:val="Nivel3"/>
        <w:numPr>
          <w:ilvl w:val="2"/>
          <w:numId w:val="280"/>
        </w:numPr>
        <w:spacing w:lineRule="auto" w:line="276" w:before="0" w:after="170"/>
        <w:ind w:hanging="0" w:left="0"/>
        <w:rPr>
          <w:rFonts w:ascii="Times New Roman" w:hAnsi="Times New Roman"/>
          <w:sz w:val="24"/>
          <w:szCs w:val="24"/>
        </w:rPr>
      </w:pPr>
      <w:r>
        <w:rPr>
          <w:rFonts w:ascii="Times New Roman" w:hAnsi="Times New Roman"/>
          <w:sz w:val="24"/>
          <w:szCs w:val="24"/>
        </w:rPr>
        <w:t>n</w:t>
      </w:r>
      <w:r>
        <w:rPr>
          <w:rFonts w:ascii="Times New Roman" w:hAnsi="Times New Roman"/>
          <w:sz w:val="24"/>
          <w:szCs w:val="24"/>
          <w:shd w:fill="auto" w:val="clear"/>
        </w:rPr>
        <w:t>ão tiver sua exequibilidade demonstrada, quando exigido pela Administração;</w:t>
      </w:r>
    </w:p>
    <w:p>
      <w:pPr>
        <w:pStyle w:val="Nivel3"/>
        <w:numPr>
          <w:ilvl w:val="2"/>
          <w:numId w:val="281"/>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não cumpra os critérios de aceitabilidade de preços definidos no Termo de Referência;</w:t>
      </w:r>
    </w:p>
    <w:p>
      <w:pPr>
        <w:pStyle w:val="Nivel3"/>
        <w:numPr>
          <w:ilvl w:val="2"/>
          <w:numId w:val="282"/>
        </w:numPr>
        <w:spacing w:lineRule="auto" w:line="276" w:before="0" w:after="170"/>
        <w:ind w:hanging="0" w:left="0"/>
        <w:rPr>
          <w:rFonts w:ascii="Times New Roman" w:hAnsi="Times New Roman"/>
          <w:sz w:val="24"/>
          <w:szCs w:val="24"/>
        </w:rPr>
      </w:pPr>
      <w:r>
        <w:rPr>
          <w:rFonts w:ascii="Times New Roman" w:hAnsi="Times New Roman"/>
          <w:sz w:val="24"/>
          <w:szCs w:val="24"/>
        </w:rPr>
        <w:t>apresentar desconformidade com quaisquer outras exigências deste Edital ou seus anexos, desde que insanável.</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No caso de bens e serviços em geral, é indício de inexequibilidade das propostas valores inferiores a 50% (</w:t>
      </w:r>
      <w:r>
        <w:rPr>
          <w:rFonts w:ascii="Times New Roman" w:hAnsi="Times New Roman"/>
          <w:color w:val="auto"/>
          <w:sz w:val="24"/>
          <w:szCs w:val="24"/>
        </w:rPr>
        <w:t>cinquenta</w:t>
      </w:r>
      <w:r>
        <w:rPr>
          <w:rFonts w:ascii="Times New Roman" w:hAnsi="Times New Roman"/>
          <w:sz w:val="24"/>
          <w:szCs w:val="24"/>
        </w:rPr>
        <w:t xml:space="preserve"> por cento) do valor orçado pela Administração.</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A inexequibilidade, na hipótese de que trata o item anterior, só será considerada após diligência do Pregoeiro/Agente de Contratação/Comissão, que comprove:</w:t>
      </w:r>
    </w:p>
    <w:p>
      <w:pPr>
        <w:pStyle w:val="Nivel3"/>
        <w:numPr>
          <w:ilvl w:val="2"/>
          <w:numId w:val="283"/>
        </w:numPr>
        <w:spacing w:lineRule="auto" w:line="276" w:before="0" w:after="170"/>
        <w:ind w:hanging="0" w:left="0"/>
        <w:rPr>
          <w:rFonts w:ascii="Times New Roman" w:hAnsi="Times New Roman"/>
          <w:sz w:val="24"/>
          <w:szCs w:val="24"/>
        </w:rPr>
      </w:pPr>
      <w:r>
        <w:rPr>
          <w:rFonts w:ascii="Times New Roman" w:hAnsi="Times New Roman"/>
          <w:sz w:val="24"/>
          <w:szCs w:val="24"/>
        </w:rPr>
        <w:t>que o custo do licitante ultrapassa o valor da proposta; e</w:t>
      </w:r>
    </w:p>
    <w:p>
      <w:pPr>
        <w:pStyle w:val="Nivel3"/>
        <w:numPr>
          <w:ilvl w:val="2"/>
          <w:numId w:val="284"/>
        </w:numPr>
        <w:spacing w:lineRule="auto" w:line="276" w:before="0" w:after="170"/>
        <w:ind w:hanging="0" w:left="0"/>
        <w:rPr>
          <w:rFonts w:ascii="Times New Roman" w:hAnsi="Times New Roman"/>
          <w:sz w:val="24"/>
          <w:szCs w:val="24"/>
        </w:rPr>
      </w:pPr>
      <w:r>
        <w:rPr>
          <w:rFonts w:ascii="Times New Roman" w:hAnsi="Times New Roman"/>
          <w:sz w:val="24"/>
          <w:szCs w:val="24"/>
        </w:rPr>
        <w:t>inexistirem custos de oportunidade capazes de justificar o vulto da oferta.</w:t>
      </w:r>
    </w:p>
    <w:p>
      <w:pPr>
        <w:pStyle w:val="Nvel2-Red"/>
        <w:numPr>
          <w:ilvl w:val="1"/>
          <w:numId w:val="1"/>
        </w:numPr>
        <w:spacing w:lineRule="auto" w:line="276" w:before="0" w:after="170"/>
        <w:ind w:hanging="0" w:left="0"/>
        <w:rPr>
          <w:rFonts w:ascii="Times New Roman" w:hAnsi="Times New Roman"/>
          <w:strike/>
          <w:sz w:val="24"/>
          <w:szCs w:val="24"/>
        </w:rPr>
      </w:pPr>
      <w:r>
        <w:rPr>
          <w:rFonts w:ascii="Times New Roman" w:hAnsi="Times New Roman"/>
          <w:strike/>
          <w:sz w:val="24"/>
          <w:szCs w:val="24"/>
        </w:rPr>
        <w:t>Em contratação de obras e serviços de engenharia, além das disposições acima, a análise de exequibilidade e sobrepreço considerará o seguinte:</w:t>
      </w:r>
    </w:p>
    <w:p>
      <w:pPr>
        <w:pStyle w:val="Nvel3-R"/>
        <w:numPr>
          <w:ilvl w:val="2"/>
          <w:numId w:val="285"/>
        </w:numPr>
        <w:spacing w:lineRule="auto" w:line="276" w:before="0" w:after="170"/>
        <w:ind w:hanging="0" w:left="0"/>
        <w:rPr>
          <w:rFonts w:ascii="Times New Roman" w:hAnsi="Times New Roman"/>
          <w:strike/>
          <w:sz w:val="24"/>
          <w:szCs w:val="24"/>
        </w:rPr>
      </w:pPr>
      <w:r>
        <w:rPr>
          <w:rFonts w:ascii="Times New Roman" w:hAnsi="Times New Roman"/>
          <w:strike/>
          <w:sz w:val="24"/>
          <w:szCs w:val="24"/>
        </w:rPr>
        <w:t>Nos regimes de execução por tarefa, empreitada por preço global ou empreitada integral, contratação semi-integrada ou contratação integrada, a caracterização do sobrepreço se dará pela superação do valor global estimado;</w:t>
      </w:r>
    </w:p>
    <w:p>
      <w:pPr>
        <w:pStyle w:val="Nvel3-R"/>
        <w:numPr>
          <w:ilvl w:val="2"/>
          <w:numId w:val="286"/>
        </w:numPr>
        <w:spacing w:lineRule="auto" w:line="276" w:before="0" w:after="170"/>
        <w:ind w:hanging="0" w:left="0"/>
        <w:rPr>
          <w:rFonts w:ascii="Times New Roman" w:hAnsi="Times New Roman"/>
          <w:strike/>
          <w:sz w:val="24"/>
          <w:szCs w:val="24"/>
        </w:rPr>
      </w:pPr>
      <w:r>
        <w:rPr>
          <w:rFonts w:ascii="Times New Roman" w:hAnsi="Times New Roman"/>
          <w:strike/>
          <w:sz w:val="24"/>
          <w:szCs w:val="24"/>
        </w:rPr>
        <w:t>No regime de empreitada por preço unitário, a caracterização do sobrepreço se dará pela superação do valor global estimado e pela superação de custo unitário tido como relevante, conforme planilha anexa ao edital;</w:t>
      </w:r>
    </w:p>
    <w:p>
      <w:pPr>
        <w:pStyle w:val="Nvel3-R"/>
        <w:numPr>
          <w:ilvl w:val="2"/>
          <w:numId w:val="287"/>
        </w:numPr>
        <w:spacing w:lineRule="auto" w:line="276" w:before="0" w:after="170"/>
        <w:ind w:hanging="0" w:left="0"/>
        <w:rPr>
          <w:rFonts w:ascii="Times New Roman" w:hAnsi="Times New Roman"/>
          <w:sz w:val="24"/>
          <w:szCs w:val="24"/>
        </w:rPr>
      </w:pPr>
      <w:r>
        <w:rPr>
          <w:rFonts w:ascii="Times New Roman" w:hAnsi="Times New Roman"/>
          <w:strike/>
          <w:sz w:val="24"/>
          <w:szCs w:val="24"/>
        </w:rPr>
        <w:t>No caso de obras e serviços de engenharia, serão consideradas inexequíveis as propostas cujos valores forem inferiores a 75% (setenta e cinco por cento) do valor orçado pela Administração, independentemente do regime de execução</w:t>
      </w:r>
      <w:r>
        <w:rPr>
          <w:rFonts w:ascii="Times New Roman" w:hAnsi="Times New Roman"/>
          <w:sz w:val="24"/>
          <w:szCs w:val="24"/>
        </w:rPr>
        <w:t>.</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Se houver indícios de inexequibilidade da proposta de preço, ou em caso da necessidade de esclarecimentos complementares, poderão ser efetuadas diligências, para que o licitante comprove a exequibilidade da proposta.</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Nivel3"/>
        <w:numPr>
          <w:ilvl w:val="2"/>
          <w:numId w:val="288"/>
        </w:numPr>
        <w:spacing w:lineRule="auto" w:line="276" w:before="0" w:after="170"/>
        <w:ind w:hanging="0" w:left="0"/>
        <w:rPr>
          <w:rFonts w:ascii="Times New Roman" w:hAnsi="Times New Roman"/>
          <w:sz w:val="24"/>
          <w:szCs w:val="24"/>
        </w:rPr>
      </w:pPr>
      <w:bookmarkStart w:id="52" w:name="_Hlk126568356"/>
      <w:r>
        <w:rPr>
          <w:rFonts w:ascii="Times New Roman" w:hAnsi="Times New Roman"/>
          <w:sz w:val="24"/>
          <w:szCs w:val="24"/>
        </w:rPr>
        <w:t>Em se tratando de obras e serviços de engenharia, o licitante vencedor será convocado a apresentar à Administração, por meio eletrônico, as planilhas com indicação dos quantitativos e dos custos unitários</w:t>
      </w:r>
      <w:bookmarkEnd w:id="52"/>
      <w:r>
        <w:rPr>
          <w:rFonts w:ascii="Times New Roman" w:hAnsi="Times New Roman"/>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Nivel3"/>
        <w:numPr>
          <w:ilvl w:val="2"/>
          <w:numId w:val="289"/>
        </w:numPr>
        <w:spacing w:lineRule="auto" w:line="276" w:before="0" w:after="170"/>
        <w:ind w:hanging="0" w:left="0"/>
        <w:rPr>
          <w:rFonts w:ascii="Times New Roman" w:hAnsi="Times New Roman"/>
          <w:sz w:val="24"/>
          <w:szCs w:val="24"/>
        </w:rPr>
      </w:pPr>
      <w:r>
        <w:rPr>
          <w:rFonts w:ascii="Times New Roman" w:hAnsi="Times New Roman"/>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pPr>
        <w:pStyle w:val="Nivel3"/>
        <w:numPr>
          <w:ilvl w:val="2"/>
          <w:numId w:val="290"/>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Caso a produtividade seja diferente daquela utilizada pela Administração como referência, ou não estiver contida na faixa referencial de produtividade, mas admitida pelo ato convocatório, o licitante deverá apresentar a respectiva comprovação de exequibilidade; </w:t>
      </w:r>
    </w:p>
    <w:p>
      <w:pPr>
        <w:pStyle w:val="Nivel3"/>
        <w:numPr>
          <w:ilvl w:val="2"/>
          <w:numId w:val="291"/>
        </w:numPr>
        <w:spacing w:lineRule="auto" w:line="276" w:before="0" w:after="170"/>
        <w:ind w:hanging="0" w:left="0"/>
        <w:rPr>
          <w:rFonts w:ascii="Times New Roman" w:hAnsi="Times New Roman"/>
          <w:sz w:val="24"/>
          <w:szCs w:val="24"/>
        </w:rPr>
      </w:pPr>
      <w:r>
        <w:rPr>
          <w:rFonts w:ascii="Times New Roman" w:hAnsi="Times New Roman"/>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pPr>
        <w:pStyle w:val="Nivel3"/>
        <w:numPr>
          <w:ilvl w:val="2"/>
          <w:numId w:val="292"/>
        </w:numPr>
        <w:spacing w:lineRule="auto" w:line="276" w:before="0" w:after="170"/>
        <w:ind w:hanging="0" w:left="0"/>
        <w:rPr>
          <w:rFonts w:ascii="Times New Roman" w:hAnsi="Times New Roman"/>
          <w:sz w:val="24"/>
          <w:szCs w:val="24"/>
        </w:rPr>
      </w:pPr>
      <w:r>
        <w:rPr>
          <w:rFonts w:ascii="Times New Roman" w:hAnsi="Times New Roman"/>
          <w:sz w:val="24"/>
          <w:szCs w:val="24"/>
        </w:rPr>
        <w:t>Para efeito do subitem anterior, admite-se a adequação técnica da metodologia empregada pela contratada, visando assegurar a execução do objeto, desde que mantidas as condições para a justa remuneração do serviço.</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pPr>
        <w:pStyle w:val="Nivel3"/>
        <w:numPr>
          <w:ilvl w:val="2"/>
          <w:numId w:val="293"/>
        </w:numPr>
        <w:spacing w:lineRule="auto" w:line="276" w:before="0" w:after="170"/>
        <w:ind w:hanging="0" w:left="0"/>
        <w:rPr>
          <w:rFonts w:ascii="Times New Roman" w:hAnsi="Times New Roman"/>
          <w:sz w:val="24"/>
          <w:szCs w:val="24"/>
        </w:rPr>
      </w:pPr>
      <w:r>
        <w:rPr>
          <w:rFonts w:ascii="Times New Roman" w:hAnsi="Times New Roman"/>
          <w:sz w:val="24"/>
          <w:szCs w:val="24"/>
        </w:rPr>
        <w:t>O ajuste de que trata este dispositivo se limita a sanar erros ou falhas que não alterem a substância das propostas;</w:t>
      </w:r>
    </w:p>
    <w:p>
      <w:pPr>
        <w:pStyle w:val="Nivel3"/>
        <w:numPr>
          <w:ilvl w:val="2"/>
          <w:numId w:val="294"/>
        </w:numPr>
        <w:spacing w:lineRule="auto" w:line="276" w:before="0" w:after="170"/>
        <w:ind w:hanging="0" w:left="0"/>
        <w:rPr>
          <w:rFonts w:ascii="Times New Roman" w:hAnsi="Times New Roman"/>
          <w:sz w:val="24"/>
          <w:szCs w:val="24"/>
        </w:rPr>
      </w:pPr>
      <w:r>
        <w:rPr>
          <w:rFonts w:ascii="Times New Roman" w:hAnsi="Times New Roman"/>
          <w:sz w:val="24"/>
          <w:szCs w:val="24"/>
        </w:rPr>
        <w:t>Considera-se erro no preenchimento da planilha passível de correção a indicação de recolhimento de impostos e contribuições na forma do Simples Nacional, quando não cabível esse regime.</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spacing w:lineRule="auto" w:line="276" w:before="0" w:after="170"/>
        <w:ind w:hanging="0" w:left="0"/>
        <w:rPr>
          <w:rFonts w:ascii="Times New Roman" w:hAnsi="Times New Roman"/>
          <w:sz w:val="24"/>
          <w:szCs w:val="24"/>
        </w:rPr>
      </w:pPr>
      <w:bookmarkStart w:id="53" w:name="_Hlk190267203"/>
      <w:r>
        <w:rPr>
          <w:rFonts w:ascii="Times New Roman" w:hAnsi="Times New Roman"/>
          <w:color w:val="auto"/>
          <w:sz w:val="24"/>
          <w:szCs w:val="24"/>
        </w:rPr>
        <w:t>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bookmarkEnd w:id="53"/>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Caso o Termo de Referência/Projeto Básico exija a apresentação de amostra, o licitante classificado em primeiro lugar deverá apresentá-la, conforme disciplinado no Termo de Referência, sob pena de não aceitação da proposta.</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Por meio de mensagem no sistema, será divulgado o local e horário de realização do procedimento para a avaliação das amostras, cuja presença será facultada a todos os interessados, incluindo os demais licitantes.</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Os resultados das avaliações serão divulgados por meio de mensagem no sistema.</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No caso de não haver entrega da amostra ou ocorrer atraso na entrega, sem justificativa aceita pelo Pregoeiro/Agente de Contratação/Comissão, ou havendo entrega de amostra fora das especificações previstas neste Edital, a proposta do licitante será recusada.</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Se a(s) amostra(s) apresentada(s) pelo primeiro classificado não for(em) aceita(s), o Pregoeiro/Agente de Contratação/Comissão analisará a aceitabilidade da proposta ou lance ofertado pelo segundo classificado. Seguir-se-á com a verificação da(s) amostra(s) e, assim, sucessivamente, até a v</w:t>
      </w:r>
      <w:r>
        <w:rPr>
          <w:rFonts w:ascii="Times New Roman" w:hAnsi="Times New Roman"/>
          <w:color w:val="111111"/>
          <w:sz w:val="24"/>
          <w:szCs w:val="24"/>
        </w:rPr>
        <w:t>erificação de uma que atenda às especificações constantes no Termo de Referência.</w:t>
      </w:r>
    </w:p>
    <w:p>
      <w:pPr>
        <w:pStyle w:val="Nivel2"/>
        <w:numPr>
          <w:ilvl w:val="1"/>
          <w:numId w:val="1"/>
        </w:numPr>
        <w:spacing w:lineRule="auto" w:line="276" w:before="0" w:after="170"/>
        <w:ind w:hanging="0" w:left="0"/>
        <w:rPr>
          <w:rFonts w:ascii="Times New Roman" w:hAnsi="Times New Roman"/>
          <w:strike/>
          <w:color w:val="111111"/>
          <w:sz w:val="24"/>
          <w:szCs w:val="24"/>
          <w:highlight w:val="none"/>
          <w:shd w:fill="auto" w:val="clear"/>
        </w:rPr>
      </w:pPr>
      <w:r>
        <w:rPr>
          <w:rFonts w:ascii="Times New Roman" w:hAnsi="Times New Roman"/>
          <w:strike/>
          <w:color w:val="111111"/>
          <w:sz w:val="24"/>
          <w:szCs w:val="24"/>
          <w:shd w:fill="auto" w:val="clear"/>
        </w:rPr>
        <w:t>No caso de serviços com dedicação exclusiva de mão-de-obra, o licitante deverá entregar junto com sua proposta de preços, os seguintes documentos:</w:t>
      </w:r>
    </w:p>
    <w:p>
      <w:pPr>
        <w:pStyle w:val="Nivel3"/>
        <w:numPr>
          <w:ilvl w:val="2"/>
          <w:numId w:val="295"/>
        </w:numPr>
        <w:spacing w:lineRule="auto" w:line="276" w:before="0" w:after="170"/>
        <w:ind w:hanging="0" w:left="0"/>
        <w:rPr>
          <w:rFonts w:ascii="Times New Roman" w:hAnsi="Times New Roman"/>
          <w:strike/>
          <w:color w:val="111111"/>
          <w:sz w:val="24"/>
          <w:szCs w:val="24"/>
          <w:highlight w:val="none"/>
          <w:shd w:fill="auto" w:val="clear"/>
        </w:rPr>
      </w:pPr>
      <w:r>
        <w:rPr>
          <w:rFonts w:ascii="Times New Roman" w:hAnsi="Times New Roman"/>
          <w:strike/>
          <w:color w:val="111111"/>
          <w:sz w:val="24"/>
          <w:szCs w:val="24"/>
          <w:shd w:fill="auto" w:val="clear"/>
        </w:rPr>
        <w:t>declaração informando o enquadramento sindical da empresa, a atividade econômica preponderante e a justificativa para adoção do instrumento coletivo do trabalho em que se baseia sua proposta;</w:t>
      </w:r>
    </w:p>
    <w:p>
      <w:pPr>
        <w:pStyle w:val="Nivel3"/>
        <w:numPr>
          <w:ilvl w:val="2"/>
          <w:numId w:val="296"/>
        </w:numPr>
        <w:spacing w:lineRule="auto" w:line="276" w:before="0" w:after="170"/>
        <w:ind w:hanging="0" w:left="0"/>
        <w:rPr>
          <w:rFonts w:ascii="Times New Roman" w:hAnsi="Times New Roman"/>
          <w:strike/>
          <w:color w:val="111111"/>
          <w:sz w:val="24"/>
          <w:szCs w:val="24"/>
          <w:highlight w:val="none"/>
          <w:shd w:fill="auto" w:val="clear"/>
        </w:rPr>
      </w:pPr>
      <w:r>
        <w:rPr>
          <w:rFonts w:ascii="Times New Roman" w:hAnsi="Times New Roman"/>
          <w:strike/>
          <w:color w:val="111111"/>
          <w:sz w:val="24"/>
          <w:szCs w:val="24"/>
          <w:shd w:fill="auto" w:val="clear"/>
        </w:rPr>
        <w:t xml:space="preserve">cópia da carta ou registro sindical do sindicato a qual ele declara ser enquadrado, em razão do regramento do enquadramento sindical previsto na CLT ou por força de decisão judicial; </w:t>
      </w:r>
    </w:p>
    <w:p>
      <w:pPr>
        <w:pStyle w:val="Nivel3"/>
        <w:numPr>
          <w:ilvl w:val="2"/>
          <w:numId w:val="297"/>
        </w:numPr>
        <w:spacing w:lineRule="auto" w:line="276" w:before="0" w:after="170"/>
        <w:ind w:hanging="0" w:left="0"/>
        <w:rPr>
          <w:rFonts w:ascii="Times New Roman" w:hAnsi="Times New Roman"/>
          <w:strike/>
          <w:color w:val="111111"/>
          <w:sz w:val="24"/>
          <w:szCs w:val="24"/>
          <w:highlight w:val="none"/>
          <w:shd w:fill="auto" w:val="clear"/>
        </w:rPr>
      </w:pPr>
      <w:r>
        <w:rPr>
          <w:rFonts w:ascii="Times New Roman" w:hAnsi="Times New Roman"/>
          <w:strike/>
          <w:color w:val="111111"/>
          <w:sz w:val="24"/>
          <w:szCs w:val="24"/>
          <w:shd w:fill="auto" w:val="clear"/>
        </w:rPr>
        <w:t>cópia do Acordo, Convenção Coletiva de Trabalho ou Dissídio Coletivo utilizado pelo licitante para a elaboração da planilha de custos e formação de preços que embasam o valor global ofertado; e</w:t>
      </w:r>
    </w:p>
    <w:p>
      <w:pPr>
        <w:pStyle w:val="Nivel3"/>
        <w:numPr>
          <w:ilvl w:val="2"/>
          <w:numId w:val="298"/>
        </w:numPr>
        <w:spacing w:lineRule="auto" w:line="276" w:before="0" w:after="170"/>
        <w:ind w:hanging="0" w:left="0"/>
        <w:rPr>
          <w:rFonts w:ascii="Times New Roman" w:hAnsi="Times New Roman"/>
          <w:strike/>
          <w:color w:val="111111"/>
          <w:sz w:val="24"/>
          <w:szCs w:val="24"/>
          <w:highlight w:val="none"/>
          <w:shd w:fill="auto" w:val="clear"/>
        </w:rPr>
      </w:pPr>
      <w:r>
        <w:rPr>
          <w:rFonts w:ascii="Times New Roman" w:hAnsi="Times New Roman"/>
          <w:strike/>
          <w:color w:val="111111"/>
          <w:sz w:val="24"/>
          <w:szCs w:val="24"/>
          <w:shd w:fill="auto" w:val="clear"/>
        </w:rPr>
        <w:t>declaração de que se responsabiliza nas situações de ocorrência de erro no enquadramento sindical, ou fraude pela utilização de instrumento coletivo incompatível com o enquadramento sindical declarado ou no qual a empresa não tenha sido representada por órgão de classe de sua categoria, que daí tenha resultado vantagem indevida na fase de julgamento das propostas, sujeitando a contratada às sanções previstas no art. 156, incisos III e IV, da Lei nº 14.133, de 2021;</w:t>
      </w:r>
    </w:p>
    <w:p>
      <w:pPr>
        <w:pStyle w:val="Nivel2"/>
        <w:numPr>
          <w:ilvl w:val="1"/>
          <w:numId w:val="1"/>
        </w:numPr>
        <w:spacing w:lineRule="auto" w:line="276" w:before="0" w:after="170"/>
        <w:ind w:hanging="0" w:left="0"/>
        <w:rPr>
          <w:rFonts w:ascii="Times New Roman" w:hAnsi="Times New Roman"/>
          <w:strike/>
          <w:color w:val="111111"/>
          <w:sz w:val="24"/>
          <w:szCs w:val="24"/>
          <w:highlight w:val="none"/>
          <w:shd w:fill="auto" w:val="clear"/>
        </w:rPr>
      </w:pPr>
      <w:r>
        <w:rPr>
          <w:rFonts w:ascii="Times New Roman" w:hAnsi="Times New Roman"/>
          <w:strike/>
          <w:color w:val="111111"/>
          <w:sz w:val="24"/>
          <w:szCs w:val="24"/>
          <w:shd w:fill="auto" w:val="clear"/>
        </w:rPr>
        <w:t xml:space="preserve"> </w:t>
      </w:r>
      <w:r>
        <w:rPr>
          <w:rFonts w:ascii="Times New Roman" w:hAnsi="Times New Roman"/>
          <w:strike/>
          <w:color w:val="111111"/>
          <w:sz w:val="24"/>
          <w:szCs w:val="24"/>
          <w:shd w:fill="auto" w:val="clear"/>
        </w:rPr>
        <w:t>Na hipótese dos postos de trabalho licitados se distribuírem por território correspondente a mais de uma base sindical da categoria profissional, deverão ser informadas cada uma das normas coletivas utilizadas para o cálculo do custo individual dos postos, a partir da base territorial de cada sindicato.</w:t>
      </w:r>
    </w:p>
    <w:p>
      <w:pPr>
        <w:pStyle w:val="Nivel2"/>
        <w:numPr>
          <w:ilvl w:val="1"/>
          <w:numId w:val="1"/>
        </w:numPr>
        <w:spacing w:lineRule="auto" w:line="276" w:before="0" w:after="170"/>
        <w:ind w:hanging="0" w:left="0"/>
        <w:rPr>
          <w:rFonts w:ascii="Times New Roman" w:hAnsi="Times New Roman"/>
          <w:strike/>
          <w:color w:val="111111"/>
          <w:sz w:val="24"/>
          <w:szCs w:val="24"/>
          <w:highlight w:val="none"/>
          <w:shd w:fill="auto" w:val="clear"/>
        </w:rPr>
      </w:pPr>
      <w:r>
        <w:rPr>
          <w:rFonts w:ascii="Times New Roman" w:hAnsi="Times New Roman"/>
          <w:strike/>
          <w:color w:val="111111"/>
          <w:sz w:val="24"/>
          <w:szCs w:val="24"/>
          <w:shd w:fill="auto" w:val="clear"/>
        </w:rPr>
        <w:t>O pregoeiro/agente de contratação/comissão de contratação realizará a verificação da observância da proposta classificada provisoriamente em primeiro lugar quanto aos custos unitários mínimos relevantes estabelecidos pela Administração, além dos demais aspectos ligados à conformidade da proposta ao objeto licitado e à compatibilidade do preço.</w:t>
      </w:r>
    </w:p>
    <w:p>
      <w:pPr>
        <w:pStyle w:val="Nivel2"/>
        <w:numPr>
          <w:ilvl w:val="1"/>
          <w:numId w:val="1"/>
        </w:numPr>
        <w:spacing w:lineRule="auto" w:line="276" w:before="0" w:after="170"/>
        <w:ind w:hanging="0" w:left="0"/>
        <w:rPr>
          <w:rFonts w:ascii="Times New Roman" w:hAnsi="Times New Roman"/>
          <w:strike/>
          <w:color w:val="111111"/>
          <w:sz w:val="24"/>
          <w:szCs w:val="24"/>
          <w:highlight w:val="none"/>
          <w:shd w:fill="auto" w:val="clear"/>
        </w:rPr>
      </w:pPr>
      <w:r>
        <w:rPr>
          <w:rFonts w:ascii="Times New Roman" w:hAnsi="Times New Roman"/>
          <w:strike/>
          <w:color w:val="111111"/>
          <w:sz w:val="24"/>
          <w:szCs w:val="24"/>
          <w:shd w:fill="auto" w:val="clear"/>
        </w:rPr>
        <w:t>O pregoeiro/agente de contratação/comissão de contratação concederá o prazo de no mínimo duas horas para readequação da proposta quando esta não observar os custos unitários mínimos relevantes, sob pena de desclassificação, na forma da Instrução Normativa nº 73, de 30 de setembro de 2022.</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trike/>
          <w:color w:val="111111"/>
          <w:sz w:val="24"/>
          <w:szCs w:val="24"/>
          <w:shd w:fill="auto" w:val="clear"/>
        </w:rPr>
        <w:t>O pregoeiro/agente de contratação/comissão de contratação deve verificar se as previsões do Acordo, Convenção Coletiva de Trabalho ou Dissídio Coletivo indicados pela Administração estão sendo contempladas na Planilha de Custos e Formação de Preços, em especial, quando o Acordo,</w:t>
      </w:r>
      <w:r>
        <w:rPr>
          <w:rFonts w:ascii="Times New Roman" w:hAnsi="Times New Roman"/>
          <w:color w:val="FF0000"/>
          <w:sz w:val="24"/>
          <w:szCs w:val="24"/>
          <w:highlight w:val="magenta"/>
        </w:rPr>
        <w:t xml:space="preserve"> </w:t>
      </w:r>
      <w:r>
        <w:rPr>
          <w:rFonts w:ascii="Times New Roman" w:hAnsi="Times New Roman"/>
          <w:strike/>
          <w:color w:val="111111"/>
          <w:sz w:val="24"/>
          <w:szCs w:val="24"/>
          <w:shd w:fill="auto" w:val="clear"/>
        </w:rPr>
        <w:t>Convenção Coletiva de Trabalho ou Dissídio Coletivo utilizado pelo licitante for diferente da norma coletiva paradigma utilizada pela Administração.</w:t>
      </w:r>
    </w:p>
    <w:p>
      <w:pPr>
        <w:pStyle w:val="Nivel2"/>
        <w:numPr>
          <w:ilvl w:val="1"/>
          <w:numId w:val="1"/>
        </w:numPr>
        <w:spacing w:lineRule="auto" w:line="276" w:before="0" w:after="170"/>
        <w:ind w:hanging="0" w:left="0"/>
        <w:rPr>
          <w:rFonts w:ascii="Times New Roman" w:hAnsi="Times New Roman"/>
          <w:strike/>
          <w:color w:val="111111"/>
          <w:sz w:val="24"/>
          <w:szCs w:val="24"/>
          <w:highlight w:val="none"/>
          <w:shd w:fill="auto" w:val="clear"/>
        </w:rPr>
      </w:pPr>
      <w:r>
        <w:rPr>
          <w:rFonts w:ascii="Times New Roman" w:hAnsi="Times New Roman"/>
          <w:strike/>
          <w:color w:val="111111"/>
          <w:sz w:val="24"/>
          <w:szCs w:val="24"/>
          <w:shd w:fill="auto" w:val="clear"/>
        </w:rPr>
        <w:t>Deverão prevalecer os valores que forem mais benéficos ao trabalhador, na hipótese de que o Acordo, Convenção Coletiva de Trabalho ou Dissídio Coletivo indicado pelo licitante estabelecerem valores de remuneração, incluindo salário base e adicionais, de auxílio-alimentação e de benefícios superiores aos do Acordo, Convenção Coletiva de Trabalho ou Dissídio Coletivo utilizado como paradigma.</w:t>
      </w:r>
    </w:p>
    <w:p>
      <w:pPr>
        <w:pStyle w:val="Nivel01"/>
        <w:numPr>
          <w:ilvl w:val="0"/>
          <w:numId w:val="1"/>
        </w:numPr>
        <w:spacing w:lineRule="auto" w:line="276" w:before="0" w:after="170"/>
        <w:ind w:hanging="0" w:left="0"/>
        <w:rPr>
          <w:rFonts w:ascii="Times New Roman" w:hAnsi="Times New Roman"/>
          <w:sz w:val="24"/>
          <w:szCs w:val="24"/>
        </w:rPr>
      </w:pPr>
      <w:bookmarkStart w:id="54" w:name="_Toc215145274"/>
      <w:bookmarkStart w:id="55" w:name="_Toc135469202"/>
      <w:r>
        <w:rPr>
          <w:rFonts w:ascii="Times New Roman" w:hAnsi="Times New Roman"/>
          <w:sz w:val="24"/>
          <w:szCs w:val="24"/>
        </w:rPr>
        <w:t>DA FASE DE HABILITAÇÃO</w:t>
      </w:r>
      <w:bookmarkEnd w:id="54"/>
      <w:bookmarkEnd w:id="55"/>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Os documentos previstos no Termo de Referência, necessários e suficientes para demonstrar a capacidade do licitante de realizar o objeto da licitação, serão exigidos para fins de habilitação, nos termos dos arts. 62 a 70 da Lei nº 14.133, de 2021.</w:t>
      </w:r>
    </w:p>
    <w:p>
      <w:pPr>
        <w:pStyle w:val="Nivel3"/>
        <w:numPr>
          <w:ilvl w:val="2"/>
          <w:numId w:val="299"/>
        </w:numPr>
        <w:spacing w:lineRule="auto" w:line="276" w:before="0" w:after="170"/>
        <w:ind w:hanging="0" w:left="0"/>
        <w:rPr>
          <w:rFonts w:ascii="Times New Roman" w:hAnsi="Times New Roman"/>
          <w:sz w:val="24"/>
          <w:szCs w:val="24"/>
        </w:rPr>
      </w:pPr>
      <w:bookmarkStart w:id="56" w:name="_Ref114663777"/>
      <w:r>
        <w:rPr>
          <w:rFonts w:ascii="Times New Roman" w:hAnsi="Times New Roman"/>
          <w:sz w:val="24"/>
          <w:szCs w:val="24"/>
        </w:rPr>
        <w:t xml:space="preserve">A documentação exigida para fins de habilitação jurídica, fiscal, social e trabalhista e econômico-ﬁnanceira, </w:t>
      </w:r>
      <w:r>
        <w:rPr>
          <w:rFonts w:ascii="Times New Roman" w:hAnsi="Times New Roman"/>
          <w:color w:val="auto"/>
          <w:sz w:val="24"/>
          <w:szCs w:val="24"/>
        </w:rPr>
        <w:t xml:space="preserve">poderá </w:t>
      </w:r>
      <w:r>
        <w:rPr>
          <w:rFonts w:ascii="Times New Roman" w:hAnsi="Times New Roman"/>
          <w:sz w:val="24"/>
          <w:szCs w:val="24"/>
        </w:rPr>
        <w:t>ser substituída pelo registro cadastral no Sicaf.</w:t>
      </w:r>
      <w:bookmarkEnd w:id="56"/>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color w:val="auto"/>
          <w:sz w:val="24"/>
          <w:szCs w:val="24"/>
        </w:rPr>
        <w:t xml:space="preserve">Quando </w:t>
      </w:r>
      <w:r>
        <w:rPr>
          <w:rFonts w:ascii="Times New Roman" w:hAnsi="Times New Roman"/>
          <w:sz w:val="24"/>
          <w:szCs w:val="24"/>
        </w:rPr>
        <w:t>permitida</w:t>
      </w:r>
      <w:r>
        <w:rPr>
          <w:rFonts w:ascii="Times New Roman" w:hAnsi="Times New Roman"/>
          <w:color w:val="auto"/>
          <w:sz w:val="24"/>
          <w:szCs w:val="24"/>
        </w:rPr>
        <w:t xml:space="preserve"> a </w:t>
      </w:r>
      <w:r>
        <w:rPr>
          <w:rFonts w:ascii="Times New Roman" w:hAnsi="Times New Roman"/>
          <w:sz w:val="24"/>
          <w:szCs w:val="24"/>
        </w:rPr>
        <w:t>participação de empresas estrangeiras que não funcionem no País, as exigências de habilitação serão atendidas mediante documentos equivalentes, inicialmente apresentados em tradução livre.</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ivel3"/>
        <w:numPr>
          <w:ilvl w:val="2"/>
          <w:numId w:val="300"/>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Se o consórcio não for formado integralmente por microempresas ou empresas de pequeno porte e o Termo de Referência exigir requisitos de habilitação econômico-financeira, haverá um acréscimo de </w:t>
      </w:r>
      <w:r>
        <w:rPr>
          <w:rFonts w:ascii="Times New Roman" w:hAnsi="Times New Roman"/>
          <w:color w:val="2A6099"/>
          <w:sz w:val="24"/>
          <w:szCs w:val="24"/>
        </w:rPr>
        <w:t xml:space="preserve">10% </w:t>
      </w:r>
      <w:r>
        <w:rPr>
          <w:rFonts w:ascii="Times New Roman" w:hAnsi="Times New Roman"/>
          <w:color w:val="auto"/>
          <w:sz w:val="24"/>
          <w:szCs w:val="24"/>
        </w:rPr>
        <w:t>para o consórcio em relação ao valor exigido para os licitantes individuais.</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Os documentos exigidos para fins de habilitação poderão ser apresentados em original, por cópia </w:t>
      </w:r>
      <w:r>
        <w:rPr>
          <w:rFonts w:ascii="Times New Roman" w:hAnsi="Times New Roman"/>
          <w:strike/>
          <w:sz w:val="24"/>
          <w:szCs w:val="24"/>
        </w:rPr>
        <w:t xml:space="preserve">ou por </w:t>
      </w:r>
      <w:r>
        <w:rPr>
          <w:rFonts w:ascii="Times New Roman" w:hAnsi="Times New Roman"/>
          <w:strike/>
          <w:color w:val="FF0000"/>
          <w:sz w:val="24"/>
          <w:szCs w:val="24"/>
        </w:rPr>
        <w:t>[INDICAR QUALQUER OUTRO MEIO EXPRESSAMENTE ADMITIDO PELA ADMINISTRAÇÃO]</w:t>
      </w:r>
      <w:r>
        <w:rPr>
          <w:rFonts w:ascii="Times New Roman" w:hAnsi="Times New Roman"/>
          <w:strike/>
          <w:sz w:val="24"/>
          <w:szCs w:val="24"/>
        </w:rPr>
        <w:t>.</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Os documentos exigidos para fins de habilitação poderão ser substituídos por registro cadastral emitido por órgão ou entidade pública, desde que o registro tenha sido feito em obediência ao disposto na Lei nº 14.133, de 2021.</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Será verificado se o licitante apresentou declaração de que atende aos requisitos de habilitação, e o declarante responderá pela veracidade das informações prestadas, na forma da lei.</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pPr>
        <w:pStyle w:val="Nivel2"/>
        <w:numPr>
          <w:ilvl w:val="1"/>
          <w:numId w:val="1"/>
        </w:numPr>
        <w:spacing w:lineRule="auto" w:line="276" w:before="0" w:after="170"/>
        <w:ind w:hanging="0" w:left="0"/>
        <w:rPr>
          <w:color w:val="000000"/>
        </w:rPr>
      </w:pPr>
      <w:r>
        <w:rPr>
          <w:rFonts w:ascii="Times New Roman" w:hAnsi="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vel2-Red"/>
        <w:numPr>
          <w:ilvl w:val="1"/>
          <w:numId w:val="1"/>
        </w:numPr>
        <w:spacing w:lineRule="auto" w:line="276" w:before="0" w:after="170"/>
        <w:ind w:hanging="0" w:left="0"/>
        <w:rPr>
          <w:rFonts w:ascii="Times New Roman" w:hAnsi="Times New Roman"/>
          <w:strike/>
          <w:color w:val="000000"/>
          <w:sz w:val="24"/>
          <w:szCs w:val="24"/>
        </w:rPr>
      </w:pPr>
      <w:r>
        <w:rPr>
          <w:rFonts w:ascii="Times New Roman" w:hAnsi="Times New Roman"/>
          <w:strike/>
          <w:color w:val="000000"/>
          <w:sz w:val="24"/>
          <w:szCs w:val="24"/>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pPr>
        <w:pStyle w:val="Nvel3-R"/>
        <w:numPr>
          <w:ilvl w:val="2"/>
          <w:numId w:val="301"/>
        </w:numPr>
        <w:spacing w:lineRule="auto" w:line="276" w:before="0" w:after="170"/>
        <w:ind w:hanging="0" w:left="0"/>
        <w:rPr>
          <w:rFonts w:ascii="Times New Roman" w:hAnsi="Times New Roman"/>
          <w:strike/>
          <w:color w:val="000000"/>
          <w:sz w:val="24"/>
          <w:szCs w:val="24"/>
        </w:rPr>
      </w:pPr>
      <w:r>
        <w:rPr>
          <w:rFonts w:ascii="Times New Roman" w:hAnsi="Times New Roman"/>
          <w:strike/>
          <w:color w:val="000000"/>
          <w:sz w:val="24"/>
          <w:szCs w:val="24"/>
        </w:rPr>
        <w:t>O licitante que optar por realizar vistoria prévia terá disponibilizado pela Administração data e horário exclusivos, a ser agendado [INDICAR FORMA DE AGENDAMENTO], de modo que seu agendamento não coincida com o agendamento de outros licitantes.</w:t>
      </w:r>
    </w:p>
    <w:p>
      <w:pPr>
        <w:pStyle w:val="Nvel3-R"/>
        <w:numPr>
          <w:ilvl w:val="2"/>
          <w:numId w:val="302"/>
        </w:numPr>
        <w:spacing w:lineRule="auto" w:line="276" w:before="0" w:after="170"/>
        <w:ind w:hanging="0" w:left="0"/>
        <w:rPr>
          <w:rFonts w:ascii="Times New Roman" w:hAnsi="Times New Roman"/>
          <w:strike/>
          <w:color w:val="000000"/>
          <w:sz w:val="24"/>
          <w:szCs w:val="24"/>
        </w:rPr>
      </w:pPr>
      <w:r>
        <w:rPr>
          <w:rFonts w:ascii="Times New Roman" w:hAnsi="Times New Roman"/>
          <w:strike/>
          <w:color w:val="000000"/>
          <w:sz w:val="24"/>
          <w:szCs w:val="24"/>
        </w:rPr>
        <w:t>Caso o licitante opte por não realizar vistoria, poderá substituir a declaração exigida no presente item por declaração formal assinada pelo seu responsável técnico acerca do conhecimento pleno das condições e peculiaridades da contratação.</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color w:val="000000"/>
          <w:sz w:val="24"/>
          <w:szCs w:val="24"/>
        </w:rPr>
        <w:t>A habilitação será verificada por meio do Sicaf, nos docum</w:t>
      </w:r>
      <w:r>
        <w:rPr>
          <w:rFonts w:ascii="Times New Roman" w:hAnsi="Times New Roman"/>
          <w:sz w:val="24"/>
          <w:szCs w:val="24"/>
        </w:rPr>
        <w:t>entos por ele abrangidos.</w:t>
      </w:r>
    </w:p>
    <w:p>
      <w:pPr>
        <w:pStyle w:val="Nivel3"/>
        <w:numPr>
          <w:ilvl w:val="2"/>
          <w:numId w:val="303"/>
        </w:numPr>
        <w:spacing w:lineRule="auto" w:line="276" w:before="0" w:after="170"/>
        <w:ind w:hanging="0" w:left="0"/>
        <w:rPr>
          <w:rFonts w:ascii="Times New Roman" w:hAnsi="Times New Roman"/>
          <w:sz w:val="24"/>
          <w:szCs w:val="24"/>
        </w:rPr>
      </w:pPr>
      <w:r>
        <w:rPr>
          <w:rFonts w:ascii="Times New Roman" w:hAnsi="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pPr>
        <w:pStyle w:val="Nivel3"/>
        <w:numPr>
          <w:ilvl w:val="2"/>
          <w:numId w:val="304"/>
        </w:numPr>
        <w:spacing w:lineRule="auto" w:line="276" w:before="0" w:after="170"/>
        <w:ind w:hanging="0" w:left="0"/>
        <w:rPr>
          <w:rFonts w:ascii="Times New Roman" w:hAnsi="Times New Roman"/>
          <w:sz w:val="24"/>
          <w:szCs w:val="24"/>
        </w:rPr>
      </w:pPr>
      <w:r>
        <w:rPr>
          <w:rFonts w:ascii="Times New Roman" w:hAnsi="Times New Roman"/>
          <w:sz w:val="24"/>
          <w:szCs w:val="24"/>
        </w:rPr>
        <w:t>A não observância do disposto no item anterior poderá ensejar desclassificação no momento da habilitação.</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A verificação pelo Pregoeiro/Agente de Contratação/Comissão, em sítios eletrônicos oficiais de órgãos e entidades emissores de certidões constitui meio legal de prova, para fins de habilitação.</w:t>
      </w:r>
    </w:p>
    <w:p>
      <w:pPr>
        <w:pStyle w:val="Nivel3"/>
        <w:numPr>
          <w:ilvl w:val="2"/>
          <w:numId w:val="305"/>
        </w:numPr>
        <w:spacing w:lineRule="auto" w:line="276" w:before="0" w:after="170"/>
        <w:ind w:hanging="0" w:left="0"/>
        <w:rPr>
          <w:rFonts w:ascii="Times New Roman" w:hAnsi="Times New Roman"/>
          <w:sz w:val="24"/>
          <w:szCs w:val="24"/>
        </w:rPr>
      </w:pPr>
      <w:bookmarkStart w:id="57" w:name="_Ref114663151"/>
      <w:r>
        <w:rPr>
          <w:rFonts w:ascii="Times New Roman" w:hAnsi="Times New Roman"/>
          <w:sz w:val="24"/>
          <w:szCs w:val="24"/>
        </w:rPr>
        <w:t xml:space="preserve">Os documentos exigidos para habilitação que não estejam contemplados no Sicaf serão enviados por meio do sistema, em formato digital, no prazo de </w:t>
      </w:r>
      <w:r>
        <w:rPr>
          <w:rFonts w:ascii="Times New Roman" w:hAnsi="Times New Roman"/>
          <w:color w:val="FF0000"/>
          <w:sz w:val="24"/>
          <w:szCs w:val="24"/>
        </w:rPr>
        <w:t xml:space="preserve"> </w:t>
      </w:r>
      <w:r>
        <w:rPr>
          <w:rFonts w:ascii="Times New Roman" w:hAnsi="Times New Roman"/>
          <w:color w:val="2A6099"/>
          <w:sz w:val="24"/>
          <w:szCs w:val="24"/>
        </w:rPr>
        <w:t>DUAS HORAS</w:t>
      </w:r>
      <w:r>
        <w:rPr>
          <w:rFonts w:ascii="Times New Roman" w:hAnsi="Times New Roman"/>
          <w:sz w:val="24"/>
          <w:szCs w:val="24"/>
        </w:rPr>
        <w:t>, prorrogável por igual período, contado da solicitação do Pregoeiro/Agente de Contratação/Comissão.</w:t>
      </w:r>
      <w:bookmarkEnd w:id="57"/>
    </w:p>
    <w:p>
      <w:pPr>
        <w:pStyle w:val="Nivel3"/>
        <w:numPr>
          <w:ilvl w:val="2"/>
          <w:numId w:val="306"/>
        </w:numPr>
        <w:spacing w:lineRule="auto" w:line="276" w:before="0" w:after="170"/>
        <w:ind w:hanging="0" w:left="0"/>
        <w:rPr>
          <w:rFonts w:ascii="Times New Roman" w:hAnsi="Times New Roman"/>
          <w:sz w:val="24"/>
          <w:szCs w:val="24"/>
        </w:rPr>
      </w:pPr>
      <w:bookmarkStart w:id="58" w:name="_Ref201824335"/>
      <w:r>
        <w:rPr>
          <w:rFonts w:ascii="Times New Roman" w:hAnsi="Times New Roman"/>
          <w:sz w:val="24"/>
          <w:szCs w:val="24"/>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SEGES/ME nº 73, de 30 de setembro de 2022.</w:t>
      </w:r>
      <w:bookmarkEnd w:id="58"/>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A verificação no Sicaf ou a exigência dos documentos nele não contidos somente será feita em relação ao licitante vencedor.</w:t>
      </w:r>
    </w:p>
    <w:p>
      <w:pPr>
        <w:pStyle w:val="Nivel3"/>
        <w:numPr>
          <w:ilvl w:val="2"/>
          <w:numId w:val="307"/>
        </w:numPr>
        <w:spacing w:lineRule="auto" w:line="276" w:before="0" w:after="170"/>
        <w:ind w:hanging="0" w:left="0"/>
        <w:rPr>
          <w:rFonts w:ascii="Times New Roman" w:hAnsi="Times New Roman"/>
          <w:sz w:val="24"/>
          <w:szCs w:val="24"/>
        </w:rPr>
      </w:pPr>
      <w:r>
        <w:rPr>
          <w:rFonts w:ascii="Times New Roman" w:hAnsi="Times New Roman"/>
          <w:sz w:val="24"/>
          <w:szCs w:val="24"/>
        </w:rPr>
        <w:t>Os documentos relativos à regularidade fiscal que constem do Termo de Referência somente serão exigidos, em qualquer caso, em momento posterior ao julgamento das propostas, e apenas do licitante mais bem classificado.</w:t>
      </w:r>
    </w:p>
    <w:p>
      <w:pPr>
        <w:pStyle w:val="Nivel3"/>
        <w:numPr>
          <w:ilvl w:val="2"/>
          <w:numId w:val="308"/>
        </w:numPr>
        <w:spacing w:lineRule="auto" w:line="276" w:before="0" w:after="170"/>
        <w:ind w:hanging="0" w:left="0"/>
        <w:rPr>
          <w:rFonts w:ascii="Times New Roman" w:hAnsi="Times New Roman"/>
          <w:sz w:val="24"/>
          <w:szCs w:val="24"/>
        </w:rPr>
      </w:pPr>
      <w:r>
        <w:rPr>
          <w:rFonts w:ascii="Times New Roman" w:hAnsi="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pPr>
        <w:pStyle w:val="Nivel2"/>
        <w:numPr>
          <w:ilvl w:val="1"/>
          <w:numId w:val="1"/>
        </w:numPr>
        <w:spacing w:lineRule="auto" w:line="276" w:before="0" w:after="170"/>
        <w:ind w:hanging="0" w:left="0"/>
        <w:rPr>
          <w:rFonts w:ascii="Times New Roman" w:hAnsi="Times New Roman"/>
          <w:sz w:val="24"/>
          <w:szCs w:val="24"/>
        </w:rPr>
      </w:pPr>
      <w:bookmarkStart w:id="59" w:name="_Hlk192001272"/>
      <w:bookmarkEnd w:id="59"/>
      <w:r>
        <w:rPr>
          <w:rFonts w:ascii="Times New Roman" w:hAnsi="Times New Roman"/>
          <w:sz w:val="24"/>
          <w:szCs w:val="24"/>
        </w:rPr>
        <w:t xml:space="preserve">Encerrado o prazo para envio da documentação de que trata o item </w:t>
      </w:r>
      <w:r>
        <w:rPr>
          <w:rFonts w:ascii="Times New Roman" w:hAnsi="Times New Roman"/>
          <w:sz w:val="24"/>
          <w:szCs w:val="24"/>
        </w:rPr>
        <w:fldChar w:fldCharType="begin"/>
      </w:r>
      <w:r>
        <w:rPr>
          <w:sz w:val="24"/>
          <w:szCs w:val="24"/>
          <w:rFonts w:ascii="Times New Roman" w:hAnsi="Times New Roman"/>
        </w:rPr>
        <w:instrText xml:space="preserve"> REF _Ref114663151 \r \r \h </w:instrText>
      </w:r>
      <w:r>
        <w:rPr>
          <w:sz w:val="24"/>
          <w:szCs w:val="24"/>
          <w:rFonts w:ascii="Times New Roman" w:hAnsi="Times New Roman"/>
        </w:rPr>
        <w:fldChar w:fldCharType="separate"/>
      </w:r>
      <w:r>
        <w:rPr>
          <w:sz w:val="24"/>
          <w:szCs w:val="24"/>
          <w:rFonts w:ascii="Times New Roman" w:hAnsi="Times New Roman"/>
        </w:rPr>
        <w:t>9.13.1</w:t>
      </w:r>
      <w:r>
        <w:rPr>
          <w:sz w:val="24"/>
          <w:szCs w:val="24"/>
          <w:rFonts w:ascii="Times New Roman" w:hAnsi="Times New Roman"/>
        </w:rPr>
        <w:fldChar w:fldCharType="end"/>
      </w:r>
      <w:r>
        <w:rPr>
          <w:rFonts w:ascii="Times New Roman" w:hAnsi="Times New Roman"/>
          <w:sz w:val="24"/>
          <w:szCs w:val="24"/>
        </w:rPr>
        <w:t>, poderá ser admitida, mediante decisão fundamentada do Pregoeiro/Agente de Contratação, a apresentação de novos documentos de habilitação ou a complementação de informações acerca dos documentos já apresentados pelos licitantes, em até</w:t>
      </w:r>
      <w:r>
        <w:rPr>
          <w:rFonts w:ascii="Times New Roman" w:hAnsi="Times New Roman"/>
          <w:color w:val="FF0000"/>
          <w:sz w:val="24"/>
          <w:szCs w:val="24"/>
        </w:rPr>
        <w:t xml:space="preserve"> </w:t>
      </w:r>
      <w:r>
        <w:rPr>
          <w:rFonts w:ascii="Times New Roman" w:hAnsi="Times New Roman"/>
          <w:color w:val="2A6099"/>
          <w:sz w:val="24"/>
          <w:szCs w:val="24"/>
        </w:rPr>
        <w:t>DUAS HORAS</w:t>
      </w:r>
      <w:r>
        <w:rPr>
          <w:rFonts w:ascii="Times New Roman" w:hAnsi="Times New Roman"/>
          <w:sz w:val="24"/>
          <w:szCs w:val="24"/>
        </w:rPr>
        <w:t>, para:</w:t>
      </w:r>
    </w:p>
    <w:p>
      <w:pPr>
        <w:pStyle w:val="Nivel3"/>
        <w:numPr>
          <w:ilvl w:val="2"/>
          <w:numId w:val="309"/>
        </w:numPr>
        <w:spacing w:lineRule="auto" w:line="276" w:before="0" w:after="170"/>
        <w:ind w:hanging="0" w:left="0"/>
        <w:rPr>
          <w:rFonts w:ascii="Times New Roman" w:hAnsi="Times New Roman"/>
          <w:sz w:val="24"/>
          <w:szCs w:val="24"/>
        </w:rPr>
      </w:pPr>
      <w:r>
        <w:rPr>
          <w:rFonts w:ascii="Times New Roman" w:hAnsi="Times New Roman"/>
          <w:sz w:val="24"/>
          <w:szCs w:val="24"/>
        </w:rPr>
        <w:t>a aferição das condições de habilitação do licitante, desde que decorrentes de fatos existentes à época da abertura do certame;</w:t>
      </w:r>
    </w:p>
    <w:p>
      <w:pPr>
        <w:pStyle w:val="Nivel3"/>
        <w:numPr>
          <w:ilvl w:val="2"/>
          <w:numId w:val="310"/>
        </w:numPr>
        <w:spacing w:lineRule="auto" w:line="276" w:before="0" w:after="170"/>
        <w:ind w:hanging="0" w:left="0"/>
        <w:rPr>
          <w:rFonts w:ascii="Times New Roman" w:hAnsi="Times New Roman"/>
          <w:sz w:val="24"/>
          <w:szCs w:val="24"/>
        </w:rPr>
      </w:pPr>
      <w:r>
        <w:rPr>
          <w:rFonts w:ascii="Times New Roman" w:hAnsi="Times New Roman"/>
          <w:sz w:val="24"/>
          <w:szCs w:val="24"/>
        </w:rPr>
        <w:t>atualização de documentos cuja validade tenha expirado após a data de recebimento das propostas;</w:t>
      </w:r>
    </w:p>
    <w:p>
      <w:pPr>
        <w:pStyle w:val="Nivel3"/>
        <w:numPr>
          <w:ilvl w:val="2"/>
          <w:numId w:val="311"/>
        </w:numPr>
        <w:spacing w:lineRule="auto" w:line="276" w:before="0" w:after="170"/>
        <w:ind w:hanging="0" w:left="0"/>
        <w:rPr>
          <w:rFonts w:ascii="Times New Roman" w:hAnsi="Times New Roman"/>
          <w:sz w:val="24"/>
          <w:szCs w:val="24"/>
        </w:rPr>
      </w:pPr>
      <w:r>
        <w:rPr>
          <w:rFonts w:ascii="Times New Roman" w:hAnsi="Times New Roman"/>
          <w:sz w:val="24"/>
          <w:szCs w:val="24"/>
        </w:rPr>
        <w:t>suprimento da ausência de documento de cunho declaratório emitido unilateralmente pelo licitante;</w:t>
      </w:r>
    </w:p>
    <w:p>
      <w:pPr>
        <w:pStyle w:val="Nivel3"/>
        <w:numPr>
          <w:ilvl w:val="2"/>
          <w:numId w:val="312"/>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suprimento da ausência de certidão e/ou documento de cunho declaratório expedido por órgão ou entidade cujos atos gozem de presunção de veracidade e fé pública.</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Findo o prazo assinalado sem o envio da nova documentação, restará preclusa essa oportunidade conferida ao licitante, implicando sua inabilitação. </w:t>
      </w:r>
    </w:p>
    <w:p>
      <w:pPr>
        <w:pStyle w:val="Nivel2"/>
        <w:numPr>
          <w:ilvl w:val="1"/>
          <w:numId w:val="1"/>
        </w:numPr>
        <w:spacing w:lineRule="auto" w:line="276" w:before="0" w:after="170"/>
        <w:ind w:hanging="0" w:left="0"/>
        <w:rPr>
          <w:rFonts w:ascii="Times New Roman" w:hAnsi="Times New Roman"/>
          <w:sz w:val="24"/>
          <w:szCs w:val="24"/>
        </w:rPr>
      </w:pPr>
      <w:bookmarkStart w:id="60" w:name="_Ref114670319"/>
      <w:bookmarkStart w:id="61" w:name="_Hlk192001272_Copia_1"/>
      <w:bookmarkEnd w:id="61"/>
      <w:r>
        <w:rPr>
          <w:rFonts w:ascii="Times New Roman" w:hAnsi="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60"/>
    </w:p>
    <w:p>
      <w:pPr>
        <w:pStyle w:val="Nivel2"/>
        <w:numPr>
          <w:ilvl w:val="1"/>
          <w:numId w:val="1"/>
        </w:numPr>
        <w:spacing w:lineRule="auto" w:line="276" w:before="0" w:after="170"/>
        <w:ind w:hanging="0" w:left="0"/>
        <w:rPr>
          <w:rFonts w:ascii="Times New Roman" w:hAnsi="Times New Roman"/>
          <w:sz w:val="24"/>
          <w:szCs w:val="24"/>
        </w:rPr>
      </w:pPr>
      <w:bookmarkStart w:id="62" w:name="_Ref114665528"/>
      <w:r>
        <w:rPr>
          <w:rFonts w:ascii="Times New Roman" w:hAnsi="Times New Roman"/>
          <w:sz w:val="24"/>
          <w:szCs w:val="24"/>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Pr>
          <w:rFonts w:ascii="Times New Roman" w:hAnsi="Times New Roman"/>
          <w:sz w:val="24"/>
          <w:szCs w:val="24"/>
        </w:rPr>
        <w:fldChar w:fldCharType="begin"/>
      </w:r>
      <w:r>
        <w:rPr>
          <w:sz w:val="24"/>
          <w:szCs w:val="24"/>
          <w:rFonts w:ascii="Times New Roman" w:hAnsi="Times New Roman"/>
        </w:rPr>
        <w:instrText xml:space="preserve"> REF _Ref114663151 \r \r \h </w:instrText>
      </w:r>
      <w:r>
        <w:rPr>
          <w:sz w:val="24"/>
          <w:szCs w:val="24"/>
          <w:rFonts w:ascii="Times New Roman" w:hAnsi="Times New Roman"/>
        </w:rPr>
        <w:fldChar w:fldCharType="separate"/>
      </w:r>
      <w:r>
        <w:rPr>
          <w:sz w:val="24"/>
          <w:szCs w:val="24"/>
          <w:rFonts w:ascii="Times New Roman" w:hAnsi="Times New Roman"/>
        </w:rPr>
        <w:t>9.13.1</w:t>
      </w:r>
      <w:r>
        <w:rPr>
          <w:sz w:val="24"/>
          <w:szCs w:val="24"/>
          <w:rFonts w:ascii="Times New Roman" w:hAnsi="Times New Roman"/>
        </w:rPr>
        <w:fldChar w:fldCharType="end"/>
      </w:r>
      <w:r>
        <w:rPr>
          <w:rFonts w:ascii="Times New Roman" w:hAnsi="Times New Roman"/>
          <w:sz w:val="24"/>
          <w:szCs w:val="24"/>
        </w:rPr>
        <w:t>.</w:t>
      </w:r>
      <w:bookmarkEnd w:id="62"/>
    </w:p>
    <w:p>
      <w:pPr>
        <w:pStyle w:val="Nivel2"/>
        <w:numPr>
          <w:ilvl w:val="1"/>
          <w:numId w:val="1"/>
        </w:numPr>
        <w:spacing w:lineRule="auto" w:line="276" w:before="0" w:after="170"/>
        <w:ind w:hanging="0" w:left="0"/>
        <w:rPr>
          <w:rFonts w:ascii="Times New Roman" w:hAnsi="Times New Roman"/>
          <w:sz w:val="24"/>
          <w:szCs w:val="24"/>
        </w:rPr>
      </w:pPr>
      <w:bookmarkStart w:id="63" w:name="_Ref114665515"/>
      <w:r>
        <w:rPr>
          <w:rFonts w:ascii="Times New Roman" w:hAnsi="Times New Roman"/>
          <w:sz w:val="24"/>
          <w:szCs w:val="24"/>
        </w:rPr>
        <w:t>Somente serão disponibilizados para acesso público os documentos de habilitação do licitante cuja proposta atenda ao edital de licitação, após concluídos os procedimentos de que trata o subitem anterior</w:t>
      </w:r>
      <w:bookmarkEnd w:id="63"/>
      <w:r>
        <w:rPr>
          <w:rFonts w:ascii="Times New Roman" w:hAnsi="Times New Roman"/>
          <w:sz w:val="24"/>
          <w:szCs w:val="24"/>
        </w:rPr>
        <w:t>.</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A comprovação de regularidade fiscal e trabalhista das microempresas e das empresas de pequeno porte somente será exigida para efeito de contratação, e não como condição para participação na licitação.</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pPr>
        <w:pStyle w:val="Nivel01"/>
        <w:numPr>
          <w:ilvl w:val="0"/>
          <w:numId w:val="1"/>
        </w:numPr>
        <w:spacing w:lineRule="auto" w:line="276" w:before="0" w:after="170"/>
        <w:ind w:hanging="0" w:left="0"/>
        <w:rPr>
          <w:rFonts w:ascii="Times New Roman" w:hAnsi="Times New Roman"/>
          <w:sz w:val="24"/>
          <w:szCs w:val="24"/>
        </w:rPr>
      </w:pPr>
      <w:bookmarkStart w:id="64" w:name="_Toc215145275"/>
      <w:r>
        <w:rPr>
          <w:rFonts w:ascii="Times New Roman" w:hAnsi="Times New Roman"/>
          <w:sz w:val="24"/>
          <w:szCs w:val="24"/>
        </w:rPr>
        <w:t>DO TERMO DE CONTRATO</w:t>
      </w:r>
      <w:bookmarkEnd w:id="64"/>
    </w:p>
    <w:p>
      <w:pPr>
        <w:pStyle w:val="Nivel2"/>
        <w:numPr>
          <w:ilvl w:val="1"/>
          <w:numId w:val="1"/>
        </w:numPr>
        <w:spacing w:lineRule="auto" w:line="276" w:before="0" w:after="170"/>
        <w:ind w:hanging="0" w:left="0"/>
        <w:rPr>
          <w:rFonts w:ascii="Times New Roman" w:hAnsi="Times New Roman"/>
          <w:sz w:val="24"/>
          <w:szCs w:val="24"/>
        </w:rPr>
      </w:pPr>
      <w:r>
        <w:rPr>
          <w:rFonts w:eastAsia="Arial" w:ascii="Times New Roman" w:hAnsi="Times New Roman"/>
          <w:color w:themeColor="text1" w:val="000000"/>
          <w:sz w:val="24"/>
          <w:szCs w:val="24"/>
        </w:rPr>
        <w:t>Após a homologação e adjudicação, caso se conclua pela contratação, será firmado termo de contrato, ou outro instrumento equivalente.</w:t>
      </w:r>
    </w:p>
    <w:p>
      <w:pPr>
        <w:pStyle w:val="Nivel2"/>
        <w:numPr>
          <w:ilvl w:val="1"/>
          <w:numId w:val="1"/>
        </w:numPr>
        <w:spacing w:lineRule="auto" w:line="276" w:before="0" w:after="170"/>
        <w:ind w:hanging="0" w:left="0"/>
        <w:rPr>
          <w:rFonts w:ascii="Times New Roman" w:hAnsi="Times New Roman"/>
          <w:sz w:val="24"/>
          <w:szCs w:val="24"/>
        </w:rPr>
      </w:pPr>
      <w:bookmarkStart w:id="65" w:name="_Ref167884937"/>
      <w:r>
        <w:rPr>
          <w:rFonts w:eastAsia="Arial" w:ascii="Times New Roman" w:hAnsi="Times New Roman"/>
          <w:color w:themeColor="text1" w:val="000000"/>
          <w:sz w:val="24"/>
          <w:szCs w:val="24"/>
        </w:rPr>
        <w:t xml:space="preserve">O adjudicatário terá o prazo de </w:t>
      </w:r>
      <w:r>
        <w:rPr>
          <w:rFonts w:eastAsia="Arial" w:ascii="Times New Roman" w:hAnsi="Times New Roman"/>
          <w:color w:val="2A6099"/>
          <w:sz w:val="24"/>
          <w:szCs w:val="24"/>
        </w:rPr>
        <w:t xml:space="preserve">5 </w:t>
      </w:r>
      <w:r>
        <w:rPr>
          <w:rFonts w:eastAsia="Arial" w:ascii="Times New Roman" w:hAnsi="Times New Roman"/>
          <w:color w:themeColor="text1" w:val="000000"/>
          <w:sz w:val="24"/>
          <w:szCs w:val="24"/>
        </w:rPr>
        <w:t>dias úteis, contados a partir da data de sua convocação, para assinar o termo de contrato ou instrumento equivalente, sob pena de decair o direito à contratação, sem prejuízo das sanções previstas neste Edital.</w:t>
      </w:r>
      <w:bookmarkEnd w:id="65"/>
    </w:p>
    <w:p>
      <w:pPr>
        <w:pStyle w:val="Nivel2"/>
        <w:numPr>
          <w:ilvl w:val="1"/>
          <w:numId w:val="1"/>
        </w:numPr>
        <w:spacing w:lineRule="auto" w:line="276" w:before="0" w:after="170"/>
        <w:ind w:hanging="0" w:left="0"/>
        <w:rPr>
          <w:rFonts w:ascii="Times New Roman" w:hAnsi="Times New Roman"/>
          <w:sz w:val="24"/>
          <w:szCs w:val="24"/>
        </w:rPr>
      </w:pPr>
      <w:bookmarkStart w:id="66" w:name="_Ref167884958"/>
      <w:r>
        <w:rPr>
          <w:rFonts w:eastAsia="Arial" w:ascii="Times New Roman" w:hAnsi="Times New Roman"/>
          <w:color w:themeColor="text1" w:val="000000"/>
          <w:sz w:val="24"/>
          <w:szCs w:val="24"/>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Pr>
          <w:rFonts w:eastAsia="Arial" w:ascii="Times New Roman" w:hAnsi="Times New Roman"/>
          <w:b/>
          <w:bCs/>
          <w:color w:val="2A6099"/>
          <w:sz w:val="24"/>
          <w:szCs w:val="24"/>
          <w:u w:val="single"/>
        </w:rPr>
        <w:t>5</w:t>
      </w:r>
      <w:r>
        <w:rPr>
          <w:rFonts w:eastAsia="Arial" w:ascii="Times New Roman" w:hAnsi="Times New Roman"/>
          <w:color w:val="FF0000"/>
          <w:sz w:val="24"/>
          <w:szCs w:val="24"/>
        </w:rPr>
        <w:t xml:space="preserve"> </w:t>
      </w:r>
      <w:r>
        <w:rPr>
          <w:rFonts w:eastAsia="Arial" w:ascii="Times New Roman" w:hAnsi="Times New Roman"/>
          <w:color w:themeColor="text1" w:val="000000"/>
          <w:sz w:val="24"/>
          <w:szCs w:val="24"/>
        </w:rPr>
        <w:t xml:space="preserve">dias úteis, a contar da data de seu recebimento; b) disponibilizar acesso a sistema de processo eletrônico para que seja assinado digitalmente em até </w:t>
      </w:r>
      <w:r>
        <w:rPr>
          <w:rFonts w:eastAsia="Arial" w:ascii="Times New Roman" w:hAnsi="Times New Roman"/>
          <w:b/>
          <w:bCs/>
          <w:color w:val="2A6099"/>
          <w:sz w:val="24"/>
          <w:szCs w:val="24"/>
          <w:u w:val="single"/>
        </w:rPr>
        <w:t>5</w:t>
      </w:r>
      <w:r>
        <w:rPr>
          <w:rFonts w:eastAsia="Arial" w:ascii="Times New Roman" w:hAnsi="Times New Roman"/>
          <w:color w:val="FF0000"/>
          <w:sz w:val="24"/>
          <w:szCs w:val="24"/>
        </w:rPr>
        <w:t xml:space="preserve"> </w:t>
      </w:r>
      <w:r>
        <w:rPr>
          <w:rFonts w:eastAsia="Arial" w:ascii="Times New Roman" w:hAnsi="Times New Roman"/>
          <w:color w:themeColor="text1" w:val="000000"/>
          <w:sz w:val="24"/>
          <w:szCs w:val="24"/>
        </w:rPr>
        <w:t xml:space="preserve">dias úteis; ou c) outro meio eletrônico, assegurado o prazo de </w:t>
      </w:r>
      <w:r>
        <w:rPr>
          <w:rFonts w:eastAsia="Arial" w:ascii="Times New Roman" w:hAnsi="Times New Roman"/>
          <w:b/>
          <w:bCs/>
          <w:color w:val="2A6099"/>
          <w:sz w:val="24"/>
          <w:szCs w:val="24"/>
          <w:u w:val="single"/>
        </w:rPr>
        <w:t>5</w:t>
      </w:r>
      <w:r>
        <w:rPr>
          <w:rFonts w:eastAsia="Arial" w:ascii="Times New Roman" w:hAnsi="Times New Roman"/>
          <w:color w:val="FF0000"/>
          <w:sz w:val="24"/>
          <w:szCs w:val="24"/>
        </w:rPr>
        <w:t xml:space="preserve"> </w:t>
      </w:r>
      <w:r>
        <w:rPr>
          <w:rFonts w:eastAsia="Arial" w:ascii="Times New Roman" w:hAnsi="Times New Roman"/>
          <w:color w:themeColor="text1" w:val="000000"/>
          <w:sz w:val="24"/>
          <w:szCs w:val="24"/>
        </w:rPr>
        <w:t>dias úteis para resposta após recebimento da notificação pela Administração.</w:t>
      </w:r>
      <w:bookmarkEnd w:id="66"/>
    </w:p>
    <w:p>
      <w:pPr>
        <w:pStyle w:val="Nivel2"/>
        <w:numPr>
          <w:ilvl w:val="1"/>
          <w:numId w:val="1"/>
        </w:numPr>
        <w:spacing w:lineRule="auto" w:line="276" w:before="0" w:after="170"/>
        <w:ind w:hanging="0" w:left="0"/>
        <w:rPr>
          <w:rFonts w:ascii="Times New Roman" w:hAnsi="Times New Roman"/>
          <w:color w:val="000000"/>
          <w:sz w:val="24"/>
          <w:szCs w:val="24"/>
        </w:rPr>
      </w:pPr>
      <w:r>
        <w:rPr>
          <w:rFonts w:eastAsia="Arial" w:ascii="Times New Roman" w:hAnsi="Times New Roman"/>
          <w:i/>
          <w:iCs/>
          <w:color w:val="000000"/>
          <w:sz w:val="24"/>
          <w:szCs w:val="24"/>
        </w:rPr>
        <w:t>O Aceite da Nota de Empenho ou do instrumento equivalente, emitida ao fornecedor adjudicado, implica o reconhecimento de que:</w:t>
      </w:r>
    </w:p>
    <w:p>
      <w:pPr>
        <w:pStyle w:val="Nvel3-R"/>
        <w:numPr>
          <w:ilvl w:val="2"/>
          <w:numId w:val="313"/>
        </w:numPr>
        <w:spacing w:lineRule="auto" w:line="276" w:before="0" w:after="170"/>
        <w:ind w:hanging="0" w:left="0"/>
        <w:rPr>
          <w:rFonts w:ascii="Times New Roman" w:hAnsi="Times New Roman"/>
          <w:color w:val="000000"/>
          <w:sz w:val="24"/>
          <w:szCs w:val="24"/>
        </w:rPr>
      </w:pPr>
      <w:r>
        <w:rPr>
          <w:rFonts w:ascii="Times New Roman" w:hAnsi="Times New Roman"/>
          <w:color w:val="000000"/>
          <w:sz w:val="24"/>
          <w:szCs w:val="24"/>
        </w:rPr>
        <w:t xml:space="preserve">referida Nota está substituindo o contrato, aplicando-se à relação de negócios ali estabelecida as disposições da </w:t>
      </w:r>
      <w:r>
        <w:rPr>
          <w:rFonts w:eastAsia="Arial" w:ascii="Times New Roman" w:hAnsi="Times New Roman"/>
          <w:color w:val="000000"/>
          <w:sz w:val="24"/>
          <w:szCs w:val="24"/>
        </w:rPr>
        <w:t>Lei nº 14.133, de 2021</w:t>
      </w:r>
      <w:r>
        <w:rPr>
          <w:rFonts w:ascii="Times New Roman" w:hAnsi="Times New Roman"/>
          <w:color w:val="000000"/>
          <w:sz w:val="24"/>
          <w:szCs w:val="24"/>
        </w:rPr>
        <w:t>;</w:t>
      </w:r>
    </w:p>
    <w:p>
      <w:pPr>
        <w:pStyle w:val="Nvel3-R"/>
        <w:numPr>
          <w:ilvl w:val="2"/>
          <w:numId w:val="314"/>
        </w:numPr>
        <w:spacing w:lineRule="auto" w:line="276" w:before="0" w:after="170"/>
        <w:ind w:hanging="0" w:left="0"/>
        <w:rPr>
          <w:rFonts w:ascii="Times New Roman" w:hAnsi="Times New Roman"/>
          <w:color w:val="000000"/>
          <w:sz w:val="24"/>
          <w:szCs w:val="24"/>
        </w:rPr>
      </w:pPr>
      <w:r>
        <w:rPr>
          <w:rFonts w:ascii="Times New Roman" w:hAnsi="Times New Roman"/>
          <w:color w:val="000000"/>
          <w:sz w:val="24"/>
          <w:szCs w:val="24"/>
        </w:rPr>
        <w:t>a contratada se vincula à sua proposta e às previsões contidas neste Edital;</w:t>
      </w:r>
    </w:p>
    <w:p>
      <w:pPr>
        <w:pStyle w:val="Nvel3-R"/>
        <w:numPr>
          <w:ilvl w:val="2"/>
          <w:numId w:val="315"/>
        </w:numPr>
        <w:spacing w:lineRule="auto" w:line="276" w:before="0" w:after="170"/>
        <w:ind w:hanging="0" w:left="0"/>
        <w:rPr>
          <w:rFonts w:ascii="Times New Roman" w:hAnsi="Times New Roman"/>
          <w:color w:val="000000"/>
          <w:sz w:val="24"/>
          <w:szCs w:val="24"/>
        </w:rPr>
      </w:pPr>
      <w:r>
        <w:rPr>
          <w:rFonts w:ascii="Times New Roman" w:hAnsi="Times New Roman"/>
          <w:color w:val="000000"/>
          <w:sz w:val="24"/>
          <w:szCs w:val="24"/>
        </w:rPr>
        <w:t xml:space="preserve">a contratada reconhece que as hipóteses de rescisão são aquelas previstas nos </w:t>
      </w:r>
      <w:r>
        <w:rPr>
          <w:rFonts w:eastAsia="Arial" w:ascii="Times New Roman" w:hAnsi="Times New Roman"/>
          <w:color w:val="000000"/>
          <w:sz w:val="24"/>
          <w:szCs w:val="24"/>
        </w:rPr>
        <w:t>artigos 137 e 138 da Lei nº 14.133, de 2021</w:t>
      </w:r>
      <w:r>
        <w:rPr>
          <w:rFonts w:ascii="Times New Roman" w:hAnsi="Times New Roman"/>
          <w:color w:val="000000"/>
          <w:sz w:val="24"/>
          <w:szCs w:val="24"/>
        </w:rPr>
        <w:t xml:space="preserve"> e reconhece os direitos da Administração previstos nos </w:t>
      </w:r>
      <w:r>
        <w:rPr>
          <w:rFonts w:eastAsia="Arial" w:ascii="Times New Roman" w:hAnsi="Times New Roman"/>
          <w:color w:val="000000"/>
          <w:sz w:val="24"/>
          <w:szCs w:val="24"/>
        </w:rPr>
        <w:t>artigos 137 a 139 da mesma Lei</w:t>
      </w:r>
      <w:r>
        <w:rPr>
          <w:rFonts w:ascii="Times New Roman" w:hAnsi="Times New Roman"/>
          <w:color w:val="000000"/>
          <w:sz w:val="24"/>
          <w:szCs w:val="24"/>
        </w:rPr>
        <w:t>.</w:t>
      </w:r>
    </w:p>
    <w:p>
      <w:pPr>
        <w:pStyle w:val="Nivel2"/>
        <w:numPr>
          <w:ilvl w:val="1"/>
          <w:numId w:val="1"/>
        </w:numPr>
        <w:spacing w:lineRule="auto" w:line="276" w:before="0" w:after="170"/>
        <w:ind w:hanging="0" w:left="0"/>
        <w:rPr>
          <w:rFonts w:ascii="Times New Roman" w:hAnsi="Times New Roman"/>
          <w:sz w:val="24"/>
          <w:szCs w:val="24"/>
        </w:rPr>
      </w:pPr>
      <w:r>
        <w:rPr>
          <w:rFonts w:eastAsia="Arial" w:ascii="Times New Roman" w:hAnsi="Times New Roman"/>
          <w:color w:val="000000"/>
          <w:sz w:val="24"/>
          <w:szCs w:val="24"/>
        </w:rPr>
        <w:t>Os prazos dos it</w:t>
      </w:r>
      <w:r>
        <w:rPr>
          <w:rFonts w:eastAsia="Arial" w:ascii="Times New Roman" w:hAnsi="Times New Roman"/>
          <w:color w:themeColor="text1" w:val="000000"/>
          <w:sz w:val="24"/>
          <w:szCs w:val="24"/>
        </w:rPr>
        <w:t xml:space="preserve">ens </w:t>
      </w:r>
      <w:r>
        <w:rPr>
          <w:rFonts w:eastAsia="Arial" w:ascii="Times New Roman" w:hAnsi="Times New Roman"/>
          <w:color w:themeColor="text1" w:val="000000"/>
          <w:sz w:val="24"/>
          <w:szCs w:val="24"/>
        </w:rPr>
        <w:fldChar w:fldCharType="begin"/>
      </w:r>
      <w:r>
        <w:rPr>
          <w:sz w:val="24"/>
          <w:szCs w:val="24"/>
          <w:rFonts w:eastAsia="Arial" w:ascii="Times New Roman" w:hAnsi="Times New Roman"/>
          <w:color w:themeColor="text1" w:val="000000"/>
        </w:rPr>
        <w:instrText xml:space="preserve"> REF _Ref167884937 \r \r \h </w:instrText>
      </w:r>
      <w:r>
        <w:rPr>
          <w:sz w:val="24"/>
          <w:szCs w:val="24"/>
          <w:rFonts w:eastAsia="Arial" w:ascii="Times New Roman" w:hAnsi="Times New Roman"/>
          <w:color w:themeColor="text1" w:val="000000"/>
        </w:rPr>
        <w:fldChar w:fldCharType="separate"/>
      </w:r>
      <w:r>
        <w:rPr>
          <w:sz w:val="24"/>
          <w:szCs w:val="24"/>
          <w:rFonts w:eastAsia="Arial" w:ascii="Times New Roman" w:hAnsi="Times New Roman"/>
          <w:color w:themeColor="text1" w:val="000000"/>
        </w:rPr>
        <w:t>10.2</w:t>
      </w:r>
      <w:r>
        <w:rPr>
          <w:sz w:val="24"/>
          <w:szCs w:val="24"/>
          <w:rFonts w:eastAsia="Arial" w:ascii="Times New Roman" w:hAnsi="Times New Roman"/>
          <w:color w:themeColor="text1" w:val="000000"/>
        </w:rPr>
        <w:fldChar w:fldCharType="end"/>
      </w:r>
      <w:r>
        <w:rPr>
          <w:rFonts w:eastAsia="Arial" w:ascii="Times New Roman" w:hAnsi="Times New Roman"/>
          <w:color w:themeColor="text1" w:val="000000"/>
          <w:sz w:val="24"/>
          <w:szCs w:val="24"/>
        </w:rPr>
        <w:t xml:space="preserve"> e </w:t>
      </w:r>
      <w:r>
        <w:rPr>
          <w:rFonts w:eastAsia="Arial" w:ascii="Times New Roman" w:hAnsi="Times New Roman"/>
          <w:color w:themeColor="text1" w:val="000000"/>
          <w:sz w:val="24"/>
          <w:szCs w:val="24"/>
        </w:rPr>
        <w:fldChar w:fldCharType="begin"/>
      </w:r>
      <w:r>
        <w:rPr>
          <w:sz w:val="24"/>
          <w:szCs w:val="24"/>
          <w:rFonts w:eastAsia="Arial" w:ascii="Times New Roman" w:hAnsi="Times New Roman"/>
          <w:color w:themeColor="text1" w:val="000000"/>
        </w:rPr>
        <w:instrText xml:space="preserve"> REF _Ref167884958 \r \r \h </w:instrText>
      </w:r>
      <w:r>
        <w:rPr>
          <w:sz w:val="24"/>
          <w:szCs w:val="24"/>
          <w:rFonts w:eastAsia="Arial" w:ascii="Times New Roman" w:hAnsi="Times New Roman"/>
          <w:color w:themeColor="text1" w:val="000000"/>
        </w:rPr>
        <w:fldChar w:fldCharType="separate"/>
      </w:r>
      <w:r>
        <w:rPr>
          <w:sz w:val="24"/>
          <w:szCs w:val="24"/>
          <w:rFonts w:eastAsia="Arial" w:ascii="Times New Roman" w:hAnsi="Times New Roman"/>
          <w:color w:themeColor="text1" w:val="000000"/>
        </w:rPr>
        <w:t>10.3</w:t>
      </w:r>
      <w:r>
        <w:rPr>
          <w:sz w:val="24"/>
          <w:szCs w:val="24"/>
          <w:rFonts w:eastAsia="Arial" w:ascii="Times New Roman" w:hAnsi="Times New Roman"/>
          <w:color w:themeColor="text1" w:val="000000"/>
        </w:rPr>
        <w:fldChar w:fldCharType="end"/>
      </w:r>
      <w:r>
        <w:rPr>
          <w:rFonts w:eastAsia="Arial" w:ascii="Times New Roman" w:hAnsi="Times New Roman"/>
          <w:color w:themeColor="text1" w:val="000000"/>
          <w:sz w:val="24"/>
          <w:szCs w:val="24"/>
        </w:rPr>
        <w:t xml:space="preserve"> poderão ser prorrogados, por igual período, por solicitação justificada do adjudicatário e aceita pela Administração.</w:t>
      </w:r>
    </w:p>
    <w:p>
      <w:pPr>
        <w:pStyle w:val="Nivel2"/>
        <w:numPr>
          <w:ilvl w:val="1"/>
          <w:numId w:val="1"/>
        </w:numPr>
        <w:spacing w:lineRule="auto" w:line="276" w:before="0" w:after="170"/>
        <w:ind w:hanging="0" w:left="0"/>
        <w:rPr>
          <w:rFonts w:ascii="Times New Roman" w:hAnsi="Times New Roman"/>
          <w:sz w:val="24"/>
          <w:szCs w:val="24"/>
        </w:rPr>
      </w:pPr>
      <w:r>
        <w:rPr>
          <w:rFonts w:eastAsia="Arial" w:ascii="Times New Roman" w:hAnsi="Times New Roman"/>
          <w:color w:themeColor="text1" w:val="000000"/>
          <w:sz w:val="24"/>
          <w:szCs w:val="24"/>
        </w:rPr>
        <w:t xml:space="preserve">O prazo de vigência da contratação é o estabelecido no </w:t>
      </w:r>
      <w:r>
        <w:rPr>
          <w:rFonts w:ascii="Times New Roman" w:hAnsi="Times New Roman"/>
          <w:sz w:val="24"/>
          <w:szCs w:val="24"/>
        </w:rPr>
        <w:t>Termo de Referência</w:t>
      </w:r>
      <w:r>
        <w:rPr>
          <w:rFonts w:eastAsia="Arial" w:ascii="Times New Roman" w:hAnsi="Times New Roman"/>
          <w:color w:themeColor="text1" w:val="000000"/>
          <w:sz w:val="24"/>
          <w:szCs w:val="24"/>
        </w:rPr>
        <w:t>.</w:t>
      </w:r>
    </w:p>
    <w:p>
      <w:pPr>
        <w:pStyle w:val="Nivel2"/>
        <w:numPr>
          <w:ilvl w:val="1"/>
          <w:numId w:val="1"/>
        </w:numPr>
        <w:spacing w:lineRule="auto" w:line="276" w:before="0" w:after="170"/>
        <w:ind w:hanging="0" w:left="0"/>
        <w:rPr>
          <w:rFonts w:ascii="Times New Roman" w:hAnsi="Times New Roman"/>
          <w:sz w:val="24"/>
          <w:szCs w:val="24"/>
        </w:rPr>
      </w:pPr>
      <w:r>
        <w:rPr>
          <w:rFonts w:eastAsia="Arial" w:ascii="Times New Roman" w:hAnsi="Times New Roman"/>
          <w:color w:themeColor="text1" w:val="000000"/>
          <w:sz w:val="24"/>
          <w:szCs w:val="24"/>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pPr>
        <w:pStyle w:val="Nivel3"/>
        <w:numPr>
          <w:ilvl w:val="2"/>
          <w:numId w:val="316"/>
        </w:numPr>
        <w:spacing w:lineRule="auto" w:line="276" w:before="0" w:after="170"/>
        <w:ind w:hanging="0" w:left="0"/>
        <w:rPr>
          <w:rFonts w:ascii="Times New Roman" w:hAnsi="Times New Roman"/>
          <w:sz w:val="24"/>
          <w:szCs w:val="24"/>
        </w:rPr>
      </w:pPr>
      <w:r>
        <w:rPr>
          <w:rFonts w:ascii="Times New Roman" w:hAnsi="Times New Roman"/>
          <w:sz w:val="24"/>
          <w:szCs w:val="24"/>
        </w:rPr>
        <w:t>A existência de registro no Cadin constitui fator impeditivo para a contratação.</w:t>
      </w:r>
    </w:p>
    <w:p>
      <w:pPr>
        <w:pStyle w:val="Nivel2"/>
        <w:numPr>
          <w:ilvl w:val="1"/>
          <w:numId w:val="1"/>
        </w:numPr>
        <w:spacing w:lineRule="auto" w:line="276" w:before="0" w:after="170"/>
        <w:ind w:hanging="0" w:left="0"/>
        <w:rPr>
          <w:rFonts w:ascii="Times New Roman" w:hAnsi="Times New Roman"/>
          <w:strike/>
          <w:color w:val="000000"/>
          <w:sz w:val="24"/>
          <w:szCs w:val="24"/>
          <w:highlight w:val="none"/>
          <w:shd w:fill="auto" w:val="clear"/>
        </w:rPr>
      </w:pPr>
      <w:r>
        <w:rPr>
          <w:rFonts w:ascii="Times New Roman" w:hAnsi="Times New Roman"/>
          <w:i/>
          <w:iCs/>
          <w:strike/>
          <w:color w:val="000000"/>
          <w:sz w:val="24"/>
          <w:szCs w:val="24"/>
          <w:shd w:fill="auto" w:val="clear"/>
        </w:rPr>
        <w:t>Nas contratações de obras, serviços e fornecimentos de grande vulto, o licitante vencedor deverá apresentar programa de integridade, no prazo de 6 (seis) meses, contado da celebração do contrato, conforme Decreto nº 12.304, de 9 de dezembro de 2024, e comprovar a sua implantação nos termos da Portaria Normativa SE/CGU nº 226/2025, considerados o valor original do contrato e o valor que poderá ser alcançado por meio de eventuais aditivos contratuais.</w:t>
      </w:r>
    </w:p>
    <w:p>
      <w:pPr>
        <w:pStyle w:val="Nvel2-Red"/>
        <w:numPr>
          <w:ilvl w:val="1"/>
          <w:numId w:val="1"/>
        </w:numPr>
        <w:spacing w:lineRule="auto" w:line="276" w:before="0" w:after="170"/>
        <w:ind w:hanging="0" w:left="0"/>
        <w:rPr>
          <w:rFonts w:ascii="Times New Roman" w:hAnsi="Times New Roman"/>
          <w:strike/>
          <w:color w:val="000000"/>
          <w:sz w:val="24"/>
          <w:szCs w:val="24"/>
          <w:highlight w:val="none"/>
          <w:shd w:fill="auto" w:val="clear"/>
        </w:rPr>
      </w:pPr>
      <w:r>
        <w:rPr>
          <w:rFonts w:ascii="Times New Roman" w:hAnsi="Times New Roman"/>
          <w:strike/>
          <w:color w:val="000000"/>
          <w:sz w:val="24"/>
          <w:szCs w:val="24"/>
          <w:shd w:fill="auto" w:val="clear"/>
        </w:rPr>
        <w:t xml:space="preserve">Na contratação de serviços com dedicação exclusiva de mão-de-obra, será exigida da empresa, como condição para assinatura do contrato, a comprovação de capital social integralizado compatível com o número de empregados, na forma do art. 4º-B da Lei nº 6.019/1974. </w:t>
      </w:r>
    </w:p>
    <w:p>
      <w:pPr>
        <w:pStyle w:val="Nvel3-R"/>
        <w:numPr>
          <w:ilvl w:val="2"/>
          <w:numId w:val="317"/>
        </w:numPr>
        <w:spacing w:lineRule="auto" w:line="276" w:before="0" w:after="170"/>
        <w:ind w:hanging="0" w:left="0"/>
        <w:rPr>
          <w:rFonts w:ascii="Times New Roman" w:hAnsi="Times New Roman"/>
          <w:strike/>
          <w:color w:val="000000"/>
          <w:sz w:val="24"/>
          <w:szCs w:val="24"/>
          <w:highlight w:val="none"/>
          <w:shd w:fill="auto" w:val="clear"/>
        </w:rPr>
      </w:pPr>
      <w:r>
        <w:rPr>
          <w:rFonts w:ascii="Times New Roman" w:hAnsi="Times New Roman"/>
          <w:strike/>
          <w:color w:val="000000"/>
          <w:sz w:val="24"/>
          <w:szCs w:val="24"/>
          <w:shd w:fill="auto" w:val="clear"/>
        </w:rPr>
        <w:t xml:space="preserve">Caso se trate da contratação de serviços de vigilância ou transporte de valores com dedicação exclusiva de mão de obra, a empresa deverá comprovar, como condição para assinatura do contrato, que possui capital social mínimo integralizado de acordo com os valores estipulados no art. 14 da Lei n.º 14.967/2024. </w:t>
      </w:r>
    </w:p>
    <w:p>
      <w:pPr>
        <w:pStyle w:val="Nivel2"/>
        <w:numPr>
          <w:ilvl w:val="1"/>
          <w:numId w:val="1"/>
        </w:numPr>
        <w:spacing w:lineRule="auto" w:line="276" w:before="0" w:after="170"/>
        <w:ind w:hanging="0" w:left="0"/>
        <w:rPr>
          <w:rFonts w:ascii="Times New Roman" w:hAnsi="Times New Roman"/>
          <w:strike/>
          <w:color w:val="000000"/>
          <w:sz w:val="24"/>
          <w:szCs w:val="24"/>
          <w:highlight w:val="none"/>
          <w:shd w:fill="auto" w:val="clear"/>
        </w:rPr>
      </w:pPr>
      <w:bookmarkStart w:id="67" w:name="_Hlk190256148"/>
      <w:bookmarkEnd w:id="67"/>
      <w:r>
        <w:rPr>
          <w:rFonts w:ascii="Times New Roman" w:hAnsi="Times New Roman"/>
          <w:i/>
          <w:iCs/>
          <w:strike/>
          <w:color w:val="000000"/>
          <w:sz w:val="24"/>
          <w:szCs w:val="24"/>
          <w:shd w:fill="auto" w:val="clear"/>
        </w:rPr>
        <w:t>Na contratação de serviços com dedicação exclusiva de mão-de-obra para contratos com quantitativo igual ou superior a 25 (vinte e cinco) colaboradores, será exigida da empresa, como condição para assinatura do contrato, a comprovação, nos termos do disposto no art. 6º, caput, inciso XVI, da Lei nº 14.133, de 1º de abril de 2021, do emprego de mão de obra constituída por mulheres vítimas de violência doméstica, a partir da indicação do órgão responsável pela política pública, em percentual igual ou superior a 8% (oito por cento) das vagas.</w:t>
      </w:r>
    </w:p>
    <w:p>
      <w:pPr>
        <w:pStyle w:val="ou"/>
        <w:spacing w:lineRule="auto" w:line="276" w:before="0" w:after="170"/>
        <w:ind w:hanging="0" w:left="0"/>
        <w:rPr>
          <w:rFonts w:ascii="Times New Roman" w:hAnsi="Times New Roman"/>
          <w:strike/>
          <w:color w:val="000000"/>
          <w:sz w:val="24"/>
          <w:szCs w:val="24"/>
          <w:highlight w:val="none"/>
          <w:shd w:fill="auto" w:val="clear"/>
        </w:rPr>
      </w:pPr>
      <w:r>
        <w:rPr>
          <w:rFonts w:ascii="Times New Roman" w:hAnsi="Times New Roman"/>
          <w:strike/>
          <w:color w:val="000000"/>
          <w:sz w:val="24"/>
          <w:szCs w:val="24"/>
          <w:shd w:fill="auto" w:val="clear"/>
        </w:rPr>
        <w:t>OU</w:t>
      </w:r>
    </w:p>
    <w:p>
      <w:pPr>
        <w:pStyle w:val="Nivel2"/>
        <w:numPr>
          <w:ilvl w:val="1"/>
          <w:numId w:val="1"/>
        </w:numPr>
        <w:spacing w:lineRule="auto" w:line="276" w:before="0" w:after="170"/>
        <w:ind w:hanging="0" w:left="0"/>
        <w:rPr>
          <w:rFonts w:ascii="Times New Roman" w:hAnsi="Times New Roman"/>
          <w:strike/>
          <w:color w:val="000000"/>
          <w:sz w:val="24"/>
          <w:szCs w:val="24"/>
          <w:highlight w:val="none"/>
          <w:shd w:fill="auto" w:val="clear"/>
        </w:rPr>
      </w:pPr>
      <w:r>
        <w:rPr>
          <w:rFonts w:ascii="Times New Roman" w:hAnsi="Times New Roman"/>
          <w:i/>
          <w:iCs/>
          <w:strike/>
          <w:color w:val="000000"/>
          <w:sz w:val="24"/>
          <w:szCs w:val="24"/>
          <w:shd w:fill="auto" w:val="clear"/>
        </w:rPr>
        <w:t xml:space="preserve">Considerando que a presente contratação possui quantitativo inferior a vinte e cinco colaboradores, será exigida da empresa, como condição para assinatura do contrato, a comprovação, nos termos do disposto no art. 6º, caput, inciso XVI, da Lei nº 14.133, de 1º de abril de 2021, do emprego de mão de obra constituída por mulheres vítimas de violência doméstica, a partir da indicação do órgão responsável pela política pública, no percentual de </w:t>
      </w:r>
      <w:r>
        <w:rPr>
          <w:rFonts w:ascii="Times New Roman" w:hAnsi="Times New Roman"/>
          <w:b/>
          <w:bCs/>
          <w:i/>
          <w:iCs/>
          <w:strike/>
          <w:color w:val="000000"/>
          <w:sz w:val="24"/>
          <w:szCs w:val="24"/>
          <w:shd w:fill="auto" w:val="clear"/>
        </w:rPr>
        <w:t>XX</w:t>
      </w:r>
      <w:r>
        <w:rPr>
          <w:rFonts w:ascii="Times New Roman" w:hAnsi="Times New Roman"/>
          <w:i/>
          <w:iCs/>
          <w:strike/>
          <w:color w:val="000000"/>
          <w:sz w:val="24"/>
          <w:szCs w:val="24"/>
          <w:shd w:fill="auto" w:val="clear"/>
        </w:rPr>
        <w:t xml:space="preserve"> %.</w:t>
      </w:r>
    </w:p>
    <w:p>
      <w:pPr>
        <w:pStyle w:val="Nivel01"/>
        <w:numPr>
          <w:ilvl w:val="0"/>
          <w:numId w:val="1"/>
        </w:numPr>
        <w:spacing w:lineRule="auto" w:line="276" w:before="0" w:after="170"/>
        <w:ind w:hanging="0" w:left="0"/>
        <w:rPr>
          <w:rFonts w:ascii="Times New Roman" w:hAnsi="Times New Roman"/>
          <w:sz w:val="24"/>
          <w:szCs w:val="24"/>
          <w:highlight w:val="none"/>
          <w:shd w:fill="auto" w:val="clear"/>
        </w:rPr>
      </w:pPr>
      <w:bookmarkStart w:id="68" w:name="_Toc215145276"/>
      <w:bookmarkStart w:id="69" w:name="_Toc135469203"/>
      <w:bookmarkStart w:id="70" w:name="_Hlk190256148_Copia_1"/>
      <w:bookmarkEnd w:id="70"/>
      <w:r>
        <w:rPr>
          <w:rFonts w:ascii="Times New Roman" w:hAnsi="Times New Roman"/>
          <w:sz w:val="24"/>
          <w:szCs w:val="24"/>
          <w:shd w:fill="auto" w:val="clear"/>
        </w:rPr>
        <w:t>DA ATA DE REGISTRO DE PREÇOS</w:t>
      </w:r>
      <w:bookmarkEnd w:id="68"/>
      <w:bookmarkEnd w:id="69"/>
    </w:p>
    <w:p>
      <w:pPr>
        <w:pStyle w:val="Nivel2"/>
        <w:numPr>
          <w:ilvl w:val="1"/>
          <w:numId w:val="1"/>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 xml:space="preserve">Homologado o resultado da licitação, o licitante mais bem classificado terá o prazo de </w:t>
      </w:r>
      <w:r>
        <w:rPr>
          <w:rFonts w:eastAsia="Arial" w:ascii="Times New Roman" w:hAnsi="Times New Roman"/>
          <w:color w:val="2A6099"/>
          <w:sz w:val="24"/>
          <w:szCs w:val="24"/>
          <w:shd w:fill="auto" w:val="clear"/>
        </w:rPr>
        <w:t>5</w:t>
      </w:r>
      <w:r>
        <w:rPr>
          <w:rFonts w:ascii="Times New Roman" w:hAnsi="Times New Roman"/>
          <w:sz w:val="24"/>
          <w:szCs w:val="24"/>
          <w:shd w:fill="auto" w:val="clear"/>
        </w:rPr>
        <w:t xml:space="preserve"> dias, contados a partir da data de sua convocação, para assinar a Ata de Registro de Preços, cujo prazo de validade encontra-se nela fixado, sob pena de decadência do direito à contratação, sem prejuízo das sanções previstas na Lei nº 14.133, de 2021.</w:t>
      </w:r>
    </w:p>
    <w:p>
      <w:pPr>
        <w:pStyle w:val="Nivel2"/>
        <w:numPr>
          <w:ilvl w:val="1"/>
          <w:numId w:val="1"/>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O prazo de convocação poderá ser prorrogado uma vez, por igual período, mediante solicitação do licitante mais bem classificado ou do fornecedor convocado, desde que:</w:t>
      </w:r>
    </w:p>
    <w:p>
      <w:pPr>
        <w:pStyle w:val="Nivel3"/>
        <w:numPr>
          <w:ilvl w:val="2"/>
          <w:numId w:val="318"/>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a solicitação seja devidamente justificada e apresentada dentro do prazo; e</w:t>
      </w:r>
    </w:p>
    <w:p>
      <w:pPr>
        <w:pStyle w:val="Nivel3"/>
        <w:numPr>
          <w:ilvl w:val="2"/>
          <w:numId w:val="319"/>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a justificativa apresentada seja aceita pela Administração.</w:t>
      </w:r>
    </w:p>
    <w:p>
      <w:pPr>
        <w:pStyle w:val="Nivel2"/>
        <w:numPr>
          <w:ilvl w:val="1"/>
          <w:numId w:val="1"/>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A ata de registro de preços será assinada por meio de assinatura digital e disponibilizada no sistema de registro de preços.</w:t>
      </w:r>
    </w:p>
    <w:p>
      <w:pPr>
        <w:pStyle w:val="Nivel2"/>
        <w:numPr>
          <w:ilvl w:val="1"/>
          <w:numId w:val="1"/>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Serão formalizadas tantas Atas de Registro de Preços quantas forem necessárias para o registro de todos os itens constantes no Termo de Referência/Projeto Básico, com a indicação do licitante vencedor, a descrição do(s) item(ns), as respectivas quantidades, preços registrados e demais condições.</w:t>
      </w:r>
    </w:p>
    <w:p>
      <w:pPr>
        <w:pStyle w:val="Nivel2"/>
        <w:numPr>
          <w:ilvl w:val="1"/>
          <w:numId w:val="1"/>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O preço registrado, com a indicação dos fornecedores, será divulgado no PNCP e disponibilizado durante a vigência da ata de registro de preços.</w:t>
      </w:r>
    </w:p>
    <w:p>
      <w:pPr>
        <w:pStyle w:val="Nivel2"/>
        <w:numPr>
          <w:ilvl w:val="1"/>
          <w:numId w:val="1"/>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Nivel2"/>
        <w:numPr>
          <w:ilvl w:val="1"/>
          <w:numId w:val="1"/>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pPr>
        <w:pStyle w:val="Nivel2"/>
        <w:numPr>
          <w:ilvl w:val="1"/>
          <w:numId w:val="1"/>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O prazo de vigência da ata de registro de preços será de 1 (um) ano e poderá ser prorrogado, por igual período, desde que comprovado o preço vantajoso.</w:t>
      </w:r>
    </w:p>
    <w:p>
      <w:pPr>
        <w:pStyle w:val="Nivel3"/>
        <w:numPr>
          <w:ilvl w:val="2"/>
          <w:numId w:val="320"/>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Em caso de prorrogação da ata,</w:t>
      </w:r>
      <w:r>
        <w:rPr>
          <w:rFonts w:ascii="Times New Roman" w:hAnsi="Times New Roman"/>
          <w:color w:val="2A6099"/>
          <w:sz w:val="24"/>
          <w:szCs w:val="24"/>
          <w:shd w:fill="auto" w:val="clear"/>
        </w:rPr>
        <w:t xml:space="preserve"> </w:t>
      </w:r>
      <w:r>
        <w:rPr>
          <w:rFonts w:ascii="Times New Roman" w:hAnsi="Times New Roman"/>
          <w:b/>
          <w:bCs/>
          <w:i/>
          <w:iCs/>
          <w:color w:val="2A6099"/>
          <w:sz w:val="24"/>
          <w:szCs w:val="24"/>
          <w:shd w:fill="auto" w:val="clear"/>
        </w:rPr>
        <w:t>poderá</w:t>
      </w:r>
      <w:r>
        <w:rPr>
          <w:rFonts w:ascii="Times New Roman" w:hAnsi="Times New Roman"/>
          <w:color w:val="2A6099"/>
          <w:sz w:val="24"/>
          <w:szCs w:val="24"/>
          <w:shd w:fill="auto" w:val="clear"/>
        </w:rPr>
        <w:t xml:space="preserve"> </w:t>
      </w:r>
      <w:r>
        <w:rPr>
          <w:rFonts w:ascii="Times New Roman" w:hAnsi="Times New Roman"/>
          <w:sz w:val="24"/>
          <w:szCs w:val="24"/>
          <w:shd w:fill="auto" w:val="clear"/>
        </w:rPr>
        <w:t>ser renovado o quantitativo originalmente registrado.</w:t>
      </w:r>
    </w:p>
    <w:p>
      <w:pPr>
        <w:pStyle w:val="Nivel01"/>
        <w:numPr>
          <w:ilvl w:val="0"/>
          <w:numId w:val="1"/>
        </w:numPr>
        <w:spacing w:lineRule="auto" w:line="276" w:before="0" w:after="170"/>
        <w:ind w:hanging="0" w:left="0"/>
        <w:rPr>
          <w:rFonts w:ascii="Times New Roman" w:hAnsi="Times New Roman"/>
          <w:sz w:val="24"/>
          <w:szCs w:val="24"/>
          <w:highlight w:val="none"/>
          <w:shd w:fill="auto" w:val="clear"/>
        </w:rPr>
      </w:pPr>
      <w:bookmarkStart w:id="71" w:name="_Toc215145277"/>
      <w:bookmarkStart w:id="72" w:name="_Toc135469204"/>
      <w:r>
        <w:rPr>
          <w:rFonts w:ascii="Times New Roman" w:hAnsi="Times New Roman"/>
          <w:sz w:val="24"/>
          <w:szCs w:val="24"/>
          <w:shd w:fill="auto" w:val="clear"/>
        </w:rPr>
        <w:t>DA FORMAÇÃO DO CADASTRO DE RESERVA</w:t>
      </w:r>
      <w:bookmarkEnd w:id="71"/>
      <w:bookmarkEnd w:id="72"/>
      <w:r>
        <w:rPr>
          <w:rFonts w:ascii="Times New Roman" w:hAnsi="Times New Roman"/>
          <w:sz w:val="24"/>
          <w:szCs w:val="24"/>
          <w:shd w:fill="auto" w:val="clear"/>
        </w:rPr>
        <w:t xml:space="preserve"> </w:t>
      </w:r>
    </w:p>
    <w:p>
      <w:pPr>
        <w:pStyle w:val="Nivel2"/>
        <w:numPr>
          <w:ilvl w:val="1"/>
          <w:numId w:val="1"/>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Após a homologação da licitação, será incluído na ata, na forma de anexo, o registro:</w:t>
      </w:r>
    </w:p>
    <w:p>
      <w:pPr>
        <w:pStyle w:val="Nivel3"/>
        <w:numPr>
          <w:ilvl w:val="2"/>
          <w:numId w:val="321"/>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 xml:space="preserve">dos licitantes </w:t>
      </w:r>
      <w:bookmarkStart w:id="73" w:name="_Hlk132991372"/>
      <w:r>
        <w:rPr>
          <w:rFonts w:ascii="Times New Roman" w:hAnsi="Times New Roman"/>
          <w:sz w:val="24"/>
          <w:szCs w:val="24"/>
          <w:shd w:fill="auto" w:val="clear"/>
        </w:rPr>
        <w:t xml:space="preserve">que </w:t>
      </w:r>
      <w:bookmarkStart w:id="74" w:name="_Hlk132989696"/>
      <w:r>
        <w:rPr>
          <w:rFonts w:ascii="Times New Roman" w:hAnsi="Times New Roman"/>
          <w:sz w:val="24"/>
          <w:szCs w:val="24"/>
          <w:shd w:fill="auto" w:val="clear"/>
        </w:rPr>
        <w:t>aceitarem cotar o objeto com preço igual ao do adjudicatári</w:t>
      </w:r>
      <w:bookmarkEnd w:id="73"/>
      <w:r>
        <w:rPr>
          <w:rFonts w:ascii="Times New Roman" w:hAnsi="Times New Roman"/>
          <w:sz w:val="24"/>
          <w:szCs w:val="24"/>
          <w:shd w:fill="auto" w:val="clear"/>
        </w:rPr>
        <w:t>o</w:t>
      </w:r>
      <w:bookmarkEnd w:id="74"/>
      <w:r>
        <w:rPr>
          <w:rFonts w:ascii="Times New Roman" w:hAnsi="Times New Roman"/>
          <w:sz w:val="24"/>
          <w:szCs w:val="24"/>
          <w:shd w:fill="auto" w:val="clear"/>
        </w:rPr>
        <w:t xml:space="preserve">, observada a classificação na licitação e excluído o percentual referente à margem de preferência, quando o objeto não atender aos requisitos previstos no art. 26 da Lei nº 14.133, de 2021; e </w:t>
      </w:r>
    </w:p>
    <w:p>
      <w:pPr>
        <w:pStyle w:val="Nivel3"/>
        <w:numPr>
          <w:ilvl w:val="2"/>
          <w:numId w:val="322"/>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dos licitantes que mantiverem sua proposta original</w:t>
      </w:r>
    </w:p>
    <w:p>
      <w:pPr>
        <w:pStyle w:val="Nivel2"/>
        <w:numPr>
          <w:ilvl w:val="1"/>
          <w:numId w:val="1"/>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Será respeitada, nas contratações, a ordem de classificação dos licitantes ou fornecedores registrados na ata.</w:t>
      </w:r>
    </w:p>
    <w:p>
      <w:pPr>
        <w:pStyle w:val="Nivel3"/>
        <w:numPr>
          <w:ilvl w:val="2"/>
          <w:numId w:val="323"/>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A apresentação de novas propostas na forma deste item não prejudicará o resultado do certame em relação ao licitante mais bem classificado.</w:t>
      </w:r>
    </w:p>
    <w:p>
      <w:pPr>
        <w:pStyle w:val="Nivel3"/>
        <w:numPr>
          <w:ilvl w:val="2"/>
          <w:numId w:val="324"/>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Para fins da ordem de classificação, os licitantes ou fornecedores que aceitarem cotar o objeto com preço igual ao do adjudicatário antecederão aqueles que mantiverem sua proposta original.</w:t>
      </w:r>
    </w:p>
    <w:p>
      <w:pPr>
        <w:pStyle w:val="Nivel2"/>
        <w:numPr>
          <w:ilvl w:val="1"/>
          <w:numId w:val="1"/>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A habilitação dos licitantes que comporão o cadastro de reserva será efetuada quando houver necessidade de contratação dos licitantes remanescentes, nas seguintes hipóteses:</w:t>
      </w:r>
    </w:p>
    <w:p>
      <w:pPr>
        <w:pStyle w:val="Nivel3"/>
        <w:numPr>
          <w:ilvl w:val="2"/>
          <w:numId w:val="325"/>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quando o licitante vencedor não assinar a ata de registro de preços no prazo e nas condições estabelecidos no edital; ou</w:t>
      </w:r>
    </w:p>
    <w:p>
      <w:pPr>
        <w:pStyle w:val="Nivel3"/>
        <w:numPr>
          <w:ilvl w:val="2"/>
          <w:numId w:val="326"/>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quando houver o cancelamento do registro do fornecedor ou do registro de preços, nas hipóteses previstas nos art. 28 e art. 29 do Decreto nº 11.462, de 2023.</w:t>
      </w:r>
    </w:p>
    <w:p>
      <w:pPr>
        <w:pStyle w:val="Nivel2"/>
        <w:numPr>
          <w:ilvl w:val="1"/>
          <w:numId w:val="1"/>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pPr>
        <w:pStyle w:val="Nivel3"/>
        <w:numPr>
          <w:ilvl w:val="2"/>
          <w:numId w:val="327"/>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convocar os licitantes que mantiveram sua proposta original para negociação, na ordem de classificação, com vistas à obtenção de preço melhor, mesmo que acima do preço do adjudicatário; ou</w:t>
      </w:r>
    </w:p>
    <w:p>
      <w:pPr>
        <w:pStyle w:val="Nivel3"/>
        <w:numPr>
          <w:ilvl w:val="2"/>
          <w:numId w:val="328"/>
        </w:numPr>
        <w:spacing w:lineRule="auto" w:line="276" w:before="0" w:after="170"/>
        <w:ind w:hanging="0" w:left="0"/>
        <w:rPr>
          <w:rFonts w:ascii="Times New Roman" w:hAnsi="Times New Roman"/>
          <w:sz w:val="24"/>
          <w:szCs w:val="24"/>
          <w:highlight w:val="none"/>
          <w:shd w:fill="auto" w:val="clear"/>
        </w:rPr>
      </w:pPr>
      <w:r>
        <w:rPr>
          <w:rFonts w:ascii="Times New Roman" w:hAnsi="Times New Roman"/>
          <w:sz w:val="24"/>
          <w:szCs w:val="24"/>
          <w:shd w:fill="auto" w:val="clear"/>
        </w:rPr>
        <w:t>adjudicar e firmar o contrato nas condições ofertadas pelos licitantes remanescentes, observada a ordem de classificação, quando frustrada a negociação de melhor condição.</w:t>
      </w:r>
    </w:p>
    <w:p>
      <w:pPr>
        <w:pStyle w:val="Nivel01"/>
        <w:numPr>
          <w:ilvl w:val="0"/>
          <w:numId w:val="1"/>
        </w:numPr>
        <w:spacing w:lineRule="auto" w:line="276" w:before="0" w:after="170"/>
        <w:ind w:hanging="0" w:left="0"/>
        <w:rPr>
          <w:rFonts w:ascii="Times New Roman" w:hAnsi="Times New Roman"/>
          <w:sz w:val="24"/>
          <w:szCs w:val="24"/>
        </w:rPr>
      </w:pPr>
      <w:bookmarkStart w:id="75" w:name="_Toc215145278"/>
      <w:bookmarkStart w:id="76" w:name="_Toc135469205"/>
      <w:r>
        <w:rPr>
          <w:rFonts w:ascii="Times New Roman" w:hAnsi="Times New Roman"/>
          <w:sz w:val="24"/>
          <w:szCs w:val="24"/>
        </w:rPr>
        <w:t>DOS RECURSOS</w:t>
      </w:r>
      <w:bookmarkEnd w:id="75"/>
      <w:bookmarkEnd w:id="76"/>
    </w:p>
    <w:p>
      <w:pPr>
        <w:pStyle w:val="Nivel2"/>
        <w:numPr>
          <w:ilvl w:val="1"/>
          <w:numId w:val="1"/>
        </w:numPr>
        <w:spacing w:lineRule="auto" w:line="276" w:before="0" w:after="170"/>
        <w:ind w:hanging="0" w:left="0"/>
        <w:rPr/>
      </w:pPr>
      <w:r>
        <w:rPr>
          <w:rFonts w:ascii="Times New Roman" w:hAnsi="Times New Roman"/>
          <w:sz w:val="24"/>
          <w:szCs w:val="24"/>
        </w:rPr>
        <w:t xml:space="preserve">A interposição de recurso referente ao julgamento das propostas, à habilitação ou inabilitação de licitantes, à anulação ou revogação da licitação, observará o disposto no </w:t>
      </w:r>
      <w:r>
        <w:fldChar w:fldCharType="begin"/>
      </w:r>
      <w:r>
        <w:rPr>
          <w:rStyle w:val="Hyperlink"/>
          <w:sz w:val="24"/>
          <w:u w:val="none"/>
          <w:szCs w:val="24"/>
          <w:rFonts w:ascii="Times New Roman" w:hAnsi="Times New Roman"/>
          <w:color w:themeColor="text1" w:val="000000"/>
        </w:rPr>
        <w:instrText xml:space="preserve"> HYPERLINK "http://www.planalto.gov.br/ccivil_03/_ato2019-2022/2021/lei/L14133.htm" \l "art165"</w:instrText>
      </w:r>
      <w:r>
        <w:rPr>
          <w:rStyle w:val="Hyperlink"/>
          <w:sz w:val="24"/>
          <w:u w:val="none"/>
          <w:szCs w:val="24"/>
          <w:rFonts w:ascii="Times New Roman" w:hAnsi="Times New Roman"/>
          <w:color w:themeColor="text1" w:val="000000"/>
        </w:rPr>
        <w:fldChar w:fldCharType="separate"/>
      </w:r>
      <w:r>
        <w:rPr>
          <w:rStyle w:val="Hyperlink"/>
          <w:rFonts w:ascii="Times New Roman" w:hAnsi="Times New Roman"/>
          <w:color w:themeColor="text1" w:val="000000"/>
          <w:sz w:val="24"/>
          <w:szCs w:val="24"/>
          <w:u w:val="none"/>
        </w:rPr>
        <w:t>art. 165 da Lei nº 14.133, de 2021</w:t>
      </w:r>
      <w:r>
        <w:rPr>
          <w:rStyle w:val="Hyperlink"/>
          <w:sz w:val="24"/>
          <w:u w:val="none"/>
          <w:szCs w:val="24"/>
          <w:rFonts w:ascii="Times New Roman" w:hAnsi="Times New Roman"/>
          <w:color w:themeColor="text1" w:val="000000"/>
        </w:rPr>
        <w:fldChar w:fldCharType="end"/>
      </w:r>
      <w:r>
        <w:rPr>
          <w:rFonts w:ascii="Times New Roman" w:hAnsi="Times New Roman"/>
          <w:sz w:val="24"/>
          <w:szCs w:val="24"/>
        </w:rPr>
        <w:t>.</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O prazo recursal é de 3 (três) dias úteis, contados da data de intimação ou de lavratura da ata.</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Quando o recurso apresentado impugnar o julgamento das propostas ou o ato de habilitação ou inabilitação do licitante:</w:t>
      </w:r>
    </w:p>
    <w:p>
      <w:pPr>
        <w:pStyle w:val="Nivel3"/>
        <w:numPr>
          <w:ilvl w:val="2"/>
          <w:numId w:val="329"/>
        </w:numPr>
        <w:spacing w:lineRule="auto" w:line="276" w:before="0" w:after="170"/>
        <w:ind w:hanging="0" w:left="0"/>
        <w:rPr>
          <w:rFonts w:ascii="Times New Roman" w:hAnsi="Times New Roman"/>
          <w:sz w:val="24"/>
          <w:szCs w:val="24"/>
        </w:rPr>
      </w:pPr>
      <w:r>
        <w:rPr>
          <w:rFonts w:ascii="Times New Roman" w:hAnsi="Times New Roman"/>
          <w:sz w:val="24"/>
          <w:szCs w:val="24"/>
        </w:rPr>
        <w:t>a intenção de recorrer deverá ser manifestada imediatamente, sob pena de preclusão;</w:t>
      </w:r>
    </w:p>
    <w:p>
      <w:pPr>
        <w:pStyle w:val="Nivel3"/>
        <w:numPr>
          <w:ilvl w:val="2"/>
          <w:numId w:val="330"/>
        </w:numPr>
        <w:spacing w:lineRule="auto" w:line="276" w:before="0" w:after="170"/>
        <w:ind w:hanging="0" w:left="0"/>
        <w:rPr>
          <w:rFonts w:ascii="Times New Roman" w:hAnsi="Times New Roman"/>
          <w:sz w:val="24"/>
          <w:szCs w:val="24"/>
        </w:rPr>
      </w:pPr>
      <w:bookmarkStart w:id="77" w:name="_Hlk135315794"/>
      <w:bookmarkStart w:id="78" w:name="_Hlk135318381"/>
      <w:r>
        <w:rPr>
          <w:rFonts w:ascii="Times New Roman" w:hAnsi="Times New Roman"/>
          <w:sz w:val="24"/>
          <w:szCs w:val="24"/>
        </w:rPr>
        <w:t>o prazo para a manifestação da intenção de recorrer não será inferior a 10 (dez) minutos.</w:t>
      </w:r>
      <w:bookmarkEnd w:id="77"/>
      <w:bookmarkEnd w:id="78"/>
    </w:p>
    <w:p>
      <w:pPr>
        <w:pStyle w:val="Nivel3"/>
        <w:numPr>
          <w:ilvl w:val="2"/>
          <w:numId w:val="331"/>
        </w:numPr>
        <w:spacing w:lineRule="auto" w:line="276" w:before="0" w:after="170"/>
        <w:ind w:hanging="0" w:left="0"/>
        <w:rPr>
          <w:rFonts w:ascii="Times New Roman" w:hAnsi="Times New Roman"/>
          <w:sz w:val="24"/>
          <w:szCs w:val="24"/>
        </w:rPr>
      </w:pPr>
      <w:r>
        <w:rPr>
          <w:rFonts w:ascii="Times New Roman" w:hAnsi="Times New Roman"/>
          <w:sz w:val="24"/>
          <w:szCs w:val="24"/>
        </w:rPr>
        <w:t>o prazo para apresentação das razões recursais será iniciado na data de intimação ou de lavratura da ata de habilitação ou inabilitação;</w:t>
      </w:r>
    </w:p>
    <w:p>
      <w:pPr>
        <w:pStyle w:val="Nivel3"/>
        <w:numPr>
          <w:ilvl w:val="2"/>
          <w:numId w:val="332"/>
        </w:numPr>
        <w:spacing w:lineRule="auto" w:line="276" w:before="0" w:after="170"/>
        <w:ind w:hanging="0" w:left="0"/>
        <w:rPr/>
      </w:pPr>
      <w:r>
        <w:rPr>
          <w:rFonts w:ascii="Times New Roman" w:hAnsi="Times New Roman"/>
          <w:sz w:val="24"/>
          <w:szCs w:val="24"/>
        </w:rPr>
        <w:t xml:space="preserve">na hipótese de adoção da inversão de fases prevista no </w:t>
      </w:r>
      <w:r>
        <w:fldChar w:fldCharType="begin"/>
      </w:r>
      <w:r>
        <w:rPr>
          <w:rStyle w:val="Hyperlink"/>
          <w:sz w:val="24"/>
          <w:u w:val="none"/>
          <w:szCs w:val="24"/>
          <w:rFonts w:ascii="Times New Roman" w:hAnsi="Times New Roman"/>
          <w:color w:themeColor="text1" w:val="000000"/>
        </w:rPr>
        <w:instrText xml:space="preserve"> HYPERLINK "http://www.planalto.gov.br/ccivil_03/_ato2019-2022/2021/lei/L14133.htm" \l "art17%C2%A71"</w:instrText>
      </w:r>
      <w:r>
        <w:rPr>
          <w:rStyle w:val="Hyperlink"/>
          <w:sz w:val="24"/>
          <w:u w:val="none"/>
          <w:szCs w:val="24"/>
          <w:rFonts w:ascii="Times New Roman" w:hAnsi="Times New Roman"/>
          <w:color w:themeColor="text1" w:val="000000"/>
        </w:rPr>
        <w:fldChar w:fldCharType="separate"/>
      </w:r>
      <w:r>
        <w:rPr>
          <w:rStyle w:val="Hyperlink"/>
          <w:rFonts w:ascii="Times New Roman" w:hAnsi="Times New Roman"/>
          <w:color w:themeColor="text1" w:val="000000"/>
          <w:sz w:val="24"/>
          <w:szCs w:val="24"/>
          <w:u w:val="none"/>
        </w:rPr>
        <w:t>§ 1º do art. 17 da Lei nº 14.133, de 2021</w:t>
      </w:r>
      <w:r>
        <w:rPr>
          <w:rStyle w:val="Hyperlink"/>
          <w:sz w:val="24"/>
          <w:u w:val="none"/>
          <w:szCs w:val="24"/>
          <w:rFonts w:ascii="Times New Roman" w:hAnsi="Times New Roman"/>
          <w:color w:themeColor="text1" w:val="000000"/>
        </w:rPr>
        <w:fldChar w:fldCharType="end"/>
      </w:r>
      <w:r>
        <w:rPr>
          <w:rFonts w:ascii="Times New Roman" w:hAnsi="Times New Roman"/>
          <w:sz w:val="24"/>
          <w:szCs w:val="24"/>
        </w:rPr>
        <w:t>, o prazo para apresentação das razões recursais será iniciado na data de intimação da ata de julgamento.</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Os recursos deverão ser encaminhados em campo próprio do sistema.</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Os recursos interpostos fora do prazo não serão conhecidos. </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O recurso e o pedido de reconsideração terão efeito suspensivo do ato ou da decisão recorrida até que sobrevenha decisão final da autoridade competente. </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O acolhimento do recurso invalida tão somente os atos insuscetíveis de aproveitamento. </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Os autos do processo permanecerão com vista franqueada aos interessados no sítio eletrônico </w:t>
      </w:r>
      <w:r>
        <w:rPr>
          <w:rFonts w:ascii="Times New Roman" w:hAnsi="Times New Roman"/>
          <w:b w:val="false"/>
          <w:bCs w:val="false"/>
          <w:color w:val="auto"/>
          <w:sz w:val="24"/>
          <w:szCs w:val="24"/>
        </w:rPr>
        <w:t>salc.pregoes.eb</w:t>
      </w:r>
      <w:r>
        <w:rPr>
          <w:rFonts w:cs="Arial" w:ascii="Times New Roman" w:hAnsi="Times New Roman"/>
          <w:b w:val="false"/>
          <w:bCs w:val="false"/>
          <w:color w:val="000000"/>
          <w:sz w:val="20"/>
          <w:szCs w:val="20"/>
          <w:lang w:eastAsia="pt-BR"/>
        </w:rPr>
        <w:t>@gmail.com</w:t>
      </w:r>
    </w:p>
    <w:p>
      <w:pPr>
        <w:pStyle w:val="Nivel01"/>
        <w:numPr>
          <w:ilvl w:val="0"/>
          <w:numId w:val="1"/>
        </w:numPr>
        <w:spacing w:lineRule="auto" w:line="276" w:before="0" w:after="170"/>
        <w:ind w:hanging="0" w:left="0"/>
        <w:rPr>
          <w:rFonts w:ascii="Times New Roman" w:hAnsi="Times New Roman"/>
          <w:sz w:val="24"/>
          <w:szCs w:val="24"/>
        </w:rPr>
      </w:pPr>
      <w:bookmarkStart w:id="79" w:name="_Toc215145279"/>
      <w:bookmarkStart w:id="80" w:name="_Toc135469206"/>
      <w:r>
        <w:rPr>
          <w:rFonts w:ascii="Times New Roman" w:hAnsi="Times New Roman"/>
          <w:sz w:val="24"/>
          <w:szCs w:val="24"/>
        </w:rPr>
        <w:t>DAS INFRAÇÕES ADMINISTRATIVAS E SANÇÕES</w:t>
      </w:r>
      <w:bookmarkEnd w:id="79"/>
      <w:bookmarkEnd w:id="80"/>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Comete infração administrativa, nos termos da lei, o licitante que, com dolo ou culpa: </w:t>
      </w:r>
    </w:p>
    <w:p>
      <w:pPr>
        <w:pStyle w:val="Nivel3"/>
        <w:numPr>
          <w:ilvl w:val="2"/>
          <w:numId w:val="333"/>
        </w:numPr>
        <w:spacing w:lineRule="auto" w:line="276" w:before="0" w:after="170"/>
        <w:ind w:hanging="0" w:left="0"/>
        <w:rPr>
          <w:rFonts w:ascii="Times New Roman" w:hAnsi="Times New Roman"/>
          <w:sz w:val="24"/>
          <w:szCs w:val="24"/>
        </w:rPr>
      </w:pPr>
      <w:bookmarkStart w:id="81" w:name="_Ref114668085"/>
      <w:r>
        <w:rPr>
          <w:rFonts w:ascii="Times New Roman" w:hAnsi="Times New Roman"/>
          <w:sz w:val="24"/>
          <w:szCs w:val="24"/>
        </w:rPr>
        <w:t>deixar de entregar a documentação exigida para o certame ou não entregar qualquer documento que tenha sido solicitado pelo Pregoeiro/Agente de Contratação/Comissão durante o certame;</w:t>
      </w:r>
      <w:bookmarkEnd w:id="81"/>
    </w:p>
    <w:p>
      <w:pPr>
        <w:pStyle w:val="Nivel3"/>
        <w:numPr>
          <w:ilvl w:val="2"/>
          <w:numId w:val="334"/>
        </w:numPr>
        <w:spacing w:lineRule="auto" w:line="276" w:before="0" w:after="170"/>
        <w:ind w:hanging="0" w:left="0"/>
        <w:rPr>
          <w:rFonts w:ascii="Times New Roman" w:hAnsi="Times New Roman"/>
          <w:sz w:val="24"/>
          <w:szCs w:val="24"/>
        </w:rPr>
      </w:pPr>
      <w:bookmarkStart w:id="82" w:name="_Ref114668108"/>
      <w:r>
        <w:rPr>
          <w:rFonts w:ascii="Times New Roman" w:hAnsi="Times New Roman"/>
          <w:sz w:val="24"/>
          <w:szCs w:val="24"/>
        </w:rPr>
        <w:t>salvo em decorrência de fato superveniente devidamente justificado, não mantiver a proposta em especial quando:</w:t>
      </w:r>
      <w:bookmarkEnd w:id="82"/>
    </w:p>
    <w:p>
      <w:pPr>
        <w:pStyle w:val="Nivel4"/>
        <w:numPr>
          <w:ilvl w:val="3"/>
          <w:numId w:val="1"/>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não enviar a proposta adequada ao último lance ofertado ou após a negociação; </w:t>
      </w:r>
    </w:p>
    <w:p>
      <w:pPr>
        <w:pStyle w:val="Nivel4"/>
        <w:numPr>
          <w:ilvl w:val="3"/>
          <w:numId w:val="1"/>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recusar-se a enviar o detalhamento da proposta quando exigível; </w:t>
      </w:r>
    </w:p>
    <w:p>
      <w:pPr>
        <w:pStyle w:val="Nivel4"/>
        <w:numPr>
          <w:ilvl w:val="3"/>
          <w:numId w:val="1"/>
        </w:numPr>
        <w:spacing w:lineRule="auto" w:line="276" w:before="0" w:after="170"/>
        <w:ind w:hanging="0" w:left="0"/>
        <w:rPr>
          <w:rFonts w:ascii="Times New Roman" w:hAnsi="Times New Roman"/>
          <w:sz w:val="24"/>
          <w:szCs w:val="24"/>
        </w:rPr>
      </w:pPr>
      <w:r>
        <w:rPr>
          <w:rFonts w:ascii="Times New Roman" w:hAnsi="Times New Roman"/>
          <w:sz w:val="24"/>
          <w:szCs w:val="24"/>
        </w:rPr>
        <w:t>pedir para ser desclassificado quando encerrada a etapa competitiva;</w:t>
      </w:r>
    </w:p>
    <w:p>
      <w:pPr>
        <w:pStyle w:val="Nivel4"/>
        <w:numPr>
          <w:ilvl w:val="3"/>
          <w:numId w:val="1"/>
        </w:numPr>
        <w:spacing w:lineRule="auto" w:line="276" w:before="0" w:after="170"/>
        <w:ind w:hanging="0" w:left="0"/>
        <w:rPr>
          <w:rFonts w:ascii="Times New Roman" w:hAnsi="Times New Roman"/>
          <w:sz w:val="24"/>
          <w:szCs w:val="24"/>
        </w:rPr>
      </w:pPr>
      <w:r>
        <w:rPr>
          <w:rFonts w:ascii="Times New Roman" w:hAnsi="Times New Roman"/>
          <w:sz w:val="24"/>
          <w:szCs w:val="24"/>
        </w:rPr>
        <w:t>deixar de apresentar amostra;</w:t>
      </w:r>
    </w:p>
    <w:p>
      <w:pPr>
        <w:pStyle w:val="Nivel4"/>
        <w:numPr>
          <w:ilvl w:val="3"/>
          <w:numId w:val="1"/>
        </w:numPr>
        <w:spacing w:lineRule="auto" w:line="276" w:before="0" w:after="170"/>
        <w:ind w:hanging="0" w:left="0"/>
        <w:rPr>
          <w:rFonts w:ascii="Times New Roman" w:hAnsi="Times New Roman"/>
          <w:sz w:val="24"/>
          <w:szCs w:val="24"/>
        </w:rPr>
      </w:pPr>
      <w:r>
        <w:rPr>
          <w:rFonts w:ascii="Times New Roman" w:hAnsi="Times New Roman"/>
          <w:sz w:val="24"/>
          <w:szCs w:val="24"/>
        </w:rPr>
        <w:t>apresentar proposta ou amostra em desacordo com as especificações do edital.</w:t>
      </w:r>
    </w:p>
    <w:p>
      <w:pPr>
        <w:pStyle w:val="Nivel3"/>
        <w:numPr>
          <w:ilvl w:val="2"/>
          <w:numId w:val="335"/>
        </w:numPr>
        <w:spacing w:lineRule="auto" w:line="276" w:before="0" w:after="170"/>
        <w:ind w:hanging="0" w:left="0"/>
        <w:rPr>
          <w:rFonts w:ascii="Times New Roman" w:hAnsi="Times New Roman"/>
          <w:sz w:val="24"/>
          <w:szCs w:val="24"/>
        </w:rPr>
      </w:pPr>
      <w:bookmarkStart w:id="83" w:name="_Ref114668139"/>
      <w:r>
        <w:rPr>
          <w:rFonts w:ascii="Times New Roman" w:hAnsi="Times New Roman"/>
          <w:sz w:val="24"/>
          <w:szCs w:val="24"/>
        </w:rPr>
        <w:t>não celebrar o contrato ou não entregar a documentação exigida para a contratação, quando convocado dentro do prazo de validade de sua proposta;</w:t>
      </w:r>
      <w:bookmarkEnd w:id="83"/>
    </w:p>
    <w:p>
      <w:pPr>
        <w:pStyle w:val="Nivel3"/>
        <w:numPr>
          <w:ilvl w:val="2"/>
          <w:numId w:val="336"/>
        </w:numPr>
        <w:spacing w:lineRule="auto" w:line="276" w:before="0" w:after="170"/>
        <w:ind w:hanging="0" w:left="0"/>
        <w:rPr>
          <w:rFonts w:ascii="Times New Roman" w:hAnsi="Times New Roman"/>
          <w:sz w:val="24"/>
          <w:szCs w:val="24"/>
        </w:rPr>
      </w:pPr>
      <w:bookmarkStart w:id="84" w:name="_Ref192168045"/>
      <w:r>
        <w:rPr>
          <w:rFonts w:ascii="Times New Roman" w:hAnsi="Times New Roman"/>
          <w:sz w:val="24"/>
          <w:szCs w:val="24"/>
        </w:rPr>
        <w:t>recusar-se, sem justificativa, a assinar o contrato ou a ata de registro de preço, ou a aceitar ou retirar o instrumento equivalente no prazo estabelecido pela Administração;</w:t>
      </w:r>
      <w:bookmarkEnd w:id="84"/>
    </w:p>
    <w:p>
      <w:pPr>
        <w:pStyle w:val="Nivel3"/>
        <w:numPr>
          <w:ilvl w:val="2"/>
          <w:numId w:val="337"/>
        </w:numPr>
        <w:spacing w:lineRule="auto" w:line="276" w:before="0" w:after="170"/>
        <w:ind w:hanging="0" w:left="0"/>
        <w:rPr>
          <w:rFonts w:ascii="Times New Roman" w:hAnsi="Times New Roman"/>
          <w:sz w:val="24"/>
          <w:szCs w:val="24"/>
        </w:rPr>
      </w:pPr>
      <w:bookmarkStart w:id="85" w:name="_Ref114668249"/>
      <w:r>
        <w:rPr>
          <w:rFonts w:ascii="Times New Roman" w:hAnsi="Times New Roman"/>
          <w:sz w:val="24"/>
          <w:szCs w:val="24"/>
        </w:rPr>
        <w:t>apresentar declaração ou documentação falsa exigida para o certame ou prestar declaração falsa durante a licitação</w:t>
      </w:r>
      <w:bookmarkEnd w:id="85"/>
      <w:r>
        <w:rPr>
          <w:rFonts w:ascii="Times New Roman" w:hAnsi="Times New Roman"/>
          <w:sz w:val="24"/>
          <w:szCs w:val="24"/>
        </w:rPr>
        <w:t>;</w:t>
      </w:r>
    </w:p>
    <w:p>
      <w:pPr>
        <w:pStyle w:val="Nivel3"/>
        <w:numPr>
          <w:ilvl w:val="2"/>
          <w:numId w:val="338"/>
        </w:numPr>
        <w:spacing w:lineRule="auto" w:line="276" w:before="0" w:after="170"/>
        <w:ind w:hanging="0" w:left="0"/>
        <w:rPr>
          <w:rFonts w:ascii="Times New Roman" w:hAnsi="Times New Roman"/>
          <w:sz w:val="24"/>
          <w:szCs w:val="24"/>
        </w:rPr>
      </w:pPr>
      <w:bookmarkStart w:id="86" w:name="_Ref114668245"/>
      <w:r>
        <w:rPr>
          <w:rFonts w:ascii="Times New Roman" w:hAnsi="Times New Roman"/>
          <w:sz w:val="24"/>
          <w:szCs w:val="24"/>
        </w:rPr>
        <w:t>fraudar a licitação</w:t>
      </w:r>
      <w:bookmarkEnd w:id="86"/>
      <w:r>
        <w:rPr>
          <w:rFonts w:ascii="Times New Roman" w:hAnsi="Times New Roman"/>
          <w:sz w:val="24"/>
          <w:szCs w:val="24"/>
        </w:rPr>
        <w:t>;</w:t>
      </w:r>
    </w:p>
    <w:p>
      <w:pPr>
        <w:pStyle w:val="Nivel3"/>
        <w:numPr>
          <w:ilvl w:val="2"/>
          <w:numId w:val="339"/>
        </w:numPr>
        <w:spacing w:lineRule="auto" w:line="276" w:before="0" w:after="170"/>
        <w:ind w:hanging="0" w:left="0"/>
        <w:rPr>
          <w:rFonts w:ascii="Times New Roman" w:hAnsi="Times New Roman"/>
          <w:sz w:val="24"/>
          <w:szCs w:val="24"/>
        </w:rPr>
      </w:pPr>
      <w:bookmarkStart w:id="87" w:name="_Ref114668247"/>
      <w:r>
        <w:rPr>
          <w:rFonts w:ascii="Times New Roman" w:hAnsi="Times New Roman"/>
          <w:sz w:val="24"/>
          <w:szCs w:val="24"/>
        </w:rPr>
        <w:t>comportar-se de modo inidôneo ou cometer fraude de qualquer natureza, em especial quando:</w:t>
      </w:r>
      <w:bookmarkEnd w:id="87"/>
    </w:p>
    <w:p>
      <w:pPr>
        <w:pStyle w:val="Nivel4"/>
        <w:numPr>
          <w:ilvl w:val="3"/>
          <w:numId w:val="1"/>
        </w:numPr>
        <w:spacing w:lineRule="auto" w:line="276" w:before="0" w:after="170"/>
        <w:ind w:hanging="0" w:left="0"/>
        <w:rPr>
          <w:rFonts w:ascii="Times New Roman" w:hAnsi="Times New Roman"/>
          <w:sz w:val="24"/>
          <w:szCs w:val="24"/>
        </w:rPr>
      </w:pPr>
      <w:r>
        <w:rPr>
          <w:rFonts w:ascii="Times New Roman" w:hAnsi="Times New Roman"/>
          <w:sz w:val="24"/>
          <w:szCs w:val="24"/>
        </w:rPr>
        <w:t>agir em conluio ou em desconformidade com a lei;</w:t>
      </w:r>
    </w:p>
    <w:p>
      <w:pPr>
        <w:pStyle w:val="Nivel4"/>
        <w:numPr>
          <w:ilvl w:val="3"/>
          <w:numId w:val="1"/>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induzir deliberadamente a erro no julgamento; </w:t>
      </w:r>
    </w:p>
    <w:p>
      <w:pPr>
        <w:pStyle w:val="Nivel4"/>
        <w:numPr>
          <w:ilvl w:val="3"/>
          <w:numId w:val="1"/>
        </w:numPr>
        <w:spacing w:lineRule="auto" w:line="276" w:before="0" w:after="170"/>
        <w:ind w:hanging="0" w:left="0"/>
        <w:rPr>
          <w:rFonts w:ascii="Times New Roman" w:hAnsi="Times New Roman"/>
          <w:sz w:val="24"/>
          <w:szCs w:val="24"/>
        </w:rPr>
      </w:pPr>
      <w:r>
        <w:rPr>
          <w:rFonts w:ascii="Times New Roman" w:hAnsi="Times New Roman"/>
          <w:sz w:val="24"/>
          <w:szCs w:val="24"/>
        </w:rPr>
        <w:t>apresentar amostra falsificada ou deteriorada.</w:t>
      </w:r>
    </w:p>
    <w:p>
      <w:pPr>
        <w:pStyle w:val="Nivel3"/>
        <w:numPr>
          <w:ilvl w:val="2"/>
          <w:numId w:val="340"/>
        </w:numPr>
        <w:spacing w:lineRule="auto" w:line="276" w:before="0" w:after="170"/>
        <w:ind w:hanging="0" w:left="0"/>
        <w:rPr>
          <w:rFonts w:ascii="Times New Roman" w:hAnsi="Times New Roman"/>
          <w:sz w:val="24"/>
          <w:szCs w:val="24"/>
        </w:rPr>
      </w:pPr>
      <w:bookmarkStart w:id="88" w:name="_Ref114668251"/>
      <w:r>
        <w:rPr>
          <w:rFonts w:ascii="Times New Roman" w:hAnsi="Times New Roman"/>
          <w:sz w:val="24"/>
          <w:szCs w:val="24"/>
        </w:rPr>
        <w:t>praticar atos ilícitos com vistas a frustrar os objetivos da licitação</w:t>
      </w:r>
      <w:bookmarkEnd w:id="88"/>
      <w:r>
        <w:rPr>
          <w:rFonts w:ascii="Times New Roman" w:hAnsi="Times New Roman"/>
          <w:sz w:val="24"/>
          <w:szCs w:val="24"/>
        </w:rPr>
        <w:t>;</w:t>
      </w:r>
    </w:p>
    <w:p>
      <w:pPr>
        <w:pStyle w:val="Nivel3"/>
        <w:numPr>
          <w:ilvl w:val="2"/>
          <w:numId w:val="341"/>
        </w:numPr>
        <w:spacing w:lineRule="auto" w:line="276" w:before="0" w:after="170"/>
        <w:ind w:hanging="0" w:left="0"/>
        <w:rPr>
          <w:rFonts w:ascii="Times New Roman" w:hAnsi="Times New Roman"/>
          <w:sz w:val="24"/>
          <w:szCs w:val="24"/>
        </w:rPr>
      </w:pPr>
      <w:bookmarkStart w:id="89" w:name="_Hlk114652595"/>
      <w:bookmarkStart w:id="90" w:name="_Ref114668252"/>
      <w:r>
        <w:rPr>
          <w:rFonts w:ascii="Times New Roman" w:hAnsi="Times New Roman"/>
          <w:sz w:val="24"/>
          <w:szCs w:val="24"/>
        </w:rPr>
        <w:t>praticar ato lesivo previsto no art. 5º da Lei nº 12.846, de 2013.</w:t>
      </w:r>
      <w:bookmarkEnd w:id="89"/>
      <w:bookmarkEnd w:id="90"/>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pPr>
        <w:pStyle w:val="Nivel3"/>
        <w:numPr>
          <w:ilvl w:val="2"/>
          <w:numId w:val="342"/>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advertência; </w:t>
      </w:r>
    </w:p>
    <w:p>
      <w:pPr>
        <w:pStyle w:val="Nivel3"/>
        <w:numPr>
          <w:ilvl w:val="2"/>
          <w:numId w:val="343"/>
        </w:numPr>
        <w:spacing w:lineRule="auto" w:line="276" w:before="0" w:after="170"/>
        <w:ind w:hanging="0" w:left="0"/>
        <w:rPr>
          <w:rFonts w:ascii="Times New Roman" w:hAnsi="Times New Roman"/>
          <w:sz w:val="24"/>
          <w:szCs w:val="24"/>
        </w:rPr>
      </w:pPr>
      <w:r>
        <w:rPr>
          <w:rFonts w:ascii="Times New Roman" w:hAnsi="Times New Roman"/>
          <w:sz w:val="24"/>
          <w:szCs w:val="24"/>
        </w:rPr>
        <w:t>multa;</w:t>
      </w:r>
    </w:p>
    <w:p>
      <w:pPr>
        <w:pStyle w:val="Nivel3"/>
        <w:numPr>
          <w:ilvl w:val="2"/>
          <w:numId w:val="344"/>
        </w:numPr>
        <w:spacing w:lineRule="auto" w:line="276" w:before="0" w:after="170"/>
        <w:ind w:hanging="0" w:left="0"/>
        <w:rPr>
          <w:rFonts w:ascii="Times New Roman" w:hAnsi="Times New Roman"/>
          <w:sz w:val="24"/>
          <w:szCs w:val="24"/>
        </w:rPr>
      </w:pPr>
      <w:r>
        <w:rPr>
          <w:rFonts w:ascii="Times New Roman" w:hAnsi="Times New Roman"/>
          <w:sz w:val="24"/>
          <w:szCs w:val="24"/>
        </w:rPr>
        <w:t>impedimento de licitar e contratar e</w:t>
      </w:r>
    </w:p>
    <w:p>
      <w:pPr>
        <w:pStyle w:val="Nivel3"/>
        <w:numPr>
          <w:ilvl w:val="2"/>
          <w:numId w:val="345"/>
        </w:numPr>
        <w:spacing w:lineRule="auto" w:line="276" w:before="0" w:after="170"/>
        <w:ind w:hanging="0" w:left="0"/>
        <w:rPr>
          <w:rFonts w:ascii="Times New Roman" w:hAnsi="Times New Roman"/>
          <w:sz w:val="24"/>
          <w:szCs w:val="24"/>
        </w:rPr>
      </w:pPr>
      <w:r>
        <w:rPr>
          <w:rFonts w:ascii="Times New Roman" w:hAnsi="Times New Roman"/>
          <w:sz w:val="24"/>
          <w:szCs w:val="24"/>
        </w:rPr>
        <w:t>declaração de inidoneidade para licitar ou contratar, enquanto perdurarem os motivos determinantes da punição ou até que seja promovida sua reabilitação perante a própria autoridade que aplicou a penalidade.</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Na aplicação das sanções serão considerados:</w:t>
      </w:r>
    </w:p>
    <w:p>
      <w:pPr>
        <w:pStyle w:val="Nivel3"/>
        <w:numPr>
          <w:ilvl w:val="2"/>
          <w:numId w:val="346"/>
        </w:numPr>
        <w:spacing w:lineRule="auto" w:line="276" w:before="0" w:after="170"/>
        <w:ind w:hanging="0" w:left="0"/>
        <w:rPr>
          <w:rFonts w:ascii="Times New Roman" w:hAnsi="Times New Roman"/>
          <w:sz w:val="24"/>
          <w:szCs w:val="24"/>
        </w:rPr>
      </w:pPr>
      <w:r>
        <w:rPr>
          <w:rFonts w:ascii="Times New Roman" w:hAnsi="Times New Roman"/>
          <w:sz w:val="24"/>
          <w:szCs w:val="24"/>
        </w:rPr>
        <w:t>a natureza e a gravidade da infração cometida;</w:t>
      </w:r>
    </w:p>
    <w:p>
      <w:pPr>
        <w:pStyle w:val="Nivel3"/>
        <w:numPr>
          <w:ilvl w:val="2"/>
          <w:numId w:val="347"/>
        </w:numPr>
        <w:spacing w:lineRule="auto" w:line="276" w:before="0" w:after="170"/>
        <w:ind w:hanging="0" w:left="0"/>
        <w:rPr>
          <w:rFonts w:ascii="Times New Roman" w:hAnsi="Times New Roman"/>
          <w:sz w:val="24"/>
          <w:szCs w:val="24"/>
        </w:rPr>
      </w:pPr>
      <w:r>
        <w:rPr>
          <w:rFonts w:ascii="Times New Roman" w:hAnsi="Times New Roman"/>
          <w:sz w:val="24"/>
          <w:szCs w:val="24"/>
        </w:rPr>
        <w:t>as peculiaridades do caso concreto;</w:t>
      </w:r>
    </w:p>
    <w:p>
      <w:pPr>
        <w:pStyle w:val="Nivel3"/>
        <w:numPr>
          <w:ilvl w:val="2"/>
          <w:numId w:val="348"/>
        </w:numPr>
        <w:spacing w:lineRule="auto" w:line="276" w:before="0" w:after="170"/>
        <w:ind w:hanging="0" w:left="0"/>
        <w:rPr>
          <w:rFonts w:ascii="Times New Roman" w:hAnsi="Times New Roman"/>
          <w:sz w:val="24"/>
          <w:szCs w:val="24"/>
        </w:rPr>
      </w:pPr>
      <w:r>
        <w:rPr>
          <w:rFonts w:ascii="Times New Roman" w:hAnsi="Times New Roman"/>
          <w:sz w:val="24"/>
          <w:szCs w:val="24"/>
        </w:rPr>
        <w:t>as circunstâncias agravantes ou atenuantes;</w:t>
      </w:r>
    </w:p>
    <w:p>
      <w:pPr>
        <w:pStyle w:val="Nivel3"/>
        <w:numPr>
          <w:ilvl w:val="2"/>
          <w:numId w:val="349"/>
        </w:numPr>
        <w:spacing w:lineRule="auto" w:line="276" w:before="0" w:after="170"/>
        <w:ind w:hanging="0" w:left="0"/>
        <w:rPr>
          <w:rFonts w:ascii="Times New Roman" w:hAnsi="Times New Roman"/>
          <w:sz w:val="24"/>
          <w:szCs w:val="24"/>
        </w:rPr>
      </w:pPr>
      <w:r>
        <w:rPr>
          <w:rFonts w:ascii="Times New Roman" w:hAnsi="Times New Roman"/>
          <w:sz w:val="24"/>
          <w:szCs w:val="24"/>
        </w:rPr>
        <w:t>os danos que dela provierem para a Administração Pública;</w:t>
      </w:r>
    </w:p>
    <w:p>
      <w:pPr>
        <w:pStyle w:val="Nivel3"/>
        <w:numPr>
          <w:ilvl w:val="2"/>
          <w:numId w:val="350"/>
        </w:numPr>
        <w:spacing w:lineRule="auto" w:line="276" w:before="0" w:after="170"/>
        <w:ind w:hanging="0" w:left="0"/>
        <w:rPr>
          <w:rFonts w:ascii="Times New Roman" w:hAnsi="Times New Roman"/>
          <w:sz w:val="24"/>
          <w:szCs w:val="24"/>
        </w:rPr>
      </w:pPr>
      <w:r>
        <w:rPr>
          <w:rFonts w:ascii="Times New Roman" w:hAnsi="Times New Roman"/>
          <w:sz w:val="24"/>
          <w:szCs w:val="24"/>
        </w:rPr>
        <w:t>a implantação ou o aperfeiçoamento de programa de integridade, conforme normas e orientações dos órgãos de controle.</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A multa será recolhida no prazo máximo de </w:t>
      </w:r>
      <w:r>
        <w:rPr>
          <w:rFonts w:ascii="Times New Roman" w:hAnsi="Times New Roman"/>
          <w:i/>
          <w:iCs/>
          <w:color w:val="2A6099"/>
          <w:sz w:val="24"/>
          <w:szCs w:val="24"/>
        </w:rPr>
        <w:t>30</w:t>
      </w:r>
      <w:r>
        <w:rPr>
          <w:rFonts w:ascii="Times New Roman" w:hAnsi="Times New Roman"/>
          <w:color w:val="auto"/>
          <w:sz w:val="24"/>
          <w:szCs w:val="24"/>
        </w:rPr>
        <w:t xml:space="preserve"> dias</w:t>
      </w:r>
      <w:r>
        <w:rPr>
          <w:rFonts w:ascii="Times New Roman" w:hAnsi="Times New Roman"/>
          <w:color w:val="FF0000"/>
          <w:sz w:val="24"/>
          <w:szCs w:val="24"/>
        </w:rPr>
        <w:t xml:space="preserve"> </w:t>
      </w:r>
      <w:r>
        <w:rPr>
          <w:rFonts w:ascii="Times New Roman" w:hAnsi="Times New Roman"/>
          <w:sz w:val="24"/>
          <w:szCs w:val="24"/>
        </w:rPr>
        <w:t xml:space="preserve">úteis, a contar da comunicação oficial. </w:t>
      </w:r>
    </w:p>
    <w:p>
      <w:pPr>
        <w:pStyle w:val="Nivel3"/>
        <w:numPr>
          <w:ilvl w:val="2"/>
          <w:numId w:val="351"/>
        </w:numPr>
        <w:spacing w:lineRule="auto" w:line="276" w:before="0" w:after="170"/>
        <w:ind w:hanging="0" w:left="0"/>
        <w:rPr>
          <w:rFonts w:ascii="Times New Roman" w:hAnsi="Times New Roman"/>
          <w:sz w:val="24"/>
          <w:szCs w:val="24"/>
        </w:rPr>
      </w:pPr>
      <w:bookmarkStart w:id="91" w:name="_Hlk113876035"/>
      <w:bookmarkEnd w:id="91"/>
      <w:r>
        <w:rPr>
          <w:rFonts w:ascii="Times New Roman" w:hAnsi="Times New Roman"/>
          <w:sz w:val="24"/>
          <w:szCs w:val="24"/>
        </w:rPr>
        <w:t xml:space="preserve">Para as infrações previstas nos itens </w:t>
      </w:r>
      <w:r>
        <w:rPr>
          <w:rFonts w:ascii="Times New Roman" w:hAnsi="Times New Roman"/>
          <w:sz w:val="24"/>
          <w:szCs w:val="24"/>
        </w:rPr>
        <w:fldChar w:fldCharType="begin"/>
      </w:r>
      <w:r>
        <w:rPr>
          <w:sz w:val="24"/>
          <w:szCs w:val="24"/>
          <w:rFonts w:ascii="Times New Roman" w:hAnsi="Times New Roman"/>
        </w:rPr>
        <w:instrText xml:space="preserve"> REF _Ref114668085 \r \r \h </w:instrText>
      </w:r>
      <w:r>
        <w:rPr>
          <w:sz w:val="24"/>
          <w:szCs w:val="24"/>
          <w:rFonts w:ascii="Times New Roman" w:hAnsi="Times New Roman"/>
        </w:rPr>
        <w:fldChar w:fldCharType="separate"/>
      </w:r>
      <w:r>
        <w:rPr>
          <w:sz w:val="24"/>
          <w:szCs w:val="24"/>
          <w:rFonts w:ascii="Times New Roman" w:hAnsi="Times New Roman"/>
        </w:rPr>
        <w:t>14.1.1</w:t>
      </w:r>
      <w:r>
        <w:rPr>
          <w:sz w:val="24"/>
          <w:szCs w:val="24"/>
          <w:rFonts w:ascii="Times New Roman" w:hAnsi="Times New Roman"/>
        </w:rPr>
        <w:fldChar w:fldCharType="end"/>
      </w:r>
      <w:r>
        <w:rPr>
          <w:rFonts w:ascii="Times New Roman" w:hAnsi="Times New Roman"/>
          <w:sz w:val="24"/>
          <w:szCs w:val="24"/>
        </w:rPr>
        <w:t xml:space="preserve">, </w:t>
      </w:r>
      <w:r>
        <w:rPr>
          <w:rFonts w:ascii="Times New Roman" w:hAnsi="Times New Roman"/>
          <w:sz w:val="24"/>
          <w:szCs w:val="24"/>
        </w:rPr>
        <w:fldChar w:fldCharType="begin"/>
      </w:r>
      <w:r>
        <w:rPr>
          <w:sz w:val="24"/>
          <w:szCs w:val="24"/>
          <w:rFonts w:ascii="Times New Roman" w:hAnsi="Times New Roman"/>
        </w:rPr>
        <w:instrText xml:space="preserve"> REF _Ref114668108 \r \r \h </w:instrText>
      </w:r>
      <w:r>
        <w:rPr>
          <w:sz w:val="24"/>
          <w:szCs w:val="24"/>
          <w:rFonts w:ascii="Times New Roman" w:hAnsi="Times New Roman"/>
        </w:rPr>
        <w:fldChar w:fldCharType="separate"/>
      </w:r>
      <w:r>
        <w:rPr>
          <w:sz w:val="24"/>
          <w:szCs w:val="24"/>
          <w:rFonts w:ascii="Times New Roman" w:hAnsi="Times New Roman"/>
        </w:rPr>
        <w:t>14.1.2</w:t>
      </w:r>
      <w:r>
        <w:rPr>
          <w:sz w:val="24"/>
          <w:szCs w:val="24"/>
          <w:rFonts w:ascii="Times New Roman" w:hAnsi="Times New Roman"/>
        </w:rPr>
        <w:fldChar w:fldCharType="end"/>
      </w:r>
      <w:r>
        <w:rPr>
          <w:rFonts w:ascii="Times New Roman" w:hAnsi="Times New Roman"/>
          <w:sz w:val="24"/>
          <w:szCs w:val="24"/>
        </w:rPr>
        <w:t xml:space="preserve"> e </w:t>
      </w:r>
      <w:r>
        <w:rPr>
          <w:rFonts w:ascii="Times New Roman" w:hAnsi="Times New Roman"/>
          <w:sz w:val="24"/>
          <w:szCs w:val="24"/>
        </w:rPr>
        <w:fldChar w:fldCharType="begin"/>
      </w:r>
      <w:r>
        <w:rPr>
          <w:sz w:val="24"/>
          <w:szCs w:val="24"/>
          <w:rFonts w:ascii="Times New Roman" w:hAnsi="Times New Roman"/>
        </w:rPr>
        <w:instrText xml:space="preserve"> REF _Ref114668139 \r \r \h </w:instrText>
      </w:r>
      <w:r>
        <w:rPr>
          <w:sz w:val="24"/>
          <w:szCs w:val="24"/>
          <w:rFonts w:ascii="Times New Roman" w:hAnsi="Times New Roman"/>
        </w:rPr>
        <w:fldChar w:fldCharType="separate"/>
      </w:r>
      <w:r>
        <w:rPr>
          <w:sz w:val="24"/>
          <w:szCs w:val="24"/>
          <w:rFonts w:ascii="Times New Roman" w:hAnsi="Times New Roman"/>
        </w:rPr>
        <w:t>14.1.3</w:t>
      </w:r>
      <w:r>
        <w:rPr>
          <w:sz w:val="24"/>
          <w:szCs w:val="24"/>
          <w:rFonts w:ascii="Times New Roman" w:hAnsi="Times New Roman"/>
        </w:rPr>
        <w:fldChar w:fldCharType="end"/>
      </w:r>
      <w:r>
        <w:rPr>
          <w:rFonts w:ascii="Times New Roman" w:hAnsi="Times New Roman"/>
          <w:sz w:val="24"/>
          <w:szCs w:val="24"/>
        </w:rPr>
        <w:t xml:space="preserve">, a multa será de </w:t>
      </w:r>
      <w:r>
        <w:rPr>
          <w:rFonts w:ascii="Times New Roman" w:hAnsi="Times New Roman"/>
          <w:i/>
          <w:iCs/>
          <w:color w:val="FF0000"/>
          <w:sz w:val="24"/>
          <w:szCs w:val="24"/>
        </w:rPr>
        <w:t>0,5%</w:t>
      </w:r>
      <w:r>
        <w:rPr>
          <w:rFonts w:ascii="Times New Roman" w:hAnsi="Times New Roman"/>
          <w:color w:val="FF0000"/>
          <w:sz w:val="24"/>
          <w:szCs w:val="24"/>
        </w:rPr>
        <w:t xml:space="preserve"> </w:t>
      </w:r>
      <w:r>
        <w:rPr>
          <w:rFonts w:ascii="Times New Roman" w:hAnsi="Times New Roman"/>
          <w:sz w:val="24"/>
          <w:szCs w:val="24"/>
        </w:rPr>
        <w:t xml:space="preserve">a </w:t>
      </w:r>
      <w:r>
        <w:rPr>
          <w:rFonts w:ascii="Times New Roman" w:hAnsi="Times New Roman"/>
          <w:i/>
          <w:iCs/>
          <w:color w:val="FF0000"/>
          <w:sz w:val="24"/>
          <w:szCs w:val="24"/>
        </w:rPr>
        <w:t>15%</w:t>
      </w:r>
      <w:r>
        <w:rPr>
          <w:rFonts w:ascii="Times New Roman" w:hAnsi="Times New Roman"/>
          <w:color w:val="0000FF"/>
          <w:sz w:val="24"/>
          <w:szCs w:val="24"/>
        </w:rPr>
        <w:t xml:space="preserve"> </w:t>
      </w:r>
      <w:r>
        <w:rPr>
          <w:rFonts w:ascii="Times New Roman" w:hAnsi="Times New Roman"/>
          <w:sz w:val="24"/>
          <w:szCs w:val="24"/>
        </w:rPr>
        <w:t>do valor do contrato licitado.</w:t>
      </w:r>
    </w:p>
    <w:p>
      <w:pPr>
        <w:pStyle w:val="Nivel3"/>
        <w:numPr>
          <w:ilvl w:val="2"/>
          <w:numId w:val="352"/>
        </w:numPr>
        <w:spacing w:lineRule="auto" w:line="276" w:before="0" w:after="170"/>
        <w:ind w:hanging="0" w:left="0"/>
        <w:rPr>
          <w:rFonts w:ascii="Times New Roman" w:hAnsi="Times New Roman"/>
          <w:sz w:val="24"/>
          <w:szCs w:val="24"/>
        </w:rPr>
      </w:pPr>
      <w:bookmarkStart w:id="92" w:name="_Hlk190256399"/>
      <w:bookmarkStart w:id="93" w:name="_Hlk113876035_Copia_1"/>
      <w:bookmarkEnd w:id="93"/>
      <w:r>
        <w:rPr>
          <w:rFonts w:ascii="Times New Roman" w:hAnsi="Times New Roman"/>
          <w:sz w:val="24"/>
          <w:szCs w:val="24"/>
        </w:rPr>
        <w:t xml:space="preserve">Para as infrações previstas nos itens </w:t>
      </w:r>
      <w:r>
        <w:rPr>
          <w:rFonts w:ascii="Times New Roman" w:hAnsi="Times New Roman"/>
          <w:sz w:val="24"/>
          <w:szCs w:val="24"/>
        </w:rPr>
        <w:fldChar w:fldCharType="begin"/>
      </w:r>
      <w:r>
        <w:rPr>
          <w:sz w:val="24"/>
          <w:szCs w:val="24"/>
          <w:rFonts w:ascii="Times New Roman" w:hAnsi="Times New Roman"/>
        </w:rPr>
        <w:instrText xml:space="preserve"> REF _Ref192168045 \r \r \h </w:instrText>
      </w:r>
      <w:r>
        <w:rPr>
          <w:sz w:val="24"/>
          <w:szCs w:val="24"/>
          <w:rFonts w:ascii="Times New Roman" w:hAnsi="Times New Roman"/>
        </w:rPr>
        <w:fldChar w:fldCharType="separate"/>
      </w:r>
      <w:r>
        <w:rPr>
          <w:sz w:val="24"/>
          <w:szCs w:val="24"/>
          <w:rFonts w:ascii="Times New Roman" w:hAnsi="Times New Roman"/>
        </w:rPr>
        <w:t>14.1.4</w:t>
      </w:r>
      <w:r>
        <w:rPr>
          <w:sz w:val="24"/>
          <w:szCs w:val="24"/>
          <w:rFonts w:ascii="Times New Roman" w:hAnsi="Times New Roman"/>
        </w:rPr>
        <w:fldChar w:fldCharType="end"/>
      </w:r>
      <w:r>
        <w:rPr>
          <w:rFonts w:ascii="Times New Roman" w:hAnsi="Times New Roman"/>
          <w:sz w:val="24"/>
          <w:szCs w:val="24"/>
        </w:rPr>
        <w:t xml:space="preserve">, </w:t>
      </w:r>
      <w:r>
        <w:rPr>
          <w:rFonts w:ascii="Times New Roman" w:hAnsi="Times New Roman"/>
          <w:sz w:val="24"/>
          <w:szCs w:val="24"/>
        </w:rPr>
        <w:fldChar w:fldCharType="begin"/>
      </w:r>
      <w:r>
        <w:rPr>
          <w:sz w:val="24"/>
          <w:szCs w:val="24"/>
          <w:rFonts w:ascii="Times New Roman" w:hAnsi="Times New Roman"/>
        </w:rPr>
        <w:instrText xml:space="preserve"> REF _Ref114668249 \r \r \h </w:instrText>
      </w:r>
      <w:r>
        <w:rPr>
          <w:sz w:val="24"/>
          <w:szCs w:val="24"/>
          <w:rFonts w:ascii="Times New Roman" w:hAnsi="Times New Roman"/>
        </w:rPr>
        <w:fldChar w:fldCharType="separate"/>
      </w:r>
      <w:r>
        <w:rPr>
          <w:sz w:val="24"/>
          <w:szCs w:val="24"/>
          <w:rFonts w:ascii="Times New Roman" w:hAnsi="Times New Roman"/>
        </w:rPr>
        <w:t>14.1.5</w:t>
      </w:r>
      <w:r>
        <w:rPr>
          <w:sz w:val="24"/>
          <w:szCs w:val="24"/>
          <w:rFonts w:ascii="Times New Roman" w:hAnsi="Times New Roman"/>
        </w:rPr>
        <w:fldChar w:fldCharType="end"/>
      </w:r>
      <w:r>
        <w:rPr>
          <w:rFonts w:ascii="Times New Roman" w:hAnsi="Times New Roman"/>
          <w:sz w:val="24"/>
          <w:szCs w:val="24"/>
        </w:rPr>
        <w:t xml:space="preserve">, </w:t>
      </w:r>
      <w:r>
        <w:rPr>
          <w:rFonts w:ascii="Times New Roman" w:hAnsi="Times New Roman"/>
          <w:sz w:val="24"/>
          <w:szCs w:val="24"/>
        </w:rPr>
        <w:fldChar w:fldCharType="begin"/>
      </w:r>
      <w:r>
        <w:rPr>
          <w:sz w:val="24"/>
          <w:szCs w:val="24"/>
          <w:rFonts w:ascii="Times New Roman" w:hAnsi="Times New Roman"/>
        </w:rPr>
        <w:instrText xml:space="preserve"> REF _Ref114668245 \r \r \h </w:instrText>
      </w:r>
      <w:r>
        <w:rPr>
          <w:sz w:val="24"/>
          <w:szCs w:val="24"/>
          <w:rFonts w:ascii="Times New Roman" w:hAnsi="Times New Roman"/>
        </w:rPr>
        <w:fldChar w:fldCharType="separate"/>
      </w:r>
      <w:r>
        <w:rPr>
          <w:sz w:val="24"/>
          <w:szCs w:val="24"/>
          <w:rFonts w:ascii="Times New Roman" w:hAnsi="Times New Roman"/>
        </w:rPr>
        <w:t>14.1.6</w:t>
      </w:r>
      <w:r>
        <w:rPr>
          <w:sz w:val="24"/>
          <w:szCs w:val="24"/>
          <w:rFonts w:ascii="Times New Roman" w:hAnsi="Times New Roman"/>
        </w:rPr>
        <w:fldChar w:fldCharType="end"/>
      </w:r>
      <w:r>
        <w:rPr>
          <w:rFonts w:ascii="Times New Roman" w:hAnsi="Times New Roman"/>
          <w:sz w:val="24"/>
          <w:szCs w:val="24"/>
        </w:rPr>
        <w:t xml:space="preserve">, </w:t>
      </w:r>
      <w:r>
        <w:rPr>
          <w:rFonts w:ascii="Times New Roman" w:hAnsi="Times New Roman"/>
          <w:sz w:val="24"/>
          <w:szCs w:val="24"/>
        </w:rPr>
        <w:fldChar w:fldCharType="begin"/>
      </w:r>
      <w:r>
        <w:rPr>
          <w:sz w:val="24"/>
          <w:szCs w:val="24"/>
          <w:rFonts w:ascii="Times New Roman" w:hAnsi="Times New Roman"/>
        </w:rPr>
        <w:instrText xml:space="preserve"> REF _Ref114668247 \r \r \h </w:instrText>
      </w:r>
      <w:r>
        <w:rPr>
          <w:sz w:val="24"/>
          <w:szCs w:val="24"/>
          <w:rFonts w:ascii="Times New Roman" w:hAnsi="Times New Roman"/>
        </w:rPr>
        <w:fldChar w:fldCharType="separate"/>
      </w:r>
      <w:r>
        <w:rPr>
          <w:sz w:val="24"/>
          <w:szCs w:val="24"/>
          <w:rFonts w:ascii="Times New Roman" w:hAnsi="Times New Roman"/>
        </w:rPr>
        <w:t>14.1.7</w:t>
      </w:r>
      <w:r>
        <w:rPr>
          <w:sz w:val="24"/>
          <w:szCs w:val="24"/>
          <w:rFonts w:ascii="Times New Roman" w:hAnsi="Times New Roman"/>
        </w:rPr>
        <w:fldChar w:fldCharType="end"/>
      </w:r>
      <w:r>
        <w:rPr>
          <w:rFonts w:ascii="Times New Roman" w:hAnsi="Times New Roman"/>
          <w:sz w:val="24"/>
          <w:szCs w:val="24"/>
        </w:rPr>
        <w:t xml:space="preserve">, </w:t>
      </w:r>
      <w:r>
        <w:rPr>
          <w:rFonts w:ascii="Times New Roman" w:hAnsi="Times New Roman"/>
          <w:sz w:val="24"/>
          <w:szCs w:val="24"/>
        </w:rPr>
        <w:fldChar w:fldCharType="begin"/>
      </w:r>
      <w:r>
        <w:rPr>
          <w:sz w:val="24"/>
          <w:szCs w:val="24"/>
          <w:rFonts w:ascii="Times New Roman" w:hAnsi="Times New Roman"/>
        </w:rPr>
        <w:instrText xml:space="preserve"> REF _Ref114668251 \r \r \h </w:instrText>
      </w:r>
      <w:r>
        <w:rPr>
          <w:sz w:val="24"/>
          <w:szCs w:val="24"/>
          <w:rFonts w:ascii="Times New Roman" w:hAnsi="Times New Roman"/>
        </w:rPr>
        <w:fldChar w:fldCharType="separate"/>
      </w:r>
      <w:r>
        <w:rPr>
          <w:sz w:val="24"/>
          <w:szCs w:val="24"/>
          <w:rFonts w:ascii="Times New Roman" w:hAnsi="Times New Roman"/>
        </w:rPr>
        <w:t>14.1.8</w:t>
      </w:r>
      <w:r>
        <w:rPr>
          <w:sz w:val="24"/>
          <w:szCs w:val="24"/>
          <w:rFonts w:ascii="Times New Roman" w:hAnsi="Times New Roman"/>
        </w:rPr>
        <w:fldChar w:fldCharType="end"/>
      </w:r>
      <w:r>
        <w:rPr>
          <w:rFonts w:ascii="Times New Roman" w:hAnsi="Times New Roman"/>
          <w:sz w:val="24"/>
          <w:szCs w:val="24"/>
        </w:rPr>
        <w:t xml:space="preserve"> e </w:t>
      </w:r>
      <w:r>
        <w:rPr>
          <w:rFonts w:ascii="Times New Roman" w:hAnsi="Times New Roman"/>
          <w:sz w:val="24"/>
          <w:szCs w:val="24"/>
        </w:rPr>
        <w:fldChar w:fldCharType="begin"/>
      </w:r>
      <w:r>
        <w:rPr>
          <w:sz w:val="24"/>
          <w:szCs w:val="24"/>
          <w:rFonts w:ascii="Times New Roman" w:hAnsi="Times New Roman"/>
        </w:rPr>
        <w:instrText xml:space="preserve"> REF _Ref114668252 \r \r \h </w:instrText>
      </w:r>
      <w:r>
        <w:rPr>
          <w:sz w:val="24"/>
          <w:szCs w:val="24"/>
          <w:rFonts w:ascii="Times New Roman" w:hAnsi="Times New Roman"/>
        </w:rPr>
        <w:fldChar w:fldCharType="separate"/>
      </w:r>
      <w:r>
        <w:rPr>
          <w:sz w:val="24"/>
          <w:szCs w:val="24"/>
          <w:rFonts w:ascii="Times New Roman" w:hAnsi="Times New Roman"/>
        </w:rPr>
        <w:t>14.1.9</w:t>
      </w:r>
      <w:r>
        <w:rPr>
          <w:sz w:val="24"/>
          <w:szCs w:val="24"/>
          <w:rFonts w:ascii="Times New Roman" w:hAnsi="Times New Roman"/>
        </w:rPr>
        <w:fldChar w:fldCharType="end"/>
      </w:r>
      <w:r>
        <w:rPr>
          <w:rFonts w:ascii="Times New Roman" w:hAnsi="Times New Roman"/>
          <w:sz w:val="24"/>
          <w:szCs w:val="24"/>
        </w:rPr>
        <w:t xml:space="preserve">, a multa será de </w:t>
      </w:r>
      <w:r>
        <w:rPr>
          <w:rFonts w:ascii="Times New Roman" w:hAnsi="Times New Roman"/>
          <w:i/>
          <w:iCs/>
          <w:color w:val="FF0000"/>
          <w:sz w:val="24"/>
          <w:szCs w:val="24"/>
        </w:rPr>
        <w:t>15%</w:t>
      </w:r>
      <w:r>
        <w:rPr>
          <w:rFonts w:ascii="Times New Roman" w:hAnsi="Times New Roman"/>
          <w:color w:val="0000FF"/>
          <w:sz w:val="24"/>
          <w:szCs w:val="24"/>
        </w:rPr>
        <w:t xml:space="preserve"> </w:t>
      </w:r>
      <w:r>
        <w:rPr>
          <w:rFonts w:ascii="Times New Roman" w:hAnsi="Times New Roman"/>
          <w:sz w:val="24"/>
          <w:szCs w:val="24"/>
        </w:rPr>
        <w:t xml:space="preserve">a </w:t>
      </w:r>
      <w:r>
        <w:rPr>
          <w:rFonts w:ascii="Times New Roman" w:hAnsi="Times New Roman"/>
          <w:i/>
          <w:iCs/>
          <w:color w:val="FF0000"/>
          <w:sz w:val="24"/>
          <w:szCs w:val="24"/>
        </w:rPr>
        <w:t>30%</w:t>
      </w:r>
      <w:r>
        <w:rPr>
          <w:rFonts w:ascii="Times New Roman" w:hAnsi="Times New Roman"/>
          <w:color w:val="0000FF"/>
          <w:sz w:val="24"/>
          <w:szCs w:val="24"/>
        </w:rPr>
        <w:t xml:space="preserve"> </w:t>
      </w:r>
      <w:r>
        <w:rPr>
          <w:rFonts w:ascii="Times New Roman" w:hAnsi="Times New Roman"/>
          <w:sz w:val="24"/>
          <w:szCs w:val="24"/>
        </w:rPr>
        <w:t>do valor do contrato licitado.</w:t>
      </w:r>
      <w:bookmarkEnd w:id="92"/>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As sanções de advertência, impedimento de licitar e contratar e declaração de inidoneidade para licitar ou contratar poderão ser aplicadas, cumulativamente ou não, à penalidade de multa.</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Na aplicação da sanção de multa será facultada a defesa do interessado no prazo de 15 (quinze) dias úteis, contado da data de sua intimação.</w:t>
      </w:r>
    </w:p>
    <w:p>
      <w:pPr>
        <w:pStyle w:val="Nivel2"/>
        <w:numPr>
          <w:ilvl w:val="1"/>
          <w:numId w:val="1"/>
        </w:numPr>
        <w:spacing w:lineRule="auto" w:line="276" w:before="0" w:after="170"/>
        <w:ind w:hanging="0" w:left="0"/>
        <w:rPr>
          <w:rFonts w:ascii="Times New Roman" w:hAnsi="Times New Roman"/>
          <w:sz w:val="24"/>
          <w:szCs w:val="24"/>
        </w:rPr>
      </w:pPr>
      <w:bookmarkStart w:id="94" w:name="_Hlk190256464"/>
      <w:r>
        <w:rPr>
          <w:rFonts w:ascii="Times New Roman" w:hAnsi="Times New Roman"/>
          <w:sz w:val="24"/>
          <w:szCs w:val="24"/>
        </w:rPr>
        <w:t xml:space="preserve">A sanção de impedimento de licitar e contratar será aplicada ao responsável em decorrência das infrações administrativas relacionadas nos itens </w:t>
      </w:r>
      <w:r>
        <w:rPr>
          <w:rFonts w:ascii="Times New Roman" w:hAnsi="Times New Roman"/>
          <w:sz w:val="24"/>
          <w:szCs w:val="24"/>
        </w:rPr>
        <w:fldChar w:fldCharType="begin"/>
      </w:r>
      <w:r>
        <w:rPr>
          <w:sz w:val="24"/>
          <w:szCs w:val="24"/>
          <w:rFonts w:ascii="Times New Roman" w:hAnsi="Times New Roman"/>
        </w:rPr>
        <w:instrText xml:space="preserve"> REF _Ref114668085 \r \r \h </w:instrText>
      </w:r>
      <w:r>
        <w:rPr>
          <w:sz w:val="24"/>
          <w:szCs w:val="24"/>
          <w:rFonts w:ascii="Times New Roman" w:hAnsi="Times New Roman"/>
        </w:rPr>
        <w:fldChar w:fldCharType="separate"/>
      </w:r>
      <w:r>
        <w:rPr>
          <w:sz w:val="24"/>
          <w:szCs w:val="24"/>
          <w:rFonts w:ascii="Times New Roman" w:hAnsi="Times New Roman"/>
        </w:rPr>
        <w:t>14.1.1</w:t>
      </w:r>
      <w:r>
        <w:rPr>
          <w:sz w:val="24"/>
          <w:szCs w:val="24"/>
          <w:rFonts w:ascii="Times New Roman" w:hAnsi="Times New Roman"/>
        </w:rPr>
        <w:fldChar w:fldCharType="end"/>
      </w:r>
      <w:r>
        <w:rPr>
          <w:rFonts w:ascii="Times New Roman" w:hAnsi="Times New Roman"/>
          <w:sz w:val="24"/>
          <w:szCs w:val="24"/>
        </w:rPr>
        <w:t xml:space="preserve">, </w:t>
      </w:r>
      <w:r>
        <w:rPr>
          <w:rFonts w:ascii="Times New Roman" w:hAnsi="Times New Roman"/>
          <w:sz w:val="24"/>
          <w:szCs w:val="24"/>
        </w:rPr>
        <w:fldChar w:fldCharType="begin"/>
      </w:r>
      <w:r>
        <w:rPr>
          <w:sz w:val="24"/>
          <w:szCs w:val="24"/>
          <w:rFonts w:ascii="Times New Roman" w:hAnsi="Times New Roman"/>
        </w:rPr>
        <w:instrText xml:space="preserve"> REF _Ref114668108 \r \r \h </w:instrText>
      </w:r>
      <w:r>
        <w:rPr>
          <w:sz w:val="24"/>
          <w:szCs w:val="24"/>
          <w:rFonts w:ascii="Times New Roman" w:hAnsi="Times New Roman"/>
        </w:rPr>
        <w:fldChar w:fldCharType="separate"/>
      </w:r>
      <w:r>
        <w:rPr>
          <w:sz w:val="24"/>
          <w:szCs w:val="24"/>
          <w:rFonts w:ascii="Times New Roman" w:hAnsi="Times New Roman"/>
        </w:rPr>
        <w:t>14.1.2</w:t>
      </w:r>
      <w:r>
        <w:rPr>
          <w:sz w:val="24"/>
          <w:szCs w:val="24"/>
          <w:rFonts w:ascii="Times New Roman" w:hAnsi="Times New Roman"/>
        </w:rPr>
        <w:fldChar w:fldCharType="end"/>
      </w:r>
      <w:r>
        <w:rPr>
          <w:rFonts w:ascii="Times New Roman" w:hAnsi="Times New Roman"/>
          <w:sz w:val="24"/>
          <w:szCs w:val="24"/>
        </w:rPr>
        <w:t xml:space="preserve">, </w:t>
      </w:r>
      <w:r>
        <w:rPr>
          <w:rFonts w:ascii="Times New Roman" w:hAnsi="Times New Roman"/>
          <w:sz w:val="24"/>
          <w:szCs w:val="24"/>
        </w:rPr>
        <w:fldChar w:fldCharType="begin"/>
      </w:r>
      <w:r>
        <w:rPr>
          <w:sz w:val="24"/>
          <w:szCs w:val="24"/>
          <w:rFonts w:ascii="Times New Roman" w:hAnsi="Times New Roman"/>
        </w:rPr>
        <w:instrText xml:space="preserve"> REF _Ref114668139 \r \r \h </w:instrText>
      </w:r>
      <w:r>
        <w:rPr>
          <w:sz w:val="24"/>
          <w:szCs w:val="24"/>
          <w:rFonts w:ascii="Times New Roman" w:hAnsi="Times New Roman"/>
        </w:rPr>
        <w:fldChar w:fldCharType="separate"/>
      </w:r>
      <w:r>
        <w:rPr>
          <w:sz w:val="24"/>
          <w:szCs w:val="24"/>
          <w:rFonts w:ascii="Times New Roman" w:hAnsi="Times New Roman"/>
        </w:rPr>
        <w:t>14.1.3</w:t>
      </w:r>
      <w:r>
        <w:rPr>
          <w:sz w:val="24"/>
          <w:szCs w:val="24"/>
          <w:rFonts w:ascii="Times New Roman" w:hAnsi="Times New Roman"/>
        </w:rPr>
        <w:fldChar w:fldCharType="end"/>
      </w:r>
      <w:r>
        <w:rPr>
          <w:rFonts w:ascii="Times New Roman" w:hAnsi="Times New Roman"/>
          <w:sz w:val="24"/>
          <w:szCs w:val="24"/>
        </w:rPr>
        <w:t xml:space="preserve"> e </w:t>
      </w:r>
      <w:r>
        <w:rPr>
          <w:rFonts w:ascii="Times New Roman" w:hAnsi="Times New Roman"/>
          <w:sz w:val="24"/>
          <w:szCs w:val="24"/>
        </w:rPr>
        <w:fldChar w:fldCharType="begin"/>
      </w:r>
      <w:r>
        <w:rPr>
          <w:sz w:val="24"/>
          <w:szCs w:val="24"/>
          <w:rFonts w:ascii="Times New Roman" w:hAnsi="Times New Roman"/>
        </w:rPr>
        <w:instrText xml:space="preserve"> REF _Ref192168045 \r \r \h </w:instrText>
      </w:r>
      <w:r>
        <w:rPr>
          <w:sz w:val="24"/>
          <w:szCs w:val="24"/>
          <w:rFonts w:ascii="Times New Roman" w:hAnsi="Times New Roman"/>
        </w:rPr>
        <w:fldChar w:fldCharType="separate"/>
      </w:r>
      <w:r>
        <w:rPr>
          <w:sz w:val="24"/>
          <w:szCs w:val="24"/>
          <w:rFonts w:ascii="Times New Roman" w:hAnsi="Times New Roman"/>
        </w:rPr>
        <w:t>14.1.4</w:t>
      </w:r>
      <w:r>
        <w:rPr>
          <w:sz w:val="24"/>
          <w:szCs w:val="24"/>
          <w:rFonts w:ascii="Times New Roman" w:hAnsi="Times New Roman"/>
        </w:rPr>
        <w:fldChar w:fldCharType="end"/>
      </w:r>
      <w:r>
        <w:rPr>
          <w:rFonts w:ascii="Times New Roman" w:hAnsi="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bookmarkEnd w:id="94"/>
    </w:p>
    <w:p>
      <w:pPr>
        <w:pStyle w:val="Nivel2"/>
        <w:numPr>
          <w:ilvl w:val="1"/>
          <w:numId w:val="1"/>
        </w:numPr>
        <w:spacing w:lineRule="auto" w:line="276" w:before="0" w:after="170"/>
        <w:ind w:hanging="0" w:left="0"/>
        <w:rPr/>
      </w:pPr>
      <w:r>
        <w:rPr>
          <w:rFonts w:ascii="Times New Roman" w:hAnsi="Times New Roman"/>
          <w:sz w:val="24"/>
          <w:szCs w:val="24"/>
        </w:rPr>
        <w:t xml:space="preserve">Poderá ser aplicada ao responsável a sanção de declaração de inidoneidade para licitar ou contratar, em decorrência da prática das infrações dispostas nos itens </w:t>
      </w:r>
      <w:r>
        <w:rPr>
          <w:rFonts w:ascii="Times New Roman" w:hAnsi="Times New Roman"/>
          <w:sz w:val="24"/>
          <w:szCs w:val="24"/>
        </w:rPr>
        <w:fldChar w:fldCharType="begin"/>
      </w:r>
      <w:r>
        <w:rPr>
          <w:sz w:val="24"/>
          <w:szCs w:val="24"/>
          <w:rFonts w:ascii="Times New Roman" w:hAnsi="Times New Roman"/>
        </w:rPr>
        <w:instrText xml:space="preserve"> REF _Ref114668249 \r \r \h </w:instrText>
      </w:r>
      <w:r>
        <w:rPr>
          <w:sz w:val="24"/>
          <w:szCs w:val="24"/>
          <w:rFonts w:ascii="Times New Roman" w:hAnsi="Times New Roman"/>
        </w:rPr>
        <w:fldChar w:fldCharType="separate"/>
      </w:r>
      <w:r>
        <w:rPr>
          <w:sz w:val="24"/>
          <w:szCs w:val="24"/>
          <w:rFonts w:ascii="Times New Roman" w:hAnsi="Times New Roman"/>
        </w:rPr>
        <w:t>14.1.5</w:t>
      </w:r>
      <w:r>
        <w:rPr>
          <w:sz w:val="24"/>
          <w:szCs w:val="24"/>
          <w:rFonts w:ascii="Times New Roman" w:hAnsi="Times New Roman"/>
        </w:rPr>
        <w:fldChar w:fldCharType="end"/>
      </w:r>
      <w:r>
        <w:rPr>
          <w:rFonts w:ascii="Times New Roman" w:hAnsi="Times New Roman"/>
          <w:sz w:val="24"/>
          <w:szCs w:val="24"/>
        </w:rPr>
        <w:t xml:space="preserve">, </w:t>
      </w:r>
      <w:r>
        <w:rPr>
          <w:rFonts w:ascii="Times New Roman" w:hAnsi="Times New Roman"/>
          <w:sz w:val="24"/>
          <w:szCs w:val="24"/>
        </w:rPr>
        <w:fldChar w:fldCharType="begin"/>
      </w:r>
      <w:r>
        <w:rPr>
          <w:sz w:val="24"/>
          <w:szCs w:val="24"/>
          <w:rFonts w:ascii="Times New Roman" w:hAnsi="Times New Roman"/>
        </w:rPr>
        <w:instrText xml:space="preserve"> REF _Ref114668245 \r \r \h </w:instrText>
      </w:r>
      <w:r>
        <w:rPr>
          <w:sz w:val="24"/>
          <w:szCs w:val="24"/>
          <w:rFonts w:ascii="Times New Roman" w:hAnsi="Times New Roman"/>
        </w:rPr>
        <w:fldChar w:fldCharType="separate"/>
      </w:r>
      <w:r>
        <w:rPr>
          <w:sz w:val="24"/>
          <w:szCs w:val="24"/>
          <w:rFonts w:ascii="Times New Roman" w:hAnsi="Times New Roman"/>
        </w:rPr>
        <w:t>14.1.6</w:t>
      </w:r>
      <w:r>
        <w:rPr>
          <w:sz w:val="24"/>
          <w:szCs w:val="24"/>
          <w:rFonts w:ascii="Times New Roman" w:hAnsi="Times New Roman"/>
        </w:rPr>
        <w:fldChar w:fldCharType="end"/>
      </w:r>
      <w:r>
        <w:rPr>
          <w:rFonts w:ascii="Times New Roman" w:hAnsi="Times New Roman"/>
          <w:sz w:val="24"/>
          <w:szCs w:val="24"/>
        </w:rPr>
        <w:t xml:space="preserve">, </w:t>
      </w:r>
      <w:r>
        <w:rPr>
          <w:rFonts w:ascii="Times New Roman" w:hAnsi="Times New Roman"/>
          <w:sz w:val="24"/>
          <w:szCs w:val="24"/>
        </w:rPr>
        <w:fldChar w:fldCharType="begin"/>
      </w:r>
      <w:r>
        <w:rPr>
          <w:sz w:val="24"/>
          <w:szCs w:val="24"/>
          <w:rFonts w:ascii="Times New Roman" w:hAnsi="Times New Roman"/>
        </w:rPr>
        <w:instrText xml:space="preserve"> REF _Ref114668247 \r \r \h </w:instrText>
      </w:r>
      <w:r>
        <w:rPr>
          <w:sz w:val="24"/>
          <w:szCs w:val="24"/>
          <w:rFonts w:ascii="Times New Roman" w:hAnsi="Times New Roman"/>
        </w:rPr>
        <w:fldChar w:fldCharType="separate"/>
      </w:r>
      <w:r>
        <w:rPr>
          <w:sz w:val="24"/>
          <w:szCs w:val="24"/>
          <w:rFonts w:ascii="Times New Roman" w:hAnsi="Times New Roman"/>
        </w:rPr>
        <w:t>14.1.7</w:t>
      </w:r>
      <w:r>
        <w:rPr>
          <w:sz w:val="24"/>
          <w:szCs w:val="24"/>
          <w:rFonts w:ascii="Times New Roman" w:hAnsi="Times New Roman"/>
        </w:rPr>
        <w:fldChar w:fldCharType="end"/>
      </w:r>
      <w:r>
        <w:rPr>
          <w:rFonts w:ascii="Times New Roman" w:hAnsi="Times New Roman"/>
          <w:sz w:val="24"/>
          <w:szCs w:val="24"/>
        </w:rPr>
        <w:t xml:space="preserve">, </w:t>
      </w:r>
      <w:r>
        <w:rPr>
          <w:rFonts w:ascii="Times New Roman" w:hAnsi="Times New Roman"/>
          <w:sz w:val="24"/>
          <w:szCs w:val="24"/>
        </w:rPr>
        <w:fldChar w:fldCharType="begin"/>
      </w:r>
      <w:r>
        <w:rPr>
          <w:sz w:val="24"/>
          <w:szCs w:val="24"/>
          <w:rFonts w:ascii="Times New Roman" w:hAnsi="Times New Roman"/>
        </w:rPr>
        <w:instrText xml:space="preserve"> REF _Ref114668251 \r \r \h </w:instrText>
      </w:r>
      <w:r>
        <w:rPr>
          <w:sz w:val="24"/>
          <w:szCs w:val="24"/>
          <w:rFonts w:ascii="Times New Roman" w:hAnsi="Times New Roman"/>
        </w:rPr>
        <w:fldChar w:fldCharType="separate"/>
      </w:r>
      <w:r>
        <w:rPr>
          <w:sz w:val="24"/>
          <w:szCs w:val="24"/>
          <w:rFonts w:ascii="Times New Roman" w:hAnsi="Times New Roman"/>
        </w:rPr>
        <w:t>14.1.8</w:t>
      </w:r>
      <w:r>
        <w:rPr>
          <w:sz w:val="24"/>
          <w:szCs w:val="24"/>
          <w:rFonts w:ascii="Times New Roman" w:hAnsi="Times New Roman"/>
        </w:rPr>
        <w:fldChar w:fldCharType="end"/>
      </w:r>
      <w:r>
        <w:rPr>
          <w:rFonts w:ascii="Times New Roman" w:hAnsi="Times New Roman"/>
          <w:sz w:val="24"/>
          <w:szCs w:val="24"/>
        </w:rPr>
        <w:t xml:space="preserve"> e </w:t>
      </w:r>
      <w:r>
        <w:rPr>
          <w:rFonts w:ascii="Times New Roman" w:hAnsi="Times New Roman"/>
          <w:sz w:val="24"/>
          <w:szCs w:val="24"/>
        </w:rPr>
        <w:fldChar w:fldCharType="begin"/>
      </w:r>
      <w:r>
        <w:rPr>
          <w:sz w:val="24"/>
          <w:szCs w:val="24"/>
          <w:rFonts w:ascii="Times New Roman" w:hAnsi="Times New Roman"/>
        </w:rPr>
        <w:instrText xml:space="preserve"> REF _Ref114668252 \r \r \h </w:instrText>
      </w:r>
      <w:r>
        <w:rPr>
          <w:sz w:val="24"/>
          <w:szCs w:val="24"/>
          <w:rFonts w:ascii="Times New Roman" w:hAnsi="Times New Roman"/>
        </w:rPr>
        <w:fldChar w:fldCharType="separate"/>
      </w:r>
      <w:r>
        <w:rPr>
          <w:sz w:val="24"/>
          <w:szCs w:val="24"/>
          <w:rFonts w:ascii="Times New Roman" w:hAnsi="Times New Roman"/>
        </w:rPr>
        <w:t>14.1.9</w:t>
      </w:r>
      <w:r>
        <w:rPr>
          <w:sz w:val="24"/>
          <w:szCs w:val="24"/>
          <w:rFonts w:ascii="Times New Roman" w:hAnsi="Times New Roman"/>
        </w:rPr>
        <w:fldChar w:fldCharType="end"/>
      </w:r>
      <w:r>
        <w:rPr>
          <w:rFonts w:ascii="Times New Roman" w:hAnsi="Times New Roman"/>
          <w:sz w:val="24"/>
          <w:szCs w:val="24"/>
        </w:rPr>
        <w:t xml:space="preserve">, bem como pelas infrações administrativas previstas nos itens </w:t>
      </w:r>
      <w:r>
        <w:rPr>
          <w:rFonts w:ascii="Times New Roman" w:hAnsi="Times New Roman"/>
          <w:sz w:val="24"/>
          <w:szCs w:val="24"/>
        </w:rPr>
        <w:fldChar w:fldCharType="begin"/>
      </w:r>
      <w:r>
        <w:rPr>
          <w:sz w:val="24"/>
          <w:szCs w:val="24"/>
          <w:rFonts w:ascii="Times New Roman" w:hAnsi="Times New Roman"/>
        </w:rPr>
        <w:instrText xml:space="preserve"> REF _Ref114668085 \r \r \h </w:instrText>
      </w:r>
      <w:r>
        <w:rPr>
          <w:sz w:val="24"/>
          <w:szCs w:val="24"/>
          <w:rFonts w:ascii="Times New Roman" w:hAnsi="Times New Roman"/>
        </w:rPr>
        <w:fldChar w:fldCharType="separate"/>
      </w:r>
      <w:r>
        <w:rPr>
          <w:sz w:val="24"/>
          <w:szCs w:val="24"/>
          <w:rFonts w:ascii="Times New Roman" w:hAnsi="Times New Roman"/>
        </w:rPr>
        <w:t>14.1.1</w:t>
      </w:r>
      <w:r>
        <w:rPr>
          <w:sz w:val="24"/>
          <w:szCs w:val="24"/>
          <w:rFonts w:ascii="Times New Roman" w:hAnsi="Times New Roman"/>
        </w:rPr>
        <w:fldChar w:fldCharType="end"/>
      </w:r>
      <w:r>
        <w:rPr>
          <w:rFonts w:ascii="Times New Roman" w:hAnsi="Times New Roman"/>
          <w:sz w:val="24"/>
          <w:szCs w:val="24"/>
        </w:rPr>
        <w:t xml:space="preserve">, </w:t>
      </w:r>
      <w:r>
        <w:rPr>
          <w:rFonts w:ascii="Times New Roman" w:hAnsi="Times New Roman"/>
          <w:sz w:val="24"/>
          <w:szCs w:val="24"/>
        </w:rPr>
        <w:fldChar w:fldCharType="begin"/>
      </w:r>
      <w:r>
        <w:rPr>
          <w:sz w:val="24"/>
          <w:szCs w:val="24"/>
          <w:rFonts w:ascii="Times New Roman" w:hAnsi="Times New Roman"/>
        </w:rPr>
        <w:instrText xml:space="preserve"> REF _Ref114668108 \r \r \h </w:instrText>
      </w:r>
      <w:r>
        <w:rPr>
          <w:sz w:val="24"/>
          <w:szCs w:val="24"/>
          <w:rFonts w:ascii="Times New Roman" w:hAnsi="Times New Roman"/>
        </w:rPr>
        <w:fldChar w:fldCharType="separate"/>
      </w:r>
      <w:r>
        <w:rPr>
          <w:sz w:val="24"/>
          <w:szCs w:val="24"/>
          <w:rFonts w:ascii="Times New Roman" w:hAnsi="Times New Roman"/>
        </w:rPr>
        <w:t>14.1.2</w:t>
      </w:r>
      <w:r>
        <w:rPr>
          <w:sz w:val="24"/>
          <w:szCs w:val="24"/>
          <w:rFonts w:ascii="Times New Roman" w:hAnsi="Times New Roman"/>
        </w:rPr>
        <w:fldChar w:fldCharType="end"/>
      </w:r>
      <w:r>
        <w:rPr>
          <w:rFonts w:ascii="Times New Roman" w:hAnsi="Times New Roman"/>
          <w:sz w:val="24"/>
          <w:szCs w:val="24"/>
        </w:rPr>
        <w:t xml:space="preserve">, </w:t>
      </w:r>
      <w:r>
        <w:rPr>
          <w:rFonts w:ascii="Times New Roman" w:hAnsi="Times New Roman"/>
          <w:sz w:val="24"/>
          <w:szCs w:val="24"/>
        </w:rPr>
        <w:fldChar w:fldCharType="begin"/>
      </w:r>
      <w:r>
        <w:rPr>
          <w:sz w:val="24"/>
          <w:szCs w:val="24"/>
          <w:rFonts w:ascii="Times New Roman" w:hAnsi="Times New Roman"/>
        </w:rPr>
        <w:instrText xml:space="preserve"> REF _Ref114668139 \r \r \h </w:instrText>
      </w:r>
      <w:r>
        <w:rPr>
          <w:sz w:val="24"/>
          <w:szCs w:val="24"/>
          <w:rFonts w:ascii="Times New Roman" w:hAnsi="Times New Roman"/>
        </w:rPr>
        <w:fldChar w:fldCharType="separate"/>
      </w:r>
      <w:r>
        <w:rPr>
          <w:sz w:val="24"/>
          <w:szCs w:val="24"/>
          <w:rFonts w:ascii="Times New Roman" w:hAnsi="Times New Roman"/>
        </w:rPr>
        <w:t>14.1.3</w:t>
      </w:r>
      <w:r>
        <w:rPr>
          <w:sz w:val="24"/>
          <w:szCs w:val="24"/>
          <w:rFonts w:ascii="Times New Roman" w:hAnsi="Times New Roman"/>
        </w:rPr>
        <w:fldChar w:fldCharType="end"/>
      </w:r>
      <w:r>
        <w:rPr>
          <w:rFonts w:ascii="Times New Roman" w:hAnsi="Times New Roman"/>
          <w:sz w:val="24"/>
          <w:szCs w:val="24"/>
        </w:rPr>
        <w:t xml:space="preserve"> e </w:t>
      </w:r>
      <w:r>
        <w:rPr>
          <w:rFonts w:ascii="Times New Roman" w:hAnsi="Times New Roman"/>
          <w:sz w:val="24"/>
          <w:szCs w:val="24"/>
        </w:rPr>
        <w:fldChar w:fldCharType="begin"/>
      </w:r>
      <w:r>
        <w:rPr>
          <w:sz w:val="24"/>
          <w:szCs w:val="24"/>
          <w:rFonts w:ascii="Times New Roman" w:hAnsi="Times New Roman"/>
        </w:rPr>
        <w:instrText xml:space="preserve"> REF _Ref192168045 \r \r \h </w:instrText>
      </w:r>
      <w:r>
        <w:rPr>
          <w:sz w:val="24"/>
          <w:szCs w:val="24"/>
          <w:rFonts w:ascii="Times New Roman" w:hAnsi="Times New Roman"/>
        </w:rPr>
        <w:fldChar w:fldCharType="separate"/>
      </w:r>
      <w:r>
        <w:rPr>
          <w:sz w:val="24"/>
          <w:szCs w:val="24"/>
          <w:rFonts w:ascii="Times New Roman" w:hAnsi="Times New Roman"/>
        </w:rPr>
        <w:t>14.1.4</w:t>
      </w:r>
      <w:r>
        <w:rPr>
          <w:sz w:val="24"/>
          <w:szCs w:val="24"/>
          <w:rFonts w:ascii="Times New Roman" w:hAnsi="Times New Roman"/>
        </w:rPr>
        <w:fldChar w:fldCharType="end"/>
      </w:r>
      <w:r>
        <w:rPr>
          <w:rFonts w:ascii="Times New Roman" w:hAnsi="Times New Roman"/>
          <w:sz w:val="24"/>
          <w:szCs w:val="24"/>
        </w:rPr>
        <w:t xml:space="preserve"> que justifiquem a imposição de penalidade mais grave que a sanção de impedimento de licitar e contratar, cuja duração observará o prazo previsto no </w:t>
      </w:r>
      <w:r>
        <w:fldChar w:fldCharType="begin"/>
      </w:r>
      <w:r>
        <w:rPr>
          <w:rStyle w:val="Hyperlink"/>
          <w:sz w:val="24"/>
          <w:u w:val="none"/>
          <w:szCs w:val="24"/>
          <w:rFonts w:ascii="Times New Roman" w:hAnsi="Times New Roman"/>
          <w:color w:themeColor="text1" w:val="000000"/>
        </w:rPr>
        <w:instrText xml:space="preserve"> HYPERLINK "http://www.planalto.gov.br/ccivil_03/_ato2019-2022/2021/lei/L14133.htm" \l "art156%C2%A75"</w:instrText>
      </w:r>
      <w:r>
        <w:rPr>
          <w:rStyle w:val="Hyperlink"/>
          <w:sz w:val="24"/>
          <w:u w:val="none"/>
          <w:szCs w:val="24"/>
          <w:rFonts w:ascii="Times New Roman" w:hAnsi="Times New Roman"/>
          <w:color w:themeColor="text1" w:val="000000"/>
        </w:rPr>
        <w:fldChar w:fldCharType="separate"/>
      </w:r>
      <w:r>
        <w:rPr>
          <w:rStyle w:val="Hyperlink"/>
          <w:rFonts w:ascii="Times New Roman" w:hAnsi="Times New Roman"/>
          <w:color w:themeColor="text1" w:val="000000"/>
          <w:sz w:val="24"/>
          <w:szCs w:val="24"/>
          <w:u w:val="none"/>
        </w:rPr>
        <w:t>art. 156, §5º, da Lei nº 14.133, de 2021</w:t>
      </w:r>
      <w:r>
        <w:rPr>
          <w:rStyle w:val="Hyperlink"/>
          <w:sz w:val="24"/>
          <w:u w:val="none"/>
          <w:szCs w:val="24"/>
          <w:rFonts w:ascii="Times New Roman" w:hAnsi="Times New Roman"/>
          <w:color w:themeColor="text1" w:val="000000"/>
        </w:rPr>
        <w:fldChar w:fldCharType="end"/>
      </w:r>
      <w:r>
        <w:rPr>
          <w:rFonts w:ascii="Times New Roman" w:hAnsi="Times New Roman"/>
          <w:sz w:val="24"/>
          <w:szCs w:val="24"/>
        </w:rPr>
        <w:t>.</w:t>
      </w:r>
    </w:p>
    <w:p>
      <w:pPr>
        <w:pStyle w:val="Nivel2"/>
        <w:numPr>
          <w:ilvl w:val="1"/>
          <w:numId w:val="1"/>
        </w:numPr>
        <w:spacing w:lineRule="auto" w:line="276" w:before="0" w:after="170"/>
        <w:ind w:hanging="0" w:left="0"/>
        <w:rPr/>
      </w:pPr>
      <w:r>
        <w:rPr>
          <w:rFonts w:ascii="Times New Roman" w:hAnsi="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Pr>
          <w:rFonts w:ascii="Times New Roman" w:hAnsi="Times New Roman"/>
          <w:sz w:val="24"/>
          <w:szCs w:val="24"/>
        </w:rPr>
        <w:fldChar w:fldCharType="begin"/>
      </w:r>
      <w:r>
        <w:rPr>
          <w:sz w:val="24"/>
          <w:szCs w:val="24"/>
          <w:rFonts w:ascii="Times New Roman" w:hAnsi="Times New Roman"/>
        </w:rPr>
        <w:instrText xml:space="preserve"> REF _Ref192168045 \r \r \h </w:instrText>
      </w:r>
      <w:r>
        <w:rPr>
          <w:sz w:val="24"/>
          <w:szCs w:val="24"/>
          <w:rFonts w:ascii="Times New Roman" w:hAnsi="Times New Roman"/>
        </w:rPr>
        <w:fldChar w:fldCharType="separate"/>
      </w:r>
      <w:r>
        <w:rPr>
          <w:sz w:val="24"/>
          <w:szCs w:val="24"/>
          <w:rFonts w:ascii="Times New Roman" w:hAnsi="Times New Roman"/>
        </w:rPr>
        <w:t>14.1.4</w:t>
      </w:r>
      <w:r>
        <w:rPr>
          <w:sz w:val="24"/>
          <w:szCs w:val="24"/>
          <w:rFonts w:ascii="Times New Roman" w:hAnsi="Times New Roman"/>
        </w:rPr>
        <w:fldChar w:fldCharType="end"/>
      </w:r>
      <w:r>
        <w:rPr>
          <w:rFonts w:ascii="Times New Roman" w:hAnsi="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3">
        <w:r>
          <w:rPr>
            <w:rStyle w:val="Hyperlink"/>
            <w:rFonts w:ascii="Times New Roman" w:hAnsi="Times New Roman"/>
            <w:color w:themeColor="text1" w:val="000000"/>
            <w:sz w:val="24"/>
            <w:szCs w:val="24"/>
            <w:u w:val="none"/>
          </w:rPr>
          <w:t>art. 45, §4º da Instrução Normativa SEGES/ME nº 73, de 30 de setembro de 2022</w:t>
        </w:r>
      </w:hyperlink>
      <w:r>
        <w:rPr>
          <w:rFonts w:ascii="Times New Roman" w:hAnsi="Times New Roman"/>
          <w:sz w:val="24"/>
          <w:szCs w:val="24"/>
        </w:rPr>
        <w:t>.</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O recurso e o pedido de reconsideração terão efeito suspensivo do ato ou da decisão recorrida até que sobrevenha decisão final da autoridade competente.</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A aplicação das sanções previstas neste edital não exclui, em hipótese alguma, a obrigação de reparação integral dos danos causados.</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Para a garantia da ampla defesa e contraditório dos licitantes, as notificações serão enviadas eletronicamente para os endereços de e-mail informados na proposta comercial, bem como os cadastrados pela empresa no Sicaf.</w:t>
      </w:r>
    </w:p>
    <w:p>
      <w:pPr>
        <w:pStyle w:val="Nivel3"/>
        <w:numPr>
          <w:ilvl w:val="2"/>
          <w:numId w:val="353"/>
        </w:numPr>
        <w:spacing w:lineRule="auto" w:line="276" w:before="0" w:after="170"/>
        <w:ind w:hanging="0" w:left="0"/>
        <w:rPr>
          <w:rFonts w:ascii="Times New Roman" w:hAnsi="Times New Roman"/>
          <w:sz w:val="24"/>
          <w:szCs w:val="24"/>
        </w:rPr>
      </w:pPr>
      <w:r>
        <w:rPr>
          <w:rFonts w:ascii="Times New Roman" w:hAnsi="Times New Roman"/>
          <w:sz w:val="24"/>
          <w:szCs w:val="24"/>
        </w:rPr>
        <w:t>Os endereços de e-mail informados na proposta comercial e/ou cadastrados no Sicaf serão considerados de uso contínuo da empresa, não cabendo alegação de desconhecimento das comunicações a eles comprovadamente enviadas.</w:t>
      </w:r>
    </w:p>
    <w:p>
      <w:pPr>
        <w:pStyle w:val="Nivel01"/>
        <w:numPr>
          <w:ilvl w:val="0"/>
          <w:numId w:val="1"/>
        </w:numPr>
        <w:spacing w:lineRule="auto" w:line="276" w:before="0" w:after="170"/>
        <w:ind w:hanging="0" w:left="0"/>
        <w:rPr>
          <w:rFonts w:ascii="Times New Roman" w:hAnsi="Times New Roman"/>
          <w:sz w:val="24"/>
          <w:szCs w:val="24"/>
        </w:rPr>
      </w:pPr>
      <w:bookmarkStart w:id="95" w:name="_Toc215145280"/>
      <w:bookmarkStart w:id="96" w:name="_Toc135469207"/>
      <w:r>
        <w:rPr>
          <w:rFonts w:ascii="Times New Roman" w:hAnsi="Times New Roman"/>
          <w:sz w:val="24"/>
          <w:szCs w:val="24"/>
        </w:rPr>
        <w:t>DA IMPUGNAÇÃO AO EDITAL E DO PEDIDO DE ESCLARECIMENTO</w:t>
      </w:r>
      <w:bookmarkEnd w:id="95"/>
      <w:bookmarkEnd w:id="96"/>
    </w:p>
    <w:p>
      <w:pPr>
        <w:pStyle w:val="Nivel2"/>
        <w:numPr>
          <w:ilvl w:val="1"/>
          <w:numId w:val="1"/>
        </w:numPr>
        <w:spacing w:lineRule="auto" w:line="276" w:before="0" w:after="170"/>
        <w:ind w:hanging="0" w:left="0"/>
        <w:rPr/>
      </w:pPr>
      <w:r>
        <w:rPr>
          <w:rFonts w:ascii="Times New Roman" w:hAnsi="Times New Roman"/>
          <w:sz w:val="24"/>
          <w:szCs w:val="24"/>
        </w:rPr>
        <w:t xml:space="preserve">Qualquer pessoa é parte legítima para impugnar este Edital por irregularidade na aplicação da </w:t>
      </w:r>
      <w:hyperlink r:id="rId4">
        <w:r>
          <w:rPr>
            <w:rStyle w:val="Hyperlink"/>
            <w:rFonts w:ascii="Times New Roman" w:hAnsi="Times New Roman"/>
            <w:color w:themeColor="text1" w:val="000000"/>
            <w:sz w:val="24"/>
            <w:szCs w:val="24"/>
            <w:u w:val="none"/>
          </w:rPr>
          <w:t>Lei nº 14.133, de 2021</w:t>
        </w:r>
      </w:hyperlink>
      <w:r>
        <w:rPr>
          <w:rFonts w:ascii="Times New Roman" w:hAnsi="Times New Roman"/>
          <w:sz w:val="24"/>
          <w:szCs w:val="24"/>
        </w:rPr>
        <w:t>, devendo protocolar o pedido até 3 (três) dias úteis antes da data da abertura do certame.</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A resposta à impugnação ou ao pedido de esclarecimento será divulgado em sítio eletrônico oficial no prazo de até 3 (três) dias úteis, limitado ao último dia útil anterior à data da abertura do certame.</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A impugnação e o pedido de esclarecimento poderão ser realizados por forma eletrônica, </w:t>
      </w:r>
      <w:r>
        <w:rPr>
          <w:rFonts w:ascii="Times New Roman" w:hAnsi="Times New Roman"/>
          <w:color w:val="auto"/>
          <w:sz w:val="24"/>
          <w:szCs w:val="24"/>
        </w:rPr>
        <w:t>pelos seguintes meios</w:t>
      </w:r>
      <w:r>
        <w:rPr>
          <w:rFonts w:ascii="Times New Roman" w:hAnsi="Times New Roman"/>
          <w:sz w:val="24"/>
          <w:szCs w:val="24"/>
        </w:rPr>
        <w:t xml:space="preserve">: </w:t>
      </w:r>
      <w:r>
        <w:rPr>
          <w:rFonts w:ascii="Times New Roman" w:hAnsi="Times New Roman"/>
          <w:b w:val="false"/>
          <w:bCs w:val="false"/>
          <w:color w:val="2A6099"/>
          <w:sz w:val="24"/>
          <w:szCs w:val="24"/>
        </w:rPr>
        <w:t>salc.pregoes.eb</w:t>
      </w:r>
      <w:r>
        <w:rPr>
          <w:rFonts w:cs="Arial" w:ascii="Times New Roman" w:hAnsi="Times New Roman"/>
          <w:b w:val="false"/>
          <w:bCs w:val="false"/>
          <w:color w:val="2A6099"/>
          <w:sz w:val="20"/>
          <w:szCs w:val="20"/>
          <w:lang w:eastAsia="pt-BR"/>
        </w:rPr>
        <w:t>@gmail.com</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As impugnações e pedidos de esclarecimentos não suspendem os prazos previstos no certame.</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A concessã</w:t>
      </w:r>
      <w:r>
        <w:rPr>
          <w:rFonts w:ascii="Times New Roman" w:hAnsi="Times New Roman"/>
          <w:sz w:val="24"/>
          <w:szCs w:val="24"/>
          <w:shd w:fill="auto" w:val="clear"/>
        </w:rPr>
        <w:t>o de efeito suspensivo à impugnação é medida excepcional e deverá ser motivada pelo Pregoeiro/Age</w:t>
      </w:r>
      <w:r>
        <w:rPr>
          <w:rFonts w:ascii="Times New Roman" w:hAnsi="Times New Roman"/>
          <w:sz w:val="24"/>
          <w:szCs w:val="24"/>
        </w:rPr>
        <w:t>nte de Contratação/Comissão, nos autos do processo de licitação.</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Acolhida a impugnação, será definida e publicada nova data para a realização do certame.</w:t>
      </w:r>
    </w:p>
    <w:p>
      <w:pPr>
        <w:pStyle w:val="Nivel01"/>
        <w:numPr>
          <w:ilvl w:val="0"/>
          <w:numId w:val="1"/>
        </w:numPr>
        <w:spacing w:lineRule="auto" w:line="276" w:before="0" w:after="170"/>
        <w:ind w:hanging="0" w:left="0"/>
        <w:rPr>
          <w:rFonts w:ascii="Times New Roman" w:hAnsi="Times New Roman"/>
          <w:sz w:val="24"/>
          <w:szCs w:val="24"/>
        </w:rPr>
      </w:pPr>
      <w:bookmarkStart w:id="97" w:name="_Toc215145281"/>
      <w:bookmarkStart w:id="98" w:name="_Toc135469208"/>
      <w:r>
        <w:rPr>
          <w:rFonts w:ascii="Times New Roman" w:hAnsi="Times New Roman"/>
          <w:sz w:val="24"/>
          <w:szCs w:val="24"/>
        </w:rPr>
        <w:t>DAS DISPOSIÇÕES GERAIS</w:t>
      </w:r>
      <w:bookmarkEnd w:id="97"/>
      <w:bookmarkEnd w:id="98"/>
    </w:p>
    <w:p>
      <w:pPr>
        <w:pStyle w:val="Nivel2"/>
        <w:numPr>
          <w:ilvl w:val="1"/>
          <w:numId w:val="1"/>
        </w:numPr>
        <w:spacing w:lineRule="auto" w:line="276" w:before="0" w:after="170"/>
        <w:ind w:hanging="0" w:left="0"/>
        <w:rPr>
          <w:rFonts w:ascii="Times New Roman" w:hAnsi="Times New Roman"/>
          <w:sz w:val="24"/>
          <w:szCs w:val="24"/>
        </w:rPr>
      </w:pPr>
      <w:bookmarkStart w:id="99" w:name="_Hlk82473550"/>
      <w:bookmarkEnd w:id="99"/>
      <w:r>
        <w:rPr>
          <w:rFonts w:ascii="Times New Roman" w:hAnsi="Times New Roman"/>
          <w:sz w:val="24"/>
          <w:szCs w:val="24"/>
        </w:rPr>
        <w:t>Será divulgada ata da sessão pública no sistema eletrônico.</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Todas as referências de tempo no Edital, no aviso e durante a sessão pública observarão o horário de Brasília - DF.</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A homologação do resultado desta licitação não implicará direito à contratação.</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Na contagem dos prazos estabelecidos neste Edital e seus Anexos, excluir-se-á o dia do início e incluir-se-á o do vencimento. Só se iniciam e vencem os prazos em dias de expediente na Administração.</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O desatendimento de exigências formais não essenciais não importará o afastamento do licitante, desde que seja possível o aproveitamento do ato, observados os princípios da isonomia e do interesse público.</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Em caso de divergência entre disposições deste Edital e de seus anexos ou demais peças que compõem o processo, prevalecerá as deste Edital.</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O Edital e seus anexos estão disponíveis, na íntegra, no Portal Nacional de Contratações Públicas (PNCP)</w:t>
      </w:r>
      <w:r>
        <w:rPr>
          <w:rFonts w:ascii="Times New Roman" w:hAnsi="Times New Roman"/>
          <w:strike/>
          <w:color w:val="000000"/>
          <w:sz w:val="24"/>
          <w:szCs w:val="24"/>
        </w:rPr>
        <w:t xml:space="preserve"> e endereço eletrônico [</w:t>
      </w:r>
      <w:r>
        <w:rPr>
          <w:rFonts w:ascii="Times New Roman" w:hAnsi="Times New Roman"/>
          <w:i/>
          <w:iCs/>
          <w:strike/>
          <w:color w:val="000000"/>
          <w:sz w:val="24"/>
          <w:szCs w:val="24"/>
        </w:rPr>
        <w:t>inserir</w:t>
      </w:r>
      <w:r>
        <w:rPr>
          <w:rFonts w:ascii="Times New Roman" w:hAnsi="Times New Roman"/>
          <w:strike/>
          <w:color w:val="000000"/>
          <w:sz w:val="24"/>
          <w:szCs w:val="24"/>
        </w:rPr>
        <w:t xml:space="preserve"> </w:t>
      </w:r>
      <w:r>
        <w:rPr>
          <w:rFonts w:ascii="Times New Roman" w:hAnsi="Times New Roman"/>
          <w:i/>
          <w:iCs/>
          <w:strike/>
          <w:color w:val="000000"/>
          <w:sz w:val="24"/>
          <w:szCs w:val="24"/>
        </w:rPr>
        <w:t>endereço eletrônico</w:t>
      </w:r>
      <w:r>
        <w:rPr>
          <w:rFonts w:ascii="Times New Roman" w:hAnsi="Times New Roman"/>
          <w:strike/>
          <w:color w:val="000000"/>
          <w:sz w:val="24"/>
          <w:szCs w:val="24"/>
        </w:rPr>
        <w:t>].</w:t>
      </w:r>
    </w:p>
    <w:p>
      <w:pPr>
        <w:pStyle w:val="Nivel2"/>
        <w:numPr>
          <w:ilvl w:val="1"/>
          <w:numId w:val="1"/>
        </w:numPr>
        <w:spacing w:lineRule="auto" w:line="276" w:before="0" w:after="170"/>
        <w:ind w:hanging="0" w:left="0"/>
        <w:rPr>
          <w:rFonts w:ascii="Times New Roman" w:hAnsi="Times New Roman"/>
          <w:sz w:val="24"/>
          <w:szCs w:val="24"/>
        </w:rPr>
      </w:pPr>
      <w:r>
        <w:rPr>
          <w:rFonts w:ascii="Times New Roman" w:hAnsi="Times New Roman"/>
          <w:sz w:val="24"/>
          <w:szCs w:val="24"/>
        </w:rPr>
        <w:t>Integram este Edital, para todos os fins e efeitos, os seguintes anexos:</w:t>
      </w:r>
    </w:p>
    <w:p>
      <w:pPr>
        <w:pStyle w:val="Nivel3"/>
        <w:numPr>
          <w:ilvl w:val="2"/>
          <w:numId w:val="354"/>
        </w:numPr>
        <w:spacing w:lineRule="auto" w:line="276" w:before="0" w:after="170"/>
        <w:ind w:hanging="0" w:left="0"/>
        <w:rPr>
          <w:rFonts w:ascii="Times New Roman" w:hAnsi="Times New Roman"/>
          <w:sz w:val="24"/>
          <w:szCs w:val="24"/>
        </w:rPr>
      </w:pPr>
      <w:r>
        <w:rPr>
          <w:rFonts w:ascii="Times New Roman" w:hAnsi="Times New Roman"/>
          <w:sz w:val="24"/>
          <w:szCs w:val="24"/>
        </w:rPr>
        <w:t>Anexo I - Termo de Referência;</w:t>
      </w:r>
    </w:p>
    <w:p>
      <w:pPr>
        <w:pStyle w:val="Nivel4"/>
        <w:numPr>
          <w:ilvl w:val="3"/>
          <w:numId w:val="1"/>
        </w:numPr>
        <w:spacing w:lineRule="auto" w:line="276" w:before="0" w:after="170"/>
        <w:ind w:hanging="0" w:left="0"/>
        <w:rPr>
          <w:rFonts w:ascii="Times New Roman" w:hAnsi="Times New Roman"/>
          <w:sz w:val="24"/>
          <w:szCs w:val="24"/>
        </w:rPr>
      </w:pPr>
      <w:r>
        <w:rPr>
          <w:rFonts w:ascii="Times New Roman" w:hAnsi="Times New Roman"/>
          <w:sz w:val="24"/>
          <w:szCs w:val="24"/>
        </w:rPr>
        <w:t>Apêndice do Anexo I – Estudo Técnico Preliminar;</w:t>
      </w:r>
    </w:p>
    <w:p>
      <w:pPr>
        <w:pStyle w:val="Nvel3-R"/>
        <w:numPr>
          <w:ilvl w:val="2"/>
          <w:numId w:val="355"/>
        </w:numPr>
        <w:spacing w:lineRule="auto" w:line="276" w:before="0" w:after="170"/>
        <w:ind w:hanging="0" w:left="0"/>
        <w:rPr>
          <w:rFonts w:ascii="Times New Roman" w:hAnsi="Times New Roman"/>
          <w:strike/>
          <w:color w:val="000000"/>
          <w:sz w:val="24"/>
          <w:szCs w:val="24"/>
        </w:rPr>
      </w:pPr>
      <w:r>
        <w:rPr>
          <w:rFonts w:ascii="Times New Roman" w:hAnsi="Times New Roman"/>
          <w:strike/>
          <w:color w:val="000000"/>
          <w:sz w:val="24"/>
          <w:szCs w:val="24"/>
        </w:rPr>
        <w:t>Anexo II – Projeto Básico;</w:t>
      </w:r>
    </w:p>
    <w:p>
      <w:pPr>
        <w:pStyle w:val="Nvel3-R"/>
        <w:numPr>
          <w:ilvl w:val="2"/>
          <w:numId w:val="356"/>
        </w:numPr>
        <w:spacing w:lineRule="auto" w:line="276" w:before="0" w:after="170"/>
        <w:ind w:hanging="0" w:left="0"/>
        <w:rPr>
          <w:rFonts w:ascii="Times New Roman" w:hAnsi="Times New Roman"/>
          <w:strike/>
          <w:color w:val="000000"/>
          <w:sz w:val="24"/>
          <w:szCs w:val="24"/>
        </w:rPr>
      </w:pPr>
      <w:r>
        <w:rPr>
          <w:rFonts w:ascii="Times New Roman" w:hAnsi="Times New Roman"/>
          <w:strike/>
          <w:color w:val="000000"/>
          <w:sz w:val="24"/>
          <w:szCs w:val="24"/>
        </w:rPr>
        <w:t>Anexo III – Minuta de Termo de Contrato;</w:t>
      </w:r>
    </w:p>
    <w:p>
      <w:pPr>
        <w:pStyle w:val="Nvel3-R"/>
        <w:numPr>
          <w:ilvl w:val="2"/>
          <w:numId w:val="357"/>
        </w:numPr>
        <w:spacing w:lineRule="auto" w:line="276" w:before="0" w:after="170"/>
        <w:ind w:hanging="0" w:lef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Anexo IV – Minuta de Ata de Registro de Preços;</w:t>
      </w:r>
    </w:p>
    <w:p>
      <w:pPr>
        <w:pStyle w:val="Nvel3-R"/>
        <w:numPr>
          <w:ilvl w:val="2"/>
          <w:numId w:val="358"/>
        </w:numPr>
        <w:spacing w:lineRule="auto" w:line="276" w:before="0" w:after="170"/>
        <w:ind w:hanging="0" w:left="0"/>
        <w:rPr>
          <w:rFonts w:ascii="Times New Roman" w:hAnsi="Times New Roman"/>
          <w:strike/>
          <w:color w:val="000000"/>
          <w:sz w:val="24"/>
          <w:szCs w:val="24"/>
        </w:rPr>
      </w:pPr>
      <w:r>
        <w:rPr>
          <w:rFonts w:ascii="Times New Roman" w:hAnsi="Times New Roman"/>
          <w:strike/>
          <w:color w:val="000000"/>
          <w:sz w:val="24"/>
          <w:szCs w:val="24"/>
        </w:rPr>
        <w:t>Anexo V –Regras aplicáveis ao instrumento substitutivo ao contrato;</w:t>
      </w:r>
    </w:p>
    <w:p>
      <w:pPr>
        <w:pStyle w:val="Nvel3-R"/>
        <w:numPr>
          <w:ilvl w:val="2"/>
          <w:numId w:val="359"/>
        </w:numPr>
        <w:spacing w:lineRule="auto" w:line="276" w:before="0" w:after="170"/>
        <w:ind w:hanging="0" w:left="0"/>
        <w:rPr>
          <w:rFonts w:ascii="Times New Roman" w:hAnsi="Times New Roman"/>
          <w:strike/>
          <w:color w:val="000000"/>
          <w:sz w:val="24"/>
          <w:szCs w:val="24"/>
        </w:rPr>
      </w:pPr>
      <w:r>
        <w:rPr>
          <w:rFonts w:ascii="Times New Roman" w:hAnsi="Times New Roman"/>
          <w:strike/>
          <w:color w:val="000000"/>
          <w:sz w:val="24"/>
          <w:szCs w:val="24"/>
        </w:rPr>
        <w:t>Anexo VI – Termo de Ciência e concordância;</w:t>
      </w:r>
    </w:p>
    <w:p>
      <w:pPr>
        <w:pStyle w:val="Nvel3-R"/>
        <w:numPr>
          <w:ilvl w:val="2"/>
          <w:numId w:val="360"/>
        </w:numPr>
        <w:spacing w:lineRule="auto" w:line="276" w:before="0" w:after="170"/>
        <w:ind w:hanging="0" w:left="0"/>
        <w:rPr>
          <w:rFonts w:ascii="Times New Roman" w:hAnsi="Times New Roman"/>
          <w:strike/>
          <w:color w:val="000000"/>
          <w:sz w:val="24"/>
          <w:szCs w:val="24"/>
          <w:highlight w:val="none"/>
          <w:shd w:fill="auto" w:val="clear"/>
        </w:rPr>
      </w:pPr>
      <w:r>
        <w:rPr>
          <w:rFonts w:ascii="Times New Roman" w:hAnsi="Times New Roman"/>
          <w:strike/>
          <w:color w:val="000000"/>
          <w:sz w:val="24"/>
          <w:szCs w:val="24"/>
          <w:shd w:fill="auto" w:val="clear"/>
        </w:rPr>
        <w:t>Anexo VII – Declaração de Responsabilidade pelo enquadramento sindical;</w:t>
      </w:r>
    </w:p>
    <w:p>
      <w:pPr>
        <w:pStyle w:val="Nvel3-R"/>
        <w:numPr>
          <w:ilvl w:val="2"/>
          <w:numId w:val="361"/>
        </w:numPr>
        <w:spacing w:lineRule="auto" w:line="276" w:before="0" w:after="170"/>
        <w:ind w:hanging="0" w:left="0"/>
        <w:rPr>
          <w:rFonts w:ascii="Times New Roman" w:hAnsi="Times New Roman"/>
          <w:color w:val="000000"/>
          <w:sz w:val="24"/>
          <w:szCs w:val="24"/>
        </w:rPr>
      </w:pPr>
      <w:r>
        <w:rPr>
          <w:rFonts w:ascii="Times New Roman" w:hAnsi="Times New Roman"/>
          <w:color w:val="000000"/>
          <w:sz w:val="24"/>
          <w:szCs w:val="24"/>
        </w:rPr>
        <w:t>Anexo VIII – (...);</w:t>
      </w:r>
    </w:p>
    <w:p>
      <w:pPr>
        <w:pStyle w:val="Nvel3-R"/>
        <w:numPr>
          <w:ilvl w:val="0"/>
          <w:numId w:val="0"/>
        </w:numPr>
        <w:spacing w:lineRule="auto" w:line="276" w:before="0" w:after="170"/>
        <w:ind w:hanging="0" w:left="0"/>
        <w:rPr>
          <w:rFonts w:ascii="Times New Roman" w:hAnsi="Times New Roman"/>
          <w:color w:val="000000"/>
          <w:sz w:val="24"/>
          <w:szCs w:val="24"/>
        </w:rPr>
      </w:pPr>
      <w:r>
        <w:rPr>
          <w:rFonts w:ascii="Times New Roman" w:hAnsi="Times New Roman"/>
          <w:color w:val="000000"/>
          <w:sz w:val="24"/>
          <w:szCs w:val="24"/>
        </w:rPr>
      </w:r>
    </w:p>
    <w:p>
      <w:pPr>
        <w:pStyle w:val="Nvel3-R"/>
        <w:numPr>
          <w:ilvl w:val="0"/>
          <w:numId w:val="0"/>
        </w:numPr>
        <w:spacing w:lineRule="auto" w:line="276" w:before="0" w:after="170"/>
        <w:ind w:hanging="0" w:left="0"/>
        <w:rPr>
          <w:rFonts w:ascii="Times New Roman" w:hAnsi="Times New Roman"/>
          <w:color w:val="000000"/>
          <w:sz w:val="24"/>
          <w:szCs w:val="24"/>
        </w:rPr>
      </w:pPr>
      <w:r>
        <w:rPr>
          <w:rFonts w:ascii="Times New Roman" w:hAnsi="Times New Roman"/>
          <w:color w:val="000000"/>
          <w:sz w:val="24"/>
          <w:szCs w:val="24"/>
        </w:rPr>
      </w:r>
    </w:p>
    <w:p>
      <w:pPr>
        <w:pStyle w:val="Nvel3-R"/>
        <w:numPr>
          <w:ilvl w:val="0"/>
          <w:numId w:val="0"/>
        </w:numPr>
        <w:spacing w:lineRule="auto" w:line="276" w:before="0" w:after="170"/>
        <w:ind w:hanging="0" w:left="0"/>
        <w:rPr>
          <w:rFonts w:ascii="Times New Roman" w:hAnsi="Times New Roman"/>
          <w:color w:val="000000"/>
          <w:sz w:val="24"/>
          <w:szCs w:val="24"/>
        </w:rPr>
      </w:pPr>
      <w:r>
        <w:rPr>
          <w:rFonts w:ascii="Times New Roman" w:hAnsi="Times New Roman"/>
          <w:color w:val="000000"/>
          <w:sz w:val="24"/>
          <w:szCs w:val="24"/>
        </w:rPr>
      </w:r>
    </w:p>
    <w:p>
      <w:pPr>
        <w:pStyle w:val="Nvel3-R"/>
        <w:numPr>
          <w:ilvl w:val="0"/>
          <w:numId w:val="0"/>
        </w:numPr>
        <w:spacing w:lineRule="auto" w:line="276" w:before="0" w:after="170"/>
        <w:ind w:hanging="0" w:left="0"/>
        <w:rPr>
          <w:rFonts w:ascii="Times New Roman" w:hAnsi="Times New Roman"/>
          <w:color w:val="000000"/>
          <w:sz w:val="24"/>
          <w:szCs w:val="24"/>
        </w:rPr>
      </w:pPr>
      <w:r>
        <w:rPr>
          <w:rFonts w:ascii="Times New Roman" w:hAnsi="Times New Roman"/>
          <w:color w:val="000000"/>
          <w:sz w:val="24"/>
          <w:szCs w:val="24"/>
        </w:rPr>
      </w:r>
    </w:p>
    <w:p>
      <w:pPr>
        <w:pStyle w:val="Nvel3-R"/>
        <w:numPr>
          <w:ilvl w:val="0"/>
          <w:numId w:val="0"/>
        </w:numPr>
        <w:spacing w:lineRule="auto" w:line="276" w:before="0" w:after="170"/>
        <w:ind w:hanging="0" w:left="0"/>
        <w:rPr>
          <w:rFonts w:ascii="Times New Roman" w:hAnsi="Times New Roman"/>
          <w:color w:val="000000"/>
          <w:sz w:val="24"/>
          <w:szCs w:val="24"/>
        </w:rPr>
      </w:pPr>
      <w:r>
        <w:rPr>
          <w:rFonts w:ascii="Times New Roman" w:hAnsi="Times New Roman"/>
          <w:color w:val="000000"/>
          <w:sz w:val="24"/>
          <w:szCs w:val="24"/>
        </w:rPr>
      </w:r>
    </w:p>
    <w:p>
      <w:pPr>
        <w:pStyle w:val="Nvel3-R"/>
        <w:numPr>
          <w:ilvl w:val="0"/>
          <w:numId w:val="0"/>
        </w:numPr>
        <w:spacing w:lineRule="auto" w:line="276" w:before="0" w:after="170"/>
        <w:ind w:hanging="0" w:left="0"/>
        <w:rPr>
          <w:rFonts w:ascii="Times New Roman" w:hAnsi="Times New Roman"/>
          <w:color w:val="000000"/>
          <w:sz w:val="24"/>
          <w:szCs w:val="24"/>
        </w:rPr>
      </w:pPr>
      <w:r>
        <w:rPr>
          <w:rFonts w:ascii="Times New Roman" w:hAnsi="Times New Roman"/>
          <w:color w:val="000000"/>
          <w:sz w:val="24"/>
          <w:szCs w:val="24"/>
        </w:rPr>
      </w:r>
    </w:p>
    <w:p>
      <w:pPr>
        <w:pStyle w:val="Nvel3-R"/>
        <w:numPr>
          <w:ilvl w:val="0"/>
          <w:numId w:val="0"/>
        </w:numPr>
        <w:spacing w:lineRule="auto" w:line="276" w:before="0" w:after="170"/>
        <w:ind w:hanging="0" w:left="0"/>
        <w:rPr>
          <w:rFonts w:ascii="Times New Roman" w:hAnsi="Times New Roman"/>
          <w:color w:val="000000"/>
          <w:sz w:val="24"/>
          <w:szCs w:val="24"/>
        </w:rPr>
      </w:pPr>
      <w:r>
        <w:rPr>
          <w:rFonts w:ascii="Times New Roman" w:hAnsi="Times New Roman"/>
          <w:color w:val="000000"/>
          <w:sz w:val="24"/>
          <w:szCs w:val="24"/>
        </w:rPr>
      </w:r>
    </w:p>
    <w:p>
      <w:pPr>
        <w:pStyle w:val="Nvel3-R"/>
        <w:numPr>
          <w:ilvl w:val="0"/>
          <w:numId w:val="0"/>
        </w:numPr>
        <w:spacing w:lineRule="auto" w:line="276" w:before="0" w:after="170"/>
        <w:ind w:hanging="0" w:left="0"/>
        <w:rPr>
          <w:rFonts w:ascii="Times New Roman" w:hAnsi="Times New Roman"/>
          <w:color w:val="000000"/>
          <w:sz w:val="24"/>
          <w:szCs w:val="24"/>
        </w:rPr>
      </w:pPr>
      <w:r>
        <w:rPr>
          <w:rFonts w:ascii="Times New Roman" w:hAnsi="Times New Roman"/>
          <w:color w:val="000000"/>
          <w:sz w:val="24"/>
          <w:szCs w:val="24"/>
        </w:rPr>
      </w:r>
    </w:p>
    <w:p>
      <w:pPr>
        <w:pStyle w:val="Nvel3-R"/>
        <w:numPr>
          <w:ilvl w:val="0"/>
          <w:numId w:val="0"/>
        </w:numPr>
        <w:spacing w:lineRule="auto" w:line="276" w:before="0" w:after="170"/>
        <w:ind w:hanging="0" w:left="0"/>
        <w:rPr>
          <w:rFonts w:ascii="Times New Roman" w:hAnsi="Times New Roman"/>
          <w:color w:val="000000"/>
          <w:sz w:val="24"/>
          <w:szCs w:val="24"/>
        </w:rPr>
      </w:pPr>
      <w:r>
        <w:rPr>
          <w:rFonts w:ascii="Times New Roman" w:hAnsi="Times New Roman"/>
          <w:color w:val="000000"/>
          <w:sz w:val="24"/>
          <w:szCs w:val="24"/>
        </w:rPr>
      </w:r>
    </w:p>
    <w:p>
      <w:pPr>
        <w:pStyle w:val="Nvel3-R"/>
        <w:numPr>
          <w:ilvl w:val="0"/>
          <w:numId w:val="0"/>
        </w:numPr>
        <w:spacing w:lineRule="auto" w:line="276" w:before="0" w:after="170"/>
        <w:ind w:hanging="0" w:left="0"/>
        <w:rPr>
          <w:rFonts w:ascii="Times New Roman" w:hAnsi="Times New Roman"/>
          <w:color w:val="000000"/>
          <w:sz w:val="24"/>
          <w:szCs w:val="24"/>
        </w:rPr>
      </w:pPr>
      <w:r>
        <w:rPr>
          <w:rFonts w:ascii="Times New Roman" w:hAnsi="Times New Roman"/>
          <w:color w:val="000000"/>
          <w:sz w:val="24"/>
          <w:szCs w:val="24"/>
        </w:rPr>
      </w:r>
    </w:p>
    <w:p>
      <w:pPr>
        <w:pStyle w:val="Normal"/>
        <w:spacing w:lineRule="auto" w:line="276" w:before="0" w:after="170"/>
        <w:ind w:hanging="0" w:left="0"/>
        <w:jc w:val="right"/>
        <w:rPr/>
      </w:pPr>
      <w:r>
        <w:rPr>
          <w:rFonts w:eastAsia="MS Mincho" w:cs="Arial" w:ascii="Arial" w:hAnsi="Arial"/>
          <w:color w:val="000000"/>
          <w:sz w:val="20"/>
          <w:szCs w:val="20"/>
          <w:lang w:eastAsia="pt-BR"/>
        </w:rPr>
        <w:t>Recife/PE</w:t>
      </w:r>
      <w:r>
        <w:rPr>
          <w:rFonts w:eastAsia="MS Mincho" w:cs="Arial" w:ascii="Arial" w:hAnsi="Arial"/>
          <w:color w:val="000000"/>
          <w:sz w:val="20"/>
          <w:szCs w:val="20"/>
        </w:rPr>
        <w:t xml:space="preserve"> , </w:t>
      </w:r>
      <w:r>
        <w:rPr>
          <w:rFonts w:eastAsia="MS Mincho" w:cs="Arial" w:ascii="Arial" w:hAnsi="Arial"/>
          <w:color w:val="000000"/>
          <w:sz w:val="20"/>
          <w:szCs w:val="20"/>
          <w:lang w:eastAsia="pt-BR"/>
        </w:rPr>
        <w:t>29</w:t>
      </w:r>
      <w:r>
        <w:rPr>
          <w:rFonts w:eastAsia="MS Mincho" w:cs="Arial" w:ascii="Arial" w:hAnsi="Arial"/>
          <w:color w:val="000000"/>
          <w:sz w:val="20"/>
          <w:szCs w:val="20"/>
        </w:rPr>
        <w:t xml:space="preserve"> de </w:t>
      </w:r>
      <w:r>
        <w:rPr>
          <w:rFonts w:eastAsia="MS Mincho" w:cs="Arial" w:ascii="Arial" w:hAnsi="Arial"/>
          <w:color w:val="000000"/>
          <w:sz w:val="20"/>
          <w:szCs w:val="20"/>
          <w:lang w:eastAsia="pt-BR"/>
        </w:rPr>
        <w:t>Junho</w:t>
      </w:r>
      <w:r>
        <w:rPr>
          <w:rFonts w:eastAsia="MS Mincho" w:cs="Arial" w:ascii="Arial" w:hAnsi="Arial"/>
          <w:color w:val="000000"/>
          <w:sz w:val="20"/>
          <w:szCs w:val="20"/>
        </w:rPr>
        <w:t xml:space="preserve"> de 20</w:t>
      </w:r>
      <w:r>
        <w:rPr>
          <w:rFonts w:eastAsia="MS Mincho" w:cs="Arial" w:ascii="Arial" w:hAnsi="Arial"/>
          <w:color w:val="000000"/>
          <w:sz w:val="20"/>
          <w:szCs w:val="20"/>
          <w:lang w:eastAsia="pt-BR"/>
        </w:rPr>
        <w:t>26</w:t>
      </w:r>
    </w:p>
    <w:p>
      <w:pPr>
        <w:pStyle w:val="Normal"/>
        <w:spacing w:lineRule="auto" w:line="276" w:before="0" w:after="170"/>
        <w:ind w:hanging="0" w:left="0"/>
        <w:jc w:val="center"/>
        <w:rPr/>
      </w:pPr>
      <w:r>
        <w:rPr/>
      </w:r>
    </w:p>
    <w:p>
      <w:pPr>
        <w:pStyle w:val="Normal"/>
        <w:spacing w:lineRule="auto" w:line="276" w:before="0" w:after="170"/>
        <w:ind w:hanging="0" w:left="0"/>
        <w:jc w:val="center"/>
        <w:rPr/>
      </w:pPr>
      <w:r>
        <w:rPr/>
      </w:r>
    </w:p>
    <w:p>
      <w:pPr>
        <w:pStyle w:val="Normal"/>
        <w:spacing w:lineRule="auto" w:line="276" w:before="0" w:after="170"/>
        <w:ind w:hanging="0" w:left="0"/>
        <w:jc w:val="center"/>
        <w:rPr/>
      </w:pPr>
      <w:r>
        <w:rPr/>
      </w:r>
    </w:p>
    <w:p>
      <w:pPr>
        <w:pStyle w:val="Normal"/>
        <w:spacing w:lineRule="auto" w:line="276" w:before="0" w:after="170"/>
        <w:ind w:hanging="0" w:left="0"/>
        <w:jc w:val="center"/>
        <w:rPr/>
      </w:pPr>
      <w:r>
        <w:rPr/>
        <w:t>_______________________________________</w:t>
      </w:r>
    </w:p>
    <w:p>
      <w:pPr>
        <w:pStyle w:val="Normal"/>
        <w:spacing w:lineRule="auto" w:line="276" w:before="0" w:after="170"/>
        <w:ind w:hanging="0" w:left="0"/>
        <w:jc w:val="center"/>
        <w:rPr/>
      </w:pPr>
      <w:r>
        <w:rPr>
          <w:rFonts w:ascii="Times New Roman" w:hAnsi="Times New Roman"/>
          <w:b/>
          <w:bCs/>
        </w:rPr>
        <w:t xml:space="preserve">JABIS </w:t>
      </w:r>
      <w:r>
        <w:rPr>
          <w:rFonts w:ascii="Times New Roman" w:hAnsi="Times New Roman"/>
          <w:b w:val="false"/>
          <w:bCs w:val="false"/>
        </w:rPr>
        <w:t>PEREIRA DOS SANTOS FILHO - TC</w:t>
      </w:r>
    </w:p>
    <w:p>
      <w:pPr>
        <w:pStyle w:val="Normal"/>
        <w:spacing w:lineRule="auto" w:line="276" w:before="0" w:after="170"/>
        <w:ind w:hanging="0" w:left="0"/>
        <w:jc w:val="center"/>
        <w:rPr/>
      </w:pPr>
      <w:bookmarkStart w:id="100" w:name="_Hlk82473550_Copia_1"/>
      <w:bookmarkEnd w:id="100"/>
      <w:r>
        <w:rPr/>
        <w:t>Ordenador de Despesas do Pq R Mnt/7</w:t>
      </w:r>
    </w:p>
    <w:sectPr>
      <w:headerReference w:type="even" r:id="rId5"/>
      <w:headerReference w:type="default" r:id="rId6"/>
      <w:headerReference w:type="first" r:id="rId7"/>
      <w:footerReference w:type="even" r:id="rId8"/>
      <w:footerReference w:type="default" r:id="rId9"/>
      <w:footerReference w:type="first" r:id="rId10"/>
      <w:type w:val="nextPage"/>
      <w:pgSz w:w="11906" w:h="16838"/>
      <w:pgMar w:left="1134" w:right="1134" w:gutter="0" w:header="0" w:top="709"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swiss"/>
    <w:pitch w:val="variable"/>
  </w:font>
  <w:font w:name="Calibri">
    <w:charset w:val="00"/>
    <w:family w:val="swiss"/>
    <w:pitch w:val="variable"/>
  </w:font>
  <w:font w:name="Tahoma">
    <w:charset w:val="00"/>
    <w:family w:val="swiss"/>
    <w:pitch w:val="variable"/>
  </w:font>
  <w:font w:name="Liberation Sans">
    <w:altName w:val="Arial"/>
    <w:charset w:val="00"/>
    <w:family w:val="swiss"/>
    <w:pitch w:val="variable"/>
  </w:font>
  <w:font w:name="Cambria">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016111550"/>
    </w:sdtPr>
    <w:sdtContent>
      <w:p>
        <w:pPr>
          <w:pStyle w:val="Footer"/>
          <w:rPr>
            <w:color w:themeColor="text2" w:themeTint="99" w:val="548DD4"/>
            <w:spacing w:val="60"/>
            <w:sz w:val="16"/>
            <w:szCs w:val="16"/>
          </w:rPr>
        </w:pPr>
        <w:r>
          <w:rPr>
            <w:color w:themeColor="text2" w:themeTint="99" w:val="548DD4"/>
            <w:spacing w:val="60"/>
            <w:sz w:val="22"/>
            <w:szCs w:val="22"/>
          </w:rPr>
          <w:tab/>
          <w:tab/>
        </w:r>
      </w:p>
      <w:p>
        <w:pPr>
          <w:pStyle w:val="Footer"/>
          <w:rPr>
            <w:rFonts w:ascii="Arial" w:hAnsi="Arial" w:cs="Arial"/>
            <w:color w:themeColor="text1" w:themeTint="80" w:val="7F7F7F"/>
            <w:sz w:val="18"/>
            <w:szCs w:val="18"/>
          </w:rPr>
        </w:pPr>
        <w:r>
          <w:rPr>
            <w:color w:themeColor="text1" w:themeTint="80" w:val="7F7F7F"/>
            <w:spacing w:val="60"/>
            <w:sz w:val="22"/>
            <w:szCs w:val="22"/>
          </w:rPr>
          <w:tab/>
          <w:tab/>
        </w:r>
        <w:r>
          <w:rPr>
            <w:rFonts w:cs="Arial" w:ascii="Arial" w:hAnsi="Arial"/>
            <w:color w:themeColor="text1" w:themeTint="a6" w:val="595959"/>
            <w:spacing w:val="60"/>
            <w:sz w:val="18"/>
            <w:szCs w:val="18"/>
          </w:rPr>
          <w:t>Página</w:t>
        </w:r>
        <w:r>
          <w:rPr>
            <w:rFonts w:cs="Arial" w:ascii="Arial" w:hAnsi="Arial"/>
            <w:color w:themeColor="text1" w:themeTint="a6" w:val="595959"/>
            <w:sz w:val="18"/>
            <w:szCs w:val="18"/>
          </w:rPr>
          <w:t xml:space="preserve"> </w:t>
        </w:r>
        <w:r>
          <w:rPr>
            <w:rFonts w:cs="Arial" w:ascii="Arial" w:hAnsi="Arial"/>
            <w:color w:themeColor="text1" w:themeTint="a6" w:val="595959"/>
            <w:sz w:val="18"/>
            <w:szCs w:val="18"/>
          </w:rPr>
          <w:fldChar w:fldCharType="begin"/>
        </w:r>
        <w:r>
          <w:rPr>
            <w:sz w:val="18"/>
            <w:szCs w:val="18"/>
            <w:rFonts w:cs="Arial" w:ascii="Arial" w:hAnsi="Arial"/>
            <w:color w:themeColor="text1" w:themeTint="a6" w:val="595959"/>
          </w:rPr>
          <w:instrText xml:space="preserve"> PAGE </w:instrText>
        </w:r>
        <w:r>
          <w:rPr>
            <w:sz w:val="18"/>
            <w:szCs w:val="18"/>
            <w:rFonts w:cs="Arial" w:ascii="Arial" w:hAnsi="Arial"/>
            <w:color w:themeColor="text1" w:themeTint="a6" w:val="595959"/>
          </w:rPr>
          <w:fldChar w:fldCharType="separate"/>
        </w:r>
        <w:r>
          <w:rPr>
            <w:sz w:val="18"/>
            <w:szCs w:val="18"/>
            <w:rFonts w:cs="Arial" w:ascii="Arial" w:hAnsi="Arial"/>
            <w:color w:themeColor="text1" w:themeTint="a6" w:val="595959"/>
          </w:rPr>
          <w:t>32</w:t>
        </w:r>
        <w:r>
          <w:rPr>
            <w:sz w:val="18"/>
            <w:szCs w:val="18"/>
            <w:rFonts w:cs="Arial" w:ascii="Arial" w:hAnsi="Arial"/>
            <w:color w:themeColor="text1" w:themeTint="a6" w:val="595959"/>
          </w:rPr>
          <w:fldChar w:fldCharType="end"/>
        </w:r>
        <w:r>
          <w:rPr>
            <w:rFonts w:cs="Arial" w:ascii="Arial" w:hAnsi="Arial"/>
            <w:color w:themeColor="text1" w:themeTint="a6" w:val="595959"/>
            <w:sz w:val="18"/>
            <w:szCs w:val="18"/>
          </w:rPr>
          <w:t xml:space="preserve"> | </w:t>
        </w:r>
        <w:r>
          <w:rPr>
            <w:rFonts w:cs="Arial" w:ascii="Arial" w:hAnsi="Arial"/>
            <w:color w:themeColor="text1" w:themeTint="a6" w:val="595959"/>
            <w:sz w:val="18"/>
            <w:szCs w:val="18"/>
          </w:rPr>
          <w:fldChar w:fldCharType="begin"/>
        </w:r>
        <w:r>
          <w:rPr>
            <w:sz w:val="18"/>
            <w:szCs w:val="18"/>
            <w:rFonts w:cs="Arial" w:ascii="Arial" w:hAnsi="Arial"/>
            <w:color w:themeColor="text1" w:themeTint="a6" w:val="595959"/>
          </w:rPr>
          <w:instrText xml:space="preserve"> NUMPAGES </w:instrText>
        </w:r>
        <w:r>
          <w:rPr>
            <w:sz w:val="18"/>
            <w:szCs w:val="18"/>
            <w:rFonts w:cs="Arial" w:ascii="Arial" w:hAnsi="Arial"/>
            <w:color w:themeColor="text1" w:themeTint="a6" w:val="595959"/>
          </w:rPr>
          <w:fldChar w:fldCharType="separate"/>
        </w:r>
        <w:r>
          <w:rPr>
            <w:sz w:val="18"/>
            <w:szCs w:val="18"/>
            <w:rFonts w:cs="Arial" w:ascii="Arial" w:hAnsi="Arial"/>
            <w:color w:themeColor="text1" w:themeTint="a6" w:val="595959"/>
          </w:rPr>
          <w:t>32</w:t>
        </w:r>
        <w:r>
          <w:rPr>
            <w:sz w:val="18"/>
            <w:szCs w:val="18"/>
            <w:rFonts w:cs="Arial" w:ascii="Arial" w:hAnsi="Arial"/>
            <w:color w:themeColor="text1" w:themeTint="a6" w:val="595959"/>
          </w:rPr>
          <w:fldChar w:fldCharType="end"/>
        </w:r>
      </w:p>
      <w:p>
        <w:pPr>
          <w:pStyle w:val="Footer"/>
          <w:rPr>
            <w:rFonts w:ascii="Arial" w:hAnsi="Arial" w:cs="Arial"/>
            <w:sz w:val="14"/>
            <w:szCs w:val="14"/>
          </w:rPr>
        </w:pPr>
        <w:r>
          <w:rPr>
            <w:rFonts w:cs="Arial" w:ascii="Arial" w:hAnsi="Arial"/>
            <w:sz w:val="14"/>
            <w:szCs w:val="14"/>
          </w:rPr>
          <w:t>Câmara Nacional de Modelos de Licitações e Contratos da Consultoria-Geral da União</w:t>
        </w:r>
      </w:p>
      <w:p>
        <w:pPr>
          <w:pStyle w:val="Footer"/>
          <w:rPr>
            <w:rFonts w:ascii="Arial" w:hAnsi="Arial" w:cs="Arial"/>
            <w:sz w:val="14"/>
            <w:szCs w:val="14"/>
          </w:rPr>
        </w:pPr>
        <w:r>
          <w:rPr>
            <w:rFonts w:cs="Arial" w:ascii="Arial" w:hAnsi="Arial"/>
            <w:sz w:val="14"/>
            <w:szCs w:val="14"/>
          </w:rPr>
          <w:t xml:space="preserve">Modelo de Edital </w:t>
        </w:r>
        <w:bookmarkStart w:id="101" w:name="_Hlk135299681_Copia_4"/>
        <w:r>
          <w:rPr>
            <w:rFonts w:cs="Arial" w:ascii="Arial" w:hAnsi="Arial"/>
            <w:sz w:val="14"/>
            <w:szCs w:val="14"/>
          </w:rPr>
          <w:t>- Lei nº 14.133, de 2021.</w:t>
        </w:r>
        <w:bookmarkEnd w:id="101"/>
      </w:p>
      <w:p>
        <w:pPr>
          <w:pStyle w:val="Footer"/>
          <w:rPr>
            <w:rFonts w:ascii="Arial" w:hAnsi="Arial" w:cs="Arial"/>
            <w:sz w:val="14"/>
            <w:szCs w:val="14"/>
          </w:rPr>
        </w:pPr>
        <w:bookmarkStart w:id="102" w:name="_Hlk135299703_Copia_4"/>
        <w:r>
          <w:rPr>
            <w:rFonts w:cs="Arial" w:ascii="Arial" w:hAnsi="Arial"/>
            <w:sz w:val="14"/>
            <w:szCs w:val="14"/>
          </w:rPr>
          <w:t>Aprovado pela Secretaria de Gestão e Inovação.</w:t>
        </w:r>
      </w:p>
      <w:p>
        <w:pPr>
          <w:pStyle w:val="Footer"/>
          <w:rPr>
            <w:rFonts w:ascii="Arial" w:hAnsi="Arial" w:cs="Arial"/>
            <w:sz w:val="14"/>
            <w:szCs w:val="14"/>
          </w:rPr>
        </w:pPr>
        <w:r>
          <w:rPr>
            <w:rFonts w:cs="Arial" w:ascii="Arial" w:hAnsi="Arial"/>
            <w:sz w:val="14"/>
            <w:szCs w:val="14"/>
          </w:rPr>
          <w:t>Identidade visual pela Secretaria de Gestão e Inovação</w:t>
        </w:r>
      </w:p>
      <w:p>
        <w:pPr>
          <w:pStyle w:val="Footer"/>
          <w:rPr>
            <w:rFonts w:ascii="Arial" w:hAnsi="Arial" w:cs="Arial"/>
            <w:sz w:val="14"/>
            <w:szCs w:val="14"/>
          </w:rPr>
        </w:pPr>
        <w:bookmarkStart w:id="103" w:name="_Hlk135299665_Copia_4"/>
        <w:r>
          <w:rPr>
            <w:rFonts w:cs="Arial" w:ascii="Arial" w:hAnsi="Arial"/>
            <w:sz w:val="14"/>
            <w:szCs w:val="14"/>
          </w:rPr>
          <w:t xml:space="preserve">Atualização: </w:t>
        </w:r>
        <w:bookmarkEnd w:id="103"/>
        <w:r>
          <w:rPr>
            <w:rFonts w:cs="Arial" w:ascii="Arial" w:hAnsi="Arial"/>
            <w:sz w:val="14"/>
            <w:szCs w:val="14"/>
          </w:rPr>
          <w:t>NOV/2025</w:t>
        </w:r>
        <w:bookmarkEnd w:id="102"/>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117" w:hanging="432"/>
      </w:pPr>
      <w:rPr>
        <w:dstrike w:val="false"/>
        <w:strike w:val="false"/>
        <w:sz w:val="20"/>
        <w:i w:val="false"/>
        <w:u w:val="none"/>
        <w:b w:val="false"/>
        <w:szCs w:val="20"/>
        <w:color w:val="auto"/>
      </w:rPr>
    </w:lvl>
    <w:lvl w:ilvl="2">
      <w:start w:val="1"/>
      <w:numFmt w:val="decimal"/>
      <w:lvlText w:val="%1.%2."/>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bullet"/>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8"/>
      <w:numFmt w:val="decimal"/>
      <w:lvlText w:val="%1."/>
      <w:lvlJc w:val="left"/>
      <w:pPr>
        <w:tabs>
          <w:tab w:val="num" w:pos="0"/>
        </w:tabs>
        <w:ind w:left="555" w:hanging="555"/>
      </w:pPr>
      <w:rPr/>
    </w:lvl>
    <w:lvl w:ilvl="1">
      <w:start w:val="3"/>
      <w:numFmt w:val="decimal"/>
      <w:lvlText w:val="%1.%2."/>
      <w:lvlJc w:val="left"/>
      <w:pPr>
        <w:tabs>
          <w:tab w:val="num" w:pos="0"/>
        </w:tabs>
        <w:ind w:left="1222" w:hanging="72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2586" w:hanging="1080"/>
      </w:pPr>
      <w:rPr/>
    </w:lvl>
    <w:lvl w:ilvl="4">
      <w:start w:val="1"/>
      <w:numFmt w:val="decimal"/>
      <w:lvlText w:val="%1.%2.%3.%4.%5."/>
      <w:lvlJc w:val="left"/>
      <w:pPr>
        <w:tabs>
          <w:tab w:val="num" w:pos="0"/>
        </w:tabs>
        <w:ind w:left="3448" w:hanging="1440"/>
      </w:pPr>
      <w:rPr/>
    </w:lvl>
    <w:lvl w:ilvl="5">
      <w:start w:val="1"/>
      <w:numFmt w:val="decimal"/>
      <w:lvlText w:val="%1.%2.%3.%4.%5.%6."/>
      <w:lvlJc w:val="left"/>
      <w:pPr>
        <w:tabs>
          <w:tab w:val="num" w:pos="0"/>
        </w:tabs>
        <w:ind w:left="3950" w:hanging="1440"/>
      </w:pPr>
      <w:rPr/>
    </w:lvl>
    <w:lvl w:ilvl="6">
      <w:start w:val="1"/>
      <w:numFmt w:val="decimal"/>
      <w:lvlText w:val="%1.%2.%3.%4.%5.%6.%7."/>
      <w:lvlJc w:val="left"/>
      <w:pPr>
        <w:tabs>
          <w:tab w:val="num" w:pos="0"/>
        </w:tabs>
        <w:ind w:left="4812" w:hanging="1800"/>
      </w:pPr>
      <w:rPr/>
    </w:lvl>
    <w:lvl w:ilvl="7">
      <w:start w:val="1"/>
      <w:numFmt w:val="decimal"/>
      <w:lvlText w:val="%1.%2.%3.%4.%5.%6.%7.%8."/>
      <w:lvlJc w:val="left"/>
      <w:pPr>
        <w:tabs>
          <w:tab w:val="num" w:pos="0"/>
        </w:tabs>
        <w:ind w:left="5674" w:hanging="2160"/>
      </w:pPr>
      <w:rPr/>
    </w:lvl>
    <w:lvl w:ilvl="8">
      <w:start w:val="1"/>
      <w:numFmt w:val="decimal"/>
      <w:lvlText w:val="%1.%2.%3.%4.%5.%6.%7.%8.%9."/>
      <w:lvlJc w:val="left"/>
      <w:pPr>
        <w:tabs>
          <w:tab w:val="num" w:pos="0"/>
        </w:tabs>
        <w:ind w:left="6176" w:hanging="2160"/>
      </w:pPr>
      <w:r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2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2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2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2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2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2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2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2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2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2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3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3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3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3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3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3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3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3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3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3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4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4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4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4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4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4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4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4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4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4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5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5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5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5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5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5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5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5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5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5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6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6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6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6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6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6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6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6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6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6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7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7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7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7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7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7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7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7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7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7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8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8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8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8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185">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186">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187">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188">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189">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190">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191">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192">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193">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194">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195">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196">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197">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198">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199">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00">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01">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02">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03">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04">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05">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06">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07">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08">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09">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10">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11">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12">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13">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14">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15">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16">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17">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18">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19">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20">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21">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22">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23">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24">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25">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26">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27">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28">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29">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30">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31">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32">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33">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34">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35">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36">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37">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38">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39">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40">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41">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42">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43">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44">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45">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46">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47">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48">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49">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50">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51">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52">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53">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54">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55">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56">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57">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58">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59">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60">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61">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62">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63">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64">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65">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66">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67">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68">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69">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70">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71">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72">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73">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74">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75">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76">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77">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78">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79">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80">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81">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82">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83">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84">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85">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86">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87">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88">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89">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90">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91">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92">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93">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94">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95">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96">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97">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98">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299">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00">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01">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02">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03">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04">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05">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06">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07">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08">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09">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10">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11">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12">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13">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14">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15">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16">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17">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18">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19">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20">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21">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22">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23">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24">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25">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26">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27">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28">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29">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30">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31">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32">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33">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34">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35">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36">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37">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38">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39">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40">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41">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42">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43">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44">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45">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46">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47">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48">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49">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50">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51">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52">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53">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54">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55">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56">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57">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58">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59">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60">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 w:numId="361">
    <w:abstractNumId w:val="1"/>
    <w:lvlOverride w:ilvl="0">
      <w:startOverride w:val="1"/>
    </w:lvlOverride>
    <w:lvlOverride w:ilvl="1">
      <w:lvl w:ilvl="1">
        <w:start w:val="1"/>
        <w:numFmt w:val="decimal"/>
        <w:lvlText w:val="%1.%2."/>
        <w:lvlJc w:val="left"/>
        <w:pPr>
          <w:tabs>
            <w:tab w:val="num" w:pos="0"/>
          </w:tabs>
          <w:ind w:left="999" w:hanging="432"/>
        </w:pPr>
        <w:rPr>
          <w:dstrike w:val="false"/>
          <w:strike w:val="false"/>
          <w:sz w:val="20"/>
          <w:i w:val="false"/>
          <w:u w:val="none"/>
          <w:b w:val="false"/>
          <w:szCs w:val="20"/>
          <w:color w:val="auto"/>
        </w:rPr>
      </w:lvl>
    </w:lvlOverride>
    <w:lvlOverride w:ilvl="1">
      <w:startOverride w:val="1"/>
    </w:lvlOverride>
    <w:lvlOverride w:ilvl="2">
      <w:lvl w:ilvl="2">
        <w:start w:val="1"/>
        <w:numFmt w:val="decimal"/>
        <w:lvlText w:val="%1.%2.%3"/>
        <w:lvlJc w:val="left"/>
        <w:pPr>
          <w:tabs>
            <w:tab w:val="num" w:pos="0"/>
          </w:tabs>
          <w:ind w:left="1638" w:hanging="504"/>
        </w:pPr>
        <w:rPr>
          <w:dstrike w:val="false"/>
          <w:strike w:val="false"/>
          <w:sz w:val="20"/>
          <w:i w:val="false"/>
          <w:b w:val="false"/>
          <w:szCs w:val="20"/>
          <w:color w:val="auto"/>
        </w:rPr>
      </w:lvl>
    </w:lvlOverride>
  </w:num>
</w:numbering>
</file>

<file path=word/settings.xml><?xml version="1.0" encoding="utf-8"?>
<w:settings xmlns:w="http://schemas.openxmlformats.org/wordprocessingml/2006/main">
  <w:zoom w:percent="120"/>
  <w:mirrorMargins/>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 w:cs="Times New Roman" w:eastAsiaTheme="minorEastAsia"/>
        <w:lang w:val="pt-BR" w:eastAsia="en-US" w:bidi="ar-SA"/>
      </w:rPr>
    </w:rPrDefault>
    <w:pPrDefault>
      <w:pPr>
        <w:suppressAutoHyphens w:val="true"/>
      </w:pPr>
    </w:pPrDefault>
  </w:docDefaults>
  <w:latentStyles w:defLockedState="0" w:defUIPriority="0" w:defSemiHidden="0" w:defUnhideWhenUsed="0" w:defQFormat="0" w:count="376">
    <w:lsdException w:name="heading 3" w:uiPriority="9" w:semiHidden="1" w:unhideWhenUsed="1" w:qFormat="1"/>
    <w:lsdException w:name="heading 4" w:semiHidden="1" w:unhideWhenUsed="1" w:qFormat="1"/>
    <w:lsdException w:name="heading 5" w:semiHidden="1" w:unhideWhenUsed="1" w:qFormat="1"/>
    <w:lsdException w:name="heading 6" w:uiPriority="9"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semiHidden="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ea3333"/>
    <w:pPr>
      <w:widowControl/>
      <w:suppressAutoHyphens w:val="true"/>
      <w:bidi w:val="0"/>
      <w:spacing w:before="0" w:after="0"/>
      <w:jc w:val="left"/>
    </w:pPr>
    <w:rPr>
      <w:rFonts w:ascii="Ecofont_Spranq_eco_Sans" w:hAnsi="Ecofont_Spranq_eco_Sans" w:eastAsia="" w:cs="Tahoma" w:eastAsiaTheme="minorEastAsia"/>
      <w:color w:val="auto"/>
      <w:kern w:val="0"/>
      <w:sz w:val="24"/>
      <w:szCs w:val="24"/>
      <w:lang w:val="pt-BR" w:eastAsia="pt-BR" w:bidi="ar-SA"/>
    </w:rPr>
  </w:style>
  <w:style w:type="paragraph" w:styleId="Heading1">
    <w:name w:val="heading 1"/>
    <w:basedOn w:val="Normal"/>
    <w:next w:val="Normal"/>
    <w:link w:val="Ttulo1Char"/>
    <w:qFormat/>
    <w:rsid w:val="007f77ad"/>
    <w:pPr>
      <w:keepNext w:val="true"/>
      <w:keepLines/>
      <w:spacing w:before="480" w:after="0"/>
      <w:outlineLvl w:val="0"/>
    </w:pPr>
    <w:rPr>
      <w:rFonts w:ascii="Calibri" w:hAnsi="Calibri" w:eastAsia="" w:cs="" w:asciiTheme="majorHAnsi" w:cstheme="majorBidi" w:eastAsiaTheme="majorEastAsia" w:hAnsiTheme="majorHAnsi"/>
      <w:b/>
      <w:bCs/>
      <w:color w:themeColor="accent1" w:themeShade="bf" w:val="365F91"/>
      <w:sz w:val="28"/>
      <w:szCs w:val="28"/>
    </w:rPr>
  </w:style>
  <w:style w:type="paragraph" w:styleId="Heading2">
    <w:name w:val="heading 2"/>
    <w:basedOn w:val="Normal"/>
    <w:next w:val="Normal"/>
    <w:link w:val="Ttulo2Char"/>
    <w:qFormat/>
    <w:rsid w:val="004b460a"/>
    <w:pPr>
      <w:keepNext w:val="true"/>
      <w:tabs>
        <w:tab w:val="clear" w:pos="708"/>
        <w:tab w:val="left" w:pos="1701" w:leader="none"/>
      </w:tabs>
      <w:ind w:right="-1"/>
      <w:jc w:val="center"/>
      <w:outlineLvl w:val="1"/>
    </w:pPr>
    <w:rPr>
      <w:rFonts w:ascii="Times New Roman" w:hAnsi="Times New Roman" w:cs="Times New Roman"/>
      <w:b/>
      <w:color w:val="000000"/>
      <w:szCs w:val="20"/>
    </w:rPr>
  </w:style>
  <w:style w:type="paragraph" w:styleId="Heading3">
    <w:name w:val="heading 3"/>
    <w:basedOn w:val="Normal"/>
    <w:next w:val="Normal"/>
    <w:link w:val="Ttulo3Char"/>
    <w:uiPriority w:val="9"/>
    <w:semiHidden/>
    <w:unhideWhenUsed/>
    <w:qFormat/>
    <w:rsid w:val="00cb3192"/>
    <w:pPr>
      <w:keepNext w:val="true"/>
      <w:keepLines/>
      <w:spacing w:lineRule="auto" w:line="259" w:before="40" w:after="0"/>
      <w:outlineLvl w:val="2"/>
    </w:pPr>
    <w:rPr>
      <w:rFonts w:ascii="Calibri" w:hAnsi="Calibri" w:eastAsia="" w:cs="" w:asciiTheme="majorHAnsi" w:cstheme="majorBidi" w:eastAsiaTheme="majorEastAsia" w:hAnsiTheme="majorHAnsi"/>
      <w:color w:themeColor="accent1" w:themeShade="7f" w:val="243F60"/>
      <w:lang w:eastAsia="en-US"/>
    </w:rPr>
  </w:style>
  <w:style w:type="paragraph" w:styleId="Heading4">
    <w:name w:val="heading 4"/>
    <w:basedOn w:val="Normal"/>
    <w:next w:val="Normal"/>
    <w:link w:val="Ttulo4Char"/>
    <w:semiHidden/>
    <w:unhideWhenUsed/>
    <w:qFormat/>
    <w:rsid w:val="00a45a85"/>
    <w:pPr>
      <w:keepNext w:val="true"/>
      <w:keepLines/>
      <w:spacing w:before="40" w:after="0"/>
      <w:outlineLvl w:val="3"/>
    </w:pPr>
    <w:rPr>
      <w:rFonts w:ascii="Calibri" w:hAnsi="Calibri" w:eastAsia="" w:cs="" w:asciiTheme="majorHAnsi" w:cstheme="majorBidi" w:eastAsiaTheme="majorEastAsia" w:hAnsiTheme="majorHAnsi"/>
      <w:i/>
      <w:iCs/>
      <w:color w:themeColor="accent1" w:themeShade="bf" w:val="365F91"/>
    </w:rPr>
  </w:style>
  <w:style w:type="paragraph" w:styleId="Heading6">
    <w:name w:val="heading 6"/>
    <w:basedOn w:val="Normal"/>
    <w:next w:val="Normal"/>
    <w:link w:val="Ttulo6Char"/>
    <w:uiPriority w:val="9"/>
    <w:semiHidden/>
    <w:unhideWhenUsed/>
    <w:qFormat/>
    <w:rsid w:val="00cb3192"/>
    <w:pPr>
      <w:keepNext w:val="true"/>
      <w:keepLines/>
      <w:spacing w:lineRule="auto" w:line="259" w:before="40" w:after="0"/>
      <w:outlineLvl w:val="5"/>
    </w:pPr>
    <w:rPr>
      <w:rFonts w:ascii="Calibri" w:hAnsi="Calibri" w:eastAsia="" w:cs="" w:asciiTheme="majorHAnsi" w:cstheme="majorBidi" w:eastAsiaTheme="majorEastAsia" w:hAnsiTheme="majorHAnsi"/>
      <w:color w:themeColor="accent1" w:themeShade="7f" w:val="243F60"/>
      <w:sz w:val="22"/>
      <w:szCs w:val="22"/>
      <w:lang w:eastAsia="en-US"/>
    </w:rPr>
  </w:style>
  <w:style w:type="character" w:styleId="DefaultParagraphFont" w:default="1">
    <w:name w:val="Default Paragraph Font"/>
    <w:uiPriority w:val="1"/>
    <w:semiHidden/>
    <w:unhideWhenUsed/>
    <w:qFormat/>
    <w:rPr/>
  </w:style>
  <w:style w:type="character" w:styleId="TextodebaloChar" w:customStyle="1">
    <w:name w:val="Texto de balão Char"/>
    <w:link w:val="BalloonText"/>
    <w:uiPriority w:val="99"/>
    <w:qFormat/>
    <w:rsid w:val="003a73c1"/>
    <w:rPr>
      <w:rFonts w:ascii="Tahoma" w:hAnsi="Tahoma" w:cs="Tahoma"/>
      <w:sz w:val="16"/>
      <w:szCs w:val="16"/>
    </w:rPr>
  </w:style>
  <w:style w:type="character" w:styleId="Ttulo2Char" w:customStyle="1">
    <w:name w:val="Título 2 Char"/>
    <w:qFormat/>
    <w:rsid w:val="004b460a"/>
    <w:rPr>
      <w:b/>
      <w:color w:val="000000"/>
      <w:sz w:val="24"/>
    </w:rPr>
  </w:style>
  <w:style w:type="character" w:styleId="normalchar1" w:customStyle="1">
    <w:name w:val="normal__char1"/>
    <w:qFormat/>
    <w:rsid w:val="008d51cc"/>
    <w:rPr>
      <w:rFonts w:ascii="Arial" w:hAnsi="Arial" w:cs="Arial"/>
      <w:strike w:val="false"/>
      <w:dstrike w:val="false"/>
      <w:sz w:val="24"/>
      <w:szCs w:val="24"/>
      <w:u w:val="none"/>
      <w:effect w:val="none"/>
    </w:rPr>
  </w:style>
  <w:style w:type="character" w:styleId="apple-style-span" w:customStyle="1">
    <w:name w:val="apple-style-span"/>
    <w:basedOn w:val="DefaultParagraphFont"/>
    <w:qFormat/>
    <w:rsid w:val="00260802"/>
    <w:rPr/>
  </w:style>
  <w:style w:type="character" w:styleId="Hyperlink" w:customStyle="1">
    <w:name w:val="Hyperlink"/>
    <w:basedOn w:val="DefaultParagraphFont"/>
    <w:uiPriority w:val="99"/>
    <w:unhideWhenUsed/>
    <w:qFormat/>
    <w:rsid w:val="00dc41dd"/>
    <w:rPr>
      <w:color w:themeColor="hyperlink" w:val="0000FF"/>
      <w:u w:val="single"/>
    </w:rPr>
  </w:style>
  <w:style w:type="character" w:styleId="CitaoChar" w:customStyle="1">
    <w:name w:val="Citação Char"/>
    <w:link w:val="Quote"/>
    <w:qFormat/>
    <w:rsid w:val="00080b53"/>
    <w:rPr>
      <w:rFonts w:ascii="Arial" w:hAnsi="Arial" w:eastAsia="Calibri" w:cs="Tahoma"/>
      <w:i/>
      <w:iCs/>
      <w:color w:val="000000"/>
      <w:szCs w:val="24"/>
      <w:shd w:fill="FFFFCC" w:val="clear"/>
    </w:rPr>
  </w:style>
  <w:style w:type="character" w:styleId="NotaexplicativaChar" w:customStyle="1">
    <w:name w:val="Nota explicativa Char"/>
    <w:basedOn w:val="CitaoChar"/>
    <w:link w:val="Notaexplicativa"/>
    <w:qFormat/>
    <w:rsid w:val="00265fb6"/>
    <w:rPr>
      <w:rFonts w:ascii="Arial" w:hAnsi="Arial" w:eastAsia="Calibri" w:cs="Tahoma"/>
      <w:i/>
      <w:iCs/>
      <w:color w:val="000000"/>
      <w:szCs w:val="24"/>
      <w:shd w:fill="FFFFCC" w:val="clear"/>
    </w:rPr>
  </w:style>
  <w:style w:type="character" w:styleId="CabealhoChar" w:customStyle="1">
    <w:name w:val="Cabeçalho Char"/>
    <w:qFormat/>
    <w:rsid w:val="00ca24fb"/>
    <w:rPr>
      <w:rFonts w:ascii="Ecofont_Spranq_eco_Sans" w:hAnsi="Ecofont_Spranq_eco_Sans" w:cs="Tahoma"/>
      <w:sz w:val="24"/>
      <w:szCs w:val="24"/>
    </w:rPr>
  </w:style>
  <w:style w:type="character" w:styleId="RodapChar" w:customStyle="1">
    <w:name w:val="Rodapé Char"/>
    <w:uiPriority w:val="99"/>
    <w:qFormat/>
    <w:rsid w:val="00ca24fb"/>
    <w:rPr>
      <w:rFonts w:ascii="Ecofont_Spranq_eco_Sans" w:hAnsi="Ecofont_Spranq_eco_Sans" w:cs="Tahoma"/>
      <w:sz w:val="24"/>
      <w:szCs w:val="24"/>
    </w:rPr>
  </w:style>
  <w:style w:type="character" w:styleId="CommentReference">
    <w:name w:val="annotation reference"/>
    <w:basedOn w:val="DefaultParagraphFont"/>
    <w:unhideWhenUsed/>
    <w:qFormat/>
    <w:rsid w:val="00430fdb"/>
    <w:rPr>
      <w:sz w:val="16"/>
      <w:szCs w:val="16"/>
    </w:rPr>
  </w:style>
  <w:style w:type="character" w:styleId="TextodecomentrioChar" w:customStyle="1">
    <w:name w:val="Texto de comentário Char"/>
    <w:basedOn w:val="DefaultParagraphFont"/>
    <w:qFormat/>
    <w:rsid w:val="00430fdb"/>
    <w:rPr>
      <w:rFonts w:ascii="Ecofont_Spranq_eco_Sans" w:hAnsi="Ecofont_Spranq_eco_Sans" w:cs="Tahoma"/>
      <w:lang w:eastAsia="pt-BR"/>
    </w:rPr>
  </w:style>
  <w:style w:type="character" w:styleId="AssuntodocomentrioChar" w:customStyle="1">
    <w:name w:val="Assunto do comentário Char"/>
    <w:basedOn w:val="TextodecomentrioChar"/>
    <w:link w:val="annotationsubject"/>
    <w:semiHidden/>
    <w:qFormat/>
    <w:rsid w:val="00430fdb"/>
    <w:rPr>
      <w:rFonts w:ascii="Ecofont_Spranq_eco_Sans" w:hAnsi="Ecofont_Spranq_eco_Sans" w:cs="Tahoma"/>
      <w:b/>
      <w:bCs/>
      <w:lang w:eastAsia="pt-BR"/>
    </w:rPr>
  </w:style>
  <w:style w:type="character" w:styleId="Ttulo4Char" w:customStyle="1">
    <w:name w:val="Título 4 Char"/>
    <w:basedOn w:val="DefaultParagraphFont"/>
    <w:qFormat/>
    <w:rsid w:val="00a45a85"/>
    <w:rPr>
      <w:rFonts w:ascii="Calibri" w:hAnsi="Calibri" w:eastAsia="" w:cs="" w:asciiTheme="majorHAnsi" w:cstheme="majorBidi" w:eastAsiaTheme="majorEastAsia" w:hAnsiTheme="majorHAnsi"/>
      <w:i/>
      <w:iCs/>
      <w:color w:themeColor="accent1" w:themeShade="bf" w:val="365F91"/>
      <w:sz w:val="24"/>
      <w:szCs w:val="24"/>
      <w:lang w:eastAsia="pt-BR"/>
    </w:rPr>
  </w:style>
  <w:style w:type="character" w:styleId="TtuloChar" w:customStyle="1">
    <w:name w:val="Título Char"/>
    <w:basedOn w:val="DefaultParagraphFont"/>
    <w:qFormat/>
    <w:rsid w:val="007f77ad"/>
    <w:rPr>
      <w:rFonts w:ascii="Calibri" w:hAnsi="Calibri" w:eastAsia="" w:cs="" w:asciiTheme="majorHAnsi" w:cstheme="majorBidi" w:eastAsiaTheme="majorEastAsia" w:hAnsiTheme="majorHAnsi"/>
      <w:color w:themeColor="text2" w:themeShade="bf" w:val="17365D"/>
      <w:spacing w:val="5"/>
      <w:kern w:val="2"/>
      <w:sz w:val="52"/>
      <w:szCs w:val="52"/>
      <w:lang w:eastAsia="pt-BR"/>
    </w:rPr>
  </w:style>
  <w:style w:type="character" w:styleId="Nivel01Char" w:customStyle="1">
    <w:name w:val="Nivel 01 Char"/>
    <w:basedOn w:val="TtuloChar"/>
    <w:link w:val="Nivel01"/>
    <w:qFormat/>
    <w:rsid w:val="008b3e88"/>
    <w:rPr>
      <w:rFonts w:ascii="Arial" w:hAnsi="Arial" w:eastAsia="Arial" w:cs="Arial"/>
      <w:b/>
      <w:bCs/>
      <w:iCs/>
      <w:color w:themeColor="text2" w:themeShade="bf" w:val="17365D"/>
      <w:spacing w:val="5"/>
      <w:kern w:val="2"/>
      <w:sz w:val="52"/>
      <w:szCs w:val="52"/>
      <w:lang w:eastAsia="pt-BR"/>
    </w:rPr>
  </w:style>
  <w:style w:type="character" w:styleId="Ttulo1Char" w:customStyle="1">
    <w:name w:val="Título 1 Char"/>
    <w:basedOn w:val="DefaultParagraphFont"/>
    <w:qFormat/>
    <w:rsid w:val="007f77ad"/>
    <w:rPr>
      <w:rFonts w:ascii="Calibri" w:hAnsi="Calibri" w:eastAsia="" w:cs="" w:asciiTheme="majorHAnsi" w:cstheme="majorBidi" w:eastAsiaTheme="majorEastAsia" w:hAnsiTheme="majorHAnsi"/>
      <w:b/>
      <w:bCs/>
      <w:color w:themeColor="accent1" w:themeShade="bf" w:val="365F91"/>
      <w:sz w:val="28"/>
      <w:szCs w:val="28"/>
      <w:lang w:eastAsia="pt-BR"/>
    </w:rPr>
  </w:style>
  <w:style w:type="character" w:styleId="Nivel01TituloChar" w:customStyle="1">
    <w:name w:val="Nivel_01_Titulo Char"/>
    <w:basedOn w:val="Nivel01Char"/>
    <w:link w:val="Nivel01Titulo"/>
    <w:qFormat/>
    <w:rsid w:val="00e967ea"/>
    <w:rPr>
      <w:rFonts w:ascii="Arial" w:hAnsi="Arial" w:eastAsia="Arial" w:cs="" w:cstheme="majorBidi"/>
      <w:b/>
      <w:bCs/>
      <w:iCs/>
      <w:color w:themeColor="text1" w:val="000000"/>
      <w:spacing w:val="5"/>
      <w:kern w:val="2"/>
      <w:sz w:val="52"/>
      <w:szCs w:val="52"/>
      <w:lang w:eastAsia="pt-BR"/>
    </w:rPr>
  </w:style>
  <w:style w:type="character" w:styleId="QuoteChar" w:customStyle="1">
    <w:name w:val="Quote Char"/>
    <w:basedOn w:val="DefaultParagraphFont"/>
    <w:link w:val="Citao1"/>
    <w:qFormat/>
    <w:rsid w:val="00b77761"/>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sid w:val="0053119e"/>
    <w:rPr/>
  </w:style>
  <w:style w:type="character" w:styleId="eop" w:customStyle="1">
    <w:name w:val="eop"/>
    <w:basedOn w:val="DefaultParagraphFont"/>
    <w:qFormat/>
    <w:rsid w:val="0053119e"/>
    <w:rPr/>
  </w:style>
  <w:style w:type="character" w:styleId="spellingerror" w:customStyle="1">
    <w:name w:val="spellingerror"/>
    <w:basedOn w:val="DefaultParagraphFont"/>
    <w:qFormat/>
    <w:rsid w:val="0053119e"/>
    <w:rPr/>
  </w:style>
  <w:style w:type="character" w:styleId="CorpodetextoChar" w:customStyle="1">
    <w:name w:val="Corpo de texto Char"/>
    <w:basedOn w:val="DefaultParagraphFont"/>
    <w:qFormat/>
    <w:rsid w:val="00405763"/>
    <w:rPr>
      <w:rFonts w:eastAsia="Times New Roman"/>
      <w:sz w:val="24"/>
      <w:szCs w:val="24"/>
      <w:lang w:eastAsia="pt-BR"/>
    </w:rPr>
  </w:style>
  <w:style w:type="character" w:styleId="Nivel1Char" w:customStyle="1">
    <w:name w:val="Nivel1 Char"/>
    <w:basedOn w:val="Ttulo1Char"/>
    <w:link w:val="Nivel1"/>
    <w:qFormat/>
    <w:rsid w:val="001b6423"/>
    <w:rPr>
      <w:rFonts w:ascii="Arial" w:hAnsi="Arial" w:eastAsia="" w:cs="Arial" w:eastAsiaTheme="majorEastAsia"/>
      <w:b/>
      <w:bCs w:val="false"/>
      <w:color w:themeColor="accent1" w:themeShade="bf" w:val="000000"/>
      <w:sz w:val="28"/>
      <w:szCs w:val="28"/>
      <w:lang w:eastAsia="pt-BR"/>
    </w:rPr>
  </w:style>
  <w:style w:type="character" w:styleId="Nivel4Char" w:customStyle="1">
    <w:name w:val="Nivel 4 Char"/>
    <w:basedOn w:val="DefaultParagraphFont"/>
    <w:link w:val="Nivel4"/>
    <w:qFormat/>
    <w:rsid w:val="009a5042"/>
    <w:rPr>
      <w:rFonts w:ascii="Arial" w:hAnsi="Arial" w:cs="Arial"/>
      <w:lang w:eastAsia="pt-BR"/>
    </w:rPr>
  </w:style>
  <w:style w:type="character" w:styleId="cp0020corpodespachochar1" w:customStyle="1">
    <w:name w:val="cp_0020corpodespacho__char1"/>
    <w:qFormat/>
    <w:rsid w:val="00d30a43"/>
    <w:rPr>
      <w:rFonts w:ascii="Times New Roman" w:hAnsi="Times New Roman" w:cs="Times New Roman"/>
      <w:strike w:val="false"/>
      <w:dstrike w:val="false"/>
      <w:sz w:val="26"/>
      <w:szCs w:val="26"/>
      <w:u w:val="none"/>
      <w:effect w:val="none"/>
    </w:rPr>
  </w:style>
  <w:style w:type="character" w:styleId="em0020ementachar1" w:customStyle="1">
    <w:name w:val="em_0020ementa__char1"/>
    <w:qFormat/>
    <w:rsid w:val="00d30a43"/>
    <w:rPr>
      <w:rFonts w:ascii="Times New Roman" w:hAnsi="Times New Roman" w:cs="Times New Roman"/>
      <w:strike w:val="false"/>
      <w:dstrike w:val="false"/>
      <w:sz w:val="28"/>
      <w:szCs w:val="28"/>
      <w:u w:val="none"/>
      <w:effect w:val="none"/>
    </w:rPr>
  </w:style>
  <w:style w:type="character" w:styleId="Strong">
    <w:name w:val="Strong"/>
    <w:basedOn w:val="DefaultParagraphFont"/>
    <w:uiPriority w:val="22"/>
    <w:qFormat/>
    <w:rsid w:val="00d30a43"/>
    <w:rPr>
      <w:b/>
      <w:bCs/>
    </w:rPr>
  </w:style>
  <w:style w:type="character" w:styleId="Emphasis">
    <w:name w:val="Emphasis"/>
    <w:basedOn w:val="DefaultParagraphFont"/>
    <w:qFormat/>
    <w:rsid w:val="00d30a43"/>
    <w:rPr>
      <w:i/>
      <w:iCs/>
    </w:rPr>
  </w:style>
  <w:style w:type="character" w:styleId="Manoel" w:customStyle="1">
    <w:name w:val="Manoel"/>
    <w:qFormat/>
    <w:rsid w:val="00d30a43"/>
    <w:rPr>
      <w:rFonts w:ascii="Arial" w:hAnsi="Arial" w:cs="Arial"/>
      <w:color w:val="7030A0"/>
      <w:sz w:val="20"/>
    </w:rPr>
  </w:style>
  <w:style w:type="character" w:styleId="GradeColorida-nfase1Char" w:customStyle="1">
    <w:name w:val="Grade Colorida - Ênfase 1 Char"/>
    <w:link w:val="GradeColorida-nfase11"/>
    <w:uiPriority w:val="29"/>
    <w:qFormat/>
    <w:rsid w:val="00d30a43"/>
    <w:rPr>
      <w:rFonts w:ascii="Arial" w:hAnsi="Arial" w:eastAsia="Calibri"/>
      <w:i/>
      <w:iCs/>
      <w:color w:val="000000"/>
      <w:szCs w:val="24"/>
      <w:shd w:fill="FFFFCC" w:val="clear"/>
    </w:rPr>
  </w:style>
  <w:style w:type="character" w:styleId="highlight" w:customStyle="1">
    <w:name w:val="highlight"/>
    <w:basedOn w:val="DefaultParagraphFont"/>
    <w:qFormat/>
    <w:rsid w:val="00d30a43"/>
    <w:rPr/>
  </w:style>
  <w:style w:type="character" w:styleId="FollowedHyperlink">
    <w:name w:val="FollowedHyperlink"/>
    <w:basedOn w:val="DefaultParagraphFont"/>
    <w:semiHidden/>
    <w:unhideWhenUsed/>
    <w:rsid w:val="00d30a43"/>
    <w:rPr>
      <w:color w:themeColor="followedHyperlink" w:val="800080"/>
      <w:u w:val="single"/>
    </w:rPr>
  </w:style>
  <w:style w:type="character" w:styleId="MenoPendente1" w:customStyle="1">
    <w:name w:val="Menção Pendente1"/>
    <w:basedOn w:val="DefaultParagraphFont"/>
    <w:uiPriority w:val="99"/>
    <w:semiHidden/>
    <w:unhideWhenUsed/>
    <w:qFormat/>
    <w:rsid w:val="00d30a43"/>
    <w:rPr>
      <w:color w:val="605E5C"/>
      <w:shd w:fill="E1DFDD" w:val="clear"/>
    </w:rPr>
  </w:style>
  <w:style w:type="character" w:styleId="MenoPendente2" w:customStyle="1">
    <w:name w:val="Menção Pendente2"/>
    <w:basedOn w:val="DefaultParagraphFont"/>
    <w:uiPriority w:val="99"/>
    <w:semiHidden/>
    <w:unhideWhenUsed/>
    <w:qFormat/>
    <w:rsid w:val="0063029c"/>
    <w:rPr>
      <w:color w:val="605E5C"/>
      <w:shd w:fill="E1DFDD" w:val="clear"/>
    </w:rPr>
  </w:style>
  <w:style w:type="character" w:styleId="Nivel2Char" w:customStyle="1">
    <w:name w:val="Nivel 2 Char"/>
    <w:basedOn w:val="DefaultParagraphFont"/>
    <w:link w:val="Nivel2"/>
    <w:qFormat/>
    <w:locked/>
    <w:rsid w:val="00e3297a"/>
    <w:rPr>
      <w:rFonts w:ascii="Arial" w:hAnsi="Arial" w:cs="Arial"/>
      <w:color w:val="000000"/>
      <w:lang w:eastAsia="pt-BR"/>
    </w:rPr>
  </w:style>
  <w:style w:type="character" w:styleId="Nvel2OpcionalChar" w:customStyle="1">
    <w:name w:val="Nível 2 Opcional Char"/>
    <w:basedOn w:val="DefaultParagraphFont"/>
    <w:link w:val="Nvel2Opcional"/>
    <w:qFormat/>
    <w:rsid w:val="00a831d9"/>
    <w:rPr>
      <w:rFonts w:ascii="Arial" w:hAnsi="Arial" w:eastAsia="Times New Roman" w:cs="Arial"/>
      <w:i/>
      <w:color w:val="FF0000"/>
      <w:lang w:eastAsia="pt-BR"/>
    </w:rPr>
  </w:style>
  <w:style w:type="character" w:styleId="Nvel3OpcionalChar" w:customStyle="1">
    <w:name w:val="Nível 3 Opcional Char"/>
    <w:basedOn w:val="DefaultParagraphFont"/>
    <w:link w:val="Nvel3Opcional"/>
    <w:qFormat/>
    <w:rsid w:val="00a831d9"/>
    <w:rPr>
      <w:rFonts w:ascii="Arial" w:hAnsi="Arial" w:eastAsia="Times New Roman" w:cs="Arial"/>
      <w:i/>
      <w:iCs/>
      <w:color w:val="FF0000"/>
      <w:lang w:eastAsia="pt-BR"/>
    </w:rPr>
  </w:style>
  <w:style w:type="character" w:styleId="PlaceholderText">
    <w:name w:val="Placeholder Text"/>
    <w:basedOn w:val="DefaultParagraphFont"/>
    <w:uiPriority w:val="67"/>
    <w:semiHidden/>
    <w:qFormat/>
    <w:rsid w:val="0029332d"/>
    <w:rPr>
      <w:color w:val="808080"/>
    </w:rPr>
  </w:style>
  <w:style w:type="character" w:styleId="PargrafodaListaChar" w:customStyle="1">
    <w:name w:val="Parágrafo da Lista Char"/>
    <w:basedOn w:val="DefaultParagraphFont"/>
    <w:link w:val="ListParagraph"/>
    <w:uiPriority w:val="34"/>
    <w:qFormat/>
    <w:rsid w:val="002430f2"/>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sid w:val="00cb3192"/>
    <w:rPr>
      <w:rFonts w:ascii="Calibri" w:hAnsi="Calibri" w:eastAsia="" w:cs="" w:asciiTheme="majorHAnsi" w:cstheme="majorBidi" w:eastAsiaTheme="majorEastAsia" w:hAnsiTheme="majorHAnsi"/>
      <w:color w:themeColor="accent1" w:themeShade="7f" w:val="243F60"/>
      <w:sz w:val="24"/>
      <w:szCs w:val="24"/>
    </w:rPr>
  </w:style>
  <w:style w:type="character" w:styleId="Ttulo6Char" w:customStyle="1">
    <w:name w:val="Título 6 Char"/>
    <w:basedOn w:val="DefaultParagraphFont"/>
    <w:uiPriority w:val="9"/>
    <w:semiHidden/>
    <w:qFormat/>
    <w:rsid w:val="00cb3192"/>
    <w:rPr>
      <w:rFonts w:ascii="Calibri" w:hAnsi="Calibri" w:eastAsia="" w:cs="" w:asciiTheme="majorHAnsi" w:cstheme="majorBidi" w:eastAsiaTheme="majorEastAsia" w:hAnsiTheme="majorHAnsi"/>
      <w:color w:themeColor="accent1" w:themeShade="7f" w:val="243F60"/>
      <w:sz w:val="22"/>
      <w:szCs w:val="22"/>
    </w:rPr>
  </w:style>
  <w:style w:type="character" w:styleId="markedcontent" w:customStyle="1">
    <w:name w:val="markedcontent"/>
    <w:basedOn w:val="DefaultParagraphFont"/>
    <w:qFormat/>
    <w:rsid w:val="00cb3192"/>
    <w:rPr/>
  </w:style>
  <w:style w:type="character" w:styleId="MenoPendente3" w:customStyle="1">
    <w:name w:val="Menção Pendente3"/>
    <w:basedOn w:val="DefaultParagraphFont"/>
    <w:uiPriority w:val="99"/>
    <w:semiHidden/>
    <w:unhideWhenUsed/>
    <w:qFormat/>
    <w:rsid w:val="00cb3192"/>
    <w:rPr>
      <w:color w:val="605E5C"/>
      <w:shd w:fill="E1DFDD" w:val="clear"/>
    </w:rPr>
  </w:style>
  <w:style w:type="character" w:styleId="MenoPendente4" w:customStyle="1">
    <w:name w:val="Menção Pendente4"/>
    <w:basedOn w:val="DefaultParagraphFont"/>
    <w:uiPriority w:val="99"/>
    <w:semiHidden/>
    <w:unhideWhenUsed/>
    <w:qFormat/>
    <w:rsid w:val="00cb3192"/>
    <w:rPr>
      <w:color w:val="605E5C"/>
      <w:shd w:fill="E1DFDD" w:val="clear"/>
    </w:rPr>
  </w:style>
  <w:style w:type="character" w:styleId="ouChar" w:customStyle="1">
    <w:name w:val="ou Char"/>
    <w:basedOn w:val="PargrafodaListaChar"/>
    <w:link w:val="ou"/>
    <w:qFormat/>
    <w:rsid w:val="00d14643"/>
    <w:rPr>
      <w:rFonts w:ascii="Arial" w:hAnsi="Arial" w:eastAsia="Cambria" w:cs="Arial" w:eastAsiaTheme="minorHAnsi"/>
      <w:b/>
      <w:bCs/>
      <w:i/>
      <w:iCs/>
      <w:color w:val="FF0000"/>
      <w:sz w:val="24"/>
      <w:szCs w:val="24"/>
      <w:u w:val="single"/>
      <w:lang w:eastAsia="pt-BR"/>
    </w:rPr>
  </w:style>
  <w:style w:type="character" w:styleId="Nvel2-RedChar" w:customStyle="1">
    <w:name w:val="Nível 2 -Red Char"/>
    <w:basedOn w:val="Nivel2Char"/>
    <w:link w:val="Nvel2-Red"/>
    <w:qFormat/>
    <w:rsid w:val="001e36c7"/>
    <w:rPr>
      <w:rFonts w:ascii="Arial" w:hAnsi="Arial" w:cs="Arial"/>
      <w:i/>
      <w:iCs/>
      <w:color w:val="FF0000"/>
      <w:lang w:eastAsia="pt-BR"/>
    </w:rPr>
  </w:style>
  <w:style w:type="character" w:styleId="Nivel3Char" w:customStyle="1">
    <w:name w:val="Nivel 3 Char"/>
    <w:basedOn w:val="DefaultParagraphFont"/>
    <w:link w:val="Nivel3"/>
    <w:qFormat/>
    <w:rsid w:val="001013e4"/>
    <w:rPr>
      <w:rFonts w:ascii="Arial" w:hAnsi="Arial" w:cs="Arial"/>
      <w:color w:val="000000"/>
      <w:lang w:eastAsia="pt-BR"/>
    </w:rPr>
  </w:style>
  <w:style w:type="character" w:styleId="Nvel3-RChar" w:customStyle="1">
    <w:name w:val="Nível 3-R Char"/>
    <w:basedOn w:val="Nivel3Char"/>
    <w:link w:val="Nvel3-R"/>
    <w:qFormat/>
    <w:rsid w:val="001013e4"/>
    <w:rPr>
      <w:rFonts w:ascii="Arial" w:hAnsi="Arial" w:cs="Arial"/>
      <w:i/>
      <w:iCs/>
      <w:color w:val="FF0000"/>
      <w:lang w:eastAsia="pt-BR"/>
    </w:rPr>
  </w:style>
  <w:style w:type="character" w:styleId="Nvel4-RChar" w:customStyle="1">
    <w:name w:val="Nível 4-R Char"/>
    <w:basedOn w:val="Nivel4Char"/>
    <w:link w:val="Nvel4-R"/>
    <w:qFormat/>
    <w:rsid w:val="00447f3e"/>
    <w:rPr>
      <w:rFonts w:ascii="Arial" w:hAnsi="Arial" w:cs="Arial"/>
      <w:i/>
      <w:iCs/>
      <w:color w:val="FF0000"/>
      <w:lang w:eastAsia="pt-BR"/>
    </w:rPr>
  </w:style>
  <w:style w:type="character" w:styleId="Nvel1-SemNumChar" w:customStyle="1">
    <w:name w:val="Nível 1-Sem Num Char"/>
    <w:basedOn w:val="Nivel01Char"/>
    <w:link w:val="Nvel1-SemNum"/>
    <w:qFormat/>
    <w:rsid w:val="00447f3e"/>
    <w:rPr>
      <w:rFonts w:ascii="Arial" w:hAnsi="Arial" w:eastAsia="" w:cs="Arial" w:eastAsiaTheme="majorEastAsia"/>
      <w:b/>
      <w:bCs/>
      <w:iCs/>
      <w:color w:themeColor="text2" w:themeShade="bf" w:val="FF0000"/>
      <w:spacing w:val="5"/>
      <w:kern w:val="2"/>
      <w:sz w:val="52"/>
      <w:szCs w:val="52"/>
      <w:lang w:eastAsia="pt-BR"/>
    </w:rPr>
  </w:style>
  <w:style w:type="character" w:styleId="PrembuloChar" w:customStyle="1">
    <w:name w:val="Preâmbulo Char"/>
    <w:basedOn w:val="DefaultParagraphFont"/>
    <w:link w:val="Prembulo"/>
    <w:qFormat/>
    <w:rsid w:val="00bb19e4"/>
    <w:rPr>
      <w:rFonts w:ascii="Arial" w:hAnsi="Arial" w:eastAsia="Arial" w:cs="Arial"/>
      <w:bCs/>
      <w:lang w:eastAsia="pt-BR"/>
    </w:rPr>
  </w:style>
  <w:style w:type="character" w:styleId="MenoPendente5" w:customStyle="1">
    <w:name w:val="Menção Pendente5"/>
    <w:basedOn w:val="DefaultParagraphFont"/>
    <w:uiPriority w:val="99"/>
    <w:semiHidden/>
    <w:unhideWhenUsed/>
    <w:qFormat/>
    <w:rsid w:val="00e27aeb"/>
    <w:rPr>
      <w:color w:val="605E5C"/>
      <w:shd w:fill="E1DFDD" w:val="clear"/>
    </w:rPr>
  </w:style>
  <w:style w:type="character" w:styleId="citao2Char" w:customStyle="1">
    <w:name w:val="citação 2 Char"/>
    <w:basedOn w:val="CitaoChar"/>
    <w:link w:val="citao2"/>
    <w:qFormat/>
    <w:rsid w:val="003c7a23"/>
    <w:rPr>
      <w:rFonts w:ascii="Arial" w:hAnsi="Arial" w:eastAsia="Calibri" w:cs="Tahoma"/>
      <w:i/>
      <w:iCs/>
      <w:color w:val="000000"/>
      <w:szCs w:val="24"/>
      <w:shd w:fill="FFFFCC" w:val="clear"/>
    </w:rPr>
  </w:style>
  <w:style w:type="character" w:styleId="MenoPendente6" w:customStyle="1">
    <w:name w:val="Menção Pendente6"/>
    <w:basedOn w:val="DefaultParagraphFont"/>
    <w:uiPriority w:val="99"/>
    <w:semiHidden/>
    <w:unhideWhenUsed/>
    <w:qFormat/>
    <w:rsid w:val="009944df"/>
    <w:rPr>
      <w:color w:val="605E5C"/>
      <w:shd w:fill="E1DFDD" w:val="clear"/>
    </w:rPr>
  </w:style>
  <w:style w:type="character" w:styleId="Mentionnonrsolue1" w:customStyle="1">
    <w:name w:val="Mention non résolue1"/>
    <w:basedOn w:val="DefaultParagraphFont"/>
    <w:uiPriority w:val="99"/>
    <w:semiHidden/>
    <w:unhideWhenUsed/>
    <w:qFormat/>
    <w:rsid w:val="009a0da5"/>
    <w:rPr>
      <w:color w:val="605E5C"/>
      <w:shd w:fill="E1DFDD" w:val="clear"/>
    </w:rPr>
  </w:style>
  <w:style w:type="character" w:styleId="UnresolvedMention">
    <w:name w:val="Unresolved Mention"/>
    <w:basedOn w:val="DefaultParagraphFont"/>
    <w:uiPriority w:val="99"/>
    <w:semiHidden/>
    <w:unhideWhenUsed/>
    <w:qFormat/>
    <w:rsid w:val="005d7d43"/>
    <w:rPr>
      <w:color w:val="605E5C"/>
      <w:shd w:fill="E1DFDD" w:val="clear"/>
    </w:rPr>
  </w:style>
  <w:style w:type="character" w:styleId="Nvel2-OpcionalChar" w:customStyle="1">
    <w:name w:val="Nível 2-Opcional Char"/>
    <w:basedOn w:val="DefaultParagraphFont"/>
    <w:link w:val="Nvel2-Opcional"/>
    <w:qFormat/>
    <w:rsid w:val="00533679"/>
    <w:rPr>
      <w:rFonts w:ascii="Arial" w:hAnsi="Arial" w:eastAsia="Arial" w:cs="Arial"/>
      <w:i/>
      <w:iCs/>
      <w:color w:val="FF0000"/>
      <w:lang w:eastAsia="pt-BR"/>
    </w:rPr>
  </w:style>
  <w:style w:type="character" w:styleId="Vnculodendice">
    <w:name w:val="Vínculo de índice"/>
    <w:qFormat/>
    <w:rPr/>
  </w:style>
  <w:style w:type="character" w:styleId="Vnculodendiceuser">
    <w:name w:val="Vínculo de índice (user)"/>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CorpodetextoChar"/>
    <w:unhideWhenUsed/>
    <w:rsid w:val="00d30a43"/>
    <w:pPr>
      <w:spacing w:beforeAutospacing="1" w:afterAutospacing="1"/>
    </w:pPr>
    <w:rPr>
      <w:rFonts w:ascii="Times New Roman" w:hAnsi="Times New Roman" w:eastAsia="Times New Roman" w:cs="Times New Roman"/>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ListParagraph">
    <w:name w:val="List Paragraph"/>
    <w:basedOn w:val="Normal"/>
    <w:link w:val="PargrafodaListaChar"/>
    <w:uiPriority w:val="34"/>
    <w:qFormat/>
    <w:rsid w:val="004773fc"/>
    <w:pPr>
      <w:spacing w:before="0" w:after="0"/>
      <w:ind w:left="720"/>
      <w:contextualSpacing/>
    </w:pPr>
    <w:r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BalloonText">
    <w:name w:val="Balloon Text"/>
    <w:basedOn w:val="Normal"/>
    <w:link w:val="TextodebaloChar"/>
    <w:uiPriority w:val="99"/>
    <w:qFormat/>
    <w:rsid w:val="003a73c1"/>
    <w:pPr/>
    <w:rPr>
      <w:rFonts w:ascii="Tahoma" w:hAnsi="Tahoma"/>
      <w:sz w:val="16"/>
      <w:szCs w:val="16"/>
    </w:rPr>
  </w:style>
  <w:style w:type="paragraph" w:styleId="Nvel2" w:customStyle="1">
    <w:name w:val="Nível 2"/>
    <w:basedOn w:val="Normal"/>
    <w:next w:val="Normal"/>
    <w:qFormat/>
    <w:rsid w:val="00d30a43"/>
    <w:pPr>
      <w:spacing w:before="0" w:after="120"/>
      <w:jc w:val="both"/>
    </w:pPr>
    <w:rPr>
      <w:rFonts w:ascii="Arial" w:hAnsi="Arial" w:cs="Times New Roman"/>
      <w:b/>
      <w:szCs w:val="20"/>
    </w:rPr>
  </w:style>
  <w:style w:type="paragraph" w:styleId="Quote">
    <w:name w:val="Quote"/>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ListBullet5">
    <w:name w:val="List Bullet 5"/>
    <w:basedOn w:val="Normal"/>
    <w:rsid w:val="007538e2"/>
    <w:pPr>
      <w:numPr>
        <w:ilvl w:val="0"/>
        <w:numId w:val="2"/>
      </w:numPr>
      <w:tabs>
        <w:tab w:val="clear" w:pos="708"/>
      </w:tabs>
      <w:spacing w:before="0" w:after="0"/>
      <w:ind w:hanging="555" w:left="555"/>
      <w:contextualSpacing/>
    </w:pPr>
    <w:rPr/>
  </w:style>
  <w:style w:type="paragraph" w:styleId="Notaexplicativa" w:customStyle="1">
    <w:name w:val="Nota explicativa"/>
    <w:basedOn w:val="Quote"/>
    <w:link w:val="NotaexplicativaChar"/>
    <w:qFormat/>
    <w:rsid w:val="00265fb6"/>
    <w:pPr/>
    <w:rPr>
      <w:szCs w:val="20"/>
    </w:rPr>
  </w:style>
  <w:style w:type="paragraph" w:styleId="Cabealhoerodap">
    <w:name w:val="Cabeçalho e rodapé"/>
    <w:basedOn w:val="Normal"/>
    <w:qFormat/>
    <w:pPr/>
    <w:rPr/>
  </w:style>
  <w:style w:type="paragraph" w:styleId="Cabealhoerodapuser">
    <w:name w:val="Cabeçalho e rodapé (user)"/>
    <w:basedOn w:val="Normal"/>
    <w:qFormat/>
    <w:pPr/>
    <w:rPr/>
  </w:style>
  <w:style w:type="paragraph" w:styleId="Header">
    <w:name w:val="header"/>
    <w:basedOn w:val="Normal"/>
    <w:link w:val="CabealhoChar"/>
    <w:rsid w:val="00ca24fb"/>
    <w:pPr>
      <w:tabs>
        <w:tab w:val="clear" w:pos="708"/>
        <w:tab w:val="center" w:pos="4252" w:leader="none"/>
        <w:tab w:val="right" w:pos="8504" w:leader="none"/>
      </w:tabs>
    </w:pPr>
    <w:rPr/>
  </w:style>
  <w:style w:type="paragraph" w:styleId="Footer">
    <w:name w:val="footer"/>
    <w:basedOn w:val="Normal"/>
    <w:link w:val="RodapChar"/>
    <w:uiPriority w:val="99"/>
    <w:rsid w:val="00ca24fb"/>
    <w:pPr>
      <w:tabs>
        <w:tab w:val="clear" w:pos="708"/>
        <w:tab w:val="center" w:pos="4252" w:leader="none"/>
        <w:tab w:val="right" w:pos="8504" w:leader="none"/>
      </w:tabs>
    </w:pPr>
    <w:rPr/>
  </w:style>
  <w:style w:type="paragraph" w:styleId="CommentText">
    <w:name w:val="annotation text"/>
    <w:basedOn w:val="Normal"/>
    <w:link w:val="TextodecomentrioChar"/>
    <w:unhideWhenUsed/>
    <w:qFormat/>
    <w:rsid w:val="00d30a43"/>
    <w:pPr/>
    <w:rPr>
      <w:sz w:val="20"/>
      <w:szCs w:val="20"/>
    </w:rPr>
  </w:style>
  <w:style w:type="paragraph" w:styleId="annotationsubject">
    <w:name w:val="annotation subject"/>
    <w:basedOn w:val="CommentText"/>
    <w:next w:val="CommentText"/>
    <w:link w:val="AssuntodocomentrioChar"/>
    <w:semiHidden/>
    <w:unhideWhenUsed/>
    <w:qFormat/>
    <w:rsid w:val="00430fdb"/>
    <w:pPr/>
    <w:rPr>
      <w:b/>
      <w:bCs/>
    </w:rPr>
  </w:style>
  <w:style w:type="paragraph" w:styleId="Nivel01" w:customStyle="1">
    <w:name w:val="Nivel 01"/>
    <w:basedOn w:val="Heading1"/>
    <w:next w:val="Normal"/>
    <w:link w:val="Nivel01Char"/>
    <w:qFormat/>
    <w:rsid w:val="007538e2"/>
    <w:pPr>
      <w:numPr>
        <w:ilvl w:val="0"/>
        <w:numId w:val="1"/>
      </w:numPr>
      <w:tabs>
        <w:tab w:val="clear" w:pos="708"/>
        <w:tab w:val="left" w:pos="567" w:leader="none"/>
      </w:tabs>
      <w:spacing w:lineRule="auto" w:line="312" w:before="288" w:after="288"/>
      <w:jc w:val="both"/>
    </w:pPr>
    <w:rPr>
      <w:rFonts w:ascii="Arial" w:hAnsi="Arial" w:eastAsia="Arial" w:cs="Arial"/>
      <w:iCs/>
      <w:color w:themeColor="accent1" w:themeShade="bf" w:val="auto"/>
      <w:sz w:val="20"/>
      <w:szCs w:val="20"/>
    </w:rPr>
  </w:style>
  <w:style w:type="paragraph" w:styleId="Nivel01Titulo" w:customStyle="1">
    <w:name w:val="Nivel_01_Titulo"/>
    <w:basedOn w:val="Nivel01"/>
    <w:link w:val="Nivel01TituloChar"/>
    <w:qFormat/>
    <w:rsid w:val="00e967ea"/>
    <w:pPr>
      <w:jc w:val="left"/>
    </w:pPr>
    <w:rPr>
      <w:rFonts w:cs="" w:cstheme="majorBidi"/>
      <w:color w:themeColor="text1" w:val="000000"/>
      <w:spacing w:val="5"/>
      <w:kern w:val="2"/>
      <w:sz w:val="52"/>
      <w:szCs w:val="52"/>
    </w:rPr>
  </w:style>
  <w:style w:type="paragraph" w:styleId="Title">
    <w:name w:val="Title"/>
    <w:basedOn w:val="Normal"/>
    <w:next w:val="Normal"/>
    <w:link w:val="TtuloChar"/>
    <w:qFormat/>
    <w:rsid w:val="007f77ad"/>
    <w:pPr>
      <w:pBdr>
        <w:bottom w:val="single" w:sz="8" w:space="4" w:color="4F81BD" w:themeColor="accent1"/>
      </w:pBdr>
      <w:spacing w:before="0" w:after="300"/>
      <w:contextualSpacing/>
    </w:pPr>
    <w:rPr>
      <w:rFonts w:ascii="Calibri" w:hAnsi="Calibri" w:eastAsia="" w:cs="" w:asciiTheme="majorHAnsi" w:cstheme="majorBidi" w:eastAsiaTheme="majorEastAsia" w:hAnsiTheme="majorHAnsi"/>
      <w:color w:themeColor="text2" w:themeShade="bf" w:val="17365D"/>
      <w:spacing w:val="5"/>
      <w:kern w:val="2"/>
      <w:sz w:val="52"/>
      <w:szCs w:val="52"/>
    </w:rPr>
  </w:style>
  <w:style w:type="paragraph" w:styleId="PADRO" w:customStyle="1">
    <w:name w:val="PADRÃO"/>
    <w:qFormat/>
    <w:rsid w:val="001e2495"/>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Citao1" w:customStyle="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rsid w:val="00d30a43"/>
    <w:pPr>
      <w:spacing w:beforeAutospacing="1" w:afterAutospacing="1"/>
    </w:pPr>
    <w:rPr>
      <w:rFonts w:ascii="Times New Roman" w:hAnsi="Times New Roman" w:eastAsia="Times New Roman" w:cs="Times New Roman"/>
    </w:rPr>
  </w:style>
  <w:style w:type="paragraph" w:styleId="Nivel1" w:customStyle="1">
    <w:name w:val="Nivel1"/>
    <w:basedOn w:val="Heading1"/>
    <w:link w:val="Nivel1Char"/>
    <w:qFormat/>
    <w:rsid w:val="00d30a43"/>
    <w:pPr>
      <w:spacing w:lineRule="auto" w:line="276"/>
      <w:ind w:hanging="357" w:left="357"/>
      <w:jc w:val="both"/>
    </w:pPr>
    <w:rPr>
      <w:rFonts w:ascii="Arial" w:hAnsi="Arial" w:cs="Arial"/>
      <w:bCs w:val="false"/>
      <w:color w:themeColor="accent1" w:themeShade="bf" w:val="000000"/>
    </w:rPr>
  </w:style>
  <w:style w:type="paragraph" w:styleId="PargrafodaLista1" w:customStyle="1">
    <w:name w:val="Parágrafo da Lista1"/>
    <w:basedOn w:val="Normal"/>
    <w:qFormat/>
    <w:rsid w:val="00d30a43"/>
    <w:pPr>
      <w:ind w:left="720"/>
    </w:pPr>
    <w:rPr>
      <w:rFonts w:eastAsia="Times New Roman" w:cs="Ecofont_Spranq_eco_Sans"/>
    </w:rPr>
  </w:style>
  <w:style w:type="paragraph" w:styleId="Nivel2" w:customStyle="1">
    <w:name w:val="Nivel 2"/>
    <w:basedOn w:val="Normal"/>
    <w:link w:val="Nivel2Char"/>
    <w:qFormat/>
    <w:rsid w:val="00e3297a"/>
    <w:pPr>
      <w:numPr>
        <w:ilvl w:val="1"/>
        <w:numId w:val="1"/>
      </w:numPr>
      <w:spacing w:lineRule="auto" w:line="276" w:before="120" w:after="120"/>
      <w:ind w:hanging="0" w:left="0"/>
      <w:jc w:val="both"/>
    </w:pPr>
    <w:rPr>
      <w:rFonts w:ascii="Arial" w:hAnsi="Arial" w:cs="Arial"/>
      <w:color w:val="000000"/>
      <w:sz w:val="20"/>
      <w:szCs w:val="20"/>
    </w:rPr>
  </w:style>
  <w:style w:type="paragraph" w:styleId="Nivel11" w:customStyle="1">
    <w:name w:val="Nivel 1"/>
    <w:basedOn w:val="Nivel2"/>
    <w:next w:val="Nivel2"/>
    <w:qFormat/>
    <w:rsid w:val="003629e4"/>
    <w:pPr>
      <w:numPr>
        <w:ilvl w:val="0"/>
        <w:numId w:val="0"/>
      </w:numPr>
      <w:ind w:hanging="360" w:left="360"/>
    </w:pPr>
    <w:rPr>
      <w:b/>
    </w:rPr>
  </w:style>
  <w:style w:type="paragraph" w:styleId="Nivel3" w:customStyle="1">
    <w:name w:val="Nivel 3"/>
    <w:basedOn w:val="Normal"/>
    <w:link w:val="Nivel3Char"/>
    <w:qFormat/>
    <w:rsid w:val="001013e4"/>
    <w:pPr>
      <w:numPr>
        <w:ilvl w:val="2"/>
        <w:numId w:val="4"/>
      </w:numPr>
      <w:spacing w:lineRule="auto" w:line="276" w:before="120" w:after="120"/>
      <w:ind w:hanging="0" w:left="284"/>
      <w:jc w:val="both"/>
    </w:pPr>
    <w:rPr>
      <w:rFonts w:ascii="Arial" w:hAnsi="Arial" w:cs="Arial"/>
      <w:color w:val="000000"/>
      <w:sz w:val="20"/>
      <w:szCs w:val="20"/>
    </w:rPr>
  </w:style>
  <w:style w:type="paragraph" w:styleId="Nivel4" w:customStyle="1">
    <w:name w:val="Nivel 4"/>
    <w:basedOn w:val="Nivel3"/>
    <w:link w:val="Nivel4Char"/>
    <w:qFormat/>
    <w:rsid w:val="007538e2"/>
    <w:pPr>
      <w:numPr>
        <w:ilvl w:val="3"/>
        <w:numId w:val="1"/>
      </w:numPr>
      <w:ind w:hanging="0" w:left="567"/>
    </w:pPr>
    <w:rPr>
      <w:color w:val="auto"/>
    </w:rPr>
  </w:style>
  <w:style w:type="paragraph" w:styleId="Nivel5" w:customStyle="1">
    <w:name w:val="Nivel 5"/>
    <w:basedOn w:val="Nivel4"/>
    <w:qFormat/>
    <w:rsid w:val="007538e2"/>
    <w:pPr>
      <w:tabs>
        <w:tab w:val="clear" w:pos="708"/>
        <w:tab w:val="left" w:pos="1492" w:leader="none"/>
      </w:tabs>
      <w:ind w:hanging="360" w:left="851"/>
    </w:pPr>
    <w:rPr/>
  </w:style>
  <w:style w:type="paragraph" w:styleId="textbody" w:customStyle="1">
    <w:name w:val="textbody"/>
    <w:basedOn w:val="Normal"/>
    <w:qFormat/>
    <w:rsid w:val="00d30a43"/>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rsid w:val="00d30a43"/>
    <w:pPr>
      <w:ind w:left="4160"/>
      <w:jc w:val="both"/>
    </w:pPr>
    <w:rPr>
      <w:rFonts w:ascii="Times New Roman" w:hAnsi="Times New Roman" w:eastAsia="Times New Roman" w:cs="Times New Roman"/>
      <w:sz w:val="28"/>
      <w:szCs w:val="28"/>
    </w:rPr>
  </w:style>
  <w:style w:type="paragraph" w:styleId="Revision">
    <w:name w:val="Revision"/>
    <w:uiPriority w:val="99"/>
    <w:semiHidden/>
    <w:qFormat/>
    <w:rsid w:val="00d30a43"/>
    <w:pPr>
      <w:widowControl/>
      <w:suppressAutoHyphens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exto1" w:customStyle="1">
    <w:name w:val="texto1"/>
    <w:basedOn w:val="Normal"/>
    <w:qFormat/>
    <w:rsid w:val="00d30a43"/>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rsid w:val="00d30a43"/>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rsid w:val="00d30a43"/>
    <w:pPr>
      <w:ind w:firstLine="1134"/>
      <w:jc w:val="both"/>
    </w:pPr>
    <w:rPr>
      <w:rFonts w:ascii="Times New Roman" w:hAnsi="Times New Roman" w:eastAsia="Times New Roman" w:cs="Times New Roman"/>
      <w:szCs w:val="22"/>
      <w:lang w:eastAsia="en-US"/>
    </w:rPr>
  </w:style>
  <w:style w:type="paragraph" w:styleId="Normal1" w:customStyle="1">
    <w:name w:val="Normal_1"/>
    <w:qFormat/>
    <w:rsid w:val="00d30a43"/>
    <w:pPr>
      <w:widowControl/>
      <w:suppressAutoHyphens w:val="tru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tcu-ac-item9-1linha" w:customStyle="1">
    <w:name w:val="tcu_-__ac_-_item_9_-_1ª_linha"/>
    <w:basedOn w:val="Normal"/>
    <w:qFormat/>
    <w:rsid w:val="00d30a43"/>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rsid w:val="00d30a43"/>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rsid w:val="00d30a43"/>
    <w:pPr>
      <w:spacing w:beforeAutospacing="1" w:afterAutospacing="1"/>
    </w:pPr>
    <w:rPr>
      <w:rFonts w:ascii="Times New Roman" w:hAnsi="Times New Roman" w:eastAsia="Times New Roman" w:cs="Times New Roman"/>
    </w:rPr>
  </w:style>
  <w:style w:type="paragraph" w:styleId="Nvel2Opcional" w:customStyle="1">
    <w:name w:val="Nível 2 Opcional"/>
    <w:basedOn w:val="Nivel2"/>
    <w:link w:val="Nvel2OpcionalChar"/>
    <w:qFormat/>
    <w:rsid w:val="00a831d9"/>
    <w:pPr>
      <w:numPr>
        <w:ilvl w:val="0"/>
        <w:numId w:val="0"/>
      </w:numPr>
      <w:ind w:hanging="432" w:left="432"/>
    </w:pPr>
    <w:rPr>
      <w:rFonts w:eastAsia="Times New Roman"/>
      <w:i/>
      <w:color w:val="FF0000"/>
    </w:rPr>
  </w:style>
  <w:style w:type="paragraph" w:styleId="Nvel3Opcional" w:customStyle="1">
    <w:name w:val="Nível 3 Opcional"/>
    <w:basedOn w:val="Nivel3"/>
    <w:link w:val="Nvel3OpcionalChar"/>
    <w:qFormat/>
    <w:rsid w:val="00a831d9"/>
    <w:pPr>
      <w:numPr>
        <w:ilvl w:val="0"/>
        <w:numId w:val="0"/>
      </w:numPr>
      <w:ind w:hanging="504" w:left="1072"/>
    </w:pPr>
    <w:rPr>
      <w:rFonts w:eastAsia="Times New Roman"/>
      <w:i/>
      <w:iCs/>
      <w:color w:val="FF0000"/>
    </w:rPr>
  </w:style>
  <w:style w:type="paragraph" w:styleId="SombreamentoMdio1-nfase31" w:customStyle="1">
    <w:name w:val="Sombreamento Médio 1 - Ênfase 31"/>
    <w:basedOn w:val="Normal"/>
    <w:next w:val="Normal"/>
    <w:qFormat/>
    <w:rsid w:val="00cb3192"/>
    <w:pPr>
      <w:pBdr>
        <w:top w:val="single" w:sz="4" w:space="1" w:color="000080"/>
        <w:left w:val="single" w:sz="4" w:space="4" w:color="000080"/>
        <w:bottom w:val="single" w:sz="4" w:space="1" w:color="000080"/>
        <w:right w:val="single" w:sz="4" w:space="4" w:color="000080"/>
      </w:pBdr>
      <w:shd w:val="clear" w:color="auto" w:fill="FFFFCC"/>
      <w:suppressAutoHyphens w:val="true"/>
      <w:spacing w:before="120" w:after="0"/>
      <w:jc w:val="both"/>
    </w:pPr>
    <w:rPr>
      <w:rFonts w:eastAsia="Calibri"/>
      <w:i/>
      <w:iCs/>
      <w:color w:val="000000"/>
      <w:sz w:val="20"/>
      <w:lang w:eastAsia="zh-CN"/>
    </w:rPr>
  </w:style>
  <w:style w:type="paragraph" w:styleId="corpo" w:customStyle="1">
    <w:name w:val="corpo"/>
    <w:basedOn w:val="Normal"/>
    <w:qFormat/>
    <w:rsid w:val="00cb3192"/>
    <w:pPr>
      <w:spacing w:beforeAutospacing="1" w:afterAutospacing="1"/>
    </w:pPr>
    <w:rPr>
      <w:rFonts w:ascii="Times New Roman" w:hAnsi="Times New Roman" w:eastAsia="Times New Roman" w:cs="Times New Roman"/>
    </w:rPr>
  </w:style>
  <w:style w:type="paragraph" w:styleId="itemnivel2" w:customStyle="1">
    <w:name w:val="item_nivel2"/>
    <w:basedOn w:val="Normal"/>
    <w:qFormat/>
    <w:rsid w:val="00cb3192"/>
    <w:pPr>
      <w:spacing w:beforeAutospacing="1" w:afterAutospacing="1"/>
    </w:pPr>
    <w:rPr>
      <w:rFonts w:ascii="Times New Roman" w:hAnsi="Times New Roman" w:eastAsia="Times New Roman" w:cs="Times New Roman"/>
    </w:rPr>
  </w:style>
  <w:style w:type="paragraph" w:styleId="itemnivel1" w:customStyle="1">
    <w:name w:val="item_nivel1"/>
    <w:basedOn w:val="Normal"/>
    <w:qFormat/>
    <w:rsid w:val="00cb3192"/>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rsid w:val="00cb3192"/>
    <w:pPr>
      <w:spacing w:beforeAutospacing="1" w:afterAutospacing="1"/>
    </w:pPr>
    <w:rPr>
      <w:rFonts w:ascii="Times New Roman" w:hAnsi="Times New Roman" w:eastAsia="Times New Roman" w:cs="Times New Roman"/>
    </w:rPr>
  </w:style>
  <w:style w:type="paragraph" w:styleId="Standard" w:customStyle="1">
    <w:name w:val="Standard"/>
    <w:qFormat/>
    <w:rsid w:val="00cb3192"/>
    <w:pPr>
      <w:widowControl/>
      <w:suppressAutoHyphens w:val="tru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extbody1" w:customStyle="1">
    <w:name w:val="Text body"/>
    <w:basedOn w:val="Standard"/>
    <w:qFormat/>
    <w:rsid w:val="00cb3192"/>
    <w:pPr>
      <w:spacing w:lineRule="auto" w:line="276" w:before="0" w:after="140"/>
    </w:pPr>
    <w:rPr/>
  </w:style>
  <w:style w:type="paragraph" w:styleId="ou" w:customStyle="1">
    <w:name w:val="ou"/>
    <w:basedOn w:val="ListParagraph"/>
    <w:link w:val="ouChar"/>
    <w:qFormat/>
    <w:rsid w:val="00d14643"/>
    <w:pPr>
      <w:spacing w:lineRule="auto" w:line="259" w:before="60" w:after="60"/>
      <w:ind w:left="0"/>
      <w:contextualSpacing w:val="false"/>
      <w:jc w:val="center"/>
    </w:pPr>
    <w:rPr>
      <w:rFonts w:ascii="Arial" w:hAnsi="Arial" w:eastAsia="Cambria" w:cs="Arial" w:eastAsiaTheme="minorHAnsi"/>
      <w:b/>
      <w:bCs/>
      <w:i/>
      <w:iCs/>
      <w:color w:val="FF0000"/>
      <w:u w:val="single"/>
    </w:rPr>
  </w:style>
  <w:style w:type="paragraph" w:styleId="dou-paragraph" w:customStyle="1">
    <w:name w:val="dou-paragraph"/>
    <w:basedOn w:val="Normal"/>
    <w:qFormat/>
    <w:rsid w:val="00cb3192"/>
    <w:pPr>
      <w:spacing w:beforeAutospacing="1" w:afterAutospacing="1"/>
    </w:pPr>
    <w:rPr>
      <w:rFonts w:ascii="Times New Roman" w:hAnsi="Times New Roman" w:eastAsia="Times New Roman" w:cs="Times New Roman"/>
    </w:rPr>
  </w:style>
  <w:style w:type="paragraph" w:styleId="Nvel2-Red" w:customStyle="1">
    <w:name w:val="Nível 2 -Red"/>
    <w:basedOn w:val="Nivel2"/>
    <w:link w:val="Nvel2-RedChar"/>
    <w:qFormat/>
    <w:rsid w:val="001e36c7"/>
    <w:pPr/>
    <w:rPr>
      <w:i/>
      <w:iCs/>
      <w:color w:val="FF0000"/>
    </w:rPr>
  </w:style>
  <w:style w:type="paragraph" w:styleId="Nvel3-R" w:customStyle="1">
    <w:name w:val="Nível 3-R"/>
    <w:basedOn w:val="Nivel3"/>
    <w:link w:val="Nvel3-RChar"/>
    <w:qFormat/>
    <w:rsid w:val="001013e4"/>
    <w:pPr/>
    <w:rPr>
      <w:i/>
      <w:iCs/>
      <w:color w:val="FF0000"/>
    </w:rPr>
  </w:style>
  <w:style w:type="paragraph" w:styleId="Nvel4-R" w:customStyle="1">
    <w:name w:val="Nível 4-R"/>
    <w:basedOn w:val="Nivel4"/>
    <w:link w:val="Nvel4-RChar"/>
    <w:qFormat/>
    <w:rsid w:val="00447f3e"/>
    <w:pPr/>
    <w:rPr>
      <w:i/>
      <w:iCs/>
      <w:color w:val="FF0000"/>
    </w:rPr>
  </w:style>
  <w:style w:type="paragraph" w:styleId="Nvel1-SemNum" w:customStyle="1">
    <w:name w:val="Nível 1-Sem Num"/>
    <w:basedOn w:val="Nivel01"/>
    <w:link w:val="Nvel1-SemNumChar"/>
    <w:qFormat/>
    <w:rsid w:val="00447f3e"/>
    <w:pPr>
      <w:numPr>
        <w:ilvl w:val="0"/>
        <w:numId w:val="0"/>
      </w:numPr>
      <w:outlineLvl w:val="1"/>
    </w:pPr>
    <w:rPr>
      <w:color w:themeColor="accent1" w:themeShade="bf" w:val="FF0000"/>
    </w:rPr>
  </w:style>
  <w:style w:type="paragraph" w:styleId="citao2" w:customStyle="1">
    <w:name w:val="citação 2"/>
    <w:basedOn w:val="Quote"/>
    <w:link w:val="citao2Char"/>
    <w:qFormat/>
    <w:rsid w:val="00dc41dd"/>
    <w:pPr>
      <w:overflowPunct w:val="true"/>
    </w:pPr>
    <w:rPr>
      <w:szCs w:val="20"/>
    </w:rPr>
  </w:style>
  <w:style w:type="paragraph" w:styleId="Prembulo" w:customStyle="1">
    <w:name w:val="Preâmbulo"/>
    <w:basedOn w:val="Normal"/>
    <w:link w:val="PrembuloChar"/>
    <w:qFormat/>
    <w:rsid w:val="00bb19e4"/>
    <w:pPr>
      <w:spacing w:lineRule="auto" w:line="360" w:before="480" w:after="120"/>
      <w:ind w:left="4253" w:right="-17"/>
      <w:jc w:val="both"/>
    </w:pPr>
    <w:rPr>
      <w:rFonts w:ascii="Arial" w:hAnsi="Arial" w:eastAsia="Arial" w:cs="Arial"/>
      <w:bCs/>
      <w:sz w:val="20"/>
      <w:szCs w:val="20"/>
    </w:rPr>
  </w:style>
  <w:style w:type="paragraph" w:styleId="IndexHeading">
    <w:name w:val="index heading"/>
    <w:basedOn w:val="Ttulo"/>
    <w:pPr/>
    <w:rPr/>
  </w:style>
  <w:style w:type="paragraph" w:styleId="TOCHeading">
    <w:name w:val="TOC Heading"/>
    <w:basedOn w:val="Heading1"/>
    <w:next w:val="Normal"/>
    <w:uiPriority w:val="39"/>
    <w:unhideWhenUsed/>
    <w:qFormat/>
    <w:rsid w:val="003f579d"/>
    <w:pPr>
      <w:spacing w:lineRule="auto" w:line="259" w:before="240" w:after="0"/>
      <w:outlineLvl w:val="9"/>
    </w:pPr>
    <w:rPr>
      <w:b w:val="false"/>
      <w:bCs w:val="false"/>
      <w:sz w:val="32"/>
      <w:szCs w:val="32"/>
    </w:rPr>
  </w:style>
  <w:style w:type="paragraph" w:styleId="TOC1">
    <w:name w:val="toc 1"/>
    <w:basedOn w:val="Normal"/>
    <w:next w:val="Normal"/>
    <w:autoRedefine/>
    <w:uiPriority w:val="39"/>
    <w:unhideWhenUsed/>
    <w:rsid w:val="00805832"/>
    <w:pPr>
      <w:tabs>
        <w:tab w:val="clear" w:pos="708"/>
        <w:tab w:val="left" w:pos="426" w:leader="none"/>
        <w:tab w:val="right" w:pos="9628" w:leader="dot"/>
      </w:tabs>
      <w:spacing w:before="0" w:after="100"/>
    </w:pPr>
    <w:rPr>
      <w:rFonts w:ascii="Arial" w:hAnsi="Arial" w:eastAsia="Times New Roman"/>
      <w:sz w:val="20"/>
    </w:rPr>
  </w:style>
  <w:style w:type="paragraph" w:styleId="xmsonormal" w:customStyle="1">
    <w:name w:val="x_msonormal"/>
    <w:basedOn w:val="Normal"/>
    <w:uiPriority w:val="1"/>
    <w:qFormat/>
    <w:rsid w:val="58a332ed"/>
    <w:pPr>
      <w:spacing w:beforeAutospacing="1" w:afterAutospacing="1"/>
    </w:pPr>
    <w:rPr>
      <w:rFonts w:ascii="Times New Roman" w:hAnsi="Times New Roman" w:eastAsia="Times New Roman" w:cs="Times New Roman"/>
    </w:rPr>
  </w:style>
  <w:style w:type="paragraph" w:styleId="TOC3">
    <w:name w:val="toc 3"/>
    <w:basedOn w:val="Normal"/>
    <w:next w:val="Normal"/>
    <w:autoRedefine/>
    <w:uiPriority w:val="39"/>
    <w:unhideWhenUsed/>
    <w:rsid w:val="008b3e88"/>
    <w:pPr>
      <w:spacing w:before="0" w:after="100"/>
      <w:ind w:left="480"/>
    </w:pPr>
    <w:rPr/>
  </w:style>
  <w:style w:type="paragraph" w:styleId="TOC2">
    <w:name w:val="toc 2"/>
    <w:basedOn w:val="Normal"/>
    <w:next w:val="Normal"/>
    <w:autoRedefine/>
    <w:uiPriority w:val="39"/>
    <w:unhideWhenUsed/>
    <w:rsid w:val="008b3e88"/>
    <w:pPr>
      <w:spacing w:lineRule="auto" w:line="278" w:before="0" w:after="100"/>
      <w:ind w:left="240"/>
    </w:pPr>
    <w:rPr>
      <w:rFonts w:ascii="Cambria" w:hAnsi="Cambria" w:cs="" w:asciiTheme="minorHAnsi" w:cstheme="minorBidi" w:hAnsiTheme="minorHAnsi"/>
      <w:kern w:val="2"/>
      <w14:ligatures w14:val="standardContextual"/>
    </w:rPr>
  </w:style>
  <w:style w:type="paragraph" w:styleId="TOC4">
    <w:name w:val="toc 4"/>
    <w:basedOn w:val="Normal"/>
    <w:next w:val="Normal"/>
    <w:autoRedefine/>
    <w:uiPriority w:val="39"/>
    <w:unhideWhenUsed/>
    <w:rsid w:val="008b3e88"/>
    <w:pPr>
      <w:spacing w:lineRule="auto" w:line="278" w:before="0" w:after="100"/>
      <w:ind w:left="720"/>
    </w:pPr>
    <w:rPr>
      <w:rFonts w:ascii="Cambria" w:hAnsi="Cambria" w:cs="" w:asciiTheme="minorHAnsi" w:cstheme="minorBidi" w:hAnsiTheme="minorHAnsi"/>
      <w:kern w:val="2"/>
      <w14:ligatures w14:val="standardContextual"/>
    </w:rPr>
  </w:style>
  <w:style w:type="paragraph" w:styleId="TOC5">
    <w:name w:val="toc 5"/>
    <w:basedOn w:val="Normal"/>
    <w:next w:val="Normal"/>
    <w:autoRedefine/>
    <w:uiPriority w:val="39"/>
    <w:unhideWhenUsed/>
    <w:rsid w:val="008b3e88"/>
    <w:pPr>
      <w:spacing w:lineRule="auto" w:line="278" w:before="0" w:after="100"/>
      <w:ind w:left="960"/>
    </w:pPr>
    <w:rPr>
      <w:rFonts w:ascii="Cambria" w:hAnsi="Cambria" w:cs="" w:asciiTheme="minorHAnsi" w:cstheme="minorBidi" w:hAnsiTheme="minorHAnsi"/>
      <w:kern w:val="2"/>
      <w14:ligatures w14:val="standardContextual"/>
    </w:rPr>
  </w:style>
  <w:style w:type="paragraph" w:styleId="TOC6">
    <w:name w:val="toc 6"/>
    <w:basedOn w:val="Normal"/>
    <w:next w:val="Normal"/>
    <w:autoRedefine/>
    <w:uiPriority w:val="39"/>
    <w:unhideWhenUsed/>
    <w:rsid w:val="008b3e88"/>
    <w:pPr>
      <w:spacing w:lineRule="auto" w:line="278" w:before="0" w:after="100"/>
      <w:ind w:left="1200"/>
    </w:pPr>
    <w:rPr>
      <w:rFonts w:ascii="Cambria" w:hAnsi="Cambria" w:cs="" w:asciiTheme="minorHAnsi" w:cstheme="minorBidi" w:hAnsiTheme="minorHAnsi"/>
      <w:kern w:val="2"/>
      <w14:ligatures w14:val="standardContextual"/>
    </w:rPr>
  </w:style>
  <w:style w:type="paragraph" w:styleId="TOC7">
    <w:name w:val="toc 7"/>
    <w:basedOn w:val="Normal"/>
    <w:next w:val="Normal"/>
    <w:autoRedefine/>
    <w:uiPriority w:val="39"/>
    <w:unhideWhenUsed/>
    <w:rsid w:val="008b3e88"/>
    <w:pPr>
      <w:spacing w:lineRule="auto" w:line="278" w:before="0" w:after="100"/>
      <w:ind w:left="1440"/>
    </w:pPr>
    <w:rPr>
      <w:rFonts w:ascii="Cambria" w:hAnsi="Cambria" w:cs="" w:asciiTheme="minorHAnsi" w:cstheme="minorBidi" w:hAnsiTheme="minorHAnsi"/>
      <w:kern w:val="2"/>
      <w14:ligatures w14:val="standardContextual"/>
    </w:rPr>
  </w:style>
  <w:style w:type="paragraph" w:styleId="TOC8">
    <w:name w:val="toc 8"/>
    <w:basedOn w:val="Normal"/>
    <w:next w:val="Normal"/>
    <w:autoRedefine/>
    <w:uiPriority w:val="39"/>
    <w:unhideWhenUsed/>
    <w:rsid w:val="008b3e88"/>
    <w:pPr>
      <w:spacing w:lineRule="auto" w:line="278" w:before="0" w:after="100"/>
      <w:ind w:left="1680"/>
    </w:pPr>
    <w:rPr>
      <w:rFonts w:ascii="Cambria" w:hAnsi="Cambria" w:cs="" w:asciiTheme="minorHAnsi" w:cstheme="minorBidi" w:hAnsiTheme="minorHAnsi"/>
      <w:kern w:val="2"/>
      <w14:ligatures w14:val="standardContextual"/>
    </w:rPr>
  </w:style>
  <w:style w:type="paragraph" w:styleId="TOC9">
    <w:name w:val="toc 9"/>
    <w:basedOn w:val="Normal"/>
    <w:next w:val="Normal"/>
    <w:autoRedefine/>
    <w:uiPriority w:val="39"/>
    <w:unhideWhenUsed/>
    <w:rsid w:val="008b3e88"/>
    <w:pPr>
      <w:spacing w:lineRule="auto" w:line="278" w:before="0" w:after="100"/>
      <w:ind w:left="1920"/>
    </w:pPr>
    <w:rPr>
      <w:rFonts w:ascii="Cambria" w:hAnsi="Cambria" w:cs="" w:asciiTheme="minorHAnsi" w:cstheme="minorBidi" w:hAnsiTheme="minorHAnsi"/>
      <w:kern w:val="2"/>
      <w14:ligatures w14:val="standardContextual"/>
    </w:rPr>
  </w:style>
  <w:style w:type="paragraph" w:styleId="Nvel2-Opcional" w:customStyle="1">
    <w:name w:val="Nível 2-Opcional"/>
    <w:basedOn w:val="Normal"/>
    <w:link w:val="Nvel2-OpcionalChar"/>
    <w:qFormat/>
    <w:rsid w:val="00533679"/>
    <w:pPr>
      <w:spacing w:lineRule="auto" w:line="276" w:before="120" w:after="120"/>
      <w:jc w:val="both"/>
    </w:pPr>
    <w:rPr>
      <w:rFonts w:ascii="Arial" w:hAnsi="Arial" w:eastAsia="Arial" w:cs="Arial"/>
      <w:i/>
      <w:iCs/>
      <w:color w:val="FF0000"/>
      <w:sz w:val="20"/>
      <w:szCs w:val="20"/>
    </w:rPr>
  </w:style>
  <w:style w:type="paragraph" w:styleId="Nivel2-Opcional">
    <w:name w:val="Nivel 2-Opcional"/>
    <w:basedOn w:val="Normal"/>
    <w:qFormat/>
    <w:pPr>
      <w:numPr>
        <w:ilvl w:val="1"/>
        <w:numId w:val="3"/>
      </w:numPr>
      <w:shd w:val="clear" w:color="auto" w:fill="76923C" w:themeFill="accent3" w:themeFillShade="bf"/>
      <w:spacing w:lineRule="auto" w:line="276" w:before="120" w:after="120"/>
      <w:ind w:hanging="0" w:left="0"/>
      <w:jc w:val="both"/>
    </w:pPr>
    <w:rPr>
      <w:rFonts w:ascii="Arial" w:hAnsi="Arial" w:eastAsia="Arial" w:cs="Arial"/>
      <w:i/>
      <w:color w:val="FF0000"/>
      <w:sz w:val="20"/>
      <w:szCs w:val="20"/>
    </w:rPr>
  </w:style>
  <w:style w:type="paragraph" w:styleId="Nvel02">
    <w:name w:val="Nível 02"/>
    <w:basedOn w:val="Nivel2-Opcional"/>
    <w:qFormat/>
    <w:pPr>
      <w:shd w:val="clear" w:color="auto" w:fill="auto"/>
    </w:pPr>
    <w:rPr>
      <w:i w:val="false"/>
      <w:iCs/>
      <w:color w:val="auto"/>
    </w:rPr>
  </w:style>
  <w:style w:type="numbering" w:styleId="Semlista" w:default="1">
    <w:name w:val="Sem lista"/>
    <w:uiPriority w:val="99"/>
    <w:semiHidden/>
    <w:unhideWhenUsed/>
    <w:qFormat/>
  </w:style>
  <w:style w:type="numbering" w:styleId="Estilo1" w:customStyle="1">
    <w:name w:val="Estilo1"/>
    <w:uiPriority w:val="99"/>
    <w:qFormat/>
    <w:rsid w:val="008c6874"/>
  </w:style>
  <w:style w:type="numbering" w:styleId="Estilo2" w:customStyle="1">
    <w:name w:val="Estilo2"/>
    <w:uiPriority w:val="99"/>
    <w:qFormat/>
    <w:rsid w:val="00a72b79"/>
  </w:style>
  <w:style w:type="numbering" w:styleId="Estilo3" w:customStyle="1">
    <w:name w:val="Estilo3"/>
    <w:uiPriority w:val="99"/>
    <w:qFormat/>
    <w:rsid w:val="00a72b79"/>
  </w:style>
  <w:style w:type="numbering" w:styleId="Estilo4" w:customStyle="1">
    <w:name w:val="Estilo4"/>
    <w:uiPriority w:val="99"/>
    <w:qFormat/>
    <w:rsid w:val="0054016d"/>
  </w:style>
  <w:style w:type="numbering" w:styleId="Estilo5" w:customStyle="1">
    <w:name w:val="Estilo5"/>
    <w:uiPriority w:val="99"/>
    <w:qFormat/>
    <w:rsid w:val="0054016d"/>
  </w:style>
  <w:style w:type="numbering" w:styleId="Estilo6" w:customStyle="1">
    <w:name w:val="Estilo6"/>
    <w:uiPriority w:val="99"/>
    <w:qFormat/>
    <w:rsid w:val="0054016d"/>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rsid w:val="00db542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hyperlink" Target="http://www.planalto.gov.br/ccivil_03/_ato2019-2022/2021/lei/L14133.htm"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23</TotalTime>
  <Application>LibreOffice/25.2.7.2$Windows_x86 LibreOffice_project/5cbfd1ab6520636bb5f7b99185aa69bd7456825d</Application>
  <AppVersion>15.0000</AppVersion>
  <Pages>32</Pages>
  <Words>12499</Words>
  <Characters>69500</Characters>
  <CharactersWithSpaces>81179</CharactersWithSpaces>
  <Paragraphs>469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2025-11-27T17:34:00Z</dcterms:created>
  <dc:creator/>
  <dc:description/>
  <dc:language>pt-BR</dc:language>
  <cp:lastModifiedBy/>
  <dcterms:modified xsi:type="dcterms:W3CDTF">2026-07-13T15:29:06Z</dcterms:modified>
  <cp:revision>19</cp:revision>
  <dc:subject/>
  <dc:title/>
</cp:coreProperties>
</file>

<file path=docProps/custom.xml><?xml version="1.0" encoding="utf-8"?>
<Properties xmlns="http://schemas.openxmlformats.org/officeDocument/2006/custom-properties" xmlns:vt="http://schemas.openxmlformats.org/officeDocument/2006/docPropsVTypes"/>
</file>