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comments.xml" ContentType="application/vnd.openxmlformats-officedocument.wordprocessingml.comments+xml"/>
  <Override PartName="/word/header2.xml" ContentType="application/vnd.openxmlformats-officedocument.wordprocessingml.header+xml"/>
  <Override PartName="/word/numbering.xml" ContentType="application/vnd.openxmlformats-officedocument.wordprocessingml.numbering+xml"/>
  <Override PartName="/word/media/image1.emf" ContentType="image/x-emf"/>
  <Override PartName="/word/header1.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12" w:before="0" w:after="288"/>
        <w:jc w:val="center"/>
        <w:rPr>
          <w:rFonts w:ascii="Arial" w:hAnsi="Arial" w:cs="Arial"/>
          <w:b/>
          <w:bCs/>
          <w:color w:themeColor="text1" w:val="000000"/>
          <w:sz w:val="20"/>
          <w:szCs w:val="20"/>
        </w:rPr>
      </w:pPr>
      <w:r>
        <w:rPr>
          <w:rFonts w:cs="Arial" w:ascii="Arial" w:hAnsi="Arial"/>
          <w:b/>
          <w:bCs/>
          <w:color w:themeColor="text1" w:val="000000"/>
          <w:sz w:val="20"/>
          <w:szCs w:val="20"/>
        </w:rPr>
        <w:t>ANEXO II</w:t>
      </w:r>
    </w:p>
    <w:p>
      <w:pPr>
        <w:pStyle w:val="Normal"/>
        <w:spacing w:lineRule="auto" w:line="312" w:before="0" w:after="288"/>
        <w:jc w:val="center"/>
        <w:rPr>
          <w:rFonts w:ascii="Arial" w:hAnsi="Arial" w:cs="Arial"/>
          <w:b/>
          <w:bCs/>
          <w:color w:themeColor="text1" w:val="000000"/>
          <w:sz w:val="20"/>
          <w:szCs w:val="20"/>
        </w:rPr>
      </w:pPr>
      <w:commentRangeStart w:id="0"/>
      <w:r>
        <w:rPr>
          <w:rFonts w:cs="Arial" w:ascii="Arial" w:hAnsi="Arial"/>
          <w:b/>
          <w:bCs/>
          <w:color w:themeColor="text1" w:val="000000"/>
          <w:sz w:val="20"/>
          <w:szCs w:val="20"/>
        </w:rPr>
        <w:t>MINUTA DE TERMO DE CONTRATO</w:t>
        <w:br/>
        <w:t>Lei nº 14.133, de 1º de abril de 2021</w:t>
        <w:br/>
        <w:t>OBRAS E SERVIÇOS</w:t>
      </w:r>
      <w:r>
        <w:rPr>
          <w:rFonts w:ascii="Arial" w:hAnsi="Arial"/>
          <w:b/>
          <w:color w:themeColor="text1" w:val="000000"/>
          <w:sz w:val="20"/>
        </w:rPr>
        <w:t xml:space="preserve"> DE </w:t>
      </w:r>
      <w:r>
        <w:rPr>
          <w:rFonts w:cs="Arial" w:ascii="Arial" w:hAnsi="Arial"/>
          <w:b/>
          <w:bCs/>
          <w:color w:themeColor="text1" w:val="000000"/>
          <w:sz w:val="20"/>
          <w:szCs w:val="20"/>
        </w:rPr>
        <w:t>ENGENHARIA – LICITAÇÃO</w:t>
      </w:r>
      <w:commentRangeEnd w:id="0"/>
      <w:r>
        <w:commentReference w:id="0"/>
      </w:r>
      <w:r>
        <w:rPr>
          <w:rFonts w:cs="Arial" w:ascii="Arial" w:hAnsi="Arial"/>
          <w:b/>
          <w:bCs/>
          <w:color w:themeColor="text1" w:val="000000"/>
          <w:sz w:val="20"/>
          <w:szCs w:val="20"/>
        </w:rPr>
      </w:r>
    </w:p>
    <w:p>
      <w:pPr>
        <w:pStyle w:val="Normal"/>
        <w:spacing w:lineRule="auto" w:line="312" w:before="0" w:after="288"/>
        <w:ind w:firstLine="567"/>
        <w:jc w:val="center"/>
        <w:rPr>
          <w:i w:val="false"/>
          <w:iCs w:val="false"/>
          <w:color w:val="auto"/>
        </w:rPr>
      </w:pPr>
      <w:r>
        <w:drawing>
          <wp:anchor distT="0" distB="0" distL="114300" distR="114300" simplePos="0" relativeHeight="2" behindDoc="0" locked="0" layoutInCell="0" allowOverlap="1">
            <wp:simplePos x="0" y="0"/>
            <wp:positionH relativeFrom="margin">
              <wp:posOffset>2818130</wp:posOffset>
            </wp:positionH>
            <wp:positionV relativeFrom="paragraph">
              <wp:posOffset>64135</wp:posOffset>
            </wp:positionV>
            <wp:extent cx="737870" cy="805815"/>
            <wp:effectExtent l="0" t="0" r="0" b="0"/>
            <wp:wrapTopAndBottom/>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pic:cNvPicPr>
                      <a:picLocks noChangeAspect="1" noChangeArrowheads="1"/>
                    </pic:cNvPicPr>
                  </pic:nvPicPr>
                  <pic:blipFill>
                    <a:blip r:embed="rId2"/>
                    <a:stretch>
                      <a:fillRect/>
                    </a:stretch>
                  </pic:blipFill>
                  <pic:spPr bwMode="auto">
                    <a:xfrm>
                      <a:off x="0" y="0"/>
                      <a:ext cx="737870" cy="805815"/>
                    </a:xfrm>
                    <a:prstGeom prst="rect">
                      <a:avLst/>
                    </a:prstGeom>
                    <a:noFill/>
                  </pic:spPr>
                </pic:pic>
              </a:graphicData>
            </a:graphic>
          </wp:anchor>
        </w:drawing>
      </w:r>
      <w:r>
        <w:rPr>
          <w:rFonts w:cs="Arial" w:ascii="Arial" w:hAnsi="Arial"/>
          <w:b w:val="false"/>
          <w:bCs w:val="false"/>
          <w:i w:val="false"/>
          <w:iCs w:val="false"/>
          <w:color w:val="auto"/>
          <w:sz w:val="20"/>
          <w:szCs w:val="20"/>
        </w:rPr>
        <w:t>MINISTÉRIO DA DEFESA</w:t>
        <w:br/>
        <w:t xml:space="preserve">        EXÉRCITO BRASILEIRO</w:t>
        <w:br/>
        <w:t xml:space="preserve">         CENTRO DE AVALIAÇÕES DO EXÉRCITO</w:t>
        <w:br/>
        <w:t xml:space="preserve">       (CAMPO DE PROVAS DA MARAMBAIA)</w:t>
      </w:r>
    </w:p>
    <w:p>
      <w:pPr>
        <w:pStyle w:val="Normal"/>
        <w:spacing w:lineRule="auto" w:line="312" w:before="240" w:after="240"/>
        <w:ind w:firstLine="567"/>
        <w:jc w:val="center"/>
        <w:rPr>
          <w:b w:val="false"/>
          <w:bCs w:val="false"/>
          <w:i w:val="false"/>
          <w:iCs w:val="false"/>
        </w:rPr>
      </w:pPr>
      <w:r>
        <w:rPr>
          <w:rFonts w:cs="Arial" w:ascii="Arial" w:hAnsi="Arial"/>
          <w:b w:val="false"/>
          <w:bCs w:val="false"/>
          <w:i w:val="false"/>
          <w:iCs w:val="false"/>
          <w:color w:val="000000"/>
          <w:sz w:val="20"/>
          <w:szCs w:val="20"/>
        </w:rPr>
        <w:t>(Processo Administrativo n° 64197.001972/2026-91</w:t>
      </w:r>
      <w:r>
        <w:rPr>
          <w:rFonts w:cs="Arial" w:ascii="sans-serif" w:hAnsi="sans-serif"/>
          <w:b w:val="false"/>
          <w:bCs w:val="false"/>
          <w:i w:val="false"/>
          <w:iCs w:val="false"/>
          <w:color w:val="auto"/>
          <w:sz w:val="24"/>
          <w:szCs w:val="20"/>
        </w:rPr>
        <w:t>)</w:t>
      </w:r>
    </w:p>
    <w:p>
      <w:pPr>
        <w:pStyle w:val="Prembulo"/>
        <w:spacing w:lineRule="auto" w:line="312" w:before="120" w:after="288"/>
        <w:rPr>
          <w:bCs w:val="false"/>
        </w:rPr>
      </w:pPr>
      <w:r>
        <w:rPr>
          <w:bCs w:val="false"/>
        </w:rPr>
        <w:t xml:space="preserve">CONTRATO ADMINISTRATIVO Nº </w:t>
      </w:r>
      <w:r>
        <w:rPr>
          <w:bCs w:val="false"/>
          <w:i/>
          <w:iCs/>
          <w:color w:val="FF0000"/>
        </w:rPr>
        <w:t>xx</w:t>
      </w:r>
      <w:r>
        <w:rPr>
          <w:bCs w:val="false"/>
        </w:rPr>
        <w:t>/</w:t>
      </w:r>
      <w:r>
        <w:rPr>
          <w:bCs w:val="false"/>
          <w:i/>
          <w:iCs/>
          <w:color w:val="FF0000"/>
        </w:rPr>
        <w:t>xxxx</w:t>
      </w:r>
      <w:r>
        <w:rPr>
          <w:bCs w:val="false"/>
        </w:rPr>
        <w:t xml:space="preserve">, QUE FAZEM ENTRE SI A UNIÃO, POR INTERMÉDIO DO </w:t>
      </w:r>
      <w:r>
        <w:rPr>
          <w:b w:val="false"/>
          <w:bCs w:val="false"/>
        </w:rPr>
        <w:t>CENTRO DE AVALIAÇÕES DO EXÉRCITO</w:t>
      </w:r>
      <w:r>
        <w:rPr>
          <w:bCs w:val="false"/>
        </w:rPr>
        <w:t xml:space="preserve"> ......................................................... E .............................................................  </w:t>
      </w:r>
    </w:p>
    <w:p>
      <w:pPr>
        <w:pStyle w:val="Normal"/>
        <w:spacing w:lineRule="auto" w:line="276" w:before="120" w:after="120"/>
        <w:ind w:firstLine="1418"/>
        <w:jc w:val="both"/>
        <w:rPr>
          <w:rFonts w:ascii="Arial" w:hAnsi="Arial" w:eastAsia="Arial" w:cs="Arial"/>
          <w:sz w:val="20"/>
          <w:szCs w:val="20"/>
        </w:rPr>
      </w:pPr>
      <w:r>
        <w:rPr>
          <w:rFonts w:eastAsia="Arial" w:cs="Arial" w:ascii="Arial" w:hAnsi="Arial"/>
          <w:i w:val="false"/>
          <w:iCs w:val="false"/>
          <w:color w:val="auto"/>
          <w:sz w:val="20"/>
          <w:szCs w:val="20"/>
        </w:rPr>
        <w:t xml:space="preserve">A União, por intermédio do Centro de Avaliações do Exército, com sede na Estrada Roberto Burle Marx, 9140, Barra de Guaratiba, Rio de Janeiro, RJ, inscrito no CNPJ sob o nº 09.687.482/00001-74, neste ato representado pelo Ordenador de Despesas, o Sr. Tenente Coronel </w:t>
      </w:r>
      <w:r>
        <w:rPr>
          <w:rFonts w:eastAsia="Arial" w:cs="Arial" w:ascii="Arial" w:hAnsi="Arial"/>
          <w:b/>
          <w:i w:val="false"/>
          <w:iCs w:val="false"/>
          <w:color w:val="auto"/>
          <w:sz w:val="20"/>
          <w:szCs w:val="20"/>
        </w:rPr>
        <w:t>ALEX NUNES NAVARRO</w:t>
      </w:r>
      <w:r>
        <w:rPr>
          <w:rFonts w:eastAsia="Arial" w:cs="Arial" w:ascii="Arial" w:hAnsi="Arial"/>
          <w:i w:val="false"/>
          <w:iCs w:val="false"/>
          <w:color w:val="auto"/>
          <w:sz w:val="20"/>
          <w:szCs w:val="20"/>
        </w:rPr>
        <w:t>, nomeado pelo Boletim interno Nr 14, de 22 de janeiro de 2026 do CAEx, portador da Carteira de Identidade</w:t>
      </w:r>
      <w:r>
        <w:rPr>
          <w:rFonts w:eastAsia="Arial" w:cs="Arial" w:ascii="Arial" w:hAnsi="Arial"/>
          <w:i w:val="false"/>
          <w:iCs w:val="false"/>
          <w:color w:val="auto"/>
          <w:spacing w:val="-3"/>
          <w:sz w:val="20"/>
          <w:szCs w:val="20"/>
        </w:rPr>
        <w:t xml:space="preserve"> </w:t>
      </w:r>
      <w:r>
        <w:rPr>
          <w:rFonts w:eastAsia="Arial" w:cs="Arial" w:ascii="Arial" w:hAnsi="Arial"/>
          <w:i w:val="false"/>
          <w:iCs w:val="false"/>
          <w:color w:val="auto"/>
          <w:sz w:val="20"/>
          <w:szCs w:val="20"/>
        </w:rPr>
        <w:t>nº</w:t>
      </w:r>
      <w:r>
        <w:rPr>
          <w:rFonts w:eastAsia="Arial" w:cs="Arial" w:ascii="Arial" w:hAnsi="Arial"/>
          <w:i w:val="false"/>
          <w:iCs w:val="false"/>
          <w:color w:val="auto"/>
          <w:spacing w:val="-3"/>
          <w:sz w:val="20"/>
          <w:szCs w:val="20"/>
        </w:rPr>
        <w:t xml:space="preserve"> </w:t>
      </w:r>
      <w:r>
        <w:rPr>
          <w:rFonts w:eastAsia="Arial" w:cs="Arial" w:ascii="Arial" w:hAnsi="Arial"/>
          <w:i w:val="false"/>
          <w:iCs w:val="false"/>
          <w:color w:val="auto"/>
          <w:sz w:val="20"/>
          <w:szCs w:val="20"/>
        </w:rPr>
        <w:t>062327604-5, dorav</w:t>
      </w:r>
      <w:r>
        <w:rPr>
          <w:rFonts w:eastAsia="Arial" w:cs="Arial" w:ascii="Arial" w:hAnsi="Arial"/>
          <w:sz w:val="20"/>
          <w:szCs w:val="20"/>
        </w:rPr>
        <w:t xml:space="preserve">ante denominado CONTRATANTE, e o(a) </w:t>
      </w:r>
      <w:r>
        <w:rPr>
          <w:rFonts w:eastAsia="Arial" w:cs="Arial" w:ascii="Arial" w:hAnsi="Arial"/>
          <w:i/>
          <w:iCs/>
          <w:color w:val="FF0000"/>
          <w:sz w:val="20"/>
          <w:szCs w:val="20"/>
        </w:rPr>
        <w:t>[CONTRATADO]</w:t>
      </w:r>
      <w:r>
        <w:rPr>
          <w:rFonts w:eastAsia="Arial" w:cs="Arial" w:ascii="Arial" w:hAnsi="Arial"/>
          <w:color w:val="FF0000"/>
          <w:sz w:val="20"/>
          <w:szCs w:val="20"/>
        </w:rPr>
        <w:t>,</w:t>
      </w:r>
      <w:r>
        <w:rPr>
          <w:rFonts w:eastAsia="Arial" w:cs="Arial" w:ascii="Arial" w:hAnsi="Arial"/>
          <w:sz w:val="20"/>
          <w:szCs w:val="20"/>
        </w:rPr>
        <w:t xml:space="preserve"> </w:t>
      </w:r>
      <w:r>
        <w:rPr>
          <w:rFonts w:ascii="Arial" w:hAnsi="Arial"/>
          <w:sz w:val="20"/>
        </w:rPr>
        <w:t xml:space="preserve">inscrito(a) no CNPJ/MF sob o nº </w:t>
      </w:r>
      <w:r>
        <w:rPr>
          <w:rFonts w:eastAsia="Arial" w:cs="Arial" w:ascii="Arial" w:hAnsi="Arial"/>
          <w:i/>
          <w:iCs/>
          <w:color w:val="FF0000"/>
          <w:sz w:val="20"/>
          <w:szCs w:val="20"/>
        </w:rPr>
        <w:t xml:space="preserve">[CNPJ], </w:t>
      </w:r>
      <w:r>
        <w:rPr>
          <w:rFonts w:ascii="Arial" w:hAnsi="Arial"/>
          <w:sz w:val="20"/>
        </w:rPr>
        <w:t>sediado(a) na</w:t>
      </w:r>
      <w:r>
        <w:rPr>
          <w:rFonts w:eastAsia="Arial" w:cs="Arial" w:ascii="Arial" w:hAnsi="Arial"/>
          <w:sz w:val="20"/>
          <w:szCs w:val="20"/>
        </w:rPr>
        <w:t xml:space="preserve"> </w:t>
      </w:r>
      <w:r>
        <w:rPr>
          <w:rFonts w:eastAsia="Arial" w:cs="Arial" w:ascii="Arial" w:hAnsi="Arial"/>
          <w:i/>
          <w:iCs/>
          <w:color w:val="FF0000"/>
          <w:sz w:val="20"/>
          <w:szCs w:val="20"/>
        </w:rPr>
        <w:t>[endereço]</w:t>
      </w:r>
      <w:r>
        <w:rPr>
          <w:rFonts w:eastAsia="Arial" w:cs="Arial" w:ascii="Arial" w:hAnsi="Arial"/>
          <w:sz w:val="20"/>
          <w:szCs w:val="20"/>
        </w:rPr>
        <w:t xml:space="preserve">, na cidade de </w:t>
      </w:r>
      <w:r>
        <w:rPr>
          <w:rFonts w:eastAsia="Arial" w:cs="Arial" w:ascii="Arial" w:hAnsi="Arial"/>
          <w:i/>
          <w:iCs/>
          <w:color w:val="FF0000"/>
          <w:sz w:val="20"/>
          <w:szCs w:val="20"/>
        </w:rPr>
        <w:t>[cidade]</w:t>
      </w:r>
      <w:r>
        <w:rPr>
          <w:rFonts w:eastAsia="Arial" w:cs="Arial" w:ascii="Arial" w:hAnsi="Arial"/>
          <w:sz w:val="20"/>
          <w:szCs w:val="20"/>
        </w:rPr>
        <w:t>/</w:t>
      </w:r>
      <w:r>
        <w:rPr>
          <w:rFonts w:eastAsia="Arial" w:cs="Arial" w:ascii="Arial" w:hAnsi="Arial"/>
          <w:i/>
          <w:iCs/>
          <w:color w:val="FF0000"/>
          <w:sz w:val="20"/>
          <w:szCs w:val="20"/>
        </w:rPr>
        <w:t>[UF]</w:t>
      </w:r>
      <w:r>
        <w:rPr>
          <w:rFonts w:eastAsia="Arial" w:cs="Arial" w:ascii="Arial" w:hAnsi="Arial"/>
          <w:sz w:val="20"/>
          <w:szCs w:val="20"/>
        </w:rPr>
        <w:t xml:space="preserve">, doravante designado CONTRATADO, </w:t>
      </w:r>
      <w:r>
        <w:rPr>
          <w:rFonts w:ascii="Arial" w:hAnsi="Arial"/>
          <w:sz w:val="20"/>
        </w:rPr>
        <w:t xml:space="preserve">neste ato representado(a) por </w:t>
      </w:r>
      <w:r>
        <w:rPr>
          <w:rFonts w:eastAsia="Arial" w:cs="Arial" w:ascii="Arial" w:hAnsi="Arial"/>
          <w:i/>
          <w:iCs/>
          <w:color w:val="FF0000"/>
          <w:sz w:val="20"/>
          <w:szCs w:val="20"/>
        </w:rPr>
        <w:t>[</w:t>
      </w:r>
      <w:r>
        <w:rPr>
          <w:rFonts w:ascii="Arial" w:hAnsi="Arial"/>
          <w:i/>
          <w:color w:val="FF0000"/>
          <w:sz w:val="20"/>
        </w:rPr>
        <w:t>nome e função no CONTRATADO</w:t>
      </w:r>
      <w:r>
        <w:rPr>
          <w:rFonts w:eastAsia="Arial" w:cs="Arial" w:ascii="Arial" w:hAnsi="Arial"/>
          <w:i/>
          <w:iCs/>
          <w:color w:val="FF0000"/>
          <w:sz w:val="20"/>
          <w:szCs w:val="20"/>
        </w:rPr>
        <w:t>]</w:t>
      </w:r>
      <w:r>
        <w:rPr>
          <w:rFonts w:eastAsia="Arial" w:cs="Arial" w:ascii="Arial" w:hAnsi="Arial"/>
          <w:sz w:val="20"/>
          <w:szCs w:val="20"/>
        </w:rPr>
        <w:t xml:space="preserve">, </w:t>
      </w:r>
      <w:r>
        <w:rPr>
          <w:rFonts w:ascii="Arial" w:hAnsi="Arial"/>
          <w:sz w:val="20"/>
        </w:rPr>
        <w:t>conforme</w:t>
      </w:r>
      <w:r>
        <w:rPr>
          <w:rFonts w:ascii="Arial" w:hAnsi="Arial"/>
          <w:i/>
          <w:sz w:val="20"/>
        </w:rPr>
        <w:t xml:space="preserve"> </w:t>
      </w:r>
      <w:r>
        <w:rPr>
          <w:rFonts w:eastAsia="Arial" w:cs="Arial" w:ascii="Arial" w:hAnsi="Arial"/>
          <w:i/>
          <w:iCs/>
          <w:color w:val="FF0000"/>
          <w:sz w:val="20"/>
          <w:szCs w:val="20"/>
        </w:rPr>
        <w:t xml:space="preserve">[atos constitutivos da empresa] </w:t>
      </w:r>
      <w:r>
        <w:rPr>
          <w:rFonts w:eastAsia="Arial" w:cs="Arial" w:ascii="Arial" w:hAnsi="Arial"/>
          <w:b/>
          <w:bCs/>
          <w:i/>
          <w:iCs/>
          <w:color w:val="FF0000"/>
          <w:sz w:val="20"/>
          <w:szCs w:val="20"/>
        </w:rPr>
        <w:t>OU</w:t>
      </w:r>
      <w:r>
        <w:rPr>
          <w:rFonts w:eastAsia="Arial" w:cs="Arial" w:ascii="Arial" w:hAnsi="Arial"/>
          <w:i/>
          <w:iCs/>
          <w:color w:val="FF0000"/>
          <w:sz w:val="20"/>
          <w:szCs w:val="20"/>
        </w:rPr>
        <w:t xml:space="preserve"> [procuração apresentada nos autos], </w:t>
      </w:r>
      <w:r>
        <w:rPr>
          <w:rFonts w:eastAsia="Arial" w:cs="Arial" w:ascii="Arial" w:hAnsi="Arial"/>
          <w:sz w:val="20"/>
          <w:szCs w:val="20"/>
        </w:rPr>
        <w:t xml:space="preserve">tendo em vista o que consta no Processo nº </w:t>
      </w:r>
      <w:r>
        <w:rPr>
          <w:rFonts w:eastAsia="Arial" w:cs="Arial" w:ascii="Arial" w:hAnsi="Arial"/>
          <w:b w:val="false"/>
          <w:bCs w:val="false"/>
          <w:i w:val="false"/>
          <w:iCs w:val="false"/>
          <w:color w:val="000000"/>
          <w:sz w:val="20"/>
          <w:szCs w:val="20"/>
        </w:rPr>
        <w:t>64197.001972/2026-91</w:t>
      </w:r>
      <w:r>
        <w:rPr>
          <w:rFonts w:eastAsia="Arial" w:cs="Arial" w:ascii="Arial" w:hAnsi="Arial"/>
          <w:color w:val="FF0000"/>
          <w:sz w:val="20"/>
          <w:szCs w:val="20"/>
        </w:rPr>
        <w:t xml:space="preserve"> </w:t>
      </w:r>
      <w:r>
        <w:rPr>
          <w:rFonts w:eastAsia="Arial" w:cs="Arial" w:ascii="Arial" w:hAnsi="Arial"/>
          <w:sz w:val="20"/>
          <w:szCs w:val="20"/>
        </w:rPr>
        <w:t xml:space="preserve">e em observância às disposições da Lei nº 14.133, de 1º de abril de 2021, e demais legislação aplicável, resolvem celebrar o presente Termo de Contrato, decorrente </w:t>
      </w:r>
      <w:r>
        <w:rPr>
          <w:rFonts w:ascii="Arial" w:hAnsi="Arial"/>
          <w:sz w:val="20"/>
        </w:rPr>
        <w:t>d</w:t>
      </w:r>
      <w:r>
        <w:rPr>
          <w:rFonts w:ascii="Arial" w:hAnsi="Arial"/>
          <w:sz w:val="20"/>
        </w:rPr>
        <w:t>o</w:t>
      </w:r>
      <w:r>
        <w:rPr>
          <w:rFonts w:eastAsia="Arial" w:cs="Arial" w:ascii="Arial" w:hAnsi="Arial"/>
          <w:sz w:val="20"/>
          <w:szCs w:val="20"/>
        </w:rPr>
        <w:t xml:space="preserve"> </w:t>
      </w:r>
      <w:r>
        <w:rPr>
          <w:rFonts w:eastAsia="Arial" w:cs="Arial" w:ascii="Arial" w:hAnsi="Arial"/>
          <w:sz w:val="20"/>
          <w:szCs w:val="20"/>
        </w:rPr>
        <w:t>Pregão</w:t>
      </w:r>
      <w:r>
        <w:rPr>
          <w:rFonts w:eastAsia="Arial" w:cs="Arial" w:ascii="Arial" w:hAnsi="Arial"/>
          <w:sz w:val="20"/>
          <w:szCs w:val="20"/>
        </w:rPr>
        <w:t xml:space="preserve"> Eletrônic</w:t>
      </w:r>
      <w:r>
        <w:rPr>
          <w:rFonts w:eastAsia="Arial" w:cs="Arial" w:ascii="Arial" w:hAnsi="Arial"/>
          <w:sz w:val="20"/>
          <w:szCs w:val="20"/>
        </w:rPr>
        <w:t>o</w:t>
      </w:r>
      <w:r>
        <w:rPr>
          <w:rFonts w:eastAsia="Arial" w:cs="Arial" w:ascii="Arial" w:hAnsi="Arial"/>
          <w:i/>
          <w:iCs/>
          <w:color w:val="FF0000"/>
          <w:sz w:val="20"/>
          <w:szCs w:val="20"/>
        </w:rPr>
        <w:t xml:space="preserve"> </w:t>
      </w:r>
      <w:r>
        <w:rPr>
          <w:rFonts w:eastAsia="Arial" w:cs="Arial" w:ascii="Arial" w:hAnsi="Arial"/>
          <w:sz w:val="20"/>
          <w:szCs w:val="20"/>
        </w:rPr>
        <w:t xml:space="preserve">nº </w:t>
      </w:r>
      <w:r>
        <w:rPr>
          <w:rFonts w:eastAsia="Arial" w:cs="Arial" w:ascii="Arial" w:hAnsi="Arial"/>
          <w:sz w:val="20"/>
          <w:szCs w:val="20"/>
        </w:rPr>
        <w:t>78</w:t>
      </w:r>
      <w:r>
        <w:rPr>
          <w:rFonts w:eastAsia="Arial" w:cs="Arial" w:ascii="Arial" w:hAnsi="Arial"/>
          <w:sz w:val="20"/>
          <w:szCs w:val="20"/>
        </w:rPr>
        <w:t>/2026, mediante as cláusulas e condições a seguir enunciadas.</w:t>
      </w:r>
      <w:r>
        <w:rPr/>
        <w:commentReference w:id="1"/>
      </w:r>
      <w:r>
        <w:rPr/>
        <w:commentReference w:id="2"/>
      </w:r>
    </w:p>
    <w:p>
      <w:pPr>
        <w:pStyle w:val="Nivel01"/>
        <w:numPr>
          <w:ilvl w:val="0"/>
          <w:numId w:val="9"/>
        </w:numPr>
        <w:rPr>
          <w:color w:themeColor="background1" w:val="FFFFFF"/>
        </w:rPr>
      </w:pPr>
      <w:r>
        <w:rPr/>
        <w:t>CLÁUSULA PRIMEIRA – OBJETO</w:t>
      </w:r>
    </w:p>
    <w:p>
      <w:pPr>
        <w:pStyle w:val="Nivel2"/>
        <w:numPr>
          <w:ilvl w:val="1"/>
          <w:numId w:val="6"/>
        </w:numPr>
        <w:ind w:hanging="0" w:start="0"/>
        <w:rPr>
          <w:b w:val="false"/>
          <w:bCs w:val="false"/>
          <w:i w:val="false"/>
          <w:iCs w:val="false"/>
          <w:color w:val="auto"/>
        </w:rPr>
      </w:pPr>
      <w:r>
        <w:rPr>
          <w:rFonts w:eastAsia="Times New Roman" w:cs="Arial"/>
          <w:b w:val="false"/>
          <w:bCs w:val="false"/>
          <w:i w:val="false"/>
          <w:iCs w:val="false"/>
          <w:color w:val="auto"/>
          <w:sz w:val="20"/>
          <w:szCs w:val="20"/>
        </w:rPr>
        <w:t xml:space="preserve">O objeto do presente instrumento é a </w:t>
      </w:r>
      <w:r>
        <w:rPr>
          <w:rFonts w:eastAsia="Times New Roman" w:cs="Arial"/>
          <w:b w:val="false"/>
          <w:bCs w:val="false"/>
          <w:i w:val="false"/>
          <w:iCs w:val="false"/>
          <w:color w:val="auto"/>
          <w:sz w:val="20"/>
          <w:szCs w:val="20"/>
        </w:rPr>
        <w:t>c</w:t>
      </w:r>
      <w:r>
        <w:rPr>
          <w:rFonts w:eastAsia="Times New Roman" w:cs="Arial"/>
          <w:b w:val="false"/>
          <w:bCs w:val="false"/>
          <w:i w:val="false"/>
          <w:iCs w:val="false"/>
          <w:color w:val="auto"/>
          <w:sz w:val="20"/>
          <w:szCs w:val="20"/>
        </w:rPr>
        <w:t xml:space="preserve">ontratação de serviços de empresa especializada </w:t>
      </w:r>
      <w:r>
        <w:rPr>
          <w:rFonts w:eastAsia="Times New Roman" w:cs="Arial"/>
          <w:b w:val="false"/>
          <w:bCs w:val="false"/>
          <w:i w:val="false"/>
          <w:iCs w:val="false"/>
          <w:color w:val="auto"/>
          <w:sz w:val="20"/>
          <w:szCs w:val="20"/>
        </w:rPr>
        <w:t xml:space="preserve">na </w:t>
      </w:r>
      <w:r>
        <w:rPr>
          <w:rFonts w:eastAsia="Times New Roman" w:cs="Arial"/>
          <w:b w:val="false"/>
          <w:bCs w:val="false"/>
          <w:i w:val="false"/>
          <w:iCs w:val="false"/>
          <w:color w:val="auto"/>
          <w:sz w:val="20"/>
          <w:szCs w:val="20"/>
        </w:rPr>
        <w:t>fabricação/manutenção/instalação em portões de áreas sensíveis (Paiol), nas condições estabelecidas no Termo de Referência.</w:t>
      </w:r>
    </w:p>
    <w:p>
      <w:pPr>
        <w:pStyle w:val="Nivel2"/>
        <w:numPr>
          <w:ilvl w:val="1"/>
          <w:numId w:val="3"/>
        </w:numPr>
        <w:ind w:hanging="0" w:start="0"/>
        <w:rPr/>
      </w:pPr>
      <w:r>
        <w:rPr/>
        <w:t>Objeto da contratação:</w:t>
      </w:r>
    </w:p>
    <w:tbl>
      <w:tblPr>
        <w:tblW w:w="9498" w:type="dxa"/>
        <w:jc w:val="start"/>
        <w:tblInd w:w="-5" w:type="dxa"/>
        <w:tblLayout w:type="fixed"/>
        <w:tblCellMar>
          <w:top w:w="0" w:type="dxa"/>
          <w:start w:w="108" w:type="dxa"/>
          <w:bottom w:w="0" w:type="dxa"/>
          <w:end w:w="108" w:type="dxa"/>
        </w:tblCellMar>
        <w:tblLook w:val="04a0" w:firstRow="1" w:noVBand="1" w:lastRow="0" w:firstColumn="1" w:lastColumn="0" w:noHBand="0"/>
      </w:tblPr>
      <w:tblGrid>
        <w:gridCol w:w="704"/>
        <w:gridCol w:w="2686"/>
        <w:gridCol w:w="1148"/>
        <w:gridCol w:w="1134"/>
        <w:gridCol w:w="1555"/>
        <w:gridCol w:w="1282"/>
        <w:gridCol w:w="989"/>
      </w:tblGrid>
      <w:tr>
        <w:trPr/>
        <w:tc>
          <w:tcPr>
            <w:tcW w:w="70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b/>
                <w:bCs/>
                <w:color w:val="000000"/>
                <w:sz w:val="20"/>
                <w:szCs w:val="20"/>
              </w:rPr>
            </w:pPr>
            <w:r>
              <w:rPr>
                <w:rFonts w:eastAsia="Arial" w:cs="Arial" w:ascii="Arial" w:hAnsi="Arial"/>
                <w:b/>
                <w:bCs/>
                <w:color w:themeColor="text1" w:val="000000"/>
                <w:sz w:val="20"/>
                <w:szCs w:val="20"/>
              </w:rPr>
              <w:t>ITEM</w:t>
            </w:r>
          </w:p>
        </w:tc>
        <w:tc>
          <w:tcPr>
            <w:tcW w:w="2686"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ESPECIFICAÇÃO</w:t>
            </w:r>
          </w:p>
        </w:tc>
        <w:tc>
          <w:tcPr>
            <w:tcW w:w="114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CATSER</w:t>
            </w:r>
          </w:p>
        </w:tc>
        <w:tc>
          <w:tcPr>
            <w:tcW w:w="113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b/>
                <w:bCs/>
                <w:color w:themeColor="text1" w:val="000000"/>
                <w:sz w:val="20"/>
                <w:szCs w:val="20"/>
              </w:rPr>
              <w:t>UNIDADE DE MEDIDA</w:t>
            </w:r>
          </w:p>
        </w:tc>
        <w:tc>
          <w:tcPr>
            <w:tcW w:w="155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b/>
                <w:bCs/>
                <w:sz w:val="20"/>
                <w:szCs w:val="20"/>
              </w:rPr>
            </w:pPr>
            <w:r>
              <w:rPr>
                <w:rFonts w:eastAsia="Arial" w:cs="Arial" w:ascii="Arial" w:hAnsi="Arial"/>
                <w:b/>
                <w:bCs/>
                <w:sz w:val="20"/>
                <w:szCs w:val="20"/>
              </w:rPr>
              <w:t>QUANTIDADE</w:t>
            </w:r>
          </w:p>
        </w:tc>
        <w:tc>
          <w:tcPr>
            <w:tcW w:w="128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b/>
                <w:bCs/>
                <w:sz w:val="20"/>
                <w:szCs w:val="20"/>
              </w:rPr>
            </w:pPr>
            <w:r>
              <w:rPr>
                <w:rFonts w:eastAsia="Arial" w:cs="Arial" w:ascii="Arial" w:hAnsi="Arial"/>
                <w:b/>
                <w:bCs/>
                <w:sz w:val="20"/>
                <w:szCs w:val="20"/>
              </w:rPr>
              <w:t>VALOR UNITÁRIO</w:t>
            </w:r>
          </w:p>
        </w:tc>
        <w:tc>
          <w:tcPr>
            <w:tcW w:w="989"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b/>
                <w:bCs/>
                <w:sz w:val="20"/>
                <w:szCs w:val="20"/>
              </w:rPr>
            </w:pPr>
            <w:r>
              <w:rPr>
                <w:rFonts w:eastAsia="Arial" w:cs="Arial" w:ascii="Arial" w:hAnsi="Arial"/>
                <w:b/>
                <w:bCs/>
                <w:sz w:val="20"/>
                <w:szCs w:val="20"/>
              </w:rPr>
              <w:t>VALOR TOTAL</w:t>
            </w:r>
          </w:p>
        </w:tc>
      </w:tr>
      <w:tr>
        <w:trPr/>
        <w:tc>
          <w:tcPr>
            <w:tcW w:w="70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pPr>
            <w:r>
              <w:rPr>
                <w:rFonts w:eastAsia="Arial" w:cs="Arial" w:ascii="Arial" w:hAnsi="Arial"/>
                <w:b/>
                <w:bCs/>
                <w:color w:themeColor="text1" w:val="000000"/>
                <w:sz w:val="20"/>
                <w:szCs w:val="20"/>
              </w:rPr>
              <w:t>1</w:t>
            </w:r>
          </w:p>
        </w:tc>
        <w:tc>
          <w:tcPr>
            <w:tcW w:w="2686" w:type="dxa"/>
            <w:tcBorders>
              <w:top w:val="single" w:sz="4" w:space="0" w:color="000000"/>
              <w:start w:val="single" w:sz="4" w:space="0" w:color="000000"/>
              <w:bottom w:val="single" w:sz="4" w:space="0" w:color="000000"/>
              <w:end w:val="single" w:sz="4" w:space="0" w:color="000000"/>
            </w:tcBorders>
            <w:vAlign w:val="center"/>
          </w:tcPr>
          <w:p>
            <w:pPr>
              <w:pStyle w:val="Nivel2"/>
              <w:numPr>
                <w:ilvl w:val="0"/>
                <w:numId w:val="0"/>
              </w:numPr>
              <w:spacing w:before="120" w:after="120"/>
              <w:ind w:hanging="0" w:start="0"/>
              <w:jc w:val="both"/>
              <w:rPr/>
            </w:pPr>
            <w:r>
              <w:rPr/>
              <w:t>Contratação de empresa especializada para  fabricação, fornecimento e  instalação de 26 (vinte e  seis) portões metálicos de  correr, medindo 90 x 245  cm, estruturados com  chapas externas de 3 mm e  preenchimento com barras  de 1 polegada e meia,  dotados de pintura  anticorrosiva na cor cinza, e  a revitalização de 26 (vinte  e seis) portões internos,  compreendendo  manutenção dos trilhos,  rodas, rolamentos e pintura  anticorrosiva.</w:t>
            </w:r>
          </w:p>
        </w:tc>
        <w:tc>
          <w:tcPr>
            <w:tcW w:w="1148"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12750</w:t>
            </w:r>
          </w:p>
        </w:tc>
        <w:tc>
          <w:tcPr>
            <w:tcW w:w="1134"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SERVIÇO</w:t>
            </w:r>
          </w:p>
        </w:tc>
        <w:tc>
          <w:tcPr>
            <w:tcW w:w="1555"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t>01</w:t>
            </w:r>
          </w:p>
        </w:tc>
        <w:tc>
          <w:tcPr>
            <w:tcW w:w="1282"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r>
          </w:p>
        </w:tc>
        <w:tc>
          <w:tcPr>
            <w:tcW w:w="989" w:type="dxa"/>
            <w:tcBorders>
              <w:top w:val="single" w:sz="4" w:space="0" w:color="000000"/>
              <w:start w:val="single" w:sz="4" w:space="0" w:color="000000"/>
              <w:bottom w:val="single" w:sz="4" w:space="0" w:color="000000"/>
              <w:end w:val="single" w:sz="4" w:space="0" w:color="000000"/>
            </w:tcBorders>
            <w:vAlign w:val="center"/>
          </w:tcPr>
          <w:p>
            <w:pPr>
              <w:pStyle w:val="Normal"/>
              <w:widowControl w:val="false"/>
              <w:spacing w:lineRule="auto" w:line="312" w:before="120" w:after="288"/>
              <w:jc w:val="center"/>
              <w:rPr>
                <w:rFonts w:ascii="Arial" w:hAnsi="Arial" w:eastAsia="Arial" w:cs="Arial"/>
                <w:color w:val="000000"/>
                <w:sz w:val="20"/>
                <w:szCs w:val="20"/>
              </w:rPr>
            </w:pPr>
            <w:r>
              <w:rPr>
                <w:rFonts w:eastAsia="Arial" w:cs="Arial" w:ascii="Arial" w:hAnsi="Arial"/>
                <w:color w:val="000000"/>
                <w:sz w:val="20"/>
                <w:szCs w:val="20"/>
              </w:rPr>
            </w:r>
          </w:p>
        </w:tc>
      </w:tr>
    </w:tbl>
    <w:p>
      <w:pPr>
        <w:pStyle w:val="Nivel2"/>
        <w:numPr>
          <w:ilvl w:val="1"/>
          <w:numId w:val="3"/>
        </w:numPr>
        <w:ind w:hanging="0" w:start="0"/>
        <w:rPr/>
      </w:pPr>
      <w:r>
        <w:rPr/>
        <w:t>Vinculam esta contratação, independentemente de transcrição:</w:t>
      </w:r>
    </w:p>
    <w:p>
      <w:pPr>
        <w:pStyle w:val="Nivel3"/>
        <w:numPr>
          <w:ilvl w:val="2"/>
          <w:numId w:val="3"/>
        </w:numPr>
        <w:ind w:hanging="0" w:start="284"/>
        <w:rPr/>
      </w:pPr>
      <w:r>
        <w:rPr/>
        <w:t>O Termo de Referência;</w:t>
      </w:r>
    </w:p>
    <w:p>
      <w:pPr>
        <w:pStyle w:val="Nvel3-R"/>
        <w:numPr>
          <w:ilvl w:val="2"/>
          <w:numId w:val="3"/>
        </w:numPr>
        <w:ind w:hanging="0" w:start="284"/>
        <w:rPr>
          <w:i w:val="false"/>
          <w:iCs w:val="false"/>
        </w:rPr>
      </w:pPr>
      <w:r>
        <w:rPr>
          <w:i w:val="false"/>
          <w:iCs w:val="false"/>
          <w:color w:val="000000"/>
          <w:shd w:fill="auto" w:val="clear"/>
        </w:rPr>
        <w:t>O Edital da Licitação;</w:t>
      </w:r>
    </w:p>
    <w:p>
      <w:pPr>
        <w:pStyle w:val="Nivel3"/>
        <w:numPr>
          <w:ilvl w:val="2"/>
          <w:numId w:val="3"/>
        </w:numPr>
        <w:ind w:hanging="0" w:start="284"/>
        <w:rPr/>
      </w:pPr>
      <w:r>
        <w:rPr/>
        <w:t>A Proposta do CONTRATADO;</w:t>
      </w:r>
    </w:p>
    <w:p>
      <w:pPr>
        <w:pStyle w:val="Nivel3"/>
        <w:numPr>
          <w:ilvl w:val="2"/>
          <w:numId w:val="3"/>
        </w:numPr>
        <w:ind w:hanging="0" w:start="284"/>
        <w:rPr/>
      </w:pPr>
      <w:r>
        <w:rPr/>
        <w:t>Eventuais anexos dos documentos supracitados.</w:t>
      </w:r>
    </w:p>
    <w:p>
      <w:pPr>
        <w:pStyle w:val="Nivel2"/>
        <w:numPr>
          <w:ilvl w:val="1"/>
          <w:numId w:val="3"/>
        </w:numPr>
        <w:ind w:hanging="0" w:start="0"/>
        <w:rPr/>
      </w:pPr>
      <w:r>
        <w:rPr>
          <w:i w:val="false"/>
          <w:iCs w:val="false"/>
          <w:color w:val="auto"/>
        </w:rPr>
        <w:t>O regime de execução é o de empreitada por preço unitário</w:t>
      </w:r>
      <w:r>
        <w:rPr/>
        <w:t>.</w:t>
      </w:r>
      <w:r>
        <w:rPr/>
        <w:commentReference w:id="3"/>
      </w:r>
      <w:r>
        <w:rPr/>
        <w:commentReference w:id="4"/>
      </w:r>
    </w:p>
    <w:p>
      <w:pPr>
        <w:pStyle w:val="Nivel01"/>
        <w:numPr>
          <w:ilvl w:val="0"/>
          <w:numId w:val="3"/>
        </w:numPr>
        <w:ind w:hanging="360" w:start="0"/>
        <w:rPr>
          <w:color w:themeColor="background1" w:val="FFFFFF"/>
        </w:rPr>
      </w:pPr>
      <w:r>
        <w:rPr/>
        <w:t xml:space="preserve">CLÁUSULA SEGUNDA – VIGÊNCIA E </w:t>
      </w:r>
      <w:commentRangeStart w:id="5"/>
      <w:r>
        <w:rPr/>
        <w:t>PRORROGAÇÃO</w:t>
      </w:r>
      <w:commentRangeEnd w:id="5"/>
      <w:r>
        <w:commentReference w:id="5"/>
      </w:r>
      <w:r>
        <w:rPr/>
      </w:r>
    </w:p>
    <w:p>
      <w:pPr>
        <w:pStyle w:val="Nvel2-Red"/>
        <w:numPr>
          <w:ilvl w:val="1"/>
          <w:numId w:val="3"/>
        </w:numPr>
        <w:ind w:hanging="0" w:start="0"/>
        <w:rPr>
          <w:i w:val="false"/>
          <w:iCs w:val="false"/>
          <w:color w:val="auto"/>
        </w:rPr>
      </w:pPr>
      <w:r>
        <w:rPr>
          <w:i w:val="false"/>
          <w:iCs w:val="false"/>
          <w:color w:val="auto"/>
        </w:rPr>
        <w:t>O prazo de vigência da contratação é de</w:t>
      </w:r>
      <w:r>
        <w:rPr>
          <w:b w:val="false"/>
          <w:i w:val="false"/>
          <w:iCs w:val="false"/>
          <w:caps w:val="false"/>
          <w:smallCaps w:val="false"/>
          <w:color w:val="auto"/>
          <w:spacing w:val="0"/>
        </w:rPr>
        <w:t xml:space="preserve"> </w:t>
      </w:r>
      <w:r>
        <w:rPr>
          <w:b w:val="false"/>
          <w:i w:val="false"/>
          <w:iCs w:val="false"/>
          <w:caps w:val="false"/>
          <w:smallCaps w:val="false"/>
          <w:color w:val="auto"/>
          <w:spacing w:val="0"/>
        </w:rPr>
        <w:t>70 (setenta)</w:t>
      </w:r>
      <w:r>
        <w:rPr>
          <w:b w:val="false"/>
          <w:i w:val="false"/>
          <w:iCs w:val="false"/>
          <w:caps w:val="false"/>
          <w:smallCaps w:val="false"/>
          <w:color w:val="auto"/>
          <w:spacing w:val="0"/>
        </w:rPr>
        <w:t xml:space="preserve"> dias contados da data de assinatura do Termo de Contrato, na forma do artigo 105da Lei n° 14.133, de 2021.</w:t>
      </w:r>
      <w:r>
        <w:rPr>
          <w:i w:val="false"/>
          <w:iCs w:val="false"/>
          <w:color w:val="auto"/>
        </w:rPr>
        <w:t xml:space="preserve"> </w:t>
      </w:r>
    </w:p>
    <w:p>
      <w:pPr>
        <w:pStyle w:val="Nvel2-Red"/>
        <w:numPr>
          <w:ilvl w:val="1"/>
          <w:numId w:val="3"/>
        </w:numPr>
        <w:ind w:hanging="0" w:start="0"/>
        <w:rPr/>
      </w:pPr>
      <w:r>
        <w:rPr>
          <w:i w:val="false"/>
          <w:iCs w:val="false"/>
          <w:color w:val="auto"/>
        </w:rPr>
        <w:t>O prazo de vigência será automaticamente prorrogado, independentemente de termo aditivo, quando o objeto não for concluído no período firmado acima, ressalvadas as providências cabíveis no caso de culpa do CONTRATADO, previstas neste instrumento.</w:t>
      </w:r>
      <w:r>
        <w:rPr/>
        <w:commentReference w:id="6"/>
      </w:r>
      <w:r>
        <w:rPr/>
        <w:commentReference w:id="7"/>
      </w:r>
      <w:bookmarkStart w:id="0" w:name="_Hlk191044510"/>
    </w:p>
    <w:p>
      <w:pPr>
        <w:pStyle w:val="Nivel01"/>
        <w:numPr>
          <w:ilvl w:val="0"/>
          <w:numId w:val="3"/>
        </w:numPr>
        <w:ind w:hanging="360" w:start="0"/>
        <w:rPr>
          <w:color w:themeColor="background1" w:val="FFFFFF"/>
        </w:rPr>
      </w:pPr>
      <w:bookmarkStart w:id="1" w:name="_Hlk114497502"/>
      <w:bookmarkStart w:id="2" w:name="_Hlk114497577"/>
      <w:bookmarkEnd w:id="0"/>
      <w:bookmarkEnd w:id="1"/>
      <w:bookmarkEnd w:id="2"/>
      <w:r>
        <w:rPr/>
        <w:t>CLÁUSULA TERCEIRA – MODELOS DE EXECUÇÃO E GESTÃO CONTRATUAIS</w:t>
      </w:r>
    </w:p>
    <w:p>
      <w:pPr>
        <w:pStyle w:val="Nivel2"/>
        <w:numPr>
          <w:ilvl w:val="1"/>
          <w:numId w:val="3"/>
        </w:numPr>
        <w:ind w:hanging="0" w:start="0"/>
        <w:rPr/>
      </w:pPr>
      <w:r>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3"/>
        </w:numPr>
        <w:ind w:hanging="360" w:start="0"/>
        <w:rPr>
          <w:color w:themeColor="background1" w:val="FFFFFF"/>
        </w:rPr>
      </w:pPr>
      <w:r>
        <w:rPr/>
        <w:t>CLÁUSULA QUARTA – SUBCONTRATAÇÃO</w:t>
      </w:r>
    </w:p>
    <w:p>
      <w:pPr>
        <w:pStyle w:val="Nivel2"/>
        <w:numPr>
          <w:ilvl w:val="1"/>
          <w:numId w:val="3"/>
        </w:numPr>
        <w:ind w:hanging="0" w:start="0"/>
        <w:rPr/>
      </w:pPr>
      <w:bookmarkStart w:id="3" w:name="_Hlk182220156"/>
      <w:r>
        <w:rPr/>
        <w:t>As regras sobre a subcontratação do objeto são aquelas estabelecidas no Termo de Referência, anexo a este Contrato</w:t>
      </w:r>
      <w:bookmarkEnd w:id="3"/>
      <w:r>
        <w:rPr/>
        <w:t>.</w:t>
      </w:r>
    </w:p>
    <w:p>
      <w:pPr>
        <w:pStyle w:val="Nivel01"/>
        <w:numPr>
          <w:ilvl w:val="0"/>
          <w:numId w:val="3"/>
        </w:numPr>
        <w:ind w:hanging="360" w:start="0"/>
        <w:rPr>
          <w:color w:themeColor="background1" w:val="FFFFFF"/>
        </w:rPr>
      </w:pPr>
      <w:r>
        <w:rPr/>
        <w:t>CLÁUSULA QUINTA – PREÇO</w:t>
      </w:r>
    </w:p>
    <w:p>
      <w:pPr>
        <w:pStyle w:val="Nvel2-Red"/>
        <w:numPr>
          <w:ilvl w:val="1"/>
          <w:numId w:val="3"/>
        </w:numPr>
        <w:ind w:hanging="0" w:start="0"/>
        <w:rPr>
          <w:b w:val="false"/>
          <w:bCs w:val="false"/>
          <w:i w:val="false"/>
          <w:iCs w:val="false"/>
          <w:color w:val="auto"/>
        </w:rPr>
      </w:pPr>
      <w:r>
        <w:rPr>
          <w:i w:val="false"/>
          <w:iCs w:val="false"/>
          <w:color w:val="auto"/>
        </w:rPr>
        <w:t xml:space="preserve">O valor total da contratação é de </w:t>
      </w:r>
      <w:r>
        <w:rPr>
          <w:b/>
          <w:bCs/>
          <w:i w:val="false"/>
          <w:iCs w:val="false"/>
          <w:color w:val="FF0000"/>
        </w:rPr>
        <w:t xml:space="preserve">R$ </w:t>
      </w:r>
      <w:r>
        <w:rPr>
          <w:b/>
          <w:bCs/>
          <w:i w:val="false"/>
          <w:iCs w:val="false"/>
          <w:color w:val="FF0000"/>
        </w:rPr>
        <w:t>130.000,00 (cento e trinta mil reais</w:t>
      </w:r>
      <w:r>
        <w:rPr>
          <w:b/>
          <w:bCs/>
          <w:i w:val="false"/>
          <w:iCs w:val="false"/>
          <w:color w:val="FF0000"/>
          <w:lang w:eastAsia="en-US"/>
        </w:rPr>
        <w:t>)</w:t>
      </w:r>
      <w:r>
        <w:rPr>
          <w:b w:val="false"/>
          <w:bCs w:val="false"/>
          <w:i w:val="false"/>
          <w:iCs w:val="false"/>
          <w:color w:val="FF0000"/>
          <w:lang w:eastAsia="en-US"/>
        </w:rPr>
        <w:t>.</w:t>
      </w:r>
    </w:p>
    <w:p>
      <w:pPr>
        <w:pStyle w:val="Nivel2"/>
        <w:numPr>
          <w:ilvl w:val="1"/>
          <w:numId w:val="3"/>
        </w:numPr>
        <w:ind w:hanging="0" w:start="0"/>
        <w:rPr>
          <w:i w:val="false"/>
          <w:iCs w:val="false"/>
          <w:color w:val="auto"/>
        </w:rPr>
      </w:pPr>
      <w:r>
        <w:rPr>
          <w:i w:val="false"/>
          <w:iCs w:val="false"/>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3"/>
        </w:numPr>
        <w:ind w:hanging="0" w:start="0"/>
        <w:rPr>
          <w:i w:val="false"/>
          <w:iCs w:val="false"/>
          <w:color w:val="auto"/>
        </w:rPr>
      </w:pPr>
      <w:commentRangeStart w:id="8"/>
      <w:r>
        <w:rPr>
          <w:i w:val="false"/>
          <w:iCs w:val="false"/>
          <w:color w:val="auto"/>
        </w:rPr>
        <w:t>O valor acima é meramente estimativo, de forma que os pagamentos devidos ao CONTRATADO dependerão dos quantitativos efetivamente fornecidos.</w:t>
      </w:r>
      <w:commentRangeEnd w:id="8"/>
      <w:r>
        <w:commentReference w:id="8"/>
      </w:r>
      <w:r>
        <w:rPr>
          <w:i w:val="false"/>
          <w:iCs w:val="false"/>
          <w:color w:val="auto"/>
        </w:rPr>
      </w:r>
    </w:p>
    <w:p>
      <w:pPr>
        <w:pStyle w:val="Nivel01"/>
        <w:numPr>
          <w:ilvl w:val="0"/>
          <w:numId w:val="3"/>
        </w:numPr>
        <w:ind w:hanging="360" w:start="0"/>
        <w:rPr>
          <w:color w:themeColor="background1" w:val="FFFFFF"/>
        </w:rPr>
      </w:pPr>
      <w:r>
        <w:rPr/>
        <w:t>CLÁUSULA SEXTA - PAGAMENTO</w:t>
      </w:r>
    </w:p>
    <w:p>
      <w:pPr>
        <w:pStyle w:val="Nivel2"/>
        <w:numPr>
          <w:ilvl w:val="1"/>
          <w:numId w:val="3"/>
        </w:numPr>
        <w:ind w:hanging="0" w:start="0"/>
        <w:rPr/>
      </w:pPr>
      <w:r>
        <w:rPr/>
        <w:t xml:space="preserve">O prazo para pagamento </w:t>
      </w:r>
      <w:r>
        <w:rPr>
          <w:color w:val="auto"/>
          <w:lang w:eastAsia="en-US"/>
        </w:rPr>
        <w:t>ao CONTRATADO</w:t>
      </w:r>
      <w:r>
        <w:rPr/>
        <w:t xml:space="preserve"> e demais condições a ele referentes encontram-se definidos no Termo de Referência, anexo a este Contrato.</w:t>
      </w:r>
    </w:p>
    <w:p>
      <w:pPr>
        <w:pStyle w:val="Nivel01"/>
        <w:numPr>
          <w:ilvl w:val="0"/>
          <w:numId w:val="3"/>
        </w:numPr>
        <w:ind w:hanging="360" w:start="0"/>
        <w:rPr>
          <w:color w:themeColor="background1" w:val="FFFFFF"/>
        </w:rPr>
      </w:pPr>
      <w:r>
        <w:rPr/>
        <w:t>CLÁUSULA SÉTIMA - REAJUSTE</w:t>
      </w:r>
    </w:p>
    <w:p>
      <w:pPr>
        <w:pStyle w:val="Nivel2"/>
        <w:numPr>
          <w:ilvl w:val="1"/>
          <w:numId w:val="3"/>
        </w:numPr>
        <w:ind w:hanging="0" w:start="0"/>
        <w:rPr/>
      </w:pPr>
      <w:r>
        <w:rPr/>
        <w:t>As regras acerca do reajuste do valor contratual são aquelas definidas no Termo de Referência, anexo a este Contrato.</w:t>
      </w:r>
    </w:p>
    <w:p>
      <w:pPr>
        <w:pStyle w:val="Nivel01"/>
        <w:numPr>
          <w:ilvl w:val="0"/>
          <w:numId w:val="3"/>
        </w:numPr>
        <w:ind w:hanging="360" w:start="0"/>
        <w:rPr>
          <w:color w:themeColor="background1" w:val="FFFFFF"/>
        </w:rPr>
      </w:pPr>
      <w:r>
        <w:rPr/>
        <w:t>CLÁUSULA OITAVA - OBRIGAÇÕES DO CONTRATANTE</w:t>
      </w:r>
    </w:p>
    <w:p>
      <w:pPr>
        <w:pStyle w:val="Nivel2"/>
        <w:numPr>
          <w:ilvl w:val="1"/>
          <w:numId w:val="3"/>
        </w:numPr>
        <w:ind w:hanging="0" w:start="0"/>
        <w:rPr>
          <w:bCs/>
        </w:rPr>
      </w:pPr>
      <w:r>
        <w:rPr/>
        <w:t>São obrigações do CONTRATANTE:</w:t>
      </w:r>
    </w:p>
    <w:p>
      <w:pPr>
        <w:pStyle w:val="Nivel3"/>
        <w:numPr>
          <w:ilvl w:val="2"/>
          <w:numId w:val="3"/>
        </w:numPr>
        <w:ind w:hanging="0" w:start="284"/>
        <w:rPr/>
      </w:pPr>
      <w:r>
        <w:rPr/>
        <w:t>Exigir o cumprimento de todas as obrigações assumidas pelo CONTRATADO, de acordo com o contrato e seus anexos;</w:t>
      </w:r>
    </w:p>
    <w:p>
      <w:pPr>
        <w:pStyle w:val="Nivel3"/>
        <w:numPr>
          <w:ilvl w:val="2"/>
          <w:numId w:val="3"/>
        </w:numPr>
        <w:ind w:hanging="0" w:start="284"/>
        <w:rPr/>
      </w:pPr>
      <w:r>
        <w:rPr/>
        <w:t>Receber o objeto no prazo e condições estabelecidas no Termo de Referência;</w:t>
      </w:r>
    </w:p>
    <w:p>
      <w:pPr>
        <w:pStyle w:val="Nivel3"/>
        <w:numPr>
          <w:ilvl w:val="2"/>
          <w:numId w:val="3"/>
        </w:numPr>
        <w:ind w:hanging="0" w:start="284"/>
        <w:rPr>
          <w:color w:val="auto"/>
        </w:rPr>
      </w:pPr>
      <w:r>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pPr>
        <w:pStyle w:val="Nivel3"/>
        <w:numPr>
          <w:ilvl w:val="2"/>
          <w:numId w:val="3"/>
        </w:numPr>
        <w:ind w:hanging="0" w:start="284"/>
        <w:rPr/>
      </w:pPr>
      <w:r>
        <w:rPr/>
        <w:t>Acompanhar e fiscalizar a execução do contrato e o cumprimento das obrigações pelo CONTRATADO;</w:t>
      </w:r>
    </w:p>
    <w:p>
      <w:pPr>
        <w:pStyle w:val="Nivel3"/>
        <w:numPr>
          <w:ilvl w:val="2"/>
          <w:numId w:val="3"/>
        </w:numPr>
        <w:ind w:hanging="0" w:start="284"/>
        <w:rPr/>
      </w:pPr>
      <w:r>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pPr>
        <w:pStyle w:val="Nivel3"/>
        <w:numPr>
          <w:ilvl w:val="2"/>
          <w:numId w:val="3"/>
        </w:numPr>
        <w:ind w:hanging="0" w:start="284"/>
        <w:rPr/>
      </w:pPr>
      <w:r>
        <w:rPr/>
        <w:t>Efetuar o pagamento ao CONTRATADO do valor correspondente à execução do objeto, no prazo, forma e condições estabelecidos no presente Contrato e no Termo de Referência;</w:t>
      </w:r>
    </w:p>
    <w:p>
      <w:pPr>
        <w:pStyle w:val="Nivel3"/>
        <w:numPr>
          <w:ilvl w:val="2"/>
          <w:numId w:val="3"/>
        </w:numPr>
        <w:ind w:hanging="0" w:start="284"/>
        <w:rPr/>
      </w:pPr>
      <w:r>
        <w:rPr/>
        <w:t>Aplicar ao CONTRATADO as sanções previstas na lei e neste Contrato;</w:t>
      </w:r>
    </w:p>
    <w:p>
      <w:pPr>
        <w:pStyle w:val="Nivel3"/>
        <w:numPr>
          <w:ilvl w:val="2"/>
          <w:numId w:val="3"/>
        </w:numPr>
        <w:ind w:hanging="0" w:start="284"/>
        <w:rPr/>
      </w:pPr>
      <w:r>
        <w:rPr/>
        <w:t>Não praticar atos de ingerência na administração do CONTRATADO, tais como:</w:t>
      </w:r>
    </w:p>
    <w:p>
      <w:pPr>
        <w:pStyle w:val="Nivel4"/>
        <w:numPr>
          <w:ilvl w:val="3"/>
          <w:numId w:val="3"/>
        </w:numPr>
        <w:ind w:hanging="0" w:start="567"/>
        <w:rPr/>
      </w:pPr>
      <w:r>
        <w:rPr/>
        <w:t>indicar pessoas expressamente nominadas para executar direta ou indiretamente o objeto CONTRATADO;</w:t>
      </w:r>
    </w:p>
    <w:p>
      <w:pPr>
        <w:pStyle w:val="Nivel4"/>
        <w:numPr>
          <w:ilvl w:val="3"/>
          <w:numId w:val="3"/>
        </w:numPr>
        <w:ind w:hanging="0" w:start="567"/>
        <w:rPr/>
      </w:pPr>
      <w:r>
        <w:rPr/>
        <w:t>fixar salário inferior ao definido em lei ou em ato normativo a ser pago pelo CONTRATADO;</w:t>
      </w:r>
    </w:p>
    <w:p>
      <w:pPr>
        <w:pStyle w:val="Nivel4"/>
        <w:numPr>
          <w:ilvl w:val="3"/>
          <w:numId w:val="3"/>
        </w:numPr>
        <w:ind w:hanging="0" w:start="567"/>
        <w:rPr/>
      </w:pPr>
      <w:r>
        <w:rPr/>
        <w:t xml:space="preserve"> </w:t>
      </w:r>
      <w:r>
        <w:rPr/>
        <w:t>estabelecer vínculo de subordinação com funcionário do CONTRATADO;</w:t>
      </w:r>
    </w:p>
    <w:p>
      <w:pPr>
        <w:pStyle w:val="Nivel4"/>
        <w:numPr>
          <w:ilvl w:val="3"/>
          <w:numId w:val="3"/>
        </w:numPr>
        <w:ind w:hanging="0" w:start="567"/>
        <w:rPr/>
      </w:pPr>
      <w:r>
        <w:rPr/>
        <w:t>definir forma de pagamento mediante exclusivo reembolso dos salários pagos;</w:t>
      </w:r>
    </w:p>
    <w:p>
      <w:pPr>
        <w:pStyle w:val="Nivel4"/>
        <w:numPr>
          <w:ilvl w:val="3"/>
          <w:numId w:val="3"/>
        </w:numPr>
        <w:ind w:hanging="0" w:start="567"/>
        <w:rPr/>
      </w:pPr>
      <w:r>
        <w:rPr/>
        <w:t>demandar a funcionário do CONTRATADO a execução de tarefas fora do escopo do objeto da contratação; e</w:t>
      </w:r>
    </w:p>
    <w:p>
      <w:pPr>
        <w:pStyle w:val="Nivel4"/>
        <w:numPr>
          <w:ilvl w:val="3"/>
          <w:numId w:val="3"/>
        </w:numPr>
        <w:ind w:hanging="0" w:start="567"/>
        <w:rPr/>
      </w:pPr>
      <w:r>
        <w:rPr/>
        <w:t>prever exigências que constituam intervenção indevida da Administração na gestão interna do CONTRATADO.</w:t>
      </w:r>
    </w:p>
    <w:p>
      <w:pPr>
        <w:pStyle w:val="Nivel3"/>
        <w:numPr>
          <w:ilvl w:val="2"/>
          <w:numId w:val="3"/>
        </w:numPr>
        <w:ind w:hanging="0" w:start="284"/>
        <w:rPr/>
      </w:pPr>
      <w:r>
        <w:rPr/>
        <w:t>Cientificar o órgão de representação judicial da Advocacia-Geral da União para adoção das medidas cabíveis quando do descumprimento de obrigações pelo CONTRATADO;</w:t>
      </w:r>
    </w:p>
    <w:p>
      <w:pPr>
        <w:pStyle w:val="Nivel3"/>
        <w:numPr>
          <w:ilvl w:val="2"/>
          <w:numId w:val="3"/>
        </w:numPr>
        <w:ind w:hanging="0" w:start="284"/>
        <w:rPr/>
      </w:pPr>
      <w: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4"/>
        <w:numPr>
          <w:ilvl w:val="3"/>
          <w:numId w:val="3"/>
        </w:numPr>
        <w:ind w:hanging="0" w:start="567"/>
        <w:rPr/>
      </w:pPr>
      <w:r>
        <w:rPr/>
        <w:t xml:space="preserve"> </w:t>
      </w:r>
      <w:bookmarkStart w:id="4" w:name="_Ref128062899"/>
      <w:commentRangeStart w:id="9"/>
      <w:r>
        <w:rPr>
          <w:i w:val="false"/>
          <w:iCs w:val="false"/>
          <w:color w:val="auto"/>
        </w:rPr>
        <w:t>A Administração terá o prazo de 30 (trinta) dias, a contar da data do protocolo do requerimento para decidir, admitida a prorrogação motivada, por igual período.</w:t>
      </w:r>
      <w:bookmarkEnd w:id="4"/>
      <w:commentRangeEnd w:id="9"/>
      <w:r>
        <w:commentReference w:id="9"/>
      </w:r>
      <w:r>
        <w:rPr>
          <w:i w:val="false"/>
          <w:iCs w:val="false"/>
          <w:color w:val="auto"/>
        </w:rPr>
      </w:r>
    </w:p>
    <w:p>
      <w:pPr>
        <w:pStyle w:val="Nivel3"/>
        <w:numPr>
          <w:ilvl w:val="2"/>
          <w:numId w:val="3"/>
        </w:numPr>
        <w:ind w:hanging="0" w:start="284"/>
        <w:rPr>
          <w:color w:val="auto"/>
        </w:rPr>
      </w:pPr>
      <w:commentRangeStart w:id="10"/>
      <w:r>
        <w:rPr/>
        <w:t>Responder eventuais pedidos de reestabelecimento do equilíbrio econômico-financeiro feitos pelo CONTRATADO no prazo máximo de 30 (trinta) dias</w:t>
      </w:r>
      <w:r>
        <w:rPr>
          <w:color w:val="auto"/>
        </w:rPr>
        <w:t>;</w:t>
      </w:r>
      <w:commentRangeEnd w:id="10"/>
      <w:r>
        <w:commentReference w:id="10"/>
      </w:r>
      <w:r>
        <w:rPr>
          <w:color w:val="auto"/>
        </w:rPr>
      </w:r>
    </w:p>
    <w:p>
      <w:pPr>
        <w:pStyle w:val="Nvel3-R"/>
        <w:numPr>
          <w:ilvl w:val="2"/>
          <w:numId w:val="3"/>
        </w:numPr>
        <w:ind w:hanging="0" w:start="284"/>
        <w:rPr>
          <w:i w:val="false"/>
          <w:iCs w:val="false"/>
          <w:color w:val="auto"/>
        </w:rPr>
      </w:pPr>
      <w:bookmarkStart w:id="5" w:name="_Hlk114499841"/>
      <w:bookmarkEnd w:id="5"/>
      <w:commentRangeStart w:id="11"/>
      <w:r>
        <w:rPr>
          <w:i w:val="false"/>
          <w:iCs w:val="false"/>
          <w:color w:val="auto"/>
        </w:rPr>
        <w:t>Notificar os emitentes das garantias quanto ao início de processo administrativo para apuração de descumprimento de cláusulas contratuais</w:t>
      </w:r>
      <w:r>
        <w:rPr>
          <w:i w:val="false"/>
          <w:iCs w:val="false"/>
          <w:color w:val="auto"/>
        </w:rPr>
      </w:r>
      <w:commentRangeEnd w:id="11"/>
      <w:r>
        <w:commentReference w:id="11"/>
      </w:r>
      <w:r>
        <w:rPr>
          <w:i w:val="false"/>
          <w:iCs w:val="false"/>
          <w:color w:val="auto"/>
        </w:rPr>
        <w:t>;</w:t>
      </w:r>
    </w:p>
    <w:p>
      <w:pPr>
        <w:pStyle w:val="Nivel3"/>
        <w:numPr>
          <w:ilvl w:val="2"/>
          <w:numId w:val="3"/>
        </w:numPr>
        <w:ind w:hanging="0" w:start="284"/>
        <w:rPr/>
      </w:pPr>
      <w:r>
        <w:rPr/>
        <w:t>Comunicar o CONTRATADO na hipótese de posterior alteração do projeto pelo CONTRATANTE, no caso do art. 93, §2º, da Lei nº 14.133, de 2021;</w:t>
      </w:r>
    </w:p>
    <w:p>
      <w:pPr>
        <w:pStyle w:val="Nivel3"/>
        <w:numPr>
          <w:ilvl w:val="2"/>
          <w:numId w:val="3"/>
        </w:numPr>
        <w:ind w:hanging="0" w:start="284"/>
        <w:rPr/>
      </w:pPr>
      <w:r>
        <w:rPr/>
        <w:t>Fornecer por escrito as informações necessárias para o desenvolvimento dos serviços objeto do contrato;</w:t>
      </w:r>
    </w:p>
    <w:p>
      <w:pPr>
        <w:pStyle w:val="Nivel3"/>
        <w:numPr>
          <w:ilvl w:val="2"/>
          <w:numId w:val="3"/>
        </w:numPr>
        <w:ind w:hanging="0" w:start="284"/>
        <w:rPr/>
      </w:pPr>
      <w:r>
        <w:rPr/>
        <w:t>Realizar avaliações periódicas da qualidade dos serviços, após seu recebimento;</w:t>
      </w:r>
    </w:p>
    <w:p>
      <w:pPr>
        <w:pStyle w:val="Nivel3"/>
        <w:numPr>
          <w:ilvl w:val="2"/>
          <w:numId w:val="3"/>
        </w:numPr>
        <w:ind w:hanging="0" w:start="284"/>
        <w:rPr/>
      </w:pPr>
      <w:r>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Nivel3"/>
        <w:numPr>
          <w:ilvl w:val="2"/>
          <w:numId w:val="3"/>
        </w:numPr>
        <w:ind w:hanging="0" w:start="284"/>
        <w:rPr/>
      </w:pPr>
      <w:r>
        <w:rPr/>
        <w:t>Previamente à expedição da ordem de serviço, verificar pendências, liberar áreas e/ou adotar providências cabíveis para a regularidade do início da sua execução.</w:t>
      </w:r>
    </w:p>
    <w:p>
      <w:pPr>
        <w:pStyle w:val="Nivel2"/>
        <w:numPr>
          <w:ilvl w:val="1"/>
          <w:numId w:val="3"/>
        </w:numPr>
        <w:ind w:hanging="0" w:start="0"/>
        <w:rPr/>
      </w:pPr>
      <w: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3"/>
        </w:numPr>
        <w:ind w:hanging="360" w:start="0"/>
        <w:rPr>
          <w:color w:themeColor="background1" w:val="FFFFFF"/>
        </w:rPr>
      </w:pPr>
      <w:commentRangeStart w:id="12"/>
      <w:commentRangeStart w:id="13"/>
      <w:r>
        <w:rPr/>
        <w:t xml:space="preserve">CLÁUSULA NONA - OBRIGAÇÕES DO CONTRATADO </w:t>
      </w:r>
      <w:r>
        <w:rPr/>
      </w:r>
      <w:commentRangeEnd w:id="13"/>
      <w:r>
        <w:commentReference w:id="13"/>
      </w:r>
      <w:commentRangeEnd w:id="12"/>
      <w:r>
        <w:commentReference w:id="12"/>
      </w:r>
      <w:r>
        <w:rPr/>
      </w:r>
    </w:p>
    <w:p>
      <w:pPr>
        <w:pStyle w:val="Nivel2"/>
        <w:numPr>
          <w:ilvl w:val="1"/>
          <w:numId w:val="3"/>
        </w:numPr>
        <w:ind w:hanging="0" w:start="0"/>
        <w:rPr/>
      </w:pPr>
      <w:r>
        <w:rPr/>
        <w:t>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1"/>
          <w:numId w:val="3"/>
        </w:numPr>
        <w:ind w:hanging="0" w:start="0"/>
        <w:rPr>
          <w:color w:themeColor="text1" w:val="000000"/>
        </w:rPr>
      </w:pPr>
      <w:r>
        <w:rPr>
          <w:color w:themeColor="text1" w:val="000000"/>
        </w:rPr>
        <w:t xml:space="preserve">Atender </w:t>
      </w:r>
      <w:r>
        <w:rPr/>
        <w:t>às</w:t>
      </w:r>
      <w:r>
        <w:rPr>
          <w:color w:themeColor="text1" w:val="000000"/>
        </w:rPr>
        <w:t xml:space="preserve"> determinações regulares emitidas pelo fiscal ou gestor do contrato ou autoridade superior e </w:t>
      </w:r>
      <w:r>
        <w:rPr/>
        <w:t>prestar todo esclarecimento ou informação por eles solicitados</w:t>
      </w:r>
      <w:r>
        <w:rPr>
          <w:color w:themeColor="text1" w:val="000000"/>
        </w:rPr>
        <w:t>;</w:t>
      </w:r>
    </w:p>
    <w:p>
      <w:pPr>
        <w:pStyle w:val="Nivel2"/>
        <w:numPr>
          <w:ilvl w:val="1"/>
          <w:numId w:val="3"/>
        </w:numPr>
        <w:ind w:hanging="0" w:start="0"/>
        <w:rPr/>
      </w:pPr>
      <w:commentRangeStart w:id="14"/>
      <w:commentRangeStart w:id="15"/>
      <w:r>
        <w:rPr/>
        <w:t>Reparar, corrigir, remover, reconstruir ou substituir, às suas expensas, no total ou em parte, no prazo fixado pelo fiscal do contrato, os bens e serviços nos quais se verificarem vícios, defeitos ou incorreções resultantes da execução ou dos materiais empregados;</w:t>
      </w:r>
      <w:r>
        <w:rPr/>
      </w:r>
      <w:commentRangeEnd w:id="15"/>
      <w:r>
        <w:commentReference w:id="15"/>
      </w:r>
      <w:commentRangeEnd w:id="14"/>
      <w:r>
        <w:commentReference w:id="14"/>
      </w:r>
      <w:r>
        <w:rPr/>
      </w:r>
    </w:p>
    <w:p>
      <w:pPr>
        <w:pStyle w:val="Nivel2"/>
        <w:numPr>
          <w:ilvl w:val="1"/>
          <w:numId w:val="3"/>
        </w:numPr>
        <w:ind w:hanging="0" w:start="0"/>
        <w:rPr/>
      </w:pPr>
      <w: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3"/>
        </w:numPr>
        <w:ind w:hanging="0" w:start="0"/>
        <w:rPr/>
      </w:pPr>
      <w:r>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Nivel3"/>
        <w:numPr>
          <w:ilvl w:val="2"/>
          <w:numId w:val="3"/>
        </w:numPr>
        <w:ind w:hanging="0" w:start="284"/>
        <w:rPr/>
      </w:pPr>
      <w:r>
        <w:rPr/>
        <w:t>prova de regularidade relativa à Seguridade Social;</w:t>
      </w:r>
    </w:p>
    <w:p>
      <w:pPr>
        <w:pStyle w:val="Nivel3"/>
        <w:numPr>
          <w:ilvl w:val="2"/>
          <w:numId w:val="3"/>
        </w:numPr>
        <w:ind w:hanging="0" w:start="284"/>
        <w:rPr/>
      </w:pPr>
      <w:r>
        <w:rPr/>
        <w:t>certidão conjunta relativa aos tributos federais e à Dívida Ativa da União;</w:t>
      </w:r>
    </w:p>
    <w:p>
      <w:pPr>
        <w:pStyle w:val="Nivel3"/>
        <w:numPr>
          <w:ilvl w:val="2"/>
          <w:numId w:val="3"/>
        </w:numPr>
        <w:ind w:hanging="0" w:start="284"/>
        <w:rPr/>
      </w:pPr>
      <w:commentRangeStart w:id="16"/>
      <w:r>
        <w:rPr/>
        <w:t>certidões que comprovem a regularidade perante a Fazenda Municipal ou Distrital do domicílio ou sede do CONTRATADO</w:t>
      </w:r>
      <w:r>
        <w:rPr/>
      </w:r>
      <w:commentRangeEnd w:id="16"/>
      <w:r>
        <w:commentReference w:id="16"/>
      </w:r>
      <w:r>
        <w:rPr/>
        <w:t>;</w:t>
      </w:r>
    </w:p>
    <w:p>
      <w:pPr>
        <w:pStyle w:val="Nivel3"/>
        <w:numPr>
          <w:ilvl w:val="2"/>
          <w:numId w:val="3"/>
        </w:numPr>
        <w:ind w:hanging="0" w:start="284"/>
        <w:rPr/>
      </w:pPr>
      <w:r>
        <w:rPr/>
        <w:t>Certidão de Regularidade do FGTS – CRF; e</w:t>
      </w:r>
    </w:p>
    <w:p>
      <w:pPr>
        <w:pStyle w:val="Nivel3"/>
        <w:numPr>
          <w:ilvl w:val="2"/>
          <w:numId w:val="3"/>
        </w:numPr>
        <w:ind w:hanging="0" w:start="284"/>
        <w:rPr/>
      </w:pPr>
      <w:r>
        <w:rPr/>
        <w:t>Certidão Negativa de Débitos Trabalhistas – CNDT.</w:t>
      </w:r>
    </w:p>
    <w:p>
      <w:pPr>
        <w:pStyle w:val="Nivel2"/>
        <w:numPr>
          <w:ilvl w:val="1"/>
          <w:numId w:val="3"/>
        </w:numPr>
        <w:ind w:hanging="0" w:start="0"/>
        <w:rPr/>
      </w:pPr>
      <w:r>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pPr>
        <w:pStyle w:val="Nivel2"/>
        <w:numPr>
          <w:ilvl w:val="1"/>
          <w:numId w:val="3"/>
        </w:numPr>
        <w:ind w:hanging="0" w:start="0"/>
        <w:rPr/>
      </w:pPr>
      <w:r>
        <w:rPr/>
        <w:t>Comunicar ao Fiscal do contrato tempestivamente, observada a urgência da situação, qualquer ocorrência anormal ou acidente que se verifique no local da execução do objeto contratual, não ultrapassando o prazo de 24 (vinte e quatro) horas;</w:t>
      </w:r>
    </w:p>
    <w:p>
      <w:pPr>
        <w:pStyle w:val="Nivel2"/>
        <w:numPr>
          <w:ilvl w:val="1"/>
          <w:numId w:val="3"/>
        </w:numPr>
        <w:ind w:hanging="0" w:start="0"/>
        <w:rPr/>
      </w:pPr>
      <w:r>
        <w:rPr/>
        <w:t>Paralisar, por determinação do CONTRATANTE, qualquer atividade que não esteja sendo executada de acordo com a boa técnica ou que ponha em risco a segurança de pessoas ou bens de terceiros;</w:t>
      </w:r>
    </w:p>
    <w:p>
      <w:pPr>
        <w:pStyle w:val="Nivel2"/>
        <w:numPr>
          <w:ilvl w:val="1"/>
          <w:numId w:val="3"/>
        </w:numPr>
        <w:ind w:hanging="0" w:start="0"/>
        <w:rPr/>
      </w:pPr>
      <w:r>
        <w:rPr/>
        <w:t>Manter, durante toda a vigência do contrato, em compatibilidade com as obrigações assumidas, todas as condições exigidas para habilitação na licitação ou para qualificação na contratação direta;</w:t>
      </w:r>
    </w:p>
    <w:p>
      <w:pPr>
        <w:pStyle w:val="Nivel2"/>
        <w:numPr>
          <w:ilvl w:val="1"/>
          <w:numId w:val="3"/>
        </w:numPr>
        <w:ind w:hanging="0" w:start="0"/>
        <w:rPr>
          <w:b/>
          <w:bCs/>
        </w:rPr>
      </w:pPr>
      <w:r>
        <w:rPr/>
        <w:t>Cumprir, durante todo o período de execução do contrato, a reserva de cargos prevista em lei para pessoa com deficiência, para reabilitado da Previdência Social ou para aprendiz, bem como as reservas de cargos previstas na legislação;</w:t>
      </w:r>
    </w:p>
    <w:p>
      <w:pPr>
        <w:pStyle w:val="Nivel2"/>
        <w:numPr>
          <w:ilvl w:val="1"/>
          <w:numId w:val="3"/>
        </w:numPr>
        <w:ind w:hanging="0" w:start="0"/>
        <w:rPr/>
      </w:pPr>
      <w:r>
        <w:rPr/>
        <w:t>Comprovar a reserva de cargos a que se refere a cláusula acima, no prazo fixado pelo fiscal do contrato, com a indicação dos empregados que preencheram as referidas vagas;</w:t>
      </w:r>
    </w:p>
    <w:p>
      <w:pPr>
        <w:pStyle w:val="Nivel2"/>
        <w:numPr>
          <w:ilvl w:val="1"/>
          <w:numId w:val="3"/>
        </w:numPr>
        <w:ind w:hanging="0" w:start="0"/>
        <w:rPr/>
      </w:pPr>
      <w:r>
        <w:rPr/>
        <w:t>Guardar sigilo sobre todas as informações obtidas em decorrência do cumprimento do contrato;</w:t>
      </w:r>
    </w:p>
    <w:p>
      <w:pPr>
        <w:pStyle w:val="Nivel2"/>
        <w:numPr>
          <w:ilvl w:val="1"/>
          <w:numId w:val="3"/>
        </w:numPr>
        <w:ind w:hanging="0" w:start="0"/>
        <w:rPr/>
      </w:pPr>
      <w: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Nivel2"/>
        <w:numPr>
          <w:ilvl w:val="1"/>
          <w:numId w:val="3"/>
        </w:numPr>
        <w:ind w:hanging="0" w:start="0"/>
        <w:rPr/>
      </w:pPr>
      <w:r>
        <w:rPr/>
        <w:t>Cumprir, além dos postulados legais vigentes de âmbito federal, estadual ou municipal, as normas de segurança do CONTRATANTE;</w:t>
      </w:r>
    </w:p>
    <w:p>
      <w:pPr>
        <w:pStyle w:val="Nivel2"/>
        <w:numPr>
          <w:ilvl w:val="1"/>
          <w:numId w:val="3"/>
        </w:numPr>
        <w:ind w:hanging="0" w:start="0"/>
        <w:rPr/>
      </w:pPr>
      <w:r>
        <w:rPr/>
        <w:t>Alocar os empregados necessários ao perfeito cumprimento das cláusulas deste contrato, com habilitação e conhecimento adequados;</w:t>
      </w:r>
    </w:p>
    <w:p>
      <w:pPr>
        <w:pStyle w:val="Nivel2"/>
        <w:numPr>
          <w:ilvl w:val="1"/>
          <w:numId w:val="3"/>
        </w:numPr>
        <w:ind w:hanging="0" w:start="0"/>
        <w:rPr/>
      </w:pPr>
      <w:r>
        <w:rPr/>
        <w:t>Prestar os serviços dentro dos parâmetros e rotinas estabelecidos;</w:t>
      </w:r>
    </w:p>
    <w:p>
      <w:pPr>
        <w:pStyle w:val="Nivel2"/>
        <w:numPr>
          <w:ilvl w:val="1"/>
          <w:numId w:val="3"/>
        </w:numPr>
        <w:ind w:hanging="0" w:start="0"/>
        <w:rPr/>
      </w:pPr>
      <w:r>
        <w:rPr/>
        <w:t>Fornecer todos os materiais, equipamentos, ferramentas e utensílios demandados, em quantidade, qualidade e tecnologia adequadas, com a observância às recomendações aceitas pela boa técnica, normas e legislação de regência;</w:t>
      </w:r>
    </w:p>
    <w:p>
      <w:pPr>
        <w:pStyle w:val="Nivel2"/>
        <w:numPr>
          <w:ilvl w:val="1"/>
          <w:numId w:val="3"/>
        </w:numPr>
        <w:ind w:hanging="0" w:start="0"/>
        <w:rPr/>
      </w:pPr>
      <w:r>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Nivel2"/>
        <w:numPr>
          <w:ilvl w:val="1"/>
          <w:numId w:val="3"/>
        </w:numPr>
        <w:ind w:hanging="0" w:start="0"/>
        <w:rPr/>
      </w:pPr>
      <w:r>
        <w:rPr/>
        <w:t>Submeter previamente, por escrito, ao CONTRATANTE, para análise e aprovação, quaisquer mudanças nos métodos executivos que fujam às especificações do memorial descritivo ou instrumento congênere;</w:t>
      </w:r>
    </w:p>
    <w:p>
      <w:pPr>
        <w:pStyle w:val="Nivel2"/>
        <w:numPr>
          <w:ilvl w:val="1"/>
          <w:numId w:val="3"/>
        </w:numPr>
        <w:ind w:hanging="0" w:start="0"/>
        <w:rPr/>
      </w:pPr>
      <w:r>
        <w:rPr/>
        <w:t>Cumprir as normas de proteção ao trabalho, inclusive aquelas relativas à segurança e à saúde no trabalho;</w:t>
      </w:r>
    </w:p>
    <w:p>
      <w:pPr>
        <w:pStyle w:val="Nivel2"/>
        <w:numPr>
          <w:ilvl w:val="1"/>
          <w:numId w:val="3"/>
        </w:numPr>
        <w:ind w:hanging="0" w:start="0"/>
        <w:rPr/>
      </w:pPr>
      <w:r>
        <w:rPr/>
        <w:t>Não submeter os trabalhadores a condições degradantes de trabalho, jornadas exaustivas, servidão por dívida ou trabalhos forçados;</w:t>
      </w:r>
    </w:p>
    <w:p>
      <w:pPr>
        <w:pStyle w:val="Nivel2"/>
        <w:numPr>
          <w:ilvl w:val="1"/>
          <w:numId w:val="3"/>
        </w:numPr>
        <w:ind w:hanging="0" w:start="0"/>
        <w:rPr/>
      </w:pPr>
      <w:r>
        <w:rPr/>
        <w:t>Não permitir a utilização de qualquer trabalho do menor de dezesseis anos de idade, exceto na condição de aprendiz para os maiores de quatorze anos de idade, observada a legislação pertinente;</w:t>
      </w:r>
    </w:p>
    <w:p>
      <w:pPr>
        <w:pStyle w:val="Nivel2"/>
        <w:numPr>
          <w:ilvl w:val="1"/>
          <w:numId w:val="3"/>
        </w:numPr>
        <w:ind w:hanging="0" w:start="0"/>
        <w:rPr/>
      </w:pPr>
      <w:r>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pPr>
        <w:pStyle w:val="Nivel2"/>
        <w:numPr>
          <w:ilvl w:val="1"/>
          <w:numId w:val="3"/>
        </w:numPr>
        <w:ind w:hanging="0" w:start="0"/>
        <w:rPr/>
      </w:pPr>
      <w:r>
        <w:rPr/>
        <w:t>Receber e dar o tratamento adequado a denúncias de discriminação, violência e assédio no ambiente de trabalho;</w:t>
      </w:r>
    </w:p>
    <w:p>
      <w:pPr>
        <w:pStyle w:val="Nivel2"/>
        <w:numPr>
          <w:ilvl w:val="1"/>
          <w:numId w:val="3"/>
        </w:numPr>
        <w:ind w:hanging="0" w:start="0"/>
        <w:rPr/>
      </w:pPr>
      <w:r>
        <w:rPr/>
        <w:t>Manter preposto aceito pela Administração no local da obra ou do serviço para representá-lo na execução do contrato;</w:t>
      </w:r>
    </w:p>
    <w:p>
      <w:pPr>
        <w:pStyle w:val="Nivel3"/>
        <w:numPr>
          <w:ilvl w:val="2"/>
          <w:numId w:val="3"/>
        </w:numPr>
        <w:ind w:hanging="0" w:start="284"/>
        <w:rPr/>
      </w:pPr>
      <w:r>
        <w:rPr/>
        <w:t>A indicação ou a manutenção do preposto da empresa poderá ser recusada pelo órgão ou entidade, desde que devidamente justificada, devendo a empresa designar outro para o exercício da atividade.</w:t>
      </w:r>
    </w:p>
    <w:p>
      <w:pPr>
        <w:pStyle w:val="Nivel2"/>
        <w:numPr>
          <w:ilvl w:val="1"/>
          <w:numId w:val="3"/>
        </w:numPr>
        <w:ind w:hanging="0" w:start="0"/>
        <w:rPr/>
      </w:pPr>
      <w:r>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pPr>
        <w:pStyle w:val="Nivel2"/>
        <w:numPr>
          <w:ilvl w:val="1"/>
          <w:numId w:val="3"/>
        </w:numPr>
        <w:ind w:hanging="0" w:start="0"/>
        <w:rPr/>
      </w:pPr>
      <w:r>
        <w:rPr/>
        <w:t>Prestar todo esclarecimento ou informação solicitada pelo CONTRATANTE ou por seus prepostos, garantindo-lhes o acesso, a qualquer tempo, ao local dos trabalhos, bem como aos documentos relativos à execução do contrato;</w:t>
      </w:r>
    </w:p>
    <w:p>
      <w:pPr>
        <w:pStyle w:val="Nivel2"/>
        <w:numPr>
          <w:ilvl w:val="1"/>
          <w:numId w:val="3"/>
        </w:numPr>
        <w:ind w:hanging="0" w:start="0"/>
        <w:rPr/>
      </w:pPr>
      <w:r>
        <w:rPr/>
        <w:t>Promover a guarda, manutenção e vigilância de materiais, ferramentas, e tudo o que for necessário à execução do objeto, durante a vigência do contrato;</w:t>
      </w:r>
    </w:p>
    <w:p>
      <w:pPr>
        <w:pStyle w:val="Nivel2"/>
        <w:numPr>
          <w:ilvl w:val="1"/>
          <w:numId w:val="3"/>
        </w:numPr>
        <w:ind w:hanging="0" w:start="0"/>
        <w:rPr/>
      </w:pPr>
      <w:r>
        <w:rPr/>
        <w:t>Assegurar aos seus trabalhadores ambiente de trabalho e instalações em condições adequadas ao cumprimento das normas de saúde, segurança e bem-estar no trabalho;</w:t>
      </w:r>
    </w:p>
    <w:p>
      <w:pPr>
        <w:pStyle w:val="Nivel2"/>
        <w:numPr>
          <w:ilvl w:val="1"/>
          <w:numId w:val="3"/>
        </w:numPr>
        <w:ind w:hanging="0" w:start="0"/>
        <w:rPr/>
      </w:pPr>
      <w:r>
        <w:rPr/>
        <w:t>Fornecer equipamentos de proteção individual (EPI) e equipamentos de proteção coletiva (EPC),quando for o caso;</w:t>
      </w:r>
    </w:p>
    <w:p>
      <w:pPr>
        <w:pStyle w:val="Nivel2"/>
        <w:numPr>
          <w:ilvl w:val="1"/>
          <w:numId w:val="3"/>
        </w:numPr>
        <w:ind w:hanging="0" w:start="0"/>
        <w:rPr/>
      </w:pPr>
      <w:r>
        <w:rPr/>
        <w:t>Garantir o acesso do CONTRATANTE, a qualquer tempo, ao local dos trabalhos, bem como aos documentos relativos à execução do contrato;</w:t>
      </w:r>
    </w:p>
    <w:p>
      <w:pPr>
        <w:pStyle w:val="Nivel2"/>
        <w:numPr>
          <w:ilvl w:val="1"/>
          <w:numId w:val="3"/>
        </w:numPr>
        <w:ind w:hanging="0" w:start="0"/>
        <w:rPr/>
      </w:pPr>
      <w:r>
        <w:rPr/>
        <w:t>Promover a organização técnica e administrativa dos serviços, de modo a conduzi-los eficaz e eficientemente, de acordo com os documentos e especificações que integram o Termo de Referência, no prazo determinado;</w:t>
      </w:r>
    </w:p>
    <w:p>
      <w:pPr>
        <w:pStyle w:val="Nivel2"/>
        <w:numPr>
          <w:ilvl w:val="1"/>
          <w:numId w:val="3"/>
        </w:numPr>
        <w:ind w:hanging="0" w:start="0"/>
        <w:rPr/>
      </w:pPr>
      <w:bookmarkStart w:id="6" w:name="_Ref118293030"/>
      <w:bookmarkEnd w:id="6"/>
      <w:r>
        <w:rPr/>
        <w:t>Instruir seus empregados quanto à necessidade de acatar as normas internas da Administração;</w:t>
      </w:r>
    </w:p>
    <w:p>
      <w:pPr>
        <w:pStyle w:val="Nivel2"/>
        <w:numPr>
          <w:ilvl w:val="1"/>
          <w:numId w:val="3"/>
        </w:numPr>
        <w:ind w:hanging="0" w:start="0"/>
        <w:rPr/>
      </w:pPr>
      <w:r>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pPr>
        <w:pStyle w:val="Nivel2"/>
        <w:numPr>
          <w:ilvl w:val="1"/>
          <w:numId w:val="3"/>
        </w:numPr>
        <w:ind w:hanging="0" w:start="0"/>
        <w:rPr/>
      </w:pPr>
      <w:r>
        <w:rPr/>
        <w:t xml:space="preserve">Efetuar comunicação ao CONTRATANTE, assim que tiver ciência da impossibilidade de realização ou finalização do serviço no prazo estabelecido, para adoção de ações de contingência cabíveis. </w:t>
      </w:r>
    </w:p>
    <w:p>
      <w:pPr>
        <w:pStyle w:val="Nivel2"/>
        <w:numPr>
          <w:ilvl w:val="1"/>
          <w:numId w:val="3"/>
        </w:numPr>
        <w:ind w:hanging="0" w:start="0"/>
        <w:rPr/>
      </w:pPr>
      <w:bookmarkStart w:id="7" w:name="_Ref118293030_Copia_1"/>
      <w:bookmarkEnd w:id="7"/>
      <w:r>
        <w:rPr/>
        <w:t>Manter os empregados nos horários predeterminados pelo CONTRATANTE;</w:t>
      </w:r>
    </w:p>
    <w:p>
      <w:pPr>
        <w:pStyle w:val="Nivel2"/>
        <w:numPr>
          <w:ilvl w:val="1"/>
          <w:numId w:val="3"/>
        </w:numPr>
        <w:ind w:hanging="0" w:start="0"/>
        <w:rPr/>
      </w:pPr>
      <w:r>
        <w:rPr/>
        <w:t>Apresentar os empregados devidamente identificados por meio de crachá;</w:t>
      </w:r>
    </w:p>
    <w:p>
      <w:pPr>
        <w:pStyle w:val="Nivel2"/>
        <w:numPr>
          <w:ilvl w:val="1"/>
          <w:numId w:val="3"/>
        </w:numPr>
        <w:ind w:hanging="0" w:start="0"/>
        <w:rPr/>
      </w:pPr>
      <w:r>
        <w:rPr/>
        <w:t>Apresentar ao CONTRATANTE, quando for o caso, a relação nominal dos empregados que adentrarão no órgão para a execução do serviço;</w:t>
      </w:r>
    </w:p>
    <w:p>
      <w:pPr>
        <w:pStyle w:val="Nivel2"/>
        <w:numPr>
          <w:ilvl w:val="1"/>
          <w:numId w:val="3"/>
        </w:numPr>
        <w:ind w:hanging="0" w:start="0"/>
        <w:rPr/>
      </w:pPr>
      <w:r>
        <w:rPr/>
        <w:t>Observar os preceitos da legislação sobre a jornada de trabalho, conforme a categoria profissional;</w:t>
      </w:r>
    </w:p>
    <w:p>
      <w:pPr>
        <w:pStyle w:val="Nivel2"/>
        <w:numPr>
          <w:ilvl w:val="1"/>
          <w:numId w:val="3"/>
        </w:numPr>
        <w:ind w:hanging="0" w:start="0"/>
        <w:rPr/>
      </w:pPr>
      <w: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Nivel2"/>
        <w:numPr>
          <w:ilvl w:val="1"/>
          <w:numId w:val="3"/>
        </w:numPr>
        <w:ind w:hanging="0" w:start="0"/>
        <w:rPr/>
      </w:pPr>
      <w:r>
        <w:rPr/>
        <w:t>Instruir os seus empregados, quanto à prevenção de incêndios nas áreas do CONTRATANTE;</w:t>
      </w:r>
    </w:p>
    <w:p>
      <w:pPr>
        <w:pStyle w:val="Nivel2"/>
        <w:numPr>
          <w:ilvl w:val="1"/>
          <w:numId w:val="3"/>
        </w:numPr>
        <w:ind w:hanging="0" w:start="0"/>
        <w:rPr/>
      </w:pPr>
      <w:r>
        <w:rPr/>
        <w:t>Adotar as providências e precauções necessárias, inclusive consulta nos respectivos órgãos, se necessário for, a fim de que não venham a ser danificadas as redes hidrossanitárias, elétricas e de comunicação;</w:t>
      </w:r>
    </w:p>
    <w:p>
      <w:pPr>
        <w:pStyle w:val="Nivel2"/>
        <w:numPr>
          <w:ilvl w:val="1"/>
          <w:numId w:val="3"/>
        </w:numPr>
        <w:ind w:hanging="0" w:start="0"/>
        <w:rPr/>
      </w:pPr>
      <w:commentRangeStart w:id="17"/>
      <w:r>
        <w:rPr/>
        <w:t>Estar registrada ou inscrita no Conselho Profissional competente, conforme as áreas de atuação previstas no Termo de Referência, em plena validade</w:t>
      </w:r>
      <w:r>
        <w:rPr/>
      </w:r>
      <w:commentRangeEnd w:id="17"/>
      <w:r>
        <w:commentReference w:id="17"/>
      </w:r>
      <w:r>
        <w:rPr/>
        <w:t>;</w:t>
      </w:r>
    </w:p>
    <w:p>
      <w:pPr>
        <w:pStyle w:val="Nivel2"/>
        <w:numPr>
          <w:ilvl w:val="1"/>
          <w:numId w:val="3"/>
        </w:numPr>
        <w:ind w:hanging="0" w:start="0"/>
        <w:rPr/>
      </w:pPr>
      <w:r>
        <w:rPr/>
        <w:t>Obter junto aos órgãos competentes, conforme o caso, as licenças necessárias e demais documentos e autorizações exigíveis, na forma da legislação aplicável;</w:t>
      </w:r>
    </w:p>
    <w:p>
      <w:pPr>
        <w:pStyle w:val="Nivel2"/>
        <w:numPr>
          <w:ilvl w:val="1"/>
          <w:numId w:val="3"/>
        </w:numPr>
        <w:ind w:hanging="0" w:start="0"/>
        <w:rPr/>
      </w:pPr>
      <w: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Nivel2"/>
        <w:numPr>
          <w:ilvl w:val="1"/>
          <w:numId w:val="3"/>
        </w:numPr>
        <w:ind w:hanging="0" w:start="0"/>
        <w:rPr/>
      </w:pPr>
      <w:r>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Nivel2"/>
        <w:numPr>
          <w:ilvl w:val="1"/>
          <w:numId w:val="3"/>
        </w:numPr>
        <w:ind w:hanging="0" w:start="0"/>
        <w:rPr/>
      </w:pPr>
      <w:r>
        <w:rPr/>
        <w:t xml:space="preserve">Utilizar somente matéria-prima florestal procedente, nos termos do artigo 11 do Decreto n° 5.975, de 2006, de: </w:t>
      </w:r>
    </w:p>
    <w:p>
      <w:pPr>
        <w:pStyle w:val="Nivel3"/>
        <w:numPr>
          <w:ilvl w:val="2"/>
          <w:numId w:val="3"/>
        </w:numPr>
        <w:ind w:hanging="0" w:start="284"/>
        <w:rPr/>
      </w:pPr>
      <w:r>
        <w:rPr/>
        <w:t>manejo florestal, realizado por meio de Plano de Manejo Florestal Sustentável - PMFS devidamente aprovado pelo órgão competente do Sistema Nacional do Meio Ambiente - SISNAMA;</w:t>
      </w:r>
    </w:p>
    <w:p>
      <w:pPr>
        <w:pStyle w:val="Nivel3"/>
        <w:numPr>
          <w:ilvl w:val="2"/>
          <w:numId w:val="3"/>
        </w:numPr>
        <w:ind w:hanging="0" w:start="284"/>
        <w:rPr/>
      </w:pPr>
      <w:r>
        <w:rPr/>
        <w:t xml:space="preserve">supressão da vegetação natural, devidamente autorizada pelo órgão competente do Sistema Nacional do Meio Ambiente - SISNAMA; </w:t>
      </w:r>
    </w:p>
    <w:p>
      <w:pPr>
        <w:pStyle w:val="Nivel3"/>
        <w:numPr>
          <w:ilvl w:val="2"/>
          <w:numId w:val="3"/>
        </w:numPr>
        <w:ind w:hanging="0" w:start="284"/>
        <w:rPr/>
      </w:pPr>
      <w:r>
        <w:rPr/>
        <w:t xml:space="preserve">florestas plantadas; e </w:t>
      </w:r>
    </w:p>
    <w:p>
      <w:pPr>
        <w:pStyle w:val="Nivel3"/>
        <w:numPr>
          <w:ilvl w:val="2"/>
          <w:numId w:val="3"/>
        </w:numPr>
        <w:ind w:hanging="0" w:start="284"/>
        <w:rPr/>
      </w:pPr>
      <w:r>
        <w:rPr/>
        <w:t>outras fontes de biomassa florestal, definidas em normas específicas do órgão ambiental competente.</w:t>
      </w:r>
    </w:p>
    <w:p>
      <w:pPr>
        <w:pStyle w:val="Nivel2"/>
        <w:numPr>
          <w:ilvl w:val="1"/>
          <w:numId w:val="3"/>
        </w:numPr>
        <w:ind w:hanging="0" w:start="0"/>
        <w:rPr/>
      </w:pPr>
      <w:r>
        <w:rPr/>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pPr>
        <w:pStyle w:val="Nivel3"/>
        <w:numPr>
          <w:ilvl w:val="2"/>
          <w:numId w:val="3"/>
        </w:numPr>
        <w:ind w:hanging="0" w:start="284"/>
        <w:rPr>
          <w:lang w:eastAsia="en-US"/>
        </w:rPr>
      </w:pPr>
      <w:r>
        <w:rPr>
          <w:lang w:eastAsia="en-US"/>
        </w:rPr>
        <w:t xml:space="preserve">Cópias autenticadas das notas fiscais de aquisição dos produtos ou subprodutos florestais; </w:t>
      </w:r>
    </w:p>
    <w:p>
      <w:pPr>
        <w:pStyle w:val="Nivel3"/>
        <w:numPr>
          <w:ilvl w:val="2"/>
          <w:numId w:val="3"/>
        </w:numPr>
        <w:ind w:hanging="0" w:start="284"/>
        <w:rPr>
          <w:lang w:eastAsia="en-US"/>
        </w:rPr>
      </w:pPr>
      <w:r>
        <w:rPr>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r>
        <w:rPr>
          <w:rFonts w:eastAsia="Calibri"/>
          <w:lang w:eastAsia="en-US"/>
        </w:rPr>
        <w:t>artigo 17, inciso II, da Lei n° 6.938, de 1981</w:t>
      </w:r>
      <w:r>
        <w:rPr>
          <w:lang w:eastAsia="en-US"/>
        </w:rPr>
        <w:t>, e legislação correlata;</w:t>
      </w:r>
    </w:p>
    <w:p>
      <w:pPr>
        <w:pStyle w:val="Nivel3"/>
        <w:numPr>
          <w:ilvl w:val="2"/>
          <w:numId w:val="3"/>
        </w:numPr>
        <w:ind w:hanging="0" w:start="284"/>
        <w:rPr>
          <w:lang w:eastAsia="en-US"/>
        </w:rPr>
      </w:pPr>
      <w:r>
        <w:rPr>
          <w:lang w:eastAsia="en-US"/>
        </w:rPr>
        <w:t xml:space="preserve">Documento de Origem Florestal – DOF, instituído pela </w:t>
      </w:r>
      <w:hyperlink r:id="rId3">
        <w:r>
          <w:rPr>
            <w:rStyle w:val="Style4"/>
            <w:lang w:eastAsia="en-US"/>
          </w:rPr>
          <w:t>Portaria n° 253, de 18/08/2006</w:t>
        </w:r>
      </w:hyperlink>
      <w:r>
        <w:rPr>
          <w:lang w:eastAsia="en-US"/>
        </w:rPr>
        <w:t xml:space="preserve">, do Ministério do Meio Ambiente, e </w:t>
      </w:r>
      <w:hyperlink r:id="rId4">
        <w:r>
          <w:rPr>
            <w:rStyle w:val="Style4"/>
            <w:lang w:eastAsia="en-US"/>
          </w:rPr>
          <w:t>Instrução Normativa IBAMA n° 21, de 24/12/2014</w:t>
        </w:r>
      </w:hyperlink>
      <w:r>
        <w:rPr>
          <w:lang w:eastAsia="en-US"/>
        </w:rPr>
        <w:t>, quando se tratar de produtos ou subprodutos florestais de origem nativa cujo transporte e armazenamento exijam a emissão de tal licença obrigatória; e</w:t>
      </w:r>
    </w:p>
    <w:p>
      <w:pPr>
        <w:pStyle w:val="Nivel3"/>
        <w:numPr>
          <w:ilvl w:val="2"/>
          <w:numId w:val="3"/>
        </w:numPr>
        <w:ind w:hanging="0" w:start="284"/>
        <w:rPr>
          <w:lang w:eastAsia="en-US"/>
        </w:rPr>
      </w:pPr>
      <w:r>
        <w:rPr>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pPr>
        <w:pStyle w:val="Nivel2"/>
        <w:numPr>
          <w:ilvl w:val="1"/>
          <w:numId w:val="3"/>
        </w:numPr>
        <w:ind w:hanging="0" w:start="0"/>
        <w:rPr>
          <w:lang w:eastAsia="en-US"/>
        </w:rPr>
      </w:pPr>
      <w:r>
        <w:rPr>
          <w:lang w:eastAsia="en-US"/>
        </w:rPr>
        <w:t xml:space="preserve">Observar as </w:t>
      </w:r>
      <w:r>
        <w:rPr/>
        <w:t>diretrizes</w:t>
      </w:r>
      <w:r>
        <w:rPr>
          <w:lang w:eastAsia="en-US"/>
        </w:rPr>
        <w:t xml:space="preserve">, critérios e procedimentos para a gestão dos resíduos da construção civil </w:t>
      </w:r>
      <w:r>
        <w:rPr/>
        <w:t>estabelecidos</w:t>
      </w:r>
      <w:r>
        <w:rPr>
          <w:lang w:eastAsia="en-US"/>
        </w:rPr>
        <w:t xml:space="preserve"> na Resolução nº 307, de 05/07/2002, com as alterações posteriores, do Conselho Nacional de Meio Ambiente - CONAMA, conforme </w:t>
      </w:r>
      <w:r>
        <w:rPr>
          <w:rFonts w:eastAsia="Calibri"/>
          <w:lang w:eastAsia="en-US"/>
        </w:rPr>
        <w:t>artigo 4°, §§ 2° e 3°, da Instrução Normativa SLTI/MP n° 1, de 2010</w:t>
      </w:r>
      <w:r>
        <w:rPr>
          <w:lang w:eastAsia="en-US"/>
        </w:rPr>
        <w:t>, nos seguintes termos:</w:t>
      </w:r>
    </w:p>
    <w:p>
      <w:pPr>
        <w:pStyle w:val="Nivel3"/>
        <w:numPr>
          <w:ilvl w:val="2"/>
          <w:numId w:val="3"/>
        </w:numPr>
        <w:ind w:hanging="0" w:start="284"/>
        <w:rPr>
          <w:lang w:eastAsia="en-US"/>
        </w:rPr>
      </w:pPr>
      <w:r>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pPr>
        <w:pStyle w:val="Nivel3"/>
        <w:numPr>
          <w:ilvl w:val="2"/>
          <w:numId w:val="3"/>
        </w:numPr>
        <w:ind w:hanging="0" w:start="284"/>
        <w:rPr>
          <w:lang w:eastAsia="en-US"/>
        </w:rPr>
      </w:pPr>
      <w:r>
        <w:rPr>
          <w:lang w:eastAsia="en-US"/>
        </w:rPr>
        <w:t xml:space="preserve">Nos termos dos </w:t>
      </w:r>
      <w:r>
        <w:rPr>
          <w:rFonts w:eastAsia="Calibri"/>
          <w:lang w:eastAsia="en-US"/>
        </w:rPr>
        <w:t>artigos 3° e 10° da Resolução CONAMA n° 307, de 2002</w:t>
      </w:r>
      <w:r>
        <w:rPr>
          <w:lang w:eastAsia="en-US"/>
        </w:rPr>
        <w:t>, o CONTRATADO deverá providenciar a destinação ambientalmente adequada dos resíduos da construção civil originários da contratação, obedecendo, no que couber, aos seguintes procedimentos:</w:t>
      </w:r>
    </w:p>
    <w:p>
      <w:pPr>
        <w:pStyle w:val="Nivel4"/>
        <w:numPr>
          <w:ilvl w:val="3"/>
          <w:numId w:val="3"/>
        </w:numPr>
        <w:ind w:hanging="0" w:start="567"/>
        <w:rPr>
          <w:lang w:eastAsia="en-US"/>
        </w:rPr>
      </w:pPr>
      <w:r>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pPr>
        <w:pStyle w:val="Nivel4"/>
        <w:numPr>
          <w:ilvl w:val="3"/>
          <w:numId w:val="3"/>
        </w:numPr>
        <w:ind w:hanging="0" w:start="567"/>
        <w:rPr>
          <w:lang w:eastAsia="en-US"/>
        </w:rPr>
      </w:pPr>
      <w:r>
        <w:rPr>
          <w:lang w:eastAsia="en-US"/>
        </w:rPr>
        <w:t>resíduos Classe B (recicláveis para outras destinações): deverão ser reutilizados, reciclados ou encaminhados a áreas de armazenamento temporário, sendo dispostos de modo a permitir a sua utilização ou reciclagem futura.</w:t>
      </w:r>
    </w:p>
    <w:p>
      <w:pPr>
        <w:pStyle w:val="Nivel4"/>
        <w:numPr>
          <w:ilvl w:val="3"/>
          <w:numId w:val="3"/>
        </w:numPr>
        <w:ind w:hanging="0" w:start="567"/>
        <w:rPr>
          <w:lang w:eastAsia="en-US"/>
        </w:rPr>
      </w:pPr>
      <w:r>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pPr>
        <w:pStyle w:val="Nivel4"/>
        <w:numPr>
          <w:ilvl w:val="3"/>
          <w:numId w:val="3"/>
        </w:numPr>
        <w:ind w:hanging="0" w:start="567"/>
        <w:rPr>
          <w:lang w:eastAsia="en-US"/>
        </w:rPr>
      </w:pPr>
      <w:r>
        <w:rPr>
          <w:lang w:eastAsia="en-US"/>
        </w:rPr>
        <w:t>resíduos Classe D (perigosos, contaminados ou prejudiciais à saúde): deverão ser armazenados, transportados, reutilizados e destinados em conformidade com as normas técnicas específicas.</w:t>
      </w:r>
    </w:p>
    <w:p>
      <w:pPr>
        <w:pStyle w:val="Nivel3"/>
        <w:numPr>
          <w:ilvl w:val="2"/>
          <w:numId w:val="3"/>
        </w:numPr>
        <w:ind w:hanging="0" w:start="284"/>
        <w:rPr>
          <w:lang w:eastAsia="en-US"/>
        </w:rPr>
      </w:pPr>
      <w:r>
        <w:rPr>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pPr>
        <w:pStyle w:val="Nivel3"/>
        <w:numPr>
          <w:ilvl w:val="2"/>
          <w:numId w:val="3"/>
        </w:numPr>
        <w:ind w:hanging="0" w:start="284"/>
        <w:rPr>
          <w:lang w:eastAsia="en-US"/>
        </w:rPr>
      </w:pPr>
      <w:r>
        <w:rPr>
          <w:lang w:eastAsia="en-US"/>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pPr>
        <w:pStyle w:val="Nivel2"/>
        <w:numPr>
          <w:ilvl w:val="1"/>
          <w:numId w:val="3"/>
        </w:numPr>
        <w:ind w:hanging="0" w:start="0"/>
        <w:rPr>
          <w:lang w:eastAsia="en-US"/>
        </w:rPr>
      </w:pPr>
      <w:r>
        <w:rPr>
          <w:lang w:eastAsia="en-US"/>
        </w:rPr>
        <w:t xml:space="preserve">Observar as </w:t>
      </w:r>
      <w:r>
        <w:rPr/>
        <w:t>seguintes</w:t>
      </w:r>
      <w:r>
        <w:rPr>
          <w:lang w:eastAsia="en-US"/>
        </w:rPr>
        <w:t xml:space="preserve"> diretrizes de caráter ambiental:</w:t>
      </w:r>
    </w:p>
    <w:p>
      <w:pPr>
        <w:pStyle w:val="Nivel3"/>
        <w:numPr>
          <w:ilvl w:val="2"/>
          <w:numId w:val="3"/>
        </w:numPr>
        <w:ind w:hanging="0" w:start="284"/>
        <w:rPr>
          <w:lang w:eastAsia="en-US"/>
        </w:rPr>
      </w:pPr>
      <w:r>
        <w:rPr>
          <w:lang w:eastAsia="en-US"/>
        </w:rPr>
        <w:t>Qualquer</w:t>
      </w:r>
      <w:r>
        <w:rPr/>
        <w:t xml:space="preserve"> instalação, equipamento ou processo, situado em local fixo, que</w:t>
      </w:r>
      <w:r>
        <w:rPr>
          <w:lang w:eastAsia="en-US"/>
        </w:rPr>
        <w:t xml:space="preserve"> </w:t>
      </w:r>
      <w:r>
        <w:rPr/>
        <w:t>libere</w:t>
      </w:r>
      <w:r>
        <w:rPr>
          <w:lang w:eastAsia="en-US"/>
        </w:rPr>
        <w:t xml:space="preserve"> ou emita matéria para a atmosfera, por emissão pontual ou fugitiva, </w:t>
      </w:r>
      <w:r>
        <w:rPr/>
        <w:t>utilizado</w:t>
      </w:r>
      <w:r>
        <w:rPr>
          <w:lang w:eastAsia="en-US"/>
        </w:rPr>
        <w:t xml:space="preserve"> na execução contratual, deverá respeitar os limites máximos de emissão de poluentes admitidos na </w:t>
      </w:r>
      <w:r>
        <w:rPr>
          <w:rFonts w:eastAsia="Calibri"/>
          <w:lang w:eastAsia="en-US"/>
        </w:rPr>
        <w:t>Resolução CONAMA n° 382, de 2006</w:t>
      </w:r>
      <w:r>
        <w:rPr>
          <w:lang w:eastAsia="en-US"/>
        </w:rPr>
        <w:t>, e legislação correlata, de acordo com o poluente e o tipo de fonte.</w:t>
      </w:r>
    </w:p>
    <w:p>
      <w:pPr>
        <w:pStyle w:val="Nivel3"/>
        <w:numPr>
          <w:ilvl w:val="2"/>
          <w:numId w:val="3"/>
        </w:numPr>
        <w:ind w:hanging="0" w:start="284"/>
        <w:rPr>
          <w:lang w:eastAsia="en-US"/>
        </w:rPr>
      </w:pPr>
      <w:r>
        <w:rPr>
          <w:lang w:eastAsia="en-US"/>
        </w:rPr>
        <w:t xml:space="preserve">Na execução contratual, conforme o caso, a emissão de ruídos não poderá ultrapassar os níveis </w:t>
      </w:r>
      <w:r>
        <w:rPr/>
        <w:t>considerados</w:t>
      </w:r>
      <w:r>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r>
        <w:rPr/>
        <w:t>Resolução CONAMA n° 01, de 1990</w:t>
      </w:r>
      <w:r>
        <w:rPr>
          <w:lang w:eastAsia="en-US"/>
        </w:rPr>
        <w:t>, e legislação correlata.</w:t>
      </w:r>
    </w:p>
    <w:p>
      <w:pPr>
        <w:pStyle w:val="Nivel2"/>
        <w:numPr>
          <w:ilvl w:val="1"/>
          <w:numId w:val="3"/>
        </w:numPr>
        <w:ind w:hanging="0" w:start="0"/>
        <w:rPr/>
      </w:pPr>
      <w:r>
        <w:rPr/>
        <w:t>Nos termos do artigo 4°, § 3°, da Instrução Normativa SLTI/MP n° 1, de 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pPr>
        <w:pStyle w:val="Nivel2"/>
        <w:numPr>
          <w:ilvl w:val="1"/>
          <w:numId w:val="3"/>
        </w:numPr>
        <w:ind w:hanging="0" w:start="0"/>
        <w:rPr/>
      </w:pPr>
      <w:r>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Nivel2"/>
        <w:numPr>
          <w:ilvl w:val="1"/>
          <w:numId w:val="3"/>
        </w:numPr>
        <w:ind w:hanging="0" w:start="0"/>
        <w:rPr/>
      </w:pPr>
      <w: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Nivel2"/>
        <w:numPr>
          <w:ilvl w:val="1"/>
          <w:numId w:val="3"/>
        </w:numPr>
        <w:ind w:hanging="0" w:start="0"/>
        <w:rPr/>
      </w:pPr>
      <w:r>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pPr>
        <w:pStyle w:val="Nvel2-Red"/>
        <w:numPr>
          <w:ilvl w:val="1"/>
          <w:numId w:val="3"/>
        </w:numPr>
        <w:ind w:hanging="0" w:start="0"/>
        <w:rPr>
          <w:i w:val="false"/>
          <w:iCs w:val="false"/>
          <w:color w:val="auto"/>
        </w:rPr>
      </w:pPr>
      <w:commentRangeStart w:id="18"/>
      <w:r>
        <w:rPr>
          <w:i w:val="false"/>
          <w:iCs w:val="false"/>
          <w:color w:val="auto"/>
          <w:lang w:eastAsia="en-US"/>
        </w:rPr>
        <w:t>Fornecer os projetos executivos desenvolvidos pelo CONTRATADO,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pPr>
        <w:pStyle w:val="Nvel3-R"/>
        <w:numPr>
          <w:ilvl w:val="2"/>
          <w:numId w:val="3"/>
        </w:numPr>
        <w:ind w:hanging="0" w:start="284"/>
        <w:rPr>
          <w:i w:val="false"/>
          <w:iCs w:val="false"/>
          <w:color w:val="auto"/>
        </w:rPr>
      </w:pPr>
      <w:r>
        <w:rPr>
          <w:i w:val="false"/>
          <w:iCs w:val="false"/>
          <w:color w:val="auto"/>
          <w:lang w:eastAsia="en-US"/>
        </w:rPr>
        <w:t>A elaboração dos projetos executivos deverá partir das soluções desenvolvidas nos anteprojetos constantes neste Termo de Referência e seus anexos (Caderno de Encargos e Especificações Técnicas) e apresentar o detalhamento dos elementos construtivos e especificações técnicas, incorporando as alterações exigidas pelas mútuas interferências entre os diversos projetos.</w:t>
      </w:r>
      <w:commentRangeEnd w:id="18"/>
      <w:r>
        <w:commentReference w:id="18"/>
      </w:r>
      <w:r>
        <w:rPr>
          <w:i w:val="false"/>
          <w:iCs w:val="false"/>
          <w:color w:val="auto"/>
          <w:lang w:eastAsia="en-US"/>
        </w:rPr>
      </w:r>
    </w:p>
    <w:p>
      <w:pPr>
        <w:pStyle w:val="Nvel2-Red"/>
        <w:numPr>
          <w:ilvl w:val="1"/>
          <w:numId w:val="3"/>
        </w:numPr>
        <w:ind w:hanging="0" w:start="0"/>
        <w:rPr>
          <w:i w:val="false"/>
          <w:iCs w:val="false"/>
          <w:color w:val="auto"/>
        </w:rPr>
      </w:pPr>
      <w:r>
        <w:rPr>
          <w:i w:val="false"/>
          <w:iCs w:val="false"/>
          <w:color w:val="auto"/>
          <w:lang w:eastAsia="en-US"/>
        </w:rPr>
        <w:t>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termo de referência, o gestor do contrato, o fiscal técnico do contrato, o fiscal administrativo do contrato, se houver, os técnicos da área requisitante, o preposto da empresa e os gerentes das áreas que executarão os serviços contratados.</w:t>
      </w:r>
    </w:p>
    <w:p>
      <w:pPr>
        <w:pStyle w:val="Nivel01"/>
        <w:numPr>
          <w:ilvl w:val="0"/>
          <w:numId w:val="0"/>
        </w:numPr>
        <w:ind w:hanging="0" w:start="0"/>
        <w:rPr>
          <w:color w:themeColor="background1" w:val="FFFFFF"/>
        </w:rPr>
      </w:pPr>
      <w:r>
        <w:rPr/>
        <w:t>CLÁUSULA DÉCIMA PRIMEIRA – GARANTIA DE EXECUÇÃO</w:t>
      </w:r>
    </w:p>
    <w:p>
      <w:pPr>
        <w:pStyle w:val="Nvel2-Red"/>
        <w:numPr>
          <w:ilvl w:val="1"/>
          <w:numId w:val="3"/>
        </w:numPr>
        <w:ind w:hanging="0" w:start="0"/>
        <w:rPr>
          <w:i w:val="false"/>
          <w:iCs w:val="false"/>
          <w:color w:val="auto"/>
        </w:rPr>
      </w:pPr>
      <w:r>
        <w:rPr>
          <w:i w:val="false"/>
          <w:iCs w:val="false"/>
          <w:color w:val="auto"/>
        </w:rPr>
        <w:t>Não s</w:t>
      </w:r>
      <w:r>
        <w:rPr>
          <w:i w:val="false"/>
          <w:iCs w:val="false"/>
          <w:color w:val="auto"/>
        </w:rPr>
        <w:t>erá exigida a prestação de garantia na presente contratação, conforme regras constantes do Termo de Referência.</w:t>
      </w:r>
    </w:p>
    <w:p>
      <w:pPr>
        <w:pStyle w:val="Nivel01"/>
        <w:numPr>
          <w:ilvl w:val="0"/>
          <w:numId w:val="3"/>
        </w:numPr>
        <w:ind w:hanging="360" w:start="0"/>
        <w:rPr>
          <w:color w:themeColor="background1" w:val="FFFFFF"/>
        </w:rPr>
      </w:pPr>
      <w:r>
        <w:rPr/>
        <w:t>CLÁUSULA DÉCIMA SEGUNDA – INFRAÇÕES E SANÇÕES ADMINISTRATIVAS</w:t>
      </w:r>
    </w:p>
    <w:p>
      <w:pPr>
        <w:pStyle w:val="Nivel2"/>
        <w:numPr>
          <w:ilvl w:val="1"/>
          <w:numId w:val="3"/>
        </w:numPr>
        <w:ind w:hanging="0" w:start="0"/>
        <w:rPr/>
      </w:pPr>
      <w:bookmarkStart w:id="8" w:name="_Ref169602136"/>
      <w:bookmarkStart w:id="9" w:name="_Ref169601460"/>
      <w:r>
        <w:rPr/>
        <w:t>As regras acerca de infrações e sanções administrativas referentes à execução do contrato são aquelas definidas no Termo de Referência, anexo a este Contrato.</w:t>
      </w:r>
      <w:bookmarkEnd w:id="8"/>
      <w:bookmarkEnd w:id="9"/>
    </w:p>
    <w:p>
      <w:pPr>
        <w:pStyle w:val="Nivel01"/>
        <w:numPr>
          <w:ilvl w:val="0"/>
          <w:numId w:val="3"/>
        </w:numPr>
        <w:ind w:hanging="360" w:start="0"/>
        <w:rPr>
          <w:color w:themeColor="background1" w:val="FFFFFF"/>
        </w:rPr>
      </w:pPr>
      <w:r>
        <w:rPr/>
        <w:t>CLÁUSULA DÉCIMA TERCEIRA – DA EXTINÇÃO CONTRATUAL</w:t>
      </w:r>
    </w:p>
    <w:p>
      <w:pPr>
        <w:pStyle w:val="Nvel2-Red"/>
        <w:numPr>
          <w:ilvl w:val="1"/>
          <w:numId w:val="3"/>
        </w:numPr>
        <w:ind w:hanging="0" w:start="0"/>
        <w:rPr>
          <w:i w:val="false"/>
          <w:iCs w:val="false"/>
          <w:color w:val="auto"/>
        </w:rPr>
      </w:pPr>
      <w:r>
        <w:rPr>
          <w:i w:val="false"/>
          <w:iCs w:val="false"/>
          <w:color w:val="auto"/>
        </w:rPr>
        <w:t>O contrato será extinto quando cumpridas as obrigações de ambas as partes, ainda que isso ocorra antes do prazo estipulado para tanto.</w:t>
      </w:r>
    </w:p>
    <w:p>
      <w:pPr>
        <w:pStyle w:val="Nvel2-Red"/>
        <w:numPr>
          <w:ilvl w:val="1"/>
          <w:numId w:val="3"/>
        </w:numPr>
        <w:ind w:hanging="0" w:start="0"/>
        <w:rPr>
          <w:i w:val="false"/>
          <w:iCs w:val="false"/>
          <w:color w:val="auto"/>
        </w:rPr>
      </w:pPr>
      <w:r>
        <w:rPr>
          <w:i w:val="false"/>
          <w:iCs w:val="false"/>
          <w:color w:val="auto"/>
        </w:rPr>
        <w:t>Se as obrigações não forem cumpridas no prazo estipulado, a vigência ficará prorrogada até a conclusão do objeto, caso em que deverá a Administração providenciar a readequação do cronograma fixado para o contrato.</w:t>
      </w:r>
    </w:p>
    <w:p>
      <w:pPr>
        <w:pStyle w:val="Nvel2-Red"/>
        <w:numPr>
          <w:ilvl w:val="1"/>
          <w:numId w:val="3"/>
        </w:numPr>
        <w:ind w:hanging="0" w:start="0"/>
        <w:rPr>
          <w:i w:val="false"/>
          <w:iCs w:val="false"/>
          <w:color w:val="auto"/>
        </w:rPr>
      </w:pPr>
      <w:r>
        <w:rPr>
          <w:i w:val="false"/>
          <w:iCs w:val="false"/>
          <w:color w:val="auto"/>
        </w:rPr>
        <w:t>Quando a não conclusão do contrato referida no item anterior decorrer de culpa do CONTRATADO:</w:t>
      </w:r>
    </w:p>
    <w:p>
      <w:pPr>
        <w:pStyle w:val="Nvel3-R"/>
        <w:numPr>
          <w:ilvl w:val="2"/>
          <w:numId w:val="3"/>
        </w:numPr>
        <w:ind w:hanging="0" w:start="284"/>
        <w:rPr>
          <w:i w:val="false"/>
          <w:iCs w:val="false"/>
          <w:color w:val="auto"/>
        </w:rPr>
      </w:pPr>
      <w:r>
        <w:rPr>
          <w:i w:val="false"/>
          <w:iCs w:val="false"/>
          <w:color w:val="auto"/>
        </w:rPr>
        <w:t>ficará ele constituído em mora, sendo-lhe aplicáveis as respectivas sanções administrativas; e</w:t>
      </w:r>
    </w:p>
    <w:p>
      <w:pPr>
        <w:pStyle w:val="Nvel3-R"/>
        <w:numPr>
          <w:ilvl w:val="2"/>
          <w:numId w:val="3"/>
        </w:numPr>
        <w:ind w:hanging="0" w:start="284"/>
        <w:rPr>
          <w:i w:val="false"/>
          <w:iCs w:val="false"/>
          <w:color w:val="auto"/>
        </w:rPr>
      </w:pPr>
      <w:r>
        <w:rPr>
          <w:i w:val="false"/>
          <w:iCs w:val="false"/>
          <w:color w:val="auto"/>
        </w:rPr>
        <w:t>poderá a Administração optar pela extinção do contrato e, nesse caso, adotará as medidas admitidas em lei para a continuidade da execução contratual</w:t>
      </w:r>
    </w:p>
    <w:p>
      <w:pPr>
        <w:pStyle w:val="Nivel2"/>
        <w:numPr>
          <w:ilvl w:val="1"/>
          <w:numId w:val="3"/>
        </w:numPr>
        <w:ind w:hanging="0" w:start="0"/>
        <w:rPr/>
      </w:pPr>
      <w:r>
        <w:rPr/>
        <w:t xml:space="preserve">O contrato poderá ser extinto antes de cumpridas as obrigações nele estipuladas, ou antes do prazo nele fixado, por algum dos motivos previstos no artigo 137 da Lei nº 14.133, de 2021, bem como amigavelmente, </w:t>
      </w:r>
      <w:r>
        <w:rPr>
          <w:color w:themeColor="text1" w:val="000000"/>
        </w:rPr>
        <w:t>assegurados o contraditório e a ampla defesa</w:t>
      </w:r>
      <w:r>
        <w:rPr/>
        <w:t>.</w:t>
      </w:r>
    </w:p>
    <w:p>
      <w:pPr>
        <w:pStyle w:val="Nivel2"/>
        <w:numPr>
          <w:ilvl w:val="1"/>
          <w:numId w:val="3"/>
        </w:numPr>
        <w:ind w:hanging="0" w:start="0"/>
        <w:rPr/>
      </w:pPr>
      <w:r>
        <w:rPr/>
        <w:t>Nesta hipótese, aplicam-se também os artigos 138 e 139 da mesma Lei.</w:t>
      </w:r>
    </w:p>
    <w:p>
      <w:pPr>
        <w:pStyle w:val="Nivel2"/>
        <w:numPr>
          <w:ilvl w:val="1"/>
          <w:numId w:val="3"/>
        </w:numPr>
        <w:ind w:hanging="0" w:start="0"/>
        <w:rPr/>
      </w:pPr>
      <w:r>
        <w:rPr/>
        <w:t>A alteração social ou a modificação da finalidade ou da estrutura da empresa não ensejará a extinção se não restringir sua capacidade de concluir o contrato.</w:t>
      </w:r>
    </w:p>
    <w:p>
      <w:pPr>
        <w:pStyle w:val="Nivel2"/>
        <w:numPr>
          <w:ilvl w:val="1"/>
          <w:numId w:val="3"/>
        </w:numPr>
        <w:ind w:hanging="0" w:start="0"/>
        <w:rPr/>
      </w:pPr>
      <w:r>
        <w:rPr>
          <w:color w:themeColor="text1" w:val="000000"/>
        </w:rPr>
        <w:t xml:space="preserve">Se a </w:t>
      </w:r>
      <w:r>
        <w:rPr/>
        <w:t>operação</w:t>
      </w:r>
      <w:r>
        <w:rPr>
          <w:color w:themeColor="text1" w:val="000000"/>
        </w:rPr>
        <w:t xml:space="preserve"> </w:t>
      </w:r>
      <w:r>
        <w:rPr/>
        <w:t>implicar mudança da pessoa jurídica contratada, deverá ser formalizado termo aditivo para alteração subjetiva.</w:t>
      </w:r>
    </w:p>
    <w:p>
      <w:pPr>
        <w:pStyle w:val="Nivel2"/>
        <w:numPr>
          <w:ilvl w:val="1"/>
          <w:numId w:val="3"/>
        </w:numPr>
        <w:ind w:hanging="0" w:start="0"/>
        <w:rPr/>
      </w:pPr>
      <w:r>
        <w:rPr/>
        <w:t>O termo de extinção, sempre que possível, será precedido:</w:t>
      </w:r>
    </w:p>
    <w:p>
      <w:pPr>
        <w:pStyle w:val="Nivel3"/>
        <w:numPr>
          <w:ilvl w:val="2"/>
          <w:numId w:val="3"/>
        </w:numPr>
        <w:ind w:hanging="0" w:start="284"/>
        <w:rPr/>
      </w:pPr>
      <w:r>
        <w:rPr/>
        <w:t>Do balanço dos eventos contratuais já cumpridos ou parcialmente cumpridos;</w:t>
      </w:r>
    </w:p>
    <w:p>
      <w:pPr>
        <w:pStyle w:val="Nivel3"/>
        <w:numPr>
          <w:ilvl w:val="2"/>
          <w:numId w:val="3"/>
        </w:numPr>
        <w:ind w:hanging="0" w:start="284"/>
        <w:rPr/>
      </w:pPr>
      <w:r>
        <w:rPr/>
        <w:t>Da relação dos pagamentos já efetuados e ainda devidos;</w:t>
      </w:r>
    </w:p>
    <w:p>
      <w:pPr>
        <w:pStyle w:val="Nivel3"/>
        <w:numPr>
          <w:ilvl w:val="2"/>
          <w:numId w:val="3"/>
        </w:numPr>
        <w:ind w:hanging="0" w:start="284"/>
        <w:rPr/>
      </w:pPr>
      <w:r>
        <w:rPr/>
        <w:t>Das indenizações e multas.</w:t>
      </w:r>
    </w:p>
    <w:p>
      <w:pPr>
        <w:pStyle w:val="Nivel2"/>
        <w:numPr>
          <w:ilvl w:val="1"/>
          <w:numId w:val="3"/>
        </w:numPr>
        <w:ind w:hanging="0" w:start="0"/>
        <w:rPr/>
      </w:pPr>
      <w:r>
        <w:rPr/>
        <w:t>A extinção do contrato não configura óbice para o reconhecimento do desequilíbrio econômico-financeiro, hipótese em que será concedida indenização por meio de termo indenizatório</w:t>
      </w:r>
      <w:r>
        <w:rPr>
          <w:rStyle w:val="Hyperlink"/>
        </w:rPr>
        <w:t>.</w:t>
      </w:r>
    </w:p>
    <w:p>
      <w:pPr>
        <w:pStyle w:val="Nivel2"/>
        <w:numPr>
          <w:ilvl w:val="1"/>
          <w:numId w:val="3"/>
        </w:numPr>
        <w:ind w:hanging="0" w:start="0"/>
        <w:rPr/>
      </w:pPr>
      <w:r>
        <w:rPr/>
        <w:t>O CONTRATANTE poderá ainda:</w:t>
      </w:r>
    </w:p>
    <w:p>
      <w:pPr>
        <w:pStyle w:val="Nivel3"/>
        <w:numPr>
          <w:ilvl w:val="2"/>
          <w:numId w:val="3"/>
        </w:numPr>
        <w:ind w:hanging="0" w:start="284"/>
        <w:rPr/>
      </w:pPr>
      <w:r>
        <w:rPr/>
        <w:t xml:space="preserve"> </w:t>
      </w:r>
      <w:r>
        <w:rPr/>
        <w:t>nos casos de obrigação de pagamento de multa pelo CONTRATADO, reter a garantia prestada a ser executada, conforme legislação que rege a matéria; e</w:t>
      </w:r>
    </w:p>
    <w:p>
      <w:pPr>
        <w:pStyle w:val="Nivel3"/>
        <w:numPr>
          <w:ilvl w:val="2"/>
          <w:numId w:val="3"/>
        </w:numPr>
        <w:ind w:hanging="0" w:start="284"/>
        <w:rPr/>
      </w:pPr>
      <w:r>
        <w:rPr/>
        <w:t>nos casos em que houver necessidade de ressarcimento de prejuízos causados à Administração, nos termos do inciso IV do art. 139 da Lei n.º 14.133, de 2021, reter os eventuais créditos existentes em favor do CONTRATADO decorrentes do contrato.</w:t>
      </w:r>
    </w:p>
    <w:p>
      <w:pPr>
        <w:pStyle w:val="Nivel2"/>
        <w:numPr>
          <w:ilvl w:val="1"/>
          <w:numId w:val="3"/>
        </w:numPr>
        <w:ind w:hanging="0" w:start="0"/>
        <w:rPr/>
      </w:pPr>
      <w: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pPr>
        <w:pStyle w:val="Nivel01"/>
        <w:numPr>
          <w:ilvl w:val="0"/>
          <w:numId w:val="3"/>
        </w:numPr>
        <w:ind w:hanging="360" w:start="0"/>
        <w:rPr>
          <w:color w:themeColor="background1" w:val="FFFFFF"/>
        </w:rPr>
      </w:pPr>
      <w:r>
        <w:rPr/>
        <w:t>CLÁUSULA DÉCIMA QUARTA – ALTERAÇÕES</w:t>
      </w:r>
    </w:p>
    <w:p>
      <w:pPr>
        <w:pStyle w:val="Nivel2"/>
        <w:numPr>
          <w:ilvl w:val="1"/>
          <w:numId w:val="3"/>
        </w:numPr>
        <w:ind w:hanging="0" w:start="0"/>
        <w:rPr/>
      </w:pPr>
      <w:r>
        <w:rPr/>
        <w:t>Eventuais alterações contratuais reger-se-ão pela disciplina dos arts. 124 e seguintes da Lei nº 14.133, de 2021.</w:t>
      </w:r>
    </w:p>
    <w:p>
      <w:pPr>
        <w:pStyle w:val="Nivel2"/>
        <w:numPr>
          <w:ilvl w:val="1"/>
          <w:numId w:val="3"/>
        </w:numPr>
        <w:ind w:hanging="0" w:start="0"/>
        <w:rPr/>
      </w:pPr>
      <w:r>
        <w:rPr/>
        <w:t>O CONTRATADO é obrigado a aceitar, nas mesmas condições contratuais, os acréscimos ou supressões que se fizerem necessários, até o limite de 25% (vinte e cinco por cento) do valor inicial atualizado do contrato, e, no caso de reforma de edifício ou de equipamento, o limite para os acréscimos será de 50% (cinquenta por cento).</w:t>
      </w:r>
    </w:p>
    <w:p>
      <w:pPr>
        <w:pStyle w:val="Nivel2"/>
        <w:numPr>
          <w:ilvl w:val="1"/>
          <w:numId w:val="3"/>
        </w:numPr>
        <w:ind w:hanging="0" w:start="0"/>
        <w:rPr/>
      </w:pPr>
      <w:commentRangeStart w:id="19"/>
      <w:r>
        <w:rPr/>
        <w:t xml:space="preserve">As supressões resultantes de acordo celebrado entre as partes contratantes poderão exceder o limite de </w:t>
      </w:r>
      <w:r>
        <w:rPr>
          <w:color w:val="auto"/>
        </w:rPr>
        <w:t xml:space="preserve">25% (vinte e cinco por cento) </w:t>
      </w:r>
      <w:r>
        <w:rPr/>
        <w:t>do valor inicial atualizado do contrato.</w:t>
      </w:r>
      <w:commentRangeEnd w:id="19"/>
      <w:r>
        <w:commentReference w:id="19"/>
      </w:r>
      <w:r>
        <w:rPr/>
      </w:r>
    </w:p>
    <w:p>
      <w:pPr>
        <w:pStyle w:val="Nivel2"/>
        <w:numPr>
          <w:ilvl w:val="1"/>
          <w:numId w:val="3"/>
        </w:numPr>
        <w:ind w:hanging="0" w:start="0"/>
        <w:rPr/>
      </w:pPr>
      <w: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pPr>
        <w:pStyle w:val="Nivel2"/>
        <w:numPr>
          <w:ilvl w:val="1"/>
          <w:numId w:val="3"/>
        </w:numPr>
        <w:ind w:hanging="0" w:start="0"/>
        <w:rPr/>
      </w:pPr>
      <w:r>
        <w:rPr/>
        <w:t>Registros que não caracterizam alteração do contrato podem ser realizados por simples apostila, dispensada a celebração de termo aditivo, na forma do art. 136 da Lei nº 14.133, de 2021.</w:t>
      </w:r>
    </w:p>
    <w:p>
      <w:pPr>
        <w:pStyle w:val="Nivel01"/>
        <w:numPr>
          <w:ilvl w:val="0"/>
          <w:numId w:val="3"/>
        </w:numPr>
        <w:ind w:hanging="360" w:start="0"/>
        <w:rPr>
          <w:color w:themeColor="background1" w:val="FFFFFF"/>
        </w:rPr>
      </w:pPr>
      <w:r>
        <w:rPr/>
        <w:t>CLÁUSULA DÉCIMA QUINTA – DOTAÇÃO ORÇAMENTÁRIA</w:t>
      </w:r>
    </w:p>
    <w:p>
      <w:pPr>
        <w:pStyle w:val="Nivel2"/>
        <w:numPr>
          <w:ilvl w:val="1"/>
          <w:numId w:val="3"/>
        </w:numPr>
        <w:ind w:hanging="0" w:start="0"/>
        <w:rPr/>
      </w:pPr>
      <w:r>
        <w:rPr/>
        <w:t>As despesas decorrentes da presente contratação correrão à conta de recursos específicos consignados no Orçamento Geral da União deste exercício, na dotação abaixo discriminada:</w:t>
      </w:r>
    </w:p>
    <w:p>
      <w:pPr>
        <w:pStyle w:val="ListParagraph"/>
        <w:numPr>
          <w:ilvl w:val="0"/>
          <w:numId w:val="4"/>
        </w:numPr>
        <w:spacing w:before="120" w:after="120"/>
        <w:ind w:hanging="0" w:start="284"/>
        <w:contextualSpacing/>
        <w:jc w:val="both"/>
        <w:rPr>
          <w:rFonts w:ascii="Arial" w:hAnsi="Arial" w:eastAsia="Arial" w:cs="Arial"/>
          <w:sz w:val="20"/>
          <w:szCs w:val="20"/>
        </w:rPr>
      </w:pPr>
      <w:r>
        <w:rPr>
          <w:rFonts w:eastAsia="Arial" w:cs="Arial" w:ascii="Arial" w:hAnsi="Arial"/>
          <w:sz w:val="20"/>
          <w:szCs w:val="20"/>
        </w:rPr>
        <w:t xml:space="preserve">Gestão/unidade: </w:t>
      </w:r>
      <w:r>
        <w:rPr>
          <w:rFonts w:eastAsia="Arial" w:cs="Arial" w:ascii="Arial" w:hAnsi="Arial"/>
          <w:color w:val="FF0000"/>
          <w:sz w:val="20"/>
          <w:szCs w:val="20"/>
        </w:rPr>
        <w:t>00001/160237</w:t>
      </w:r>
      <w:r>
        <w:rPr>
          <w:rFonts w:eastAsia="Arial" w:cs="Arial" w:ascii="Arial" w:hAnsi="Arial"/>
          <w:sz w:val="20"/>
          <w:szCs w:val="20"/>
        </w:rPr>
        <w:t>;</w:t>
      </w:r>
    </w:p>
    <w:p>
      <w:pPr>
        <w:pStyle w:val="ListParagraph"/>
        <w:numPr>
          <w:ilvl w:val="0"/>
          <w:numId w:val="4"/>
        </w:numPr>
        <w:spacing w:before="120" w:after="120"/>
        <w:ind w:hanging="0" w:start="284"/>
        <w:contextualSpacing/>
        <w:jc w:val="both"/>
        <w:rPr>
          <w:rFonts w:ascii="Arial" w:hAnsi="Arial" w:eastAsia="Arial" w:cs="Arial"/>
          <w:sz w:val="20"/>
          <w:szCs w:val="20"/>
        </w:rPr>
      </w:pPr>
      <w:r>
        <w:rPr>
          <w:rFonts w:eastAsia="Arial" w:cs="Arial" w:ascii="Arial" w:hAnsi="Arial"/>
          <w:sz w:val="20"/>
          <w:szCs w:val="20"/>
        </w:rPr>
        <w:t xml:space="preserve">Fonte de recursos: </w:t>
      </w:r>
      <w:r>
        <w:rPr>
          <w:rFonts w:eastAsia="Arial" w:cs="Arial" w:ascii="Arial" w:hAnsi="Arial"/>
          <w:color w:val="FF0000"/>
          <w:sz w:val="20"/>
          <w:szCs w:val="20"/>
        </w:rPr>
        <w:t>1000000000</w:t>
      </w:r>
      <w:r>
        <w:rPr>
          <w:rFonts w:eastAsia="Arial" w:cs="Arial" w:ascii="Arial" w:hAnsi="Arial"/>
          <w:sz w:val="20"/>
          <w:szCs w:val="20"/>
        </w:rPr>
        <w:t>;</w:t>
      </w:r>
    </w:p>
    <w:p>
      <w:pPr>
        <w:pStyle w:val="ListParagraph"/>
        <w:numPr>
          <w:ilvl w:val="0"/>
          <w:numId w:val="4"/>
        </w:numPr>
        <w:spacing w:before="120" w:after="120"/>
        <w:ind w:hanging="0" w:start="284"/>
        <w:contextualSpacing/>
        <w:jc w:val="both"/>
        <w:rPr>
          <w:rFonts w:ascii="Arial" w:hAnsi="Arial" w:eastAsia="Arial" w:cs="Arial"/>
          <w:sz w:val="20"/>
          <w:szCs w:val="20"/>
        </w:rPr>
      </w:pPr>
      <w:r>
        <w:rPr>
          <w:rFonts w:eastAsia="Arial" w:cs="Arial" w:ascii="Arial" w:hAnsi="Arial"/>
          <w:sz w:val="20"/>
          <w:szCs w:val="20"/>
        </w:rPr>
        <w:t xml:space="preserve">Programa de trabalho: </w:t>
      </w:r>
      <w:r>
        <w:rPr>
          <w:rFonts w:eastAsia="Arial" w:cs="Arial" w:ascii="Arial" w:hAnsi="Arial"/>
          <w:color w:val="FF0000"/>
          <w:sz w:val="20"/>
          <w:szCs w:val="20"/>
        </w:rPr>
        <w:t>2</w:t>
      </w:r>
      <w:r>
        <w:rPr>
          <w:rFonts w:eastAsia="Arial" w:cs="Arial" w:ascii="Arial" w:hAnsi="Arial"/>
          <w:color w:val="FF0000"/>
          <w:sz w:val="20"/>
          <w:szCs w:val="20"/>
        </w:rPr>
        <w:t>32153</w:t>
      </w:r>
      <w:r>
        <w:rPr>
          <w:rFonts w:eastAsia="Arial" w:cs="Arial" w:ascii="Arial" w:hAnsi="Arial"/>
          <w:sz w:val="20"/>
          <w:szCs w:val="20"/>
        </w:rPr>
        <w:t>;</w:t>
      </w:r>
    </w:p>
    <w:p>
      <w:pPr>
        <w:pStyle w:val="ListParagraph"/>
        <w:numPr>
          <w:ilvl w:val="0"/>
          <w:numId w:val="4"/>
        </w:numPr>
        <w:spacing w:before="120" w:after="120"/>
        <w:ind w:hanging="0" w:start="284"/>
        <w:contextualSpacing/>
        <w:jc w:val="both"/>
        <w:rPr>
          <w:rFonts w:ascii="Arial" w:hAnsi="Arial" w:eastAsia="Arial" w:cs="Arial"/>
          <w:sz w:val="20"/>
          <w:szCs w:val="20"/>
        </w:rPr>
      </w:pPr>
      <w:r>
        <w:rPr>
          <w:rFonts w:eastAsia="Arial" w:cs="Arial" w:ascii="Arial" w:hAnsi="Arial"/>
          <w:sz w:val="20"/>
          <w:szCs w:val="20"/>
        </w:rPr>
        <w:t xml:space="preserve">Elemento de despesa: </w:t>
      </w:r>
      <w:r>
        <w:rPr>
          <w:rFonts w:eastAsia="Arial" w:cs="Arial" w:ascii="Arial" w:hAnsi="Arial"/>
          <w:color w:val="FF0000"/>
          <w:sz w:val="20"/>
          <w:szCs w:val="20"/>
        </w:rPr>
        <w:t>339039</w:t>
      </w:r>
      <w:r>
        <w:rPr>
          <w:rFonts w:eastAsia="Arial" w:cs="Arial" w:ascii="Arial" w:hAnsi="Arial"/>
          <w:sz w:val="20"/>
          <w:szCs w:val="20"/>
        </w:rPr>
        <w:t xml:space="preserve">; </w:t>
      </w:r>
    </w:p>
    <w:p>
      <w:pPr>
        <w:pStyle w:val="ListParagraph"/>
        <w:numPr>
          <w:ilvl w:val="0"/>
          <w:numId w:val="4"/>
        </w:numPr>
        <w:spacing w:before="120" w:after="120"/>
        <w:ind w:hanging="0" w:start="284"/>
        <w:contextualSpacing/>
        <w:jc w:val="both"/>
        <w:rPr>
          <w:rFonts w:ascii="Arial" w:hAnsi="Arial" w:eastAsia="Arial" w:cs="Arial"/>
          <w:sz w:val="20"/>
          <w:szCs w:val="20"/>
        </w:rPr>
      </w:pPr>
      <w:r>
        <w:rPr>
          <w:rFonts w:eastAsia="Arial" w:cs="Arial" w:ascii="Arial" w:hAnsi="Arial"/>
          <w:color w:val="auto"/>
          <w:sz w:val="20"/>
          <w:szCs w:val="20"/>
        </w:rPr>
        <w:t>Plano interno:</w:t>
      </w:r>
      <w:r>
        <w:rPr>
          <w:rFonts w:eastAsia="Arial" w:cs="Arial" w:ascii="Arial" w:hAnsi="Arial"/>
          <w:color w:val="FF0000"/>
          <w:sz w:val="20"/>
          <w:szCs w:val="20"/>
        </w:rPr>
        <w:t xml:space="preserve"> </w:t>
      </w:r>
      <w:r>
        <w:rPr>
          <w:rFonts w:eastAsia="Arial" w:cs="Arial" w:ascii="Arial" w:hAnsi="Arial"/>
          <w:color w:val="FF0000"/>
          <w:sz w:val="20"/>
          <w:szCs w:val="20"/>
        </w:rPr>
        <w:t>E6MUPLJDEPA</w:t>
      </w:r>
      <w:r>
        <w:rPr>
          <w:rFonts w:eastAsia="Arial" w:cs="Arial" w:ascii="Arial" w:hAnsi="Arial"/>
          <w:sz w:val="20"/>
          <w:szCs w:val="20"/>
        </w:rPr>
        <w:t>; e</w:t>
      </w:r>
    </w:p>
    <w:p>
      <w:pPr>
        <w:pStyle w:val="ListParagraph"/>
        <w:numPr>
          <w:ilvl w:val="0"/>
          <w:numId w:val="4"/>
        </w:numPr>
        <w:spacing w:before="120" w:after="120"/>
        <w:ind w:hanging="0" w:start="284"/>
        <w:contextualSpacing/>
        <w:jc w:val="both"/>
        <w:rPr>
          <w:rFonts w:eastAsia="MS Mincho"/>
        </w:rPr>
      </w:pPr>
      <w:r>
        <w:rPr>
          <w:rFonts w:eastAsia="Arial" w:cs="Arial" w:ascii="Arial" w:hAnsi="Arial"/>
          <w:sz w:val="20"/>
          <w:szCs w:val="20"/>
        </w:rPr>
        <w:t xml:space="preserve">Nota de empenho: </w:t>
      </w:r>
      <w:r>
        <w:rPr>
          <w:rFonts w:eastAsia="Arial" w:cs="Arial" w:ascii="Arial" w:hAnsi="Arial"/>
          <w:color w:val="FF0000"/>
          <w:sz w:val="20"/>
          <w:szCs w:val="20"/>
        </w:rPr>
        <w:t>[...]</w:t>
      </w:r>
      <w:r>
        <w:rPr>
          <w:rFonts w:eastAsia="Arial" w:cs="Arial" w:ascii="Arial" w:hAnsi="Arial"/>
          <w:sz w:val="20"/>
          <w:szCs w:val="20"/>
        </w:rPr>
        <w:t>;</w:t>
      </w:r>
    </w:p>
    <w:p>
      <w:pPr>
        <w:pStyle w:val="Nvel2-Red"/>
        <w:numPr>
          <w:ilvl w:val="1"/>
          <w:numId w:val="3"/>
        </w:numPr>
        <w:ind w:hanging="0" w:start="0"/>
        <w:rPr>
          <w:i w:val="false"/>
          <w:iCs w:val="false"/>
          <w:color w:val="auto"/>
        </w:rPr>
      </w:pPr>
      <w:commentRangeStart w:id="20"/>
      <w:r>
        <w:rPr>
          <w:i w:val="false"/>
          <w:iCs w:val="false"/>
          <w:color w:val="auto"/>
        </w:rPr>
        <w:t>A dotação relativa aos exercícios financeiros subsequentes será indicada após aprovação da Lei Orçamentária respectiva e liberação dos créditos correspondentes, mediante apostilamento.</w:t>
      </w:r>
      <w:commentRangeEnd w:id="20"/>
      <w:r>
        <w:commentReference w:id="20"/>
      </w:r>
      <w:r>
        <w:rPr>
          <w:i w:val="false"/>
          <w:iCs w:val="false"/>
          <w:color w:val="auto"/>
        </w:rPr>
      </w:r>
    </w:p>
    <w:p>
      <w:pPr>
        <w:pStyle w:val="Nivel01"/>
        <w:numPr>
          <w:ilvl w:val="0"/>
          <w:numId w:val="3"/>
        </w:numPr>
        <w:ind w:hanging="360" w:start="0"/>
        <w:rPr>
          <w:color w:themeColor="background1" w:val="FFFFFF"/>
        </w:rPr>
      </w:pPr>
      <w:r>
        <w:rPr/>
        <w:t>CLÁUSULA DÉCIMA SEXTA – DOS CASOS OMISSOS</w:t>
      </w:r>
    </w:p>
    <w:p>
      <w:pPr>
        <w:pStyle w:val="Nivel2"/>
        <w:numPr>
          <w:ilvl w:val="1"/>
          <w:numId w:val="3"/>
        </w:numPr>
        <w:ind w:hanging="0" w:start="0"/>
        <w:rPr/>
      </w:pPr>
      <w:commentRangeStart w:id="21"/>
      <w:r>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commentRangeEnd w:id="21"/>
      <w:r>
        <w:commentReference w:id="21"/>
      </w:r>
      <w:r>
        <w:rPr/>
      </w:r>
    </w:p>
    <w:p>
      <w:pPr>
        <w:pStyle w:val="Nivel01"/>
        <w:numPr>
          <w:ilvl w:val="0"/>
          <w:numId w:val="3"/>
        </w:numPr>
        <w:ind w:hanging="360" w:start="0"/>
        <w:rPr>
          <w:color w:themeColor="background1" w:val="FFFFFF"/>
        </w:rPr>
      </w:pPr>
      <w:r>
        <w:rPr/>
        <w:t>CLÁUSULA DÉCIMA SÉTIMA – PUBLICAÇÃO</w:t>
      </w:r>
    </w:p>
    <w:p>
      <w:pPr>
        <w:pStyle w:val="Nivel2"/>
        <w:numPr>
          <w:ilvl w:val="1"/>
          <w:numId w:val="3"/>
        </w:numPr>
        <w:ind w:hanging="0" w:start="0"/>
        <w:rPr/>
      </w:pPr>
      <w:r>
        <w:rPr/>
        <w:t xml:space="preserve">Incumbirá ao CONTRATANTE divulgar o presente instrumento no Portal Nacional de Contratações Públicas (PNCP), na forma prevista no art. 94 da Lei 14.133, de 2021, bem como no respectivo sítio oficial na Internet, em atenção ao art. 91, </w:t>
      </w:r>
      <w:r>
        <w:rPr>
          <w:i/>
        </w:rPr>
        <w:t>caput,</w:t>
      </w:r>
      <w:r>
        <w:rPr/>
        <w:t xml:space="preserve"> da Lei n.º 14.133, de 2021, e ao art. 8º, §2º, da Lei n. 12.527, de 2011, c/c art. 7º, §3º, inciso V, do Decreto n. 7.724, de 2012.</w:t>
      </w:r>
    </w:p>
    <w:p>
      <w:pPr>
        <w:pStyle w:val="Nivel01"/>
        <w:numPr>
          <w:ilvl w:val="0"/>
          <w:numId w:val="3"/>
        </w:numPr>
        <w:ind w:hanging="360" w:start="0"/>
        <w:rPr>
          <w:color w:themeColor="background1" w:val="FFFFFF"/>
        </w:rPr>
      </w:pPr>
      <w:r>
        <w:rPr/>
        <w:t>CLÁUSULA DÉCIMA OITAVA– FORO</w:t>
      </w:r>
    </w:p>
    <w:p>
      <w:pPr>
        <w:pStyle w:val="Nivel2"/>
        <w:numPr>
          <w:ilvl w:val="1"/>
          <w:numId w:val="10"/>
        </w:numPr>
        <w:ind w:hanging="0" w:start="0"/>
        <w:rPr/>
      </w:pPr>
      <w:r>
        <w:rPr>
          <w:i w:val="false"/>
          <w:iCs w:val="false"/>
          <w:color w:val="auto"/>
          <w:sz w:val="20"/>
        </w:rPr>
        <w:t>Fica eleito o Foro da Justiça Federal em Rio de Janeiro, Seção Judiciária de Judiciária do Rio de Janeiro</w:t>
      </w:r>
      <w:r>
        <w:rPr/>
        <w:t xml:space="preserve"> para dirimir os litígios que decorrerem da execução deste Termo de Contrato que não puderem ser compostos pela conciliação, conforme art. 92, §1º, da Lei nº 14.133, de 2021.</w:t>
      </w:r>
    </w:p>
    <w:p>
      <w:pPr>
        <w:pStyle w:val="Nivel2"/>
        <w:numPr>
          <w:ilvl w:val="0"/>
          <w:numId w:val="0"/>
        </w:numPr>
        <w:ind w:hanging="0" w:start="0"/>
        <w:rPr/>
      </w:pPr>
      <w:r>
        <w:rPr/>
      </w:r>
    </w:p>
    <w:p>
      <w:pPr>
        <w:pStyle w:val="Nivel2"/>
        <w:numPr>
          <w:ilvl w:val="0"/>
          <w:numId w:val="0"/>
        </w:numPr>
        <w:spacing w:lineRule="auto" w:line="312" w:before="120" w:after="288"/>
        <w:ind w:firstLine="567" w:start="0"/>
        <w:jc w:val="end"/>
        <w:rPr>
          <w:i w:val="false"/>
          <w:iCs w:val="false"/>
          <w:color w:val="auto"/>
        </w:rPr>
      </w:pPr>
      <w:r>
        <w:rPr>
          <w:i w:val="false"/>
          <w:iCs w:val="false"/>
          <w:color w:val="auto"/>
        </w:rPr>
        <w:t>Rio de janeiro, xx de xxxxxxxxx de 2026.</w:t>
      </w:r>
    </w:p>
    <w:p>
      <w:pPr>
        <w:pStyle w:val="Normal"/>
        <w:spacing w:lineRule="auto" w:line="312" w:before="120" w:after="288"/>
        <w:ind w:firstLine="567"/>
        <w:jc w:val="center"/>
        <w:rPr>
          <w:rFonts w:ascii="Arial" w:hAnsi="Arial" w:cs="Arial"/>
          <w:bCs/>
          <w:sz w:val="20"/>
          <w:szCs w:val="20"/>
        </w:rPr>
      </w:pPr>
      <w:r>
        <w:rPr>
          <w:rFonts w:cs="Arial" w:ascii="Arial" w:hAnsi="Arial"/>
          <w:bCs/>
          <w:sz w:val="20"/>
          <w:szCs w:val="20"/>
        </w:rPr>
        <w:t>_________________________</w:t>
      </w:r>
    </w:p>
    <w:p>
      <w:pPr>
        <w:pStyle w:val="Normal"/>
        <w:spacing w:lineRule="auto" w:line="312" w:before="120" w:after="288"/>
        <w:ind w:firstLine="567"/>
        <w:jc w:val="center"/>
        <w:rPr>
          <w:rFonts w:ascii="Arial" w:hAnsi="Arial" w:cs="Arial"/>
          <w:bCs/>
          <w:sz w:val="20"/>
          <w:szCs w:val="20"/>
        </w:rPr>
      </w:pPr>
      <w:r>
        <w:rPr>
          <w:rFonts w:cs="Arial" w:ascii="Arial" w:hAnsi="Arial"/>
          <w:bCs/>
          <w:sz w:val="20"/>
          <w:szCs w:val="20"/>
        </w:rPr>
        <w:t>Representante legal do CONTRATANTE</w:t>
      </w:r>
    </w:p>
    <w:p>
      <w:pPr>
        <w:pStyle w:val="Normal"/>
        <w:spacing w:lineRule="auto" w:line="312" w:before="120" w:after="288"/>
        <w:ind w:firstLine="567"/>
        <w:jc w:val="center"/>
        <w:rPr>
          <w:rFonts w:ascii="Arial" w:hAnsi="Arial" w:cs="Arial"/>
          <w:sz w:val="20"/>
          <w:szCs w:val="20"/>
        </w:rPr>
      </w:pPr>
      <w:r>
        <w:rPr>
          <w:rFonts w:cs="Arial" w:ascii="Arial" w:hAnsi="Arial"/>
          <w:sz w:val="20"/>
          <w:szCs w:val="20"/>
        </w:rPr>
        <w:t>_________________________</w:t>
      </w:r>
    </w:p>
    <w:p>
      <w:pPr>
        <w:pStyle w:val="Normal"/>
        <w:spacing w:lineRule="auto" w:line="312" w:before="120" w:after="288"/>
        <w:ind w:firstLine="567"/>
        <w:jc w:val="center"/>
        <w:rPr>
          <w:rFonts w:ascii="Arial" w:hAnsi="Arial" w:cs="Arial"/>
          <w:sz w:val="20"/>
          <w:szCs w:val="20"/>
        </w:rPr>
      </w:pPr>
      <w:r>
        <w:rPr>
          <w:rFonts w:cs="Arial" w:ascii="Arial" w:hAnsi="Arial"/>
          <w:bCs/>
          <w:sz w:val="20"/>
          <w:szCs w:val="20"/>
        </w:rPr>
        <w:t>Representante</w:t>
      </w:r>
      <w:r>
        <w:rPr>
          <w:rFonts w:cs="Arial" w:ascii="Arial" w:hAnsi="Arial"/>
          <w:sz w:val="20"/>
          <w:szCs w:val="20"/>
        </w:rPr>
        <w:t xml:space="preserve"> legal do CONTRATADO</w:t>
      </w:r>
    </w:p>
    <w:p>
      <w:pPr>
        <w:pStyle w:val="Normal"/>
        <w:spacing w:lineRule="auto" w:line="312" w:before="120" w:after="288"/>
        <w:ind w:firstLine="567"/>
        <w:jc w:val="both"/>
        <w:rPr>
          <w:i w:val="false"/>
          <w:iCs w:val="false"/>
          <w:color w:val="auto"/>
        </w:rPr>
      </w:pPr>
      <w:r>
        <w:rPr>
          <w:rFonts w:cs="Arial" w:ascii="Arial" w:hAnsi="Arial"/>
          <w:i w:val="false"/>
          <w:iCs w:val="false"/>
          <w:color w:val="auto"/>
          <w:sz w:val="20"/>
          <w:szCs w:val="20"/>
        </w:rPr>
        <w:t>TESTEMUNHAS:</w:t>
      </w:r>
    </w:p>
    <w:p>
      <w:pPr>
        <w:pStyle w:val="Normal"/>
        <w:spacing w:lineRule="auto" w:line="312" w:before="120" w:after="288"/>
        <w:ind w:firstLine="567"/>
        <w:rPr>
          <w:i w:val="false"/>
          <w:iCs w:val="false"/>
          <w:color w:val="auto"/>
        </w:rPr>
      </w:pPr>
      <w:r>
        <w:rPr>
          <w:rFonts w:cs="Arial" w:ascii="Arial" w:hAnsi="Arial"/>
          <w:i w:val="false"/>
          <w:iCs w:val="false"/>
          <w:color w:val="auto"/>
          <w:sz w:val="20"/>
          <w:szCs w:val="20"/>
        </w:rPr>
        <w:t>1-</w:t>
      </w:r>
    </w:p>
    <w:p>
      <w:pPr>
        <w:pStyle w:val="Normal"/>
        <w:spacing w:lineRule="auto" w:line="312" w:before="120" w:after="288"/>
        <w:ind w:firstLine="567"/>
        <w:rPr>
          <w:rFonts w:ascii="Arial" w:hAnsi="Arial"/>
          <w:sz w:val="20"/>
        </w:rPr>
      </w:pPr>
      <w:r>
        <w:rPr>
          <w:rFonts w:cs="Arial" w:ascii="Arial" w:hAnsi="Arial"/>
          <w:i w:val="false"/>
          <w:iCs w:val="false"/>
          <w:color w:val="auto"/>
          <w:sz w:val="20"/>
          <w:szCs w:val="20"/>
        </w:rPr>
        <w:t xml:space="preserve">2- </w:t>
      </w:r>
      <w:r>
        <w:rPr/>
        <w:commentReference w:id="22"/>
      </w:r>
      <w:commentRangeStart w:id="24"/>
      <w:r>
        <w:rPr/>
        <w:commentReference w:id="23"/>
      </w:r>
      <w:r>
        <w:rPr>
          <w:rFonts w:cs="Arial" w:ascii="Arial" w:hAnsi="Arial"/>
          <w:i/>
          <w:iCs/>
          <w:color w:val="FF0000"/>
          <w:sz w:val="20"/>
          <w:szCs w:val="20"/>
        </w:rPr>
        <w:t xml:space="preserve"> </w:t>
      </w:r>
      <w:commentRangeEnd w:id="24"/>
      <w:r>
        <w:commentReference w:id="24"/>
      </w:r>
      <w:r>
        <w:rPr>
          <w:rFonts w:cs="Arial" w:ascii="Arial" w:hAnsi="Arial"/>
          <w:i/>
          <w:iCs/>
          <w:color w:val="FF0000"/>
          <w:sz w:val="20"/>
          <w:szCs w:val="20"/>
        </w:rP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134" w:right="1134" w:gutter="0" w:header="709" w:top="1418" w:footer="709" w:bottom="1418"/>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 xml:space="preserve">ORIENTAÇÕES PARA USO DO MODELO – </w:t>
      </w:r>
      <w:r>
        <w:rPr>
          <w:rFonts w:cs="Times New Roman" w:eastAsiaTheme="minorEastAsia" w:eastAsia="Segoe UI" w:ascii="Liberation Serif" w:hAnsi="Liberation Serif"/>
          <w:b/>
          <w:bCs/>
          <w:i/>
          <w:iCs/>
          <w:color w:val="FF0000"/>
          <w:sz w:val="20"/>
          <w:szCs w:val="20"/>
          <w:lang w:val="en-US" w:eastAsia="en-US" w:bidi="en-US"/>
        </w:rPr>
        <w:t>LEITURA OBRIGATÓRIA</w:t>
      </w:r>
    </w:p>
    <w:p>
      <w:pPr>
        <w:overflowPunct w:val="false"/>
        <w:rPr/>
      </w:pPr>
      <w:r>
        <w:rPr>
          <w:rFonts w:cs="Times New Roman" w:eastAsiaTheme="minorEastAsia" w:eastAsia="Segoe UI" w:ascii="Liberation Serif" w:hAnsi="Liberation Serif"/>
          <w:b/>
          <w:bCs/>
          <w:i/>
          <w:iCs/>
          <w:color w:val="000000"/>
          <w:sz w:val="20"/>
          <w:szCs w:val="20"/>
          <w:lang w:val="en-US" w:eastAsia="en-US" w:bidi="en-US"/>
        </w:rPr>
        <w:t>1)</w:t>
      </w:r>
      <w:r>
        <w:rPr>
          <w:rFonts w:cs="Times New Roman" w:eastAsiaTheme="minorEastAsia" w:eastAsia="Segoe UI" w:ascii="Liberation Serif" w:hAnsi="Liberation Serif"/>
          <w:i/>
          <w:iCs/>
          <w:color w:val="000000"/>
          <w:sz w:val="20"/>
          <w:szCs w:val="20"/>
          <w:lang w:val="en-US" w:eastAsia="en-US" w:bidi="en-US"/>
        </w:rPr>
        <w:t xml:space="preserve"> O presente modelo de Contrato procura fornecer um ponto de partida para a definição do objeto e condições da contratação. </w:t>
      </w:r>
      <w:r>
        <w:rPr>
          <w:rFonts w:cs="Times New Roman" w:eastAsiaTheme="minorEastAsia" w:eastAsia="Segoe UI" w:ascii="Liberation Serif" w:hAnsi="Liberation Serif"/>
          <w:b/>
          <w:bCs/>
          <w:i/>
          <w:iCs/>
          <w:color w:val="000000"/>
          <w:sz w:val="20"/>
          <w:szCs w:val="20"/>
          <w:lang w:val="en-US" w:eastAsia="en-US" w:bidi="en-US"/>
        </w:rPr>
        <w:t>As cláusulas contidas nos modelos de minuta contratual, ao contrário do TR, foram feitas para sofrerem poucas alterações. No entanto, havendo a necessidade de modificações, remanesce plenamente possível assim proceder.</w:t>
      </w:r>
    </w:p>
    <w:p>
      <w:pPr>
        <w:overflowPunct w:val="false"/>
        <w:rPr/>
      </w:pPr>
      <w:r>
        <w:rPr>
          <w:rFonts w:cs="Times New Roman" w:eastAsiaTheme="minorEastAsia" w:eastAsia="Segoe UI" w:ascii="Liberation Serif" w:hAnsi="Liberation Serif"/>
          <w:b/>
          <w:bCs/>
          <w:i/>
          <w:iCs/>
          <w:color w:val="000000"/>
          <w:sz w:val="20"/>
          <w:szCs w:val="20"/>
          <w:lang w:val="en-US" w:eastAsia="en-US" w:bidi="en-US"/>
        </w:rPr>
        <w:t>2)</w:t>
      </w:r>
      <w:r>
        <w:rPr>
          <w:rFonts w:cs="Times New Roman" w:eastAsiaTheme="minorEastAsia" w:eastAsia="Segoe UI" w:ascii="Liberation Serif" w:hAnsi="Liberation Serif"/>
          <w:i/>
          <w:iCs/>
          <w:color w:val="000000"/>
          <w:sz w:val="20"/>
          <w:szCs w:val="20"/>
          <w:lang w:val="en-US" w:eastAsia="en-US" w:bidi="en-US"/>
        </w:rPr>
        <w:t xml:space="preserve"> A redação em preto consiste no que se espera ser invariável. Ela até pode sofrer modificações a depender do caso concreto, mas a diferença é que não são disposições feitas para variar. Por essa razão, </w:t>
      </w:r>
      <w:r>
        <w:rPr>
          <w:rFonts w:cs="Times New Roman" w:eastAsiaTheme="minorEastAsia" w:eastAsia="Segoe UI" w:ascii="Liberation Serif" w:hAnsi="Liberation Serif"/>
          <w:b/>
          <w:bCs/>
          <w:i/>
          <w:iCs/>
          <w:color w:val="000000"/>
          <w:sz w:val="20"/>
          <w:szCs w:val="20"/>
          <w:lang w:val="en-US" w:eastAsia="en-US" w:bidi="en-US"/>
        </w:rPr>
        <w:t>quaisquer modificações nas partes em preto, sem marcação de itálico, devem necessariamente ser justificadas nos autos,</w:t>
      </w:r>
      <w:r>
        <w:rPr>
          <w:rFonts w:cs="Times New Roman" w:eastAsiaTheme="minorEastAsia" w:eastAsia="Segoe UI" w:ascii="Liberation Serif" w:hAnsi="Liberation Serif"/>
          <w:i/>
          <w:iCs/>
          <w:color w:val="000000"/>
          <w:sz w:val="20"/>
          <w:szCs w:val="20"/>
          <w:lang w:val="en-US" w:eastAsia="en-US" w:bidi="en-US"/>
        </w:rPr>
        <w:t xml:space="preserve"> sem prejuízo de eventual consulta ao órgão de assessoramento jurídico respectivo, a depender da matéria.</w:t>
      </w:r>
    </w:p>
    <w:p>
      <w:pPr>
        <w:overflowPunct w:val="false"/>
        <w:rPr/>
      </w:pPr>
      <w:r>
        <w:rPr>
          <w:rFonts w:cs="Times New Roman" w:eastAsiaTheme="minorEastAsia" w:eastAsia="Segoe UI" w:ascii="Liberation Serif" w:hAnsi="Liberation Serif"/>
          <w:b/>
          <w:bCs/>
          <w:i/>
          <w:iCs/>
          <w:color w:val="000000"/>
          <w:sz w:val="20"/>
          <w:szCs w:val="20"/>
          <w:lang w:val="en-US" w:eastAsia="en-US" w:bidi="en-US"/>
        </w:rPr>
        <w:t>3)</w:t>
      </w:r>
      <w:r>
        <w:rPr>
          <w:rFonts w:cs="Times New Roman" w:eastAsiaTheme="minorEastAsia" w:eastAsia="Segoe UI" w:ascii="Liberation Serif" w:hAnsi="Liberation Serif"/>
          <w:i/>
          <w:iCs/>
          <w:color w:val="000000"/>
          <w:sz w:val="20"/>
          <w:szCs w:val="20"/>
          <w:lang w:val="en-US" w:eastAsia="en-US" w:bidi="en-US"/>
        </w:rPr>
        <w:t xml:space="preserve"> </w:t>
      </w:r>
      <w:r>
        <w:rPr>
          <w:rFonts w:cs="Times New Roman" w:eastAsiaTheme="minorEastAsia" w:eastAsia="Segoe UI" w:ascii="Liberation Serif" w:hAnsi="Liberation Serif"/>
          <w:i/>
          <w:iCs/>
          <w:color w:val="FF0000"/>
          <w:sz w:val="20"/>
          <w:szCs w:val="20"/>
          <w:lang w:val="en-US" w:eastAsia="en-US" w:bidi="en-US"/>
        </w:rPr>
        <w:t>Os itens deste modelo destacados em vermelho itálico devem ser preenchidos ou adotados pelo órgão ou entidade pública contratante segundo critérios de oportunidade e conveniência</w:t>
      </w:r>
      <w:r>
        <w:rPr>
          <w:rFonts w:cs="Times New Roman" w:eastAsiaTheme="minorEastAsia" w:eastAsia="Segoe UI" w:ascii="Liberation Serif" w:hAnsi="Liberation Serif"/>
          <w:i/>
          <w:iCs/>
          <w:color w:val="000000"/>
          <w:sz w:val="20"/>
          <w:szCs w:val="20"/>
          <w:lang w:val="en-US" w:eastAsia="en-US" w:bidi="en-US"/>
        </w:rPr>
        <w:t xml:space="preserve">, de acordo com as peculiaridades do objeto e cuidando-se para que sejam reproduzidas as mesmas definições nos demais instrumentos da contratação (minuta do Edital, se for o caso, e minuta de Termo de Referência), para que não conflitem. São previsões feitas para variarem. Eventuais justificativas podem ser exigidas a depender do caso. </w:t>
      </w:r>
    </w:p>
    <w:p>
      <w:pPr>
        <w:overflowPunct w:val="false"/>
        <w:rPr/>
      </w:pPr>
      <w:r>
        <w:rPr>
          <w:rFonts w:cs="Times New Roman" w:eastAsiaTheme="minorEastAsia" w:eastAsia="Segoe UI" w:ascii="Liberation Serif" w:hAnsi="Liberation Serif"/>
          <w:b/>
          <w:bCs/>
          <w:i/>
          <w:iCs/>
          <w:color w:val="000000"/>
          <w:sz w:val="20"/>
          <w:szCs w:val="20"/>
          <w:lang w:val="en-US" w:eastAsia="en-US" w:bidi="en-US"/>
        </w:rPr>
        <w:t>4)</w:t>
      </w:r>
      <w:r>
        <w:rPr>
          <w:rFonts w:cs="Times New Roman" w:eastAsiaTheme="minorEastAsia" w:eastAsia="Segoe UI" w:ascii="Liberation Serif" w:hAnsi="Liberation Serif"/>
          <w:i/>
          <w:iCs/>
          <w:color w:val="000000"/>
          <w:sz w:val="20"/>
          <w:szCs w:val="20"/>
          <w:lang w:val="en-US" w:eastAsia="en-US" w:bidi="en-US"/>
        </w:rPr>
        <w:t xml:space="preserve"> </w:t>
      </w:r>
      <w:r>
        <w:rPr>
          <w:rFonts w:cs="Times New Roman" w:eastAsiaTheme="minorEastAsia" w:eastAsia="Segoe UI" w:ascii="Liberation Serif" w:hAnsi="Liberation Serif"/>
          <w:b/>
          <w:bCs/>
          <w:i/>
          <w:iCs/>
          <w:color w:val="000000"/>
          <w:sz w:val="20"/>
          <w:szCs w:val="20"/>
          <w:lang w:val="en-US" w:eastAsia="en-US" w:bidi="en-US"/>
        </w:rPr>
        <w:t>Alguns itens receberam notas explicativas, destacadas para compreensão do agente ou setor responsável pela elaboração da Minuta Contratual</w:t>
      </w:r>
      <w:r>
        <w:rPr>
          <w:rFonts w:cs="Times New Roman" w:eastAsiaTheme="minorEastAsia" w:eastAsia="Segoe UI" w:ascii="Liberation Serif" w:hAnsi="Liberation Serif"/>
          <w:i/>
          <w:iCs/>
          <w:color w:val="000000"/>
          <w:sz w:val="20"/>
          <w:szCs w:val="20"/>
          <w:lang w:val="en-US" w:eastAsia="en-US" w:bidi="en-US"/>
        </w:rPr>
        <w:t xml:space="preserve">, que deverão ser devidamente suprimidas ao se finalizar o documento na versão original. </w:t>
      </w:r>
    </w:p>
    <w:p>
      <w:pPr>
        <w:overflowPunct w:val="false"/>
        <w:rPr/>
      </w:pPr>
      <w:r>
        <w:rPr>
          <w:rFonts w:cs="Times New Roman" w:eastAsiaTheme="minorEastAsia" w:eastAsia="Segoe UI" w:ascii="Liberation Serif" w:hAnsi="Liberation Serif"/>
          <w:b/>
          <w:bCs/>
          <w:i/>
          <w:iCs/>
          <w:color w:val="000000"/>
          <w:sz w:val="20"/>
          <w:szCs w:val="20"/>
          <w:lang w:val="en-US" w:eastAsia="en-US" w:bidi="en-US"/>
        </w:rPr>
        <w:t>5)</w:t>
      </w:r>
      <w:r>
        <w:rPr>
          <w:rFonts w:cs="Times New Roman" w:eastAsiaTheme="minorEastAsia" w:eastAsia="Segoe UI" w:ascii="Liberation Serif" w:hAnsi="Liberation Serif"/>
          <w:i/>
          <w:iCs/>
          <w:color w:val="000000"/>
          <w:sz w:val="20"/>
          <w:szCs w:val="20"/>
          <w:lang w:val="en-US" w:eastAsia="en-US" w:bidi="en-US"/>
        </w:rPr>
        <w:t xml:space="preserve"> </w:t>
      </w:r>
      <w:r>
        <w:rPr>
          <w:rFonts w:cs="Times New Roman" w:eastAsiaTheme="minorEastAsia" w:eastAsia="Segoe UI" w:ascii="Liberation Serif" w:hAnsi="Liberation Serif"/>
          <w:b/>
          <w:bCs/>
          <w:i/>
          <w:iCs/>
          <w:color w:val="000000"/>
          <w:sz w:val="20"/>
          <w:szCs w:val="20"/>
          <w:lang w:val="en-US" w:eastAsia="en-US" w:bidi="en-US"/>
        </w:rPr>
        <w:t>Recomenda-se indicar no processo a versão (mês e ano) utilizada para elaboração da minuta</w:t>
      </w:r>
      <w:r>
        <w:rPr>
          <w:rFonts w:cs="Times New Roman" w:eastAsiaTheme="minorEastAsia" w:eastAsia="Segoe UI" w:ascii="Liberation Serif" w:hAnsi="Liberation Serif"/>
          <w:i/>
          <w:iCs/>
          <w:color w:val="000000"/>
          <w:sz w:val="20"/>
          <w:szCs w:val="20"/>
          <w:lang w:val="en-US" w:eastAsia="en-US" w:bidi="en-US"/>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na checagem.</w:t>
      </w:r>
    </w:p>
    <w:p>
      <w:pPr>
        <w:overflowPunct w:val="false"/>
        <w:rPr/>
      </w:pPr>
      <w:r>
        <w:rPr>
          <w:rFonts w:cs="Times New Roman" w:eastAsiaTheme="minorEastAsia" w:eastAsia="Segoe UI" w:ascii="Liberation Serif" w:hAnsi="Liberation Serif"/>
          <w:b/>
          <w:bCs/>
          <w:i/>
          <w:iCs/>
          <w:color w:val="000000"/>
          <w:sz w:val="20"/>
          <w:szCs w:val="20"/>
          <w:lang w:val="en-US" w:eastAsia="en-US" w:bidi="en-US"/>
        </w:rPr>
        <w:t>6)</w:t>
      </w:r>
      <w:r>
        <w:rPr>
          <w:rFonts w:cs="Times New Roman" w:eastAsiaTheme="minorEastAsia" w:eastAsia="Segoe UI" w:ascii="Liberation Serif" w:hAnsi="Liberation Serif"/>
          <w:i/>
          <w:iCs/>
          <w:color w:val="000000"/>
          <w:sz w:val="20"/>
          <w:szCs w:val="20"/>
          <w:lang w:val="en-US" w:eastAsia="en-US" w:bidi="en-US"/>
        </w:rPr>
        <w:t xml:space="preserve"> O registro das atualizações feitas (Nota de Atualização) em cada versão pode ser obtido na página principal dos modelos de licitações e contratos no sítio eletrônico da AGU. Quaisquer sugestões de alteração poderão ser encaminhadas ao e-mail: </w:t>
      </w:r>
      <w:hyperlink r:id="rId1">
        <w:r>
          <w:rPr>
            <w:rFonts w:cs="Times New Roman" w:eastAsiaTheme="minorEastAsia" w:eastAsia="Segoe UI" w:ascii="Liberation Serif" w:hAnsi="Liberation Serif"/>
            <w:i/>
            <w:iCs/>
            <w:color w:val="000000"/>
            <w:sz w:val="20"/>
            <w:szCs w:val="20"/>
            <w:lang w:val="en-US" w:eastAsia="en-US" w:bidi="en-US"/>
          </w:rPr>
          <w:t>cgu.modeloscontratacao@agu.gov.br</w:t>
        </w:r>
      </w:hyperlink>
    </w:p>
    <w:p>
      <w:pPr>
        <w:overflowPunct w:val="false"/>
        <w:rPr/>
      </w:pPr>
      <w:r>
        <w:rPr>
          <w:rFonts w:cs="Times New Roman" w:eastAsiaTheme="minorEastAsia" w:eastAsia="Segoe UI" w:ascii="Liberation Serif" w:hAnsi="Liberation Serif"/>
          <w:b/>
          <w:bCs/>
          <w:i/>
          <w:iCs/>
          <w:color w:val="000000"/>
          <w:sz w:val="20"/>
          <w:szCs w:val="20"/>
          <w:lang w:val="en-US" w:eastAsia="en-US" w:bidi="en-US"/>
        </w:rPr>
        <w:t>7)</w:t>
      </w:r>
      <w:r>
        <w:rPr>
          <w:rFonts w:cs="Times New Roman" w:eastAsiaTheme="minorEastAsia" w:eastAsia="Segoe UI" w:ascii="Liberation Serif" w:hAnsi="Liberation Serif"/>
          <w:i/>
          <w:iCs/>
          <w:color w:val="000000"/>
          <w:sz w:val="20"/>
          <w:szCs w:val="20"/>
          <w:lang w:val="en-US" w:eastAsia="en-US" w:bidi="en-US"/>
        </w:rPr>
        <w:t xml:space="preserve"> 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Nota explicativa:</w:t>
      </w:r>
      <w:r>
        <w:rPr>
          <w:rFonts w:cs="Times New Roman" w:eastAsiaTheme="minorEastAsia" w:eastAsia="Segoe UI" w:ascii="Liberation Serif" w:hAnsi="Liberation Serif"/>
          <w:i/>
          <w:iCs/>
          <w:color w:val="000000"/>
          <w:sz w:val="20"/>
          <w:szCs w:val="20"/>
          <w:lang w:val="en-US" w:eastAsia="en-US" w:bidi="en-US"/>
        </w:rPr>
        <w:t xml:space="preserve"> O PARECER n.00004/2022/CNMLC/CGU/AGU (NUP: 00688.000716/2019-43), elaborado pela Câmara Nacional de Modelos de Licitação e Contratos Administrativos e aprovado pelo Consultor-Geral da União, ao tratar sobre a aplicação da Lei Geral de Proteção de Dados nos modelos de licitação e contratos, fixou o entendimento de que, nos contratos administrativos, “[...] </w:t>
      </w:r>
      <w:r>
        <w:rPr>
          <w:rFonts w:cs="Times New Roman" w:eastAsiaTheme="minorEastAsia" w:eastAsia="Segoe UI" w:ascii="Liberation Serif" w:hAnsi="Liberation Serif"/>
          <w:b/>
          <w:bCs/>
          <w:i/>
          <w:iCs/>
          <w:color w:val="000000"/>
          <w:sz w:val="20"/>
          <w:szCs w:val="20"/>
          <w:lang w:val="en-US" w:eastAsia="en-US" w:bidi="en-US"/>
        </w:rPr>
        <w:t>não constem os números de documentos pessoais das pessoas naturais que irão assiná-los, como ocorre normalmente com os representantes da Administração e da empresa contratada</w:t>
      </w:r>
      <w:r>
        <w:rPr>
          <w:rFonts w:cs="Times New Roman" w:eastAsiaTheme="minorEastAsia" w:eastAsia="Segoe UI" w:ascii="Liberation Serif" w:hAnsi="Liberation Serif"/>
          <w:i/>
          <w:iCs/>
          <w:color w:val="000000"/>
          <w:sz w:val="20"/>
          <w:szCs w:val="20"/>
          <w:lang w:val="en-US" w:eastAsia="en-US" w:bidi="en-US"/>
        </w:rPr>
        <w:t xml:space="preserve">. Em vez disso, propõe-se nos instrumentos contratuais os representantes da Administração sejam identificados apenas com a matrícula funcional [...]. Com relação aos representantes da contratada também se propõe que os instrumentos contratuais os identifiquem apenas pelo nome, até porque o </w:t>
      </w:r>
      <w:r>
        <w:fldChar w:fldCharType="begin"/>
      </w:r>
      <w:r>
        <w:instrText xml:space="preserve"> HYPERLINK "https://www.planalto.gov.br/ccivil_03/leis/l8666cons.htm" \l "art61"</w:instrText>
      </w:r>
      <w:r>
        <w:fldChar w:fldCharType="separate"/>
      </w:r>
      <w:r>
        <w:rPr>
          <w:rFonts w:cs="Times New Roman" w:eastAsiaTheme="minorEastAsia" w:eastAsia="Segoe UI" w:ascii="Liberation Serif" w:hAnsi="Liberation Serif"/>
          <w:i/>
          <w:iCs/>
          <w:color w:val="000000"/>
          <w:sz w:val="20"/>
          <w:szCs w:val="20"/>
          <w:lang w:val="en-US" w:eastAsia="en-US" w:bidi="en-US"/>
        </w:rPr>
        <w:t>art. 61 da Lei nº 8.666, de 1993</w:t>
      </w:r>
      <w:r>
        <w:fldChar w:fldCharType="end"/>
      </w:r>
      <w:r>
        <w:rPr>
          <w:rFonts w:cs="Times New Roman" w:eastAsiaTheme="minorEastAsia" w:eastAsia="Segoe UI" w:ascii="Liberation Serif" w:hAnsi="Liberation Serif"/>
          <w:i/>
          <w:iCs/>
          <w:color w:val="000000"/>
          <w:sz w:val="20"/>
          <w:szCs w:val="20"/>
          <w:lang w:val="en-US" w:eastAsia="en-US" w:bidi="en-US"/>
        </w:rPr>
        <w:t xml:space="preserve">, e o </w:t>
      </w:r>
      <w:r>
        <w:fldChar w:fldCharType="begin"/>
      </w:r>
      <w:r>
        <w:instrText xml:space="preserve"> HYPERLINK "http://www.planalto.gov.br/ccivil_03/_ato2019-2022/2021/lei/L14133.htm" \l "art89%C2%A71"</w:instrText>
      </w:r>
      <w:r>
        <w:fldChar w:fldCharType="separate"/>
      </w:r>
      <w:r>
        <w:rPr>
          <w:rFonts w:cs="Times New Roman" w:eastAsiaTheme="minorEastAsia" w:eastAsia="Segoe UI" w:ascii="Liberation Serif" w:hAnsi="Liberation Serif"/>
          <w:i/>
          <w:iCs/>
          <w:color w:val="000000"/>
          <w:sz w:val="20"/>
          <w:szCs w:val="20"/>
          <w:lang w:val="en-US" w:eastAsia="en-US" w:bidi="en-US"/>
        </w:rPr>
        <w:t>§1º do art. 89 da Lei nº 14.133, de 1º de abril de 2021</w:t>
      </w:r>
      <w:r>
        <w:fldChar w:fldCharType="end"/>
      </w:r>
      <w:r>
        <w:rPr>
          <w:rFonts w:cs="Times New Roman" w:eastAsiaTheme="minorEastAsia" w:eastAsia="Segoe UI" w:ascii="Liberation Serif" w:hAnsi="Liberation Serif"/>
          <w:i/>
          <w:iCs/>
          <w:color w:val="000000"/>
          <w:sz w:val="20"/>
          <w:szCs w:val="20"/>
          <w:lang w:val="en-US" w:eastAsia="en-US" w:bidi="en-US"/>
        </w:rPr>
        <w:t>, exigem apenas esse dado”.</w:t>
      </w:r>
    </w:p>
  </w:comment>
  <w:comment w:id="2"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Nota Explicativa</w:t>
      </w:r>
      <w:r>
        <w:rPr>
          <w:rFonts w:cs="Times New Roman" w:eastAsiaTheme="minorEastAsia" w:eastAsia="Segoe UI" w:ascii="Liberation Serif" w:hAnsi="Liberation Serif"/>
          <w:i/>
          <w:iCs/>
          <w:color w:val="000000"/>
          <w:sz w:val="20"/>
          <w:szCs w:val="20"/>
          <w:lang w:val="en-US" w:eastAsia="en-US" w:bidi="en-US"/>
        </w:rPr>
        <w:t>: Caso seja exigida a garantia na modalidade seguro-garantia com cláusula de retomada, já no preâmbulo do contrato deverá ser acrescentada a menção à seguradora, com a respectiva qualificação, que será doravante designada como INTERVENIENTE ANUENTE.</w:t>
      </w:r>
    </w:p>
  </w:comment>
  <w:comment w:id="3" w:author="" w:initials="">
    <w:p>
      <w:pPr>
        <w:overflowPunct w:val="true"/>
        <w:rPr/>
      </w:pPr>
      <w:r>
        <w:annotationRef/>
      </w:r>
      <w:r>
        <w:rPr>
          <w:rFonts w:ascii="Times New Roman" w:hAnsi="Times New Roman" w:cs="Times New Roman" w:eastAsiaTheme="minorEastAsia"/>
          <w:sz w:val="20"/>
          <w:szCs w:val="20"/>
          <w:lang w:eastAsia="en-US"/>
        </w:rPr>
      </w:r>
    </w:p>
  </w:comment>
  <w:comment w:id="4" w:author="Autor" w:initials="A">
    <w:p>
      <w:pPr>
        <w:overflowPunct w:val="true"/>
        <w:rPr/>
      </w:pPr>
      <w:r>
        <w:annotationRef/>
      </w:r>
      <w:r>
        <w:rPr>
          <w:rFonts w:cs="Times New Roman" w:eastAsiaTheme="minorEastAsia" w:eastAsia="Segoe UI" w:ascii="Liberation Serif" w:hAnsi="Liberation Serif"/>
          <w:b/>
          <w:bCs/>
          <w:i/>
          <w:iCs/>
          <w:sz w:val="20"/>
          <w:szCs w:val="20"/>
          <w:lang w:val="en-US" w:eastAsia="en-US" w:bidi="en-US"/>
        </w:rPr>
        <w:t>Nota Explicativa</w:t>
      </w:r>
      <w:r>
        <w:rPr>
          <w:rFonts w:cs="Times New Roman" w:eastAsiaTheme="minorEastAsia" w:eastAsia="Segoe UI" w:ascii="Liberation Serif" w:hAnsi="Liberation Serif"/>
          <w:i/>
          <w:iCs/>
          <w:sz w:val="20"/>
          <w:szCs w:val="20"/>
          <w:lang w:val="en-US" w:eastAsia="en-US" w:bidi="en-US"/>
        </w:rPr>
        <w:t>: Caso o objeto envolva parte sujeita ao regime de empreitada por preço global e parte sujeita ao regime de empreitada por preço unitário, em que os serviços são prestados e pagos sob demanda, ajustar a cláusula conforme a necessidade.</w:t>
      </w:r>
    </w:p>
  </w:comment>
  <w:comment w:id="5" w:author="Autor" w:initials="A">
    <w:p>
      <w:pPr>
        <w:overflowPunct w:val="false"/>
        <w:rPr/>
      </w:pPr>
      <w:r>
        <w:annotationRef/>
      </w:r>
      <w:r>
        <w:rPr>
          <w:rFonts w:cs="Times New Roman" w:eastAsiaTheme="minorEastAsia" w:eastAsia="Segoe UI" w:ascii="Liberation Serif" w:hAnsi="Liberation Serif"/>
          <w:b/>
          <w:i/>
          <w:sz w:val="20"/>
          <w:szCs w:val="20"/>
          <w:lang w:val="en-US" w:eastAsia="en-US" w:bidi="en-US"/>
        </w:rPr>
        <w:t>Nota Explicativa</w:t>
      </w:r>
      <w:r>
        <w:rPr>
          <w:rFonts w:cs="Times New Roman" w:eastAsiaTheme="minorEastAsia" w:eastAsia="Segoe UI" w:ascii="Liberation Serif" w:hAnsi="Liberation Serif"/>
          <w:i/>
          <w:sz w:val="20"/>
          <w:szCs w:val="20"/>
          <w:lang w:val="en-US" w:eastAsia="en-US" w:bidi="en-US"/>
        </w:rPr>
        <w:t>: As disposições a seguir decorrem dos arts. 106 e 107 da Lei nº 14.133, de 2021, bem como dos dispositivos cabíveis da Instrução Normativa SEGES/MP nº 5 de 26 de maio de 2017, cuja aplicação aos processos de licitação de serviços de que dispõe a Lei n.º 14.133, de 2021, foi autorizada pela Instrução Normativa SEGES/ME nº 98, de 26 de dezembro de 2022.</w:t>
      </w:r>
    </w:p>
  </w:comment>
  <w:comment w:id="6" w:author="" w:initials="">
    <w:p>
      <w:pPr>
        <w:overflowPunct w:val="true"/>
        <w:rPr/>
      </w:pPr>
      <w:r>
        <w:annotationRef/>
      </w:r>
      <w:r>
        <w:rPr>
          <w:rFonts w:ascii="Times New Roman" w:hAnsi="Times New Roman" w:cs="Times New Roman" w:eastAsiaTheme="minorEastAsia"/>
          <w:sz w:val="20"/>
          <w:szCs w:val="20"/>
          <w:lang w:eastAsia="en-US"/>
        </w:rPr>
      </w:r>
    </w:p>
  </w:comment>
  <w:comment w:id="7" w:author="Autor" w:initials="A">
    <w:p>
      <w:pPr>
        <w:overflowPunct w:val="true"/>
        <w:rPr/>
      </w:pPr>
      <w:r>
        <w:annotationRef/>
      </w:r>
      <w:r>
        <w:rPr>
          <w:rFonts w:cs="Times New Roman" w:eastAsiaTheme="minorEastAsia" w:eastAsia="Segoe UI" w:ascii="Liberation Serif" w:hAnsi="Liberation Serif"/>
          <w:b/>
          <w:bCs/>
          <w:i/>
          <w:iCs/>
          <w:color w:val="000000"/>
          <w:sz w:val="20"/>
          <w:szCs w:val="20"/>
          <w:lang w:val="en-US" w:eastAsia="en-US" w:bidi="en-US"/>
        </w:rPr>
        <w:t xml:space="preserve">Nota Explicativa: </w:t>
      </w:r>
      <w:r>
        <w:rPr>
          <w:rFonts w:cs="Times New Roman" w:eastAsiaTheme="minorEastAsia" w:eastAsia="Segoe UI" w:ascii="Liberation Serif" w:hAnsi="Liberation Serif"/>
          <w:i/>
          <w:iCs/>
          <w:color w:val="000000"/>
          <w:sz w:val="20"/>
          <w:szCs w:val="20"/>
          <w:lang w:val="en-US" w:eastAsia="en-US" w:bidi="en-US"/>
        </w:rPr>
        <w:t xml:space="preserve">Utilizar a redação do subitem 2.1 e 2.2 para </w:t>
      </w:r>
      <w:r>
        <w:rPr>
          <w:rFonts w:cs="Times New Roman" w:eastAsiaTheme="minorEastAsia" w:eastAsia="Segoe UI" w:ascii="Liberation Serif" w:hAnsi="Liberation Serif"/>
          <w:b/>
          <w:bCs/>
          <w:i/>
          <w:iCs/>
          <w:color w:val="000000"/>
          <w:sz w:val="20"/>
          <w:szCs w:val="20"/>
          <w:lang w:val="en-US" w:eastAsia="en-US" w:bidi="en-US"/>
        </w:rPr>
        <w:t>contratos de escopo</w:t>
      </w:r>
      <w:r>
        <w:rPr>
          <w:rFonts w:cs="Times New Roman" w:eastAsiaTheme="minorEastAsia" w:eastAsia="Segoe UI" w:ascii="Liberation Serif" w:hAnsi="Liberation Serif"/>
          <w:i/>
          <w:iCs/>
          <w:color w:val="000000"/>
          <w:sz w:val="20"/>
          <w:szCs w:val="20"/>
          <w:lang w:val="en-US" w:eastAsia="en-US" w:bidi="en-US"/>
        </w:rPr>
        <w:t xml:space="preserve">, cuja vigência se fundamenta no </w:t>
      </w:r>
      <w:r>
        <w:fldChar w:fldCharType="begin"/>
      </w:r>
      <w:r>
        <w:instrText xml:space="preserve"> HYPERLINK "http://www.planalto.gov.br/ccivil_03/_ato2019-2022/2021/lei/L14133.htm" \l "art105"</w:instrText>
      </w:r>
      <w:r>
        <w:fldChar w:fldCharType="separate"/>
      </w:r>
      <w:r>
        <w:rPr>
          <w:rFonts w:cs="Times New Roman" w:eastAsiaTheme="minorEastAsia" w:eastAsia="Segoe UI" w:ascii="Liberation Serif" w:hAnsi="Liberation Serif"/>
          <w:i/>
          <w:iCs/>
          <w:color w:val="000000"/>
          <w:sz w:val="20"/>
          <w:szCs w:val="20"/>
          <w:lang w:val="en-US" w:eastAsia="en-US" w:bidi="en-US"/>
        </w:rPr>
        <w:t>art. 105 da Lei n.º 14.133, de 2021</w:t>
      </w:r>
      <w:r>
        <w:fldChar w:fldCharType="end"/>
      </w:r>
    </w:p>
  </w:comment>
  <w:comment w:id="8"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Nota explicativa</w:t>
      </w:r>
      <w:r>
        <w:rPr>
          <w:rFonts w:cs="Times New Roman" w:eastAsiaTheme="minorEastAsia" w:eastAsia="Segoe UI" w:ascii="Liberation Serif" w:hAnsi="Liberation Serif"/>
          <w:i/>
          <w:iCs/>
          <w:color w:val="000000"/>
          <w:sz w:val="20"/>
          <w:szCs w:val="20"/>
          <w:lang w:val="en-US" w:eastAsia="en-US" w:bidi="en-US"/>
        </w:rPr>
        <w:t>: Caso se trate de contrato de valor estimativo, em que a própria demanda é variável, cabe inserir o subitem acima.</w:t>
      </w:r>
    </w:p>
  </w:comment>
  <w:comment w:id="9"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 xml:space="preserve">Nota Explicativa: </w:t>
      </w:r>
      <w:r>
        <w:rPr>
          <w:rFonts w:cs="Times New Roman" w:eastAsiaTheme="minorEastAsia" w:eastAsia="Segoe UI" w:ascii="Liberation Serif" w:hAnsi="Liberation Serif"/>
          <w:i/>
          <w:iCs/>
          <w:color w:val="000000"/>
          <w:sz w:val="20"/>
          <w:szCs w:val="20"/>
          <w:lang w:val="en-US" w:eastAsia="en-US" w:bidi="en-US"/>
        </w:rPr>
        <w:t>Nos termos do art. 123 da Lei nº 14.133/21, a Administração tem o dever de decidir questões contratuais que lhe são apresentadas. O prazo desse item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10" w:author="Autor" w:initials="A">
    <w:p>
      <w:pPr>
        <w:overflowPunct w:val="false"/>
        <w:rPr/>
      </w:pPr>
      <w:r>
        <w:annotationRef/>
      </w:r>
      <w:r>
        <w:rPr>
          <w:rFonts w:cs="Times New Roman" w:eastAsiaTheme="minorEastAsia" w:eastAsia="Segoe UI" w:ascii="Liberation Serif" w:hAnsi="Liberation Serif"/>
          <w:b/>
          <w:bCs/>
          <w:i/>
          <w:iCs/>
          <w:sz w:val="20"/>
          <w:szCs w:val="20"/>
          <w:lang w:val="en-US" w:eastAsia="en-US" w:bidi="en-US"/>
        </w:rPr>
        <w:t>Nota Explicativa:</w:t>
      </w:r>
      <w:r>
        <w:rPr>
          <w:rFonts w:cs="Times New Roman" w:eastAsiaTheme="minorEastAsia" w:eastAsia="Segoe UI" w:ascii="Liberation Serif" w:hAnsi="Liberation Serif"/>
          <w:i/>
          <w:iCs/>
          <w:sz w:val="20"/>
          <w:szCs w:val="20"/>
          <w:lang w:val="en-US" w:eastAsia="en-US" w:bidi="en-US"/>
        </w:rP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11"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Nota Explicativa:</w:t>
      </w:r>
      <w:r>
        <w:rPr>
          <w:rFonts w:cs="Times New Roman" w:eastAsiaTheme="minorEastAsia" w:eastAsia="Segoe UI" w:ascii="Liberation Serif" w:hAnsi="Liberation Serif"/>
          <w:i/>
          <w:iCs/>
          <w:color w:val="000000"/>
          <w:sz w:val="20"/>
          <w:szCs w:val="20"/>
          <w:lang w:val="en-US" w:eastAsia="en-US" w:bidi="en-US"/>
        </w:rPr>
        <w:t xml:space="preserve"> Essa disposição decorre do §4º, do art. 137, da Lei nº 14.133, de 2021.</w:t>
      </w:r>
    </w:p>
  </w:comment>
  <w:comment w:id="13" w:author="Autor" w:initials="A">
    <w:p>
      <w:pPr>
        <w:overflowPunct w:val="false"/>
        <w:rPr/>
      </w:pPr>
      <w:r>
        <w:annotationRef/>
      </w:r>
      <w:r>
        <w:rPr>
          <w:rFonts w:cs="Times New Roman" w:eastAsiaTheme="minorEastAsia" w:eastAsia="Segoe UI" w:ascii="Liberation Serif" w:hAnsi="Liberation Serif"/>
          <w:b/>
          <w:bCs/>
          <w:i/>
          <w:iCs/>
          <w:sz w:val="20"/>
          <w:szCs w:val="20"/>
          <w:lang w:val="en-US" w:eastAsia="en-US" w:bidi="en-US"/>
        </w:rPr>
        <w:t>Nota Explicativa 1:</w:t>
      </w:r>
      <w:r>
        <w:rPr>
          <w:rFonts w:cs="Times New Roman" w:eastAsiaTheme="minorEastAsia" w:eastAsia="Segoe UI" w:ascii="Liberation Serif" w:hAnsi="Liberation Serif"/>
          <w:i/>
          <w:iCs/>
          <w:sz w:val="20"/>
          <w:szCs w:val="20"/>
          <w:lang w:val="en-US" w:eastAsia="en-US" w:bidi="en-US"/>
        </w:rPr>
        <w:t xml:space="preserve"> No caso de órgãos ou entidades públicas vinculados ao Ministério da Economia, considerada a edição da </w:t>
      </w:r>
      <w:hyperlink r:id="rId2">
        <w:r>
          <w:rPr>
            <w:rFonts w:cs="Times New Roman" w:eastAsiaTheme="minorEastAsia" w:eastAsia="Segoe UI" w:ascii="Liberation Serif" w:hAnsi="Liberation Serif"/>
            <w:i/>
            <w:iCs/>
            <w:sz w:val="20"/>
            <w:szCs w:val="20"/>
            <w:lang w:val="en-US" w:eastAsia="en-US" w:bidi="en-US"/>
          </w:rPr>
          <w:t>Portaria ME n° 1.144, de 3 de fevereiro de 2021</w:t>
        </w:r>
      </w:hyperlink>
      <w:r>
        <w:rPr>
          <w:rFonts w:cs="Times New Roman" w:eastAsiaTheme="minorEastAsia" w:eastAsia="Segoe UI" w:ascii="Liberation Serif" w:hAnsi="Liberation Serif"/>
          <w:i/>
          <w:iCs/>
          <w:sz w:val="20"/>
          <w:szCs w:val="20"/>
          <w:lang w:val="en-US" w:eastAsia="en-US" w:bidi="en-US"/>
        </w:rPr>
        <w:t xml:space="preserve">, que disciplina os procedimentos e as rotinas para prevenção do nepotismo e responsabilização das suas ocorrências no âmbito daquele Ministério, necessário incluir, nesse item, subitem com o seguinte teor: </w:t>
      </w:r>
    </w:p>
    <w:p>
      <w:pPr>
        <w:overflowPunct w:val="false"/>
        <w:rPr/>
      </w:pPr>
      <w:r>
        <w:rPr>
          <w:rFonts w:cs="Times New Roman" w:eastAsiaTheme="minorEastAsia" w:eastAsia="Segoe UI" w:ascii="Liberation Serif" w:hAnsi="Liberation Serif"/>
          <w:i/>
          <w:iCs/>
          <w:sz w:val="20"/>
          <w:szCs w:val="20"/>
          <w:lang w:val="en-US" w:eastAsia="en-US" w:bidi="en-US"/>
        </w:rPr>
        <w:t xml:space="preserve">“.x. Apresentar as declarações firmadas pelos terceirizados indicados aos postos de serviços contratados, em conformidade com o </w:t>
      </w:r>
      <w:r>
        <w:fldChar w:fldCharType="begin"/>
      </w:r>
      <w:r>
        <w:instrText xml:space="preserve"> HYPERLINK "http://www.planalto.gov.br/ccivil_03/_ato2019-2022/2021/lei/L14133.htm" \l "art5"</w:instrText>
      </w:r>
      <w:r>
        <w:fldChar w:fldCharType="separate"/>
      </w:r>
      <w:r>
        <w:rPr>
          <w:rFonts w:cs="Times New Roman" w:eastAsiaTheme="minorEastAsia" w:eastAsia="Segoe UI" w:ascii="Liberation Serif" w:hAnsi="Liberation Serif"/>
          <w:i/>
          <w:iCs/>
          <w:sz w:val="20"/>
          <w:szCs w:val="20"/>
          <w:lang w:val="en-US" w:eastAsia="en-US" w:bidi="en-US"/>
        </w:rPr>
        <w:t>artigo 5°, inciso I, da Portaria ME n° 1.144, de 3 de fevereiro de 2021</w:t>
      </w:r>
      <w:r>
        <w:fldChar w:fldCharType="end"/>
      </w:r>
      <w:r>
        <w:rPr>
          <w:rFonts w:cs="Times New Roman" w:eastAsiaTheme="minorEastAsia" w:eastAsia="Segoe UI" w:ascii="Liberation Serif" w:hAnsi="Liberation Serif"/>
          <w:i/>
          <w:iCs/>
          <w:sz w:val="20"/>
          <w:szCs w:val="20"/>
          <w:lang w:val="en-US" w:eastAsia="en-US" w:bidi="en-US"/>
        </w:rPr>
        <w:t xml:space="preserve">, atestando ausência de relação familiar ou de parentesco que importe a prática de nepotismo, nos termos do disposto no </w:t>
      </w:r>
      <w:r>
        <w:fldChar w:fldCharType="begin"/>
      </w:r>
      <w:r>
        <w:instrText xml:space="preserve"> HYPERLINK "http://www.planalto.gov.br/ccivil_03/_ato2019-2022/2021/lei/L14133.htm" \l "art2"</w:instrText>
      </w:r>
      <w:r>
        <w:fldChar w:fldCharType="separate"/>
      </w:r>
      <w:r>
        <w:rPr>
          <w:rFonts w:cs="Times New Roman" w:eastAsiaTheme="minorEastAsia" w:eastAsia="Segoe UI" w:ascii="Liberation Serif" w:hAnsi="Liberation Serif"/>
          <w:i/>
          <w:iCs/>
          <w:sz w:val="20"/>
          <w:szCs w:val="20"/>
          <w:lang w:val="en-US" w:eastAsia="en-US" w:bidi="en-US"/>
        </w:rPr>
        <w:t>inciso II do artigo 2° daquele normativo.”</w:t>
      </w:r>
      <w:r>
        <w:fldChar w:fldCharType="end"/>
      </w:r>
    </w:p>
  </w:comment>
  <w:comment w:id="12"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Nota Explicativa</w:t>
      </w:r>
      <w:r>
        <w:rPr>
          <w:rFonts w:cs="Times New Roman" w:eastAsiaTheme="minorEastAsia" w:eastAsia="Segoe UI" w:ascii="Liberation Serif" w:hAnsi="Liberation Serif"/>
          <w:i/>
          <w:iCs/>
          <w:color w:val="000000"/>
          <w:sz w:val="20"/>
          <w:szCs w:val="20"/>
          <w:lang w:val="en-US" w:eastAsia="en-US" w:bidi="en-US"/>
        </w:rPr>
        <w:t xml:space="preserve">. Este modelo contém obrigações gerais que podem ser aplicadas aos mais diversos tipos de contratações. Entretanto, compete ao órgão verificar as peculiaridades a fim de definir quais obrigações serão aplicáveis, incluindo, modificando ou excluindo itens a depender das especificidades do </w:t>
      </w:r>
      <w:r>
        <w:rPr>
          <w:rFonts w:cs="Times New Roman" w:eastAsiaTheme="minorEastAsia" w:eastAsia="Segoe UI" w:ascii="Liberation Serif" w:hAnsi="Liberation Serif"/>
          <w:i/>
          <w:iCs/>
          <w:sz w:val="20"/>
          <w:szCs w:val="20"/>
          <w:lang w:val="en-US" w:eastAsia="en-US" w:bidi="en-US"/>
        </w:rPr>
        <w:t>objeto.</w:t>
      </w:r>
    </w:p>
  </w:comment>
  <w:comment w:id="15"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Nota Explicativa</w:t>
      </w:r>
      <w:r>
        <w:rPr>
          <w:rFonts w:cs="Times New Roman" w:eastAsiaTheme="minorEastAsia" w:eastAsia="Segoe UI" w:ascii="Liberation Serif" w:hAnsi="Liberation Serif"/>
          <w:i/>
          <w:iCs/>
          <w:color w:val="000000"/>
          <w:sz w:val="20"/>
          <w:szCs w:val="20"/>
          <w:lang w:val="en-US" w:eastAsia="en-US" w:bidi="en-US"/>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4"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Nota Explicativa</w:t>
      </w:r>
      <w:r>
        <w:rPr>
          <w:rFonts w:cs="Times New Roman" w:eastAsiaTheme="minorEastAsia" w:eastAsia="Segoe UI" w:ascii="Liberation Serif" w:hAnsi="Liberation Serif"/>
          <w:i/>
          <w:iCs/>
          <w:color w:val="000000"/>
          <w:sz w:val="20"/>
          <w:szCs w:val="20"/>
          <w:lang w:val="en-US" w:eastAsia="en-US" w:bidi="en-US"/>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6"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Nota explicativa 1:</w:t>
      </w:r>
      <w:r>
        <w:rPr>
          <w:rFonts w:cs="Times New Roman" w:eastAsiaTheme="minorEastAsia" w:eastAsia="Segoe UI" w:ascii="Liberation Serif" w:hAnsi="Liberation Serif"/>
          <w:i/>
          <w:iCs/>
          <w:color w:val="000000"/>
          <w:sz w:val="20"/>
          <w:szCs w:val="20"/>
          <w:lang w:val="en-US" w:eastAsia="en-US" w:bidi="en-US"/>
        </w:rPr>
        <w:t xml:space="preserve"> O artigo 193 do CTN preceitua que a prova da quitação de todos os tributos devidos dar-se-á no âmbito da Fazenda Pública interessada. Portanto, a comprovação de inscrição no cadastro de contribuinte e regularidade fiscal correspondente considerará a natureza da atividade objeto da contratação.</w:t>
      </w:r>
    </w:p>
    <w:p>
      <w:pPr>
        <w:overflowPunct w:val="false"/>
        <w:rPr/>
      </w:pPr>
      <w:r>
        <w:rPr>
          <w:rFonts w:cs="Times New Roman" w:eastAsiaTheme="minorEastAsia" w:eastAsia="Segoe UI" w:ascii="Liberation Serif" w:hAnsi="Liberation Serif"/>
          <w:i/>
          <w:iCs/>
          <w:color w:val="000000"/>
          <w:sz w:val="20"/>
          <w:szCs w:val="20"/>
          <w:lang w:val="en-US" w:eastAsia="en-US" w:bidi="en-US"/>
        </w:rPr>
        <w:t xml:space="preserve">Via de regra, a prestação de serviços de modo geral é hipótese de incidência de tributação municipal (Imposto Sobre Serviços de Qualquer Natureza - ISSQN), conforme lista anexa </w:t>
      </w:r>
      <w:r>
        <w:rPr>
          <w:rFonts w:cs="Times New Roman" w:eastAsiaTheme="minorEastAsia" w:eastAsia="Segoe UI" w:ascii="Liberation Serif" w:hAnsi="Liberation Serif"/>
          <w:i/>
          <w:iCs/>
          <w:sz w:val="20"/>
          <w:szCs w:val="20"/>
          <w:lang w:val="en-US" w:eastAsia="en-US" w:bidi="en-US"/>
        </w:rPr>
        <w:t>à Lei Complementar nº 116/2003</w:t>
      </w:r>
      <w:r>
        <w:rPr>
          <w:rFonts w:cs="Times New Roman" w:eastAsiaTheme="minorEastAsia" w:eastAsia="Segoe UI" w:ascii="Liberation Serif" w:hAnsi="Liberation Serif"/>
          <w:i/>
          <w:iCs/>
          <w:color w:val="000000"/>
          <w:sz w:val="20"/>
          <w:szCs w:val="20"/>
          <w:lang w:val="en-US" w:eastAsia="en-US" w:bidi="en-US"/>
        </w:rPr>
        <w:t xml:space="preserve">.  </w:t>
      </w:r>
    </w:p>
    <w:p>
      <w:pPr>
        <w:overflowPunct w:val="false"/>
        <w:rPr/>
      </w:pPr>
      <w:r>
        <w:rPr>
          <w:rFonts w:cs="Times New Roman" w:eastAsiaTheme="minorEastAsia" w:eastAsia="Segoe UI" w:ascii="Liberation Serif" w:hAnsi="Liberation Serif"/>
          <w:i/>
          <w:iCs/>
          <w:color w:val="000000"/>
          <w:sz w:val="20"/>
          <w:szCs w:val="20"/>
          <w:lang w:val="en-US" w:eastAsia="en-US" w:bidi="en-US"/>
        </w:rPr>
        <w:t>Existem, contudo, situações em que a prestação de um serviço pode dar ensejo à incidência de tributação estadual pelo ICMS. Como exemplos, citem-se os serviços de transporte interestadual e intermunicipal e os serviços de comunicação (</w:t>
      </w:r>
      <w:r>
        <w:rPr>
          <w:rFonts w:cs="Times New Roman" w:eastAsiaTheme="minorEastAsia" w:eastAsia="Segoe UI" w:ascii="Liberation Serif" w:hAnsi="Liberation Serif"/>
          <w:i/>
          <w:iCs/>
          <w:sz w:val="20"/>
          <w:szCs w:val="20"/>
          <w:lang w:val="en-US" w:eastAsia="en-US" w:bidi="en-US"/>
        </w:rPr>
        <w:t>art. 155, II, da CF/88</w:t>
      </w:r>
      <w:r>
        <w:rPr>
          <w:rFonts w:cs="Times New Roman" w:eastAsiaTheme="minorEastAsia" w:eastAsia="Segoe UI" w:ascii="Liberation Serif" w:hAnsi="Liberation Serif"/>
          <w:i/>
          <w:iCs/>
          <w:color w:val="000000"/>
          <w:sz w:val="20"/>
          <w:szCs w:val="20"/>
          <w:lang w:val="en-US" w:eastAsia="en-US" w:bidi="en-US"/>
        </w:rPr>
        <w:t xml:space="preserve">), bem como as exceções expressamente previstas na lista da referida LC 116/2003. </w:t>
      </w:r>
    </w:p>
  </w:comment>
  <w:comment w:id="17" w:author="Autor" w:initials="A">
    <w:p>
      <w:pPr>
        <w:overflowPunct w:val="false"/>
        <w:rPr/>
      </w:pPr>
      <w:r>
        <w:annotationRef/>
      </w:r>
      <w:r>
        <w:rPr>
          <w:rFonts w:cs="Times New Roman" w:eastAsiaTheme="minorEastAsia" w:eastAsia="Segoe UI" w:ascii="Liberation Serif" w:hAnsi="Liberation Serif"/>
          <w:b/>
          <w:bCs/>
          <w:i/>
          <w:iCs/>
          <w:sz w:val="20"/>
          <w:szCs w:val="20"/>
          <w:lang w:val="en-US" w:eastAsia="en-US" w:bidi="en-US"/>
        </w:rPr>
        <w:t>Nota Explicativa</w:t>
      </w:r>
      <w:r>
        <w:rPr>
          <w:rFonts w:cs="Times New Roman" w:eastAsiaTheme="minorEastAsia" w:eastAsia="Segoe UI" w:ascii="Liberation Serif" w:hAnsi="Liberation Serif"/>
          <w:i/>
          <w:iCs/>
          <w:sz w:val="20"/>
          <w:szCs w:val="20"/>
          <w:lang w:val="en-US" w:eastAsia="en-US" w:bidi="en-US"/>
        </w:rPr>
        <w:t>: O Termo de Referência deverá definir os profissionais que serão necessários à execução do objeto licitado para, então, permitir delimitar a necessidade de inscrição do Contratado nos conselhos profissionais competentes, podendo haver mais de um no caso equipe multidisciplinar ou de as competências exigidas serem comuns aos profissionais necessários à execução do objeto contratual. Para serviços de engenharia, os conselhos profissionais que normalmente fiscalizam os profissionais necessários são o CREA, o CAU e o CFT.</w:t>
      </w:r>
    </w:p>
  </w:comment>
  <w:comment w:id="18" w:author="Autor" w:initials="A">
    <w:p>
      <w:pPr>
        <w:overflowPunct w:val="false"/>
        <w:rPr/>
      </w:pPr>
      <w:r>
        <w:annotationRef/>
      </w:r>
      <w:r>
        <w:rPr>
          <w:rFonts w:cs="Times New Roman" w:eastAsiaTheme="minorEastAsia" w:eastAsia="Segoe UI" w:ascii="Liberation Serif" w:hAnsi="Liberation Serif"/>
          <w:b/>
          <w:bCs/>
          <w:i/>
          <w:iCs/>
          <w:sz w:val="20"/>
          <w:szCs w:val="20"/>
          <w:lang w:val="en-US" w:eastAsia="en-US" w:bidi="en-US"/>
        </w:rPr>
        <w:t xml:space="preserve">Nota Explicativa: </w:t>
      </w:r>
      <w:r>
        <w:rPr>
          <w:rFonts w:cs="Times New Roman" w:eastAsiaTheme="minorEastAsia" w:eastAsia="Segoe UI" w:ascii="Liberation Serif" w:hAnsi="Liberation Serif"/>
          <w:i/>
          <w:iCs/>
          <w:sz w:val="20"/>
          <w:szCs w:val="20"/>
          <w:lang w:val="en-US" w:eastAsia="en-US" w:bidi="en-US"/>
        </w:rPr>
        <w:t>Caso o Contratante tenha optado por atribuir ao Contratado a obrigação de elaboração do projeto executivo, esses deverão ser incluídos.</w:t>
      </w:r>
    </w:p>
  </w:comment>
  <w:comment w:id="19" w:author="Autor" w:initials="A">
    <w:p>
      <w:pPr>
        <w:overflowPunct w:val="false"/>
        <w:rPr/>
      </w:pPr>
      <w:r>
        <w:annotationRef/>
      </w:r>
      <w:r>
        <w:rPr>
          <w:rFonts w:cs="Times New Roman" w:eastAsiaTheme="minorEastAsia" w:eastAsia="Segoe UI" w:ascii="Liberation Serif" w:hAnsi="Liberation Serif"/>
          <w:b/>
          <w:bCs/>
          <w:i/>
          <w:iCs/>
          <w:sz w:val="20"/>
          <w:szCs w:val="20"/>
          <w:lang w:val="en-US" w:eastAsia="en-US" w:bidi="en-US"/>
        </w:rPr>
        <w:t>Nota Explicativa:</w:t>
      </w:r>
      <w:r>
        <w:rPr>
          <w:rFonts w:cs="Times New Roman" w:eastAsiaTheme="minorEastAsia" w:eastAsia="Segoe UI" w:ascii="Liberation Serif" w:hAnsi="Liberation Serif"/>
          <w:sz w:val="20"/>
          <w:szCs w:val="20"/>
          <w:lang w:val="en-US" w:eastAsia="en-US" w:bidi="en-US"/>
        </w:rPr>
        <w:t xml:space="preserve"> </w:t>
      </w:r>
      <w:r>
        <w:rPr>
          <w:rFonts w:cs="Times New Roman" w:eastAsiaTheme="minorEastAsia" w:eastAsia="Segoe UI" w:ascii="Liberation Serif" w:hAnsi="Liberation Serif"/>
          <w:i/>
          <w:iCs/>
          <w:sz w:val="20"/>
          <w:szCs w:val="20"/>
          <w:lang w:val="en-US" w:eastAsia="en-US" w:bidi="en-US"/>
        </w:rPr>
        <w:t xml:space="preserve">A Consultoria-Geral da União, por meio do PARECER n. 00061/2024/DECOR/CGU/AGU (NUP: 00688.001623/2024-01), uniformizou o entendimento de que é possível a supressão do objeto do contrato administrativo em percentual superior a 25% (art. 125 da Lei 14.133/2021), mediante acordo entre as partes, nos seguintes termos: </w:t>
      </w:r>
    </w:p>
    <w:p>
      <w:pPr>
        <w:overflowPunct w:val="false"/>
        <w:rPr/>
      </w:pPr>
      <w:r>
        <w:rPr>
          <w:rFonts w:cs="Times New Roman" w:eastAsiaTheme="minorEastAsia" w:eastAsia="Segoe UI" w:ascii="Liberation Serif" w:hAnsi="Liberation Serif"/>
          <w:i/>
          <w:iCs/>
          <w:sz w:val="20"/>
          <w:szCs w:val="20"/>
          <w:lang w:val="en-US" w:eastAsia="en-US" w:bidi="en-US"/>
        </w:rPr>
        <w:t> </w:t>
      </w:r>
    </w:p>
    <w:p>
      <w:pPr>
        <w:overflowPunct w:val="false"/>
        <w:rPr/>
      </w:pPr>
      <w:r>
        <w:rPr>
          <w:rFonts w:cs="Times New Roman" w:eastAsiaTheme="minorEastAsia" w:eastAsia="Segoe UI" w:ascii="Liberation Serif" w:hAnsi="Liberation Serif"/>
          <w:i/>
          <w:iCs/>
          <w:sz w:val="20"/>
          <w:szCs w:val="20"/>
          <w:lang w:val="en-US" w:eastAsia="en-US" w:bidi="en-US"/>
        </w:rPr>
        <w:t xml:space="preserve">"36.  Diante de tudo quanto exposto, conclui-se ser possível a </w:t>
      </w:r>
      <w:r>
        <w:rPr>
          <w:rFonts w:cs="Times New Roman" w:eastAsiaTheme="minorEastAsia" w:eastAsia="Segoe UI" w:ascii="Liberation Serif" w:hAnsi="Liberation Serif"/>
          <w:b/>
          <w:bCs/>
          <w:i/>
          <w:iCs/>
          <w:sz w:val="20"/>
          <w:szCs w:val="20"/>
          <w:lang w:val="en-US" w:eastAsia="en-US" w:bidi="en-US"/>
        </w:rPr>
        <w:t>supressão</w:t>
      </w:r>
      <w:r>
        <w:rPr>
          <w:rFonts w:cs="Times New Roman" w:eastAsiaTheme="minorEastAsia" w:eastAsia="Segoe UI" w:ascii="Liberation Serif" w:hAnsi="Liberation Serif"/>
          <w:i/>
          <w:iCs/>
          <w:sz w:val="20"/>
          <w:szCs w:val="20"/>
          <w:lang w:val="en-US" w:eastAsia="en-US" w:bidi="en-US"/>
        </w:rPr>
        <w:t xml:space="preserve"> </w:t>
      </w:r>
      <w:r>
        <w:rPr>
          <w:rFonts w:cs="Times New Roman" w:eastAsiaTheme="minorEastAsia" w:eastAsia="Segoe UI" w:ascii="Liberation Serif" w:hAnsi="Liberation Serif"/>
          <w:b/>
          <w:bCs/>
          <w:i/>
          <w:iCs/>
          <w:sz w:val="20"/>
          <w:szCs w:val="20"/>
          <w:lang w:val="en-US" w:eastAsia="en-US" w:bidi="en-US"/>
        </w:rPr>
        <w:t xml:space="preserve">parcial consensual de contrato administrativo em percentual superior àqueles estabelecidos pelo art. 125 da Lei 14.133/2021. </w:t>
      </w:r>
    </w:p>
    <w:p>
      <w:pPr>
        <w:overflowPunct w:val="false"/>
        <w:rPr/>
      </w:pPr>
      <w:r>
        <w:rPr>
          <w:rFonts w:cs="Times New Roman" w:eastAsiaTheme="minorEastAsia" w:eastAsia="Segoe UI" w:ascii="Liberation Serif" w:hAnsi="Liberation Serif"/>
          <w:i/>
          <w:iCs/>
          <w:sz w:val="20"/>
          <w:szCs w:val="20"/>
          <w:lang w:val="en-US" w:eastAsia="en-US" w:bidi="en-US"/>
        </w:rPr>
        <w:t>37. Tal supressão parcial consensual do contrato administrativo deve respeitar os princípios enunciados no art. 5º da Lei 14.133/2021; deve ser adequadamente fundamentada; e pode ensejar a responsabilização de servidor por falha do projeto.</w:t>
      </w:r>
    </w:p>
    <w:p>
      <w:pPr>
        <w:overflowPunct w:val="false"/>
        <w:rPr/>
      </w:pPr>
      <w:r>
        <w:rPr>
          <w:rFonts w:cs="Times New Roman" w:eastAsiaTheme="minorEastAsia" w:eastAsia="Segoe UI" w:ascii="Liberation Serif" w:hAnsi="Liberation Serif"/>
          <w:i/>
          <w:iCs/>
          <w:sz w:val="20"/>
          <w:szCs w:val="20"/>
          <w:lang w:val="en-US" w:eastAsia="en-US" w:bidi="en-US"/>
        </w:rPr>
        <w:t>38. Sugere-se, ainda, veicular, no edital da licitação, a possibilidade de supressão do contrato administrativo de maneira consensual em percentual superior ao estabelecido no art. 125 da Lei 14.133/2021."</w:t>
      </w:r>
    </w:p>
  </w:comment>
  <w:comment w:id="20"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Nota Explicativa:</w:t>
      </w:r>
      <w:r>
        <w:rPr>
          <w:rFonts w:cs="Times New Roman" w:eastAsiaTheme="minorEastAsia" w:eastAsia="Segoe UI" w:ascii="Liberation Serif" w:hAnsi="Liberation Serif"/>
          <w:i/>
          <w:iCs/>
          <w:color w:val="000000"/>
          <w:sz w:val="20"/>
          <w:szCs w:val="20"/>
          <w:lang w:val="en-US" w:eastAsia="en-US" w:bidi="en-US"/>
        </w:rPr>
        <w:t xml:space="preserve"> O art. 106, II, da Lei nº 14.133, de 2021 prevê para contratações de fornecimentos continuados que “a Administração deverá atestar, no início da contratação e de cada exercício, a existência de créditos orçamentários vinculados à contratação e a vantagem em sua manutenção”.</w:t>
      </w:r>
    </w:p>
  </w:comment>
  <w:comment w:id="21" w:author="Autor" w:initials="A">
    <w:p>
      <w:pPr>
        <w:overflowPunct w:val="false"/>
        <w:rPr/>
      </w:pPr>
      <w:r>
        <w:annotationRef/>
      </w:r>
      <w:r>
        <w:rPr>
          <w:rFonts w:cs="Times New Roman" w:eastAsiaTheme="minorEastAsia" w:eastAsia="Segoe UI" w:ascii="Liberation Serif" w:hAnsi="Liberation Serif"/>
          <w:b/>
          <w:bCs/>
          <w:i/>
          <w:iCs/>
          <w:color w:val="000000"/>
          <w:sz w:val="20"/>
          <w:szCs w:val="20"/>
          <w:lang w:val="en-US" w:eastAsia="en-US" w:bidi="en-US"/>
        </w:rPr>
        <w:t>Nota explicativa:</w:t>
      </w:r>
      <w:r>
        <w:rPr>
          <w:rFonts w:cs="Times New Roman" w:eastAsiaTheme="minorEastAsia" w:eastAsia="Segoe UI" w:ascii="Liberation Serif" w:hAnsi="Liberation Serif"/>
          <w:i/>
          <w:iCs/>
          <w:color w:val="000000"/>
          <w:sz w:val="20"/>
          <w:szCs w:val="20"/>
          <w:lang w:val="en-US" w:eastAsia="en-US" w:bidi="en-US"/>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pPr>
        <w:overflowPunct w:val="false"/>
        <w:rPr/>
      </w:pPr>
      <w:r>
        <w:rPr>
          <w:rFonts w:cs="Times New Roman" w:eastAsiaTheme="minorEastAsia" w:eastAsia="Segoe UI" w:ascii="Liberation Serif" w:hAnsi="Liberation Serif"/>
          <w:i/>
          <w:iCs/>
          <w:color w:val="000000"/>
          <w:sz w:val="20"/>
          <w:szCs w:val="20"/>
          <w:lang w:val="en-US" w:eastAsia="en-US" w:bidi="en-US"/>
        </w:rPr>
        <w:t xml:space="preserve">(cf. Boletim de Jurisprudência n.º 244, sessões 6 e 7 de novembro de 2018). Consta do referido Acórdão, nesse sentido, que: </w:t>
      </w:r>
    </w:p>
    <w:p>
      <w:pPr>
        <w:overflowPunct w:val="false"/>
        <w:rPr/>
      </w:pPr>
      <w:r>
        <w:rPr>
          <w:rFonts w:cs="Times New Roman" w:eastAsiaTheme="minorEastAsia" w:eastAsia="Segoe UI" w:ascii="Liberation Serif" w:hAnsi="Liberation Serif"/>
          <w:i/>
          <w:iCs/>
          <w:color w:val="000000"/>
          <w:sz w:val="20"/>
          <w:szCs w:val="20"/>
          <w:lang w:val="en-US" w:eastAsia="en-US" w:bidi="en-US"/>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22" w:author="Autor" w:initials="A">
    <w:p>
      <w:pPr>
        <w:overflowPunct w:val="true"/>
        <w:rPr/>
      </w:pPr>
      <w:r>
        <w:annotationRef/>
      </w:r>
      <w:r>
        <w:rPr>
          <w:rFonts w:cs="Times New Roman" w:eastAsiaTheme="minorEastAsia" w:eastAsia="Segoe UI" w:ascii="Liberation Serif" w:hAnsi="Liberation Serif"/>
          <w:b/>
          <w:bCs/>
          <w:i/>
          <w:iCs/>
          <w:sz w:val="20"/>
          <w:szCs w:val="20"/>
          <w:lang w:val="en-US" w:eastAsia="en-US" w:bidi="en-US"/>
        </w:rPr>
        <w:t>Nota Explicativa</w:t>
      </w:r>
      <w:r>
        <w:rPr>
          <w:rFonts w:cs="Times New Roman" w:eastAsiaTheme="minorEastAsia" w:eastAsia="Segoe UI" w:ascii="Liberation Serif" w:hAnsi="Liberation Serif"/>
          <w:i/>
          <w:iCs/>
          <w:sz w:val="20"/>
          <w:szCs w:val="20"/>
          <w:lang w:val="en-US" w:eastAsia="en-US" w:bidi="en-US"/>
        </w:rPr>
        <w:t xml:space="preserve">: A recente Lei nº 14.620, de 13 de julho de 2023, inseriu o § 4º ao art. 784 do Código de Processo Civil. Referido dispositivo dispõe que: “Nos títulos executivos constituídos ou atestados por meio eletrônico, é admitida qualquer modalidade de assinatura eletrônica prevista em lei, </w:t>
      </w:r>
      <w:r>
        <w:rPr>
          <w:rFonts w:cs="Times New Roman" w:eastAsiaTheme="minorEastAsia" w:eastAsia="Segoe UI" w:ascii="Liberation Serif" w:hAnsi="Liberation Serif"/>
          <w:i/>
          <w:iCs/>
          <w:sz w:val="20"/>
          <w:szCs w:val="20"/>
          <w:u w:val="single"/>
          <w:lang w:val="en-US" w:eastAsia="en-US" w:bidi="en-US"/>
        </w:rPr>
        <w:t>dispensada a assinatura de testemunhas quando sua integridade for conferida por provedor de assinatura</w:t>
      </w:r>
      <w:r>
        <w:rPr>
          <w:rFonts w:cs="Times New Roman" w:eastAsiaTheme="minorEastAsia" w:eastAsia="Segoe UI" w:ascii="Liberation Serif" w:hAnsi="Liberation Serif"/>
          <w:i/>
          <w:iCs/>
          <w:sz w:val="20"/>
          <w:szCs w:val="20"/>
          <w:lang w:val="en-US" w:eastAsia="en-US" w:bidi="en-US"/>
        </w:rPr>
        <w:t>”.</w:t>
      </w:r>
    </w:p>
    <w:p>
      <w:pPr>
        <w:overflowPunct w:val="true"/>
        <w:rPr/>
      </w:pPr>
      <w:r>
        <w:rPr>
          <w:rFonts w:ascii="Times New Roman" w:hAnsi="Times New Roman" w:cs="Times New Roman" w:eastAsiaTheme="minorEastAsia"/>
          <w:sz w:val="20"/>
          <w:szCs w:val="20"/>
          <w:lang w:eastAsia="en-US"/>
        </w:rPr>
      </w:r>
    </w:p>
    <w:p>
      <w:pPr>
        <w:overflowPunct w:val="true"/>
        <w:rPr/>
      </w:pPr>
      <w:r>
        <w:rPr>
          <w:rFonts w:cs="Times New Roman" w:eastAsiaTheme="minorEastAsia" w:eastAsia="Segoe UI" w:ascii="Liberation Serif" w:hAnsi="Liberation Serif"/>
          <w:i/>
          <w:iCs/>
          <w:sz w:val="20"/>
          <w:szCs w:val="20"/>
          <w:lang w:val="en-US" w:eastAsia="en-US" w:bidi="en-US"/>
        </w:rPr>
        <w:t>Após diligências promovidas pela CNMLC/CGU, verificou-se que a assinatura eletrônica realizada no SEI não atenderia ao requisito exigido pela referida norma (integridade conferível por provedor de assinatura). Nesse sentido, permanece a recomendação de que o termo aditivo seja assinado por duas testemunhas, em conformidade à Nota n. 00013/2021/DECOR/CGU/AGU e respectivos Despachos de Aprovação (NUP 23282.002192/2019-93).</w:t>
      </w:r>
    </w:p>
  </w:comment>
  <w:comment w:id="23" w:author="" w:initials="">
    <w:p>
      <w:pPr>
        <w:overflowPunct w:val="true"/>
        <w:rPr/>
      </w:pPr>
      <w:r>
        <w:annotationRef/>
      </w:r>
      <w:r>
        <w:rPr>
          <w:rFonts w:ascii="Times New Roman" w:hAnsi="Times New Roman" w:cs="Times New Roman" w:eastAsiaTheme="minorEastAsia"/>
          <w:sz w:val="20"/>
          <w:szCs w:val="20"/>
          <w:lang w:eastAsia="en-US"/>
        </w:rPr>
      </w:r>
    </w:p>
  </w:comment>
  <w:comment w:id="24" w:author="Autor" w:initials="A">
    <w:p>
      <w:pPr>
        <w:overflowPunct w:val="false"/>
        <w:rPr/>
      </w:pPr>
      <w:r>
        <w:annotationRef/>
      </w:r>
      <w:r>
        <w:rPr>
          <w:rFonts w:cs="Times New Roman" w:eastAsiaTheme="minorEastAsia" w:eastAsia="Segoe UI" w:ascii="Liberation Serif" w:hAnsi="Liberation Serif"/>
          <w:b/>
          <w:bCs/>
          <w:i/>
          <w:iCs/>
          <w:sz w:val="20"/>
          <w:szCs w:val="20"/>
          <w:lang w:val="en-US" w:eastAsia="en-US" w:bidi="en-US"/>
        </w:rPr>
        <w:t>Nota Explicativa</w:t>
      </w:r>
      <w:r>
        <w:rPr>
          <w:rFonts w:cs="Times New Roman" w:eastAsiaTheme="minorEastAsia" w:eastAsia="Segoe UI" w:ascii="Liberation Serif" w:hAnsi="Liberation Serif"/>
          <w:i/>
          <w:iCs/>
          <w:sz w:val="20"/>
          <w:szCs w:val="20"/>
          <w:lang w:val="en-US" w:eastAsia="en-US" w:bidi="en-US"/>
        </w:rPr>
        <w:t xml:space="preserve">: A recente Lei nº 14.620, de 13 de julho de 2023, inseriu o § 4º ao art. 784 do Código de Processo Civil. Referido dispositivo dispõe que: “Nos títulos executivos constituídos ou atestados por meio eletrônico, é admitida qualquer modalidade de assinatura eletrônica prevista em lei, </w:t>
      </w:r>
      <w:r>
        <w:rPr>
          <w:rFonts w:cs="Times New Roman" w:eastAsiaTheme="minorEastAsia" w:eastAsia="Segoe UI" w:ascii="Liberation Serif" w:hAnsi="Liberation Serif"/>
          <w:i/>
          <w:iCs/>
          <w:sz w:val="20"/>
          <w:szCs w:val="20"/>
          <w:u w:val="single"/>
          <w:lang w:val="en-US" w:eastAsia="en-US" w:bidi="en-US"/>
        </w:rPr>
        <w:t>dispensada a assinatura de testemunhas quando sua integridade for conferida por provedor de assinatura</w:t>
      </w:r>
      <w:r>
        <w:rPr>
          <w:rFonts w:cs="Times New Roman" w:eastAsiaTheme="minorEastAsia" w:eastAsia="Segoe UI" w:ascii="Liberation Serif" w:hAnsi="Liberation Serif"/>
          <w:i/>
          <w:iCs/>
          <w:sz w:val="20"/>
          <w:szCs w:val="20"/>
          <w:lang w:val="en-US" w:eastAsia="en-US" w:bidi="en-US"/>
        </w:rPr>
        <w:t>”.</w:t>
      </w:r>
    </w:p>
    <w:p>
      <w:pPr>
        <w:overflowPunct w:val="false"/>
        <w:rPr/>
      </w:pPr>
      <w:r>
        <w:rPr>
          <w:rFonts w:ascii="Times New Roman" w:hAnsi="Times New Roman" w:cs="Times New Roman" w:eastAsiaTheme="minorEastAsia"/>
          <w:sz w:val="20"/>
          <w:szCs w:val="20"/>
          <w:lang w:eastAsia="en-US"/>
        </w:rPr>
      </w:r>
    </w:p>
    <w:p>
      <w:pPr>
        <w:overflowPunct w:val="false"/>
        <w:rPr/>
      </w:pPr>
      <w:r>
        <w:rPr>
          <w:rFonts w:cs="Times New Roman" w:eastAsiaTheme="minorEastAsia" w:eastAsia="Segoe UI" w:ascii="Liberation Serif" w:hAnsi="Liberation Serif"/>
          <w:i/>
          <w:iCs/>
          <w:sz w:val="20"/>
          <w:szCs w:val="20"/>
          <w:lang w:val="en-US" w:eastAsia="en-US" w:bidi="en-US"/>
        </w:rPr>
        <w:t>Após diligências promovidas pela CNMLC/CGU, verificou-se que a assinatura eletrônica realizada no SEI não atenderia ao requisito exigido pela referida norma (integridade conferível por provedor de assinatura). Nesse sentido, permanece a recomendação de que o termo aditivo seja assinado por duas testemunhas, em conformidade à Nota n. 00013/2021/DECOR/CGU/AGU e respectivos Despachos de Aprovação (NUP 23282.002192/2019-93).</w:t>
      </w:r>
    </w:p>
  </w:comment>
</w:comments>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Ecofont_Spranq_eco_Sans">
    <w:charset w:val="00" w:characterSet="windows-1252"/>
    <w:family w:val="swiss"/>
    <w:pitch w:val="variable"/>
  </w:font>
  <w:font w:name="Calibri">
    <w:charset w:val="00" w:characterSet="windows-1252"/>
    <w:family w:val="swiss"/>
    <w:pitch w:val="variable"/>
  </w:font>
  <w:font w:name="Tahoma">
    <w:charset w:val="00" w:characterSet="windows-1252"/>
    <w:family w:val="swiss"/>
    <w:pitch w:val="variable"/>
  </w:font>
  <w:font w:name="Liberation Sans">
    <w:altName w:val="Arial"/>
    <w:charset w:val="00" w:characterSet="windows-1252"/>
    <w:family w:val="swiss"/>
    <w:pitch w:val="variable"/>
  </w:font>
  <w:font w:name="sans-serif">
    <w:altName w:val="Arial"/>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016111550"/>
      <w:docPartObj>
        <w:docPartGallery w:val="Page Numbers (Bottom of Page)"/>
        <w:docPartUnique w:val="true"/>
      </w:docPartObj>
    </w:sdtPr>
    <w:sdtContent>
      <w:p>
        <w:pPr>
          <w:pStyle w:val="Footer"/>
          <w:rPr>
            <w:rFonts w:ascii="Arial" w:hAnsi="Arial"/>
            <w:color w:themeColor="text2" w:themeTint="99" w:val="548DD4"/>
            <w:spacing w:val="60"/>
            <w:sz w:val="16"/>
          </w:rPr>
        </w:pPr>
        <w:r>
          <w:rPr>
            <w:rFonts w:ascii="Arial" w:hAnsi="Arial"/>
            <w:color w:themeColor="text2" w:themeTint="99" w:val="548DD4"/>
            <w:spacing w:val="60"/>
            <w:sz w:val="22"/>
          </w:rPr>
          <w:tab/>
          <w:tab/>
        </w:r>
      </w:p>
      <w:p>
        <w:pPr>
          <w:pStyle w:val="Footer"/>
          <w:rPr>
            <w:rFonts w:ascii="Arial" w:hAnsi="Arial" w:cs="Arial"/>
            <w:color w:themeColor="text1" w:themeTint="80" w:val="7F7F7F"/>
            <w:sz w:val="18"/>
            <w:szCs w:val="18"/>
          </w:rPr>
        </w:pPr>
        <w:r>
          <w:rPr>
            <w:rFonts w:ascii="Arial" w:hAnsi="Arial"/>
            <w:color w:themeColor="text1" w:themeTint="80" w:val="7F7F7F"/>
            <w:spacing w:val="60"/>
            <w:sz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rFonts w:cs="Arial" w:ascii="Arial" w:hAnsi="Arial"/>
            <w:color w:themeColor="text1" w:themeTint="a6" w:val="595959"/>
            <w:sz w:val="18"/>
            <w:szCs w:val="18"/>
          </w:rPr>
          <w:instrText xml:space="preserve"> PAGE </w:instrText>
        </w:r>
        <w:r>
          <w:rPr>
            <w:rFonts w:cs="Arial" w:ascii="Arial" w:hAnsi="Arial"/>
            <w:color w:themeColor="text1" w:themeTint="a6" w:val="595959"/>
            <w:sz w:val="18"/>
            <w:szCs w:val="18"/>
          </w:rPr>
          <w:fldChar w:fldCharType="separate"/>
        </w:r>
        <w:r>
          <w:rPr>
            <w:rFonts w:cs="Arial" w:ascii="Arial" w:hAnsi="Arial"/>
            <w:color w:themeColor="text1" w:themeTint="a6" w:val="595959"/>
            <w:sz w:val="18"/>
            <w:szCs w:val="18"/>
          </w:rPr>
          <w:t>12</w:t>
        </w:r>
        <w:r>
          <w:rPr>
            <w:rFonts w:cs="Arial" w:ascii="Arial" w:hAnsi="Arial"/>
            <w:color w:themeColor="text1" w:themeTint="a6" w:val="595959"/>
            <w:sz w:val="18"/>
            <w:szCs w:val="18"/>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rFonts w:cs="Arial" w:ascii="Arial" w:hAnsi="Arial"/>
            <w:color w:themeColor="text1" w:themeTint="a6" w:val="595959"/>
            <w:sz w:val="18"/>
            <w:szCs w:val="18"/>
          </w:rPr>
          <w:instrText xml:space="preserve"> NUMPAGES </w:instrText>
        </w:r>
        <w:r>
          <w:rPr>
            <w:rFonts w:cs="Arial" w:ascii="Arial" w:hAnsi="Arial"/>
            <w:color w:themeColor="text1" w:themeTint="a6" w:val="595959"/>
            <w:sz w:val="18"/>
            <w:szCs w:val="18"/>
          </w:rPr>
          <w:fldChar w:fldCharType="separate"/>
        </w:r>
        <w:r>
          <w:rPr>
            <w:rFonts w:cs="Arial" w:ascii="Arial" w:hAnsi="Arial"/>
            <w:color w:themeColor="text1" w:themeTint="a6" w:val="595959"/>
            <w:sz w:val="18"/>
            <w:szCs w:val="18"/>
          </w:rPr>
          <w:t>12</w:t>
        </w:r>
        <w:r>
          <w:rPr>
            <w:rFonts w:cs="Arial" w:ascii="Arial" w:hAnsi="Arial"/>
            <w:color w:themeColor="text1" w:themeTint="a6" w:val="595959"/>
            <w:sz w:val="18"/>
            <w:szCs w:val="18"/>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sz w:val="14"/>
          </w:rPr>
        </w:pPr>
        <w:r>
          <w:rPr>
            <w:rFonts w:cs="Arial" w:ascii="Arial" w:hAnsi="Arial"/>
            <w:sz w:val="14"/>
            <w:szCs w:val="14"/>
          </w:rPr>
          <w:t>Modelo de Termo de Contrato – Licitação e Contratação Direta – Obras e Serviços de Engenharia - Lei nº 14.133, de 2021</w:t>
        </w:r>
      </w:p>
      <w:p>
        <w:pPr>
          <w:pStyle w:val="Footer"/>
          <w:rPr>
            <w:rFonts w:ascii="Arial" w:hAnsi="Arial" w:cs="Arial"/>
            <w:sz w:val="14"/>
            <w:szCs w:val="14"/>
          </w:rPr>
        </w:pPr>
        <w:r>
          <w:rPr>
            <w:rFonts w:cs="Arial" w:ascii="Arial" w:hAnsi="Arial"/>
            <w:sz w:val="14"/>
            <w:szCs w:val="14"/>
          </w:rPr>
          <w:t>Aprovado pela Secretaria de Gestão e Inovação</w:t>
        </w:r>
      </w:p>
      <w:p>
        <w:pPr>
          <w:pStyle w:val="Footer"/>
          <w:rPr>
            <w:rFonts w:ascii="Arial" w:hAnsi="Arial"/>
            <w:sz w:val="14"/>
          </w:rPr>
        </w:pPr>
        <w:r>
          <w:rPr>
            <w:rFonts w:cs="Arial" w:ascii="Arial" w:hAnsi="Arial"/>
            <w:sz w:val="14"/>
            <w:szCs w:val="14"/>
          </w:rPr>
          <w:t>Identidade visual pela Secretaria de Gestão e Inovação</w:t>
        </w:r>
      </w:p>
      <w:p>
        <w:pPr>
          <w:pStyle w:val="Footer"/>
          <w:rPr>
            <w:rFonts w:ascii="Arial" w:hAnsi="Arial"/>
            <w:sz w:val="14"/>
          </w:rPr>
        </w:pPr>
        <w:r>
          <w:rPr>
            <w:rFonts w:cs="Arial" w:ascii="Arial" w:hAnsi="Arial"/>
            <w:sz w:val="14"/>
            <w:szCs w:val="14"/>
          </w:rPr>
          <w:t>Atualização: DEZ/2025</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id w:val="2016111550"/>
      <w:docPartObj>
        <w:docPartGallery w:val="Page Numbers (Bottom of Page)"/>
        <w:docPartUnique w:val="true"/>
      </w:docPartObj>
    </w:sdtPr>
    <w:sdtContent>
      <w:p>
        <w:pPr>
          <w:pStyle w:val="Footer"/>
          <w:rPr>
            <w:rFonts w:ascii="Arial" w:hAnsi="Arial"/>
            <w:color w:themeColor="text2" w:themeTint="99" w:val="548DD4"/>
            <w:spacing w:val="60"/>
            <w:sz w:val="16"/>
          </w:rPr>
        </w:pPr>
        <w:r>
          <w:rPr>
            <w:rFonts w:ascii="Arial" w:hAnsi="Arial"/>
            <w:color w:themeColor="text2" w:themeTint="99" w:val="548DD4"/>
            <w:spacing w:val="60"/>
            <w:sz w:val="22"/>
          </w:rPr>
          <w:tab/>
          <w:tab/>
        </w:r>
      </w:p>
      <w:p>
        <w:pPr>
          <w:pStyle w:val="Footer"/>
          <w:rPr>
            <w:rFonts w:ascii="Arial" w:hAnsi="Arial" w:cs="Arial"/>
            <w:color w:themeColor="text1" w:themeTint="80" w:val="7F7F7F"/>
            <w:sz w:val="18"/>
            <w:szCs w:val="18"/>
          </w:rPr>
        </w:pPr>
        <w:r>
          <w:rPr>
            <w:rFonts w:ascii="Arial" w:hAnsi="Arial"/>
            <w:color w:themeColor="text1" w:themeTint="80" w:val="7F7F7F"/>
            <w:spacing w:val="60"/>
            <w:sz w:val="22"/>
          </w:rPr>
          <w:tab/>
          <w:tab/>
        </w:r>
        <w:r>
          <w:rPr>
            <w:rFonts w:cs="Arial" w:ascii="Arial" w:hAnsi="Arial"/>
            <w:color w:themeColor="text1" w:themeTint="a6" w:val="595959"/>
            <w:spacing w:val="60"/>
            <w:sz w:val="18"/>
            <w:szCs w:val="18"/>
          </w:rPr>
          <w:t>Página</w:t>
        </w:r>
        <w:r>
          <w:rPr>
            <w:rFonts w:cs="Arial" w:ascii="Arial" w:hAnsi="Arial"/>
            <w:color w:themeColor="text1" w:themeTint="a6" w:val="595959"/>
            <w:sz w:val="18"/>
            <w:szCs w:val="18"/>
          </w:rPr>
          <w:t xml:space="preserve"> </w:t>
        </w:r>
        <w:r>
          <w:rPr>
            <w:rFonts w:cs="Arial" w:ascii="Arial" w:hAnsi="Arial"/>
            <w:color w:themeColor="text1" w:themeTint="a6" w:val="595959"/>
            <w:sz w:val="18"/>
            <w:szCs w:val="18"/>
          </w:rPr>
          <w:fldChar w:fldCharType="begin"/>
        </w:r>
        <w:r>
          <w:rPr>
            <w:rFonts w:cs="Arial" w:ascii="Arial" w:hAnsi="Arial"/>
            <w:color w:themeColor="text1" w:themeTint="a6" w:val="595959"/>
            <w:sz w:val="18"/>
            <w:szCs w:val="18"/>
          </w:rPr>
          <w:instrText xml:space="preserve"> PAGE </w:instrText>
        </w:r>
        <w:r>
          <w:rPr>
            <w:rFonts w:cs="Arial" w:ascii="Arial" w:hAnsi="Arial"/>
            <w:color w:themeColor="text1" w:themeTint="a6" w:val="595959"/>
            <w:sz w:val="18"/>
            <w:szCs w:val="18"/>
          </w:rPr>
          <w:fldChar w:fldCharType="separate"/>
        </w:r>
        <w:r>
          <w:rPr>
            <w:rFonts w:cs="Arial" w:ascii="Arial" w:hAnsi="Arial"/>
            <w:color w:themeColor="text1" w:themeTint="a6" w:val="595959"/>
            <w:sz w:val="18"/>
            <w:szCs w:val="18"/>
          </w:rPr>
          <w:t>12</w:t>
        </w:r>
        <w:r>
          <w:rPr>
            <w:rFonts w:cs="Arial" w:ascii="Arial" w:hAnsi="Arial"/>
            <w:color w:themeColor="text1" w:themeTint="a6" w:val="595959"/>
            <w:sz w:val="18"/>
            <w:szCs w:val="18"/>
          </w:rPr>
          <w:fldChar w:fldCharType="end"/>
        </w:r>
        <w:r>
          <w:rPr>
            <w:rFonts w:cs="Arial" w:ascii="Arial" w:hAnsi="Arial"/>
            <w:color w:themeColor="text1" w:themeTint="a6" w:val="595959"/>
            <w:sz w:val="18"/>
            <w:szCs w:val="18"/>
          </w:rPr>
          <w:t xml:space="preserve"> | </w:t>
        </w:r>
        <w:r>
          <w:rPr>
            <w:rFonts w:cs="Arial" w:ascii="Arial" w:hAnsi="Arial"/>
            <w:color w:themeColor="text1" w:themeTint="a6" w:val="595959"/>
            <w:sz w:val="18"/>
            <w:szCs w:val="18"/>
          </w:rPr>
          <w:fldChar w:fldCharType="begin"/>
        </w:r>
        <w:r>
          <w:rPr>
            <w:rFonts w:cs="Arial" w:ascii="Arial" w:hAnsi="Arial"/>
            <w:color w:themeColor="text1" w:themeTint="a6" w:val="595959"/>
            <w:sz w:val="18"/>
            <w:szCs w:val="18"/>
          </w:rPr>
          <w:instrText xml:space="preserve"> NUMPAGES </w:instrText>
        </w:r>
        <w:r>
          <w:rPr>
            <w:rFonts w:cs="Arial" w:ascii="Arial" w:hAnsi="Arial"/>
            <w:color w:themeColor="text1" w:themeTint="a6" w:val="595959"/>
            <w:sz w:val="18"/>
            <w:szCs w:val="18"/>
          </w:rPr>
          <w:fldChar w:fldCharType="separate"/>
        </w:r>
        <w:r>
          <w:rPr>
            <w:rFonts w:cs="Arial" w:ascii="Arial" w:hAnsi="Arial"/>
            <w:color w:themeColor="text1" w:themeTint="a6" w:val="595959"/>
            <w:sz w:val="18"/>
            <w:szCs w:val="18"/>
          </w:rPr>
          <w:t>12</w:t>
        </w:r>
        <w:r>
          <w:rPr>
            <w:rFonts w:cs="Arial" w:ascii="Arial" w:hAnsi="Arial"/>
            <w:color w:themeColor="text1" w:themeTint="a6" w:val="595959"/>
            <w:sz w:val="18"/>
            <w:szCs w:val="18"/>
          </w:rPr>
          <w:fldChar w:fldCharType="end"/>
        </w:r>
      </w:p>
      <w:p>
        <w:pPr>
          <w:pStyle w:val="Footer"/>
          <w:rPr>
            <w:rFonts w:ascii="Arial" w:hAnsi="Arial" w:cs="Arial"/>
            <w:sz w:val="14"/>
            <w:szCs w:val="14"/>
          </w:rPr>
        </w:pPr>
        <w:r>
          <w:rPr>
            <w:rFonts w:cs="Arial" w:ascii="Arial" w:hAnsi="Arial"/>
            <w:sz w:val="14"/>
            <w:szCs w:val="14"/>
          </w:rPr>
          <w:t>Câmara Nacional de Modelos de Licitações e Contratos da Consultoria-Geral da União</w:t>
        </w:r>
      </w:p>
      <w:p>
        <w:pPr>
          <w:pStyle w:val="Footer"/>
          <w:rPr>
            <w:rFonts w:ascii="Arial" w:hAnsi="Arial"/>
            <w:sz w:val="14"/>
          </w:rPr>
        </w:pPr>
        <w:r>
          <w:rPr>
            <w:rFonts w:cs="Arial" w:ascii="Arial" w:hAnsi="Arial"/>
            <w:sz w:val="14"/>
            <w:szCs w:val="14"/>
          </w:rPr>
          <w:t>Modelo de Termo de Contrato – Licitação e Contratação Direta – Obras e Serviços de Engenharia - Lei nº 14.133, de 2021</w:t>
        </w:r>
      </w:p>
      <w:p>
        <w:pPr>
          <w:pStyle w:val="Footer"/>
          <w:rPr>
            <w:rFonts w:ascii="Arial" w:hAnsi="Arial" w:cs="Arial"/>
            <w:sz w:val="14"/>
            <w:szCs w:val="14"/>
          </w:rPr>
        </w:pPr>
        <w:r>
          <w:rPr>
            <w:rFonts w:cs="Arial" w:ascii="Arial" w:hAnsi="Arial"/>
            <w:sz w:val="14"/>
            <w:szCs w:val="14"/>
          </w:rPr>
          <w:t>Aprovado pela Secretaria de Gestão e Inovação</w:t>
        </w:r>
      </w:p>
      <w:p>
        <w:pPr>
          <w:pStyle w:val="Footer"/>
          <w:rPr>
            <w:rFonts w:ascii="Arial" w:hAnsi="Arial"/>
            <w:sz w:val="14"/>
          </w:rPr>
        </w:pPr>
        <w:r>
          <w:rPr>
            <w:rFonts w:cs="Arial" w:ascii="Arial" w:hAnsi="Arial"/>
            <w:sz w:val="14"/>
            <w:szCs w:val="14"/>
          </w:rPr>
          <w:t>Identidade visual pela Secretaria de Gestão e Inovação</w:t>
        </w:r>
      </w:p>
      <w:p>
        <w:pPr>
          <w:pStyle w:val="Footer"/>
          <w:rPr>
            <w:rFonts w:ascii="Arial" w:hAnsi="Arial"/>
            <w:sz w:val="14"/>
          </w:rPr>
        </w:pPr>
        <w:r>
          <w:rPr>
            <w:rFonts w:cs="Arial" w:ascii="Arial" w:hAnsi="Arial"/>
            <w:sz w:val="14"/>
            <w:szCs w:val="14"/>
          </w:rPr>
          <w:t>Atualização: DEZ/2025</w:t>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end"/>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4118" w:hanging="432"/>
      </w:pPr>
      <w:rPr>
        <w:b w:val="false"/>
        <w:i w:val="false"/>
        <w:strike w:val="false"/>
        <w:dstrike w:val="false"/>
        <w:color w:val="auto"/>
        <w:sz w:val="20"/>
        <w:szCs w:val="20"/>
        <w:u w:val="none"/>
      </w:rPr>
    </w:lvl>
    <w:lvl w:ilvl="2">
      <w:start w:val="1"/>
      <w:numFmt w:val="decimal"/>
      <w:lvlText w:val="%1.%2.%3."/>
      <w:lvlJc w:val="start"/>
      <w:pPr>
        <w:tabs>
          <w:tab w:val="num" w:pos="0"/>
        </w:tabs>
        <w:ind w:start="3198" w:hanging="504"/>
      </w:pPr>
      <w:rPr>
        <w:rFonts w:ascii="Arial" w:hAnsi="Arial" w:cs="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2">
    <w:lvl w:ilvl="0">
      <w:start w:val="1"/>
      <w:numFmt w:val="bullet"/>
      <w:lvlText w:val=""/>
      <w:lvlJc w:val="start"/>
      <w:pPr>
        <w:tabs>
          <w:tab w:val="num" w:pos="1492"/>
        </w:tabs>
        <w:ind w:start="1492" w:hanging="360"/>
      </w:pPr>
      <w:rPr>
        <w:rFonts w:ascii="Symbol" w:hAnsi="Symbol" w:cs="Symbol" w:hint="default"/>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3">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4118" w:hanging="432"/>
      </w:pPr>
      <w:rPr>
        <w:b w:val="false"/>
        <w:i w:val="false"/>
        <w:strike w:val="false"/>
        <w:dstrike w:val="false"/>
        <w:color w:val="auto"/>
        <w:sz w:val="20"/>
        <w:szCs w:val="20"/>
        <w:u w:val="none"/>
      </w:rPr>
    </w:lvl>
    <w:lvl w:ilvl="2">
      <w:start w:val="1"/>
      <w:numFmt w:val="decimal"/>
      <w:lvlText w:val="%1.%2.%3."/>
      <w:lvlJc w:val="start"/>
      <w:pPr>
        <w:tabs>
          <w:tab w:val="num" w:pos="0"/>
        </w:tabs>
        <w:ind w:start="3198" w:hanging="504"/>
      </w:pPr>
      <w:rPr>
        <w:rFonts w:ascii="Arial" w:hAnsi="Arial" w:cs="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4">
    <w:lvl w:ilvl="0">
      <w:start w:val="1"/>
      <w:numFmt w:val="upperRoman"/>
      <w:lvlText w:val="%1)"/>
      <w:lvlJc w:val="start"/>
      <w:pPr>
        <w:tabs>
          <w:tab w:val="num" w:pos="0"/>
        </w:tabs>
        <w:ind w:start="2136" w:hanging="720"/>
      </w:pPr>
      <w:rPr/>
    </w:lvl>
    <w:lvl w:ilvl="1">
      <w:start w:val="1"/>
      <w:numFmt w:val="lowerLetter"/>
      <w:lvlText w:val="%2."/>
      <w:lvlJc w:val="start"/>
      <w:pPr>
        <w:tabs>
          <w:tab w:val="num" w:pos="0"/>
        </w:tabs>
        <w:ind w:start="2496" w:hanging="360"/>
      </w:pPr>
      <w:rPr/>
    </w:lvl>
    <w:lvl w:ilvl="2">
      <w:start w:val="1"/>
      <w:numFmt w:val="lowerRoman"/>
      <w:lvlText w:val="%3."/>
      <w:lvlJc w:val="end"/>
      <w:pPr>
        <w:tabs>
          <w:tab w:val="num" w:pos="0"/>
        </w:tabs>
        <w:ind w:start="3216" w:hanging="180"/>
      </w:pPr>
      <w:rPr/>
    </w:lvl>
    <w:lvl w:ilvl="3">
      <w:start w:val="1"/>
      <w:numFmt w:val="decimal"/>
      <w:lvlText w:val="%4."/>
      <w:lvlJc w:val="start"/>
      <w:pPr>
        <w:tabs>
          <w:tab w:val="num" w:pos="0"/>
        </w:tabs>
        <w:ind w:start="3936" w:hanging="360"/>
      </w:pPr>
      <w:rPr/>
    </w:lvl>
    <w:lvl w:ilvl="4">
      <w:start w:val="1"/>
      <w:numFmt w:val="lowerLetter"/>
      <w:lvlText w:val="%5."/>
      <w:lvlJc w:val="start"/>
      <w:pPr>
        <w:tabs>
          <w:tab w:val="num" w:pos="0"/>
        </w:tabs>
        <w:ind w:start="4656" w:hanging="360"/>
      </w:pPr>
      <w:rPr/>
    </w:lvl>
    <w:lvl w:ilvl="5">
      <w:start w:val="1"/>
      <w:numFmt w:val="lowerRoman"/>
      <w:lvlText w:val="%6."/>
      <w:lvlJc w:val="end"/>
      <w:pPr>
        <w:tabs>
          <w:tab w:val="num" w:pos="0"/>
        </w:tabs>
        <w:ind w:start="5376" w:hanging="180"/>
      </w:pPr>
      <w:rPr/>
    </w:lvl>
    <w:lvl w:ilvl="6">
      <w:start w:val="1"/>
      <w:numFmt w:val="decimal"/>
      <w:lvlText w:val="%7."/>
      <w:lvlJc w:val="start"/>
      <w:pPr>
        <w:tabs>
          <w:tab w:val="num" w:pos="0"/>
        </w:tabs>
        <w:ind w:start="6096" w:hanging="360"/>
      </w:pPr>
      <w:rPr/>
    </w:lvl>
    <w:lvl w:ilvl="7">
      <w:start w:val="1"/>
      <w:numFmt w:val="lowerLetter"/>
      <w:lvlText w:val="%8."/>
      <w:lvlJc w:val="start"/>
      <w:pPr>
        <w:tabs>
          <w:tab w:val="num" w:pos="0"/>
        </w:tabs>
        <w:ind w:start="6816" w:hanging="360"/>
      </w:pPr>
      <w:rPr/>
    </w:lvl>
    <w:lvl w:ilvl="8">
      <w:start w:val="1"/>
      <w:numFmt w:val="lowerRoman"/>
      <w:lvlText w:val="%9."/>
      <w:lvlJc w:val="end"/>
      <w:pPr>
        <w:tabs>
          <w:tab w:val="num" w:pos="0"/>
        </w:tabs>
        <w:ind w:start="7536" w:hanging="180"/>
      </w:pPr>
      <w:rPr/>
    </w:lvl>
  </w:abstractNum>
  <w:abstractNum w:abstractNumId="5">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4118" w:hanging="432"/>
      </w:pPr>
      <w:rPr>
        <w:b w:val="false"/>
        <w:i w:val="false"/>
        <w:strike w:val="false"/>
        <w:dstrike w:val="false"/>
        <w:color w:val="auto"/>
        <w:sz w:val="20"/>
        <w:szCs w:val="20"/>
        <w:u w:val="none"/>
      </w:rPr>
    </w:lvl>
    <w:lvl w:ilvl="2">
      <w:start w:val="1"/>
      <w:numFmt w:val="decimal"/>
      <w:lvlText w:val="%1.%2.%3."/>
      <w:lvlJc w:val="start"/>
      <w:pPr>
        <w:tabs>
          <w:tab w:val="num" w:pos="0"/>
        </w:tabs>
        <w:ind w:start="3198" w:hanging="504"/>
      </w:pPr>
      <w:rPr>
        <w:rFonts w:ascii="Arial" w:hAnsi="Arial" w:cs="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4118" w:hanging="432"/>
      </w:pPr>
      <w:rPr>
        <w:b w:val="false"/>
        <w:i w:val="false"/>
        <w:strike w:val="false"/>
        <w:dstrike w:val="false"/>
        <w:color w:val="auto"/>
        <w:sz w:val="20"/>
        <w:szCs w:val="20"/>
        <w:u w:val="none"/>
      </w:rPr>
    </w:lvl>
    <w:lvl w:ilvl="2">
      <w:start w:val="1"/>
      <w:numFmt w:val="decimal"/>
      <w:lvlText w:val="%1.%2.%3."/>
      <w:lvlJc w:val="start"/>
      <w:pPr>
        <w:tabs>
          <w:tab w:val="num" w:pos="0"/>
        </w:tabs>
        <w:ind w:start="3198" w:hanging="504"/>
      </w:pPr>
      <w:rPr>
        <w:rFonts w:ascii="Arial" w:hAnsi="Arial" w:cs="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
    <w:lvl w:ilvl="0">
      <w:start w:val="1"/>
      <w:numFmt w:val="decimal"/>
      <w:lvlText w:val="%1)"/>
      <w:lvlJc w:val="start"/>
      <w:pPr>
        <w:tabs>
          <w:tab w:val="num" w:pos="0"/>
        </w:tabs>
        <w:ind w:start="360" w:hanging="360"/>
      </w:pPr>
      <w:rPr>
        <w:b/>
      </w:rPr>
    </w:lvl>
    <w:lvl w:ilvl="1">
      <w:start w:val="1"/>
      <w:numFmt w:val="lowerLetter"/>
      <w:lvlText w:val="%2)"/>
      <w:lvlJc w:val="start"/>
      <w:pPr>
        <w:tabs>
          <w:tab w:val="num" w:pos="0"/>
        </w:tabs>
        <w:ind w:start="720" w:hanging="360"/>
      </w:pPr>
      <w:rPr>
        <w:b w:val="false"/>
        <w:i w:val="false"/>
        <w:strike w:val="false"/>
        <w:dstrike w:val="false"/>
        <w:color w:val="auto"/>
        <w:sz w:val="20"/>
        <w:szCs w:val="20"/>
        <w:u w:val="none"/>
      </w:rPr>
    </w:lvl>
    <w:lvl w:ilvl="2">
      <w:start w:val="1"/>
      <w:numFmt w:val="lowerRoman"/>
      <w:lvlText w:val="%3)"/>
      <w:lvlJc w:val="start"/>
      <w:pPr>
        <w:tabs>
          <w:tab w:val="num" w:pos="0"/>
        </w:tabs>
        <w:ind w:start="1080" w:hanging="360"/>
      </w:pPr>
      <w:rPr>
        <w:rFonts w:ascii="Arial" w:hAnsi="Arial" w:cs="Arial"/>
        <w:b w:val="false"/>
        <w:i w:val="false"/>
        <w:strike w:val="false"/>
        <w:dstrike w:val="false"/>
        <w:color w:val="auto"/>
        <w:sz w:val="20"/>
        <w:szCs w:val="20"/>
      </w:rPr>
    </w:lvl>
    <w:lvl w:ilvl="3">
      <w:start w:val="1"/>
      <w:numFmt w:val="decimal"/>
      <w:lvlText w:val="(%4)"/>
      <w:lvlJc w:val="start"/>
      <w:pPr>
        <w:tabs>
          <w:tab w:val="num" w:pos="0"/>
        </w:tabs>
        <w:ind w:start="1440" w:hanging="360"/>
      </w:pPr>
      <w:rPr/>
    </w:lvl>
    <w:lvl w:ilvl="4">
      <w:start w:val="1"/>
      <w:numFmt w:val="lowerLetter"/>
      <w:lvlText w:val="(%5)"/>
      <w:lvlJc w:val="start"/>
      <w:pPr>
        <w:tabs>
          <w:tab w:val="num" w:pos="0"/>
        </w:tabs>
        <w:ind w:start="1800" w:hanging="360"/>
      </w:pPr>
      <w:rPr/>
    </w:lvl>
    <w:lvl w:ilvl="5">
      <w:start w:val="1"/>
      <w:numFmt w:val="lowerRoman"/>
      <w:lvlText w:val="(%6)"/>
      <w:lvlJc w:val="start"/>
      <w:pPr>
        <w:tabs>
          <w:tab w:val="num" w:pos="0"/>
        </w:tabs>
        <w:ind w:start="2160" w:hanging="360"/>
      </w:pPr>
      <w:rPr/>
    </w:lvl>
    <w:lvl w:ilvl="6">
      <w:start w:val="1"/>
      <w:numFmt w:val="decimal"/>
      <w:lvlText w:val="%7."/>
      <w:lvlJc w:val="start"/>
      <w:pPr>
        <w:tabs>
          <w:tab w:val="num" w:pos="0"/>
        </w:tabs>
        <w:ind w:start="2520" w:hanging="360"/>
      </w:pPr>
      <w:rPr/>
    </w:lvl>
    <w:lvl w:ilvl="7">
      <w:start w:val="1"/>
      <w:numFmt w:val="lowerLetter"/>
      <w:lvlText w:val="%8."/>
      <w:lvlJc w:val="start"/>
      <w:pPr>
        <w:tabs>
          <w:tab w:val="num" w:pos="0"/>
        </w:tabs>
        <w:ind w:start="2880" w:hanging="360"/>
      </w:pPr>
      <w:rPr/>
    </w:lvl>
    <w:lvl w:ilvl="8">
      <w:start w:val="1"/>
      <w:numFmt w:val="lowerRoman"/>
      <w:lvlText w:val="%9."/>
      <w:lvlJc w:val="start"/>
      <w:pPr>
        <w:tabs>
          <w:tab w:val="num" w:pos="0"/>
        </w:tabs>
        <w:ind w:start="3240" w:hanging="360"/>
      </w:pPr>
      <w:rPr/>
    </w:lvl>
  </w:abstractNum>
  <w:abstractNum w:abstractNumId="8">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6"/>
    <w:lvlOverride w:ilvl="0">
      <w:startOverride w:val="1"/>
    </w:lvlOverride>
  </w:num>
  <w:num w:numId="10">
    <w:abstractNumId w:val="7"/>
    <w:lvlOverride w:ilvl="0">
      <w:startOverride w:val="1"/>
    </w:lvlOverride>
    <w:lvlOverride w:ilvl="1">
      <w:startOverride w:val="1"/>
    </w:lvlOverride>
  </w:num>
</w:numbering>
</file>

<file path=word/settings.xml><?xml version="1.0" encoding="utf-8"?>
<w:settings xmlns:w="http://schemas.openxmlformats.org/wordprocessingml/2006/main">
  <w:zoom w:percent="100"/>
  <w:mirrorMargins/>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start"/>
    </w:pPr>
    <w:rPr>
      <w:rFonts w:ascii="Ecofont_Spranq_eco_Sans" w:hAnsi="Ecofont_Spranq_eco_Sans" w:eastAsia="" w:cs="Tahoma" w:eastAsiaTheme="minorEastAsia"/>
      <w:color w:val="auto"/>
      <w:kern w:val="0"/>
      <w:sz w:val="24"/>
      <w:szCs w:val="24"/>
      <w:lang w:val="pt-BR" w:eastAsia="pt-BR" w:bidi="ar-SA"/>
    </w:rPr>
  </w:style>
  <w:style w:type="paragraph" w:styleId="Heading1">
    <w:name w:val="heading 1"/>
    <w:basedOn w:val="Normal"/>
    <w:next w:val="Normal"/>
    <w:link w:val="Ttulo1Char"/>
    <w:uiPriority w:val="9"/>
    <w:qFormat/>
    <w:rsid w:val="007f77ad"/>
    <w:pPr>
      <w:keepNext w:val="true"/>
      <w:keepLines/>
      <w:spacing w:before="480" w:after="0"/>
      <w:outlineLvl w:val="0"/>
    </w:pPr>
    <w:rPr>
      <w:rFonts w:ascii="Calibri" w:hAnsi="Calibri" w:eastAsia=""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tulo2Char"/>
    <w:qFormat/>
    <w:rsid w:val="004b460a"/>
    <w:pPr>
      <w:keepNext w:val="true"/>
      <w:tabs>
        <w:tab w:val="clear" w:pos="708"/>
        <w:tab w:val="left" w:pos="1701" w:leader="none"/>
      </w:tabs>
      <w:ind w:end="-1"/>
      <w:jc w:val="center"/>
      <w:outlineLvl w:val="1"/>
    </w:pPr>
    <w:rPr>
      <w:rFonts w:ascii="Times New Roman" w:hAnsi="Times New Roman" w:cs="Times New Roman"/>
      <w:b/>
      <w:color w:val="000000"/>
      <w:szCs w:val="20"/>
    </w:rPr>
  </w:style>
  <w:style w:type="paragraph" w:styleId="Heading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 w:cs="" w:asciiTheme="majorHAnsi" w:cstheme="majorBidi" w:eastAsiaTheme="majorEastAsia" w:hAnsiTheme="majorHAnsi"/>
      <w:color w:themeColor="accent1" w:themeShade="7f" w:val="243F60"/>
      <w:lang w:eastAsia="en-US"/>
    </w:rPr>
  </w:style>
  <w:style w:type="paragraph" w:styleId="Heading4">
    <w:name w:val="heading 4"/>
    <w:basedOn w:val="Normal"/>
    <w:next w:val="Normal"/>
    <w:link w:val="Ttulo4Char"/>
    <w:semiHidden/>
    <w:unhideWhenUsed/>
    <w:qFormat/>
    <w:rsid w:val="00a45a85"/>
    <w:pPr>
      <w:keepNext w:val="true"/>
      <w:keepLines/>
      <w:spacing w:before="40" w:after="0"/>
      <w:outlineLvl w:val="3"/>
    </w:pPr>
    <w:rPr>
      <w:rFonts w:ascii="Calibri" w:hAnsi="Calibri" w:eastAsia="" w:cs="" w:asciiTheme="majorHAnsi" w:cstheme="majorBidi" w:eastAsiaTheme="majorEastAsia" w:hAnsiTheme="majorHAnsi"/>
      <w:i/>
      <w:iCs/>
      <w:color w:themeColor="accent1" w:themeShade="bf" w:val="365F91"/>
    </w:rPr>
  </w:style>
  <w:style w:type="paragraph" w:styleId="Heading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 w:cs="" w:asciiTheme="majorHAnsi" w:cstheme="majorBidi" w:eastAsiaTheme="majorEastAsia" w:hAnsiTheme="majorHAnsi"/>
      <w:color w:themeColor="accent1" w:themeShade="7f" w:val="243F60"/>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Hyperlink" w:customStyle="1">
    <w:name w:val="Hyperlink"/>
    <w:basedOn w:val="DefaultParagraphFont"/>
    <w:uiPriority w:val="99"/>
    <w:unhideWhenUsed/>
    <w:qFormat/>
    <w:rsid w:val="00dc41dd"/>
    <w:rPr>
      <w:color w:themeColor="hyperlink" w:val="0000FF"/>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CommentReference">
    <w:name w:val="annotation reference"/>
    <w:basedOn w:val="DefaultParagraphFont"/>
    <w:uiPriority w:val="99"/>
    <w:unhideWhenUsed/>
    <w:qFormat/>
    <w:rsid w:val="00430fdb"/>
    <w:rPr>
      <w:sz w:val="16"/>
      <w:szCs w:val="16"/>
    </w:rPr>
  </w:style>
  <w:style w:type="character" w:styleId="TextodecomentrioChar" w:customStyle="1">
    <w:name w:val="Texto de comentário Char"/>
    <w:basedOn w:val="DefaultParagraphFon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 w:cs="" w:asciiTheme="majorHAnsi" w:cstheme="majorBidi" w:eastAsiaTheme="majorEastAsia" w:hAnsiTheme="majorHAnsi"/>
      <w:i/>
      <w:iCs/>
      <w:color w:themeColor="accent1" w:themeShade="bf" w:val="365F91"/>
      <w:sz w:val="24"/>
      <w:szCs w:val="24"/>
      <w:lang w:eastAsia="pt-BR"/>
    </w:rPr>
  </w:style>
  <w:style w:type="character" w:styleId="TtuloChar" w:customStyle="1">
    <w:name w:val="Título Char"/>
    <w:basedOn w:val="DefaultParagraphFont"/>
    <w:qFormat/>
    <w:rsid w:val="007f77ad"/>
    <w:rPr>
      <w:rFonts w:ascii="Calibri" w:hAnsi="Calibri" w:eastAsia="" w:cs="" w:asciiTheme="majorHAnsi" w:cstheme="majorBidi" w:eastAsiaTheme="majorEastAsia" w:hAnsiTheme="majorHAnsi"/>
      <w:color w:themeColor="text2" w:themeShade="bf" w:val="17365D"/>
      <w:spacing w:val="5"/>
      <w:kern w:val="2"/>
      <w:sz w:val="52"/>
      <w:szCs w:val="52"/>
      <w:lang w:eastAsia="pt-BR"/>
    </w:rPr>
  </w:style>
  <w:style w:type="character" w:styleId="Nivel01Char" w:customStyle="1">
    <w:name w:val="Nivel 01 Char"/>
    <w:basedOn w:val="TtuloChar"/>
    <w:link w:val="Nivel01"/>
    <w:qFormat/>
    <w:rsid w:val="008e7bb0"/>
    <w:rPr>
      <w:rFonts w:ascii="Arial" w:hAnsi="Arial" w:eastAsia="" w:cs="Arial" w:eastAsiaTheme="majorEastAsia"/>
      <w:b/>
      <w:bCs/>
      <w:color w:themeColor="text2" w:themeShade="bf" w:val="17365D"/>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 w:cs="" w:asciiTheme="majorHAnsi" w:cstheme="majorBidi" w:eastAsiaTheme="majorEastAsia" w:hAnsiTheme="majorHAnsi"/>
      <w:b/>
      <w:bCs/>
      <w:color w:themeColor="accent1" w:themeShade="bf" w:val="365F91"/>
      <w:sz w:val="28"/>
      <w:szCs w:val="28"/>
      <w:lang w:eastAsia="pt-BR"/>
    </w:rPr>
  </w:style>
  <w:style w:type="character" w:styleId="Nivel01TituloChar" w:customStyle="1">
    <w:name w:val="Nivel_01_Titulo Char"/>
    <w:basedOn w:val="Nivel01Char"/>
    <w:link w:val="Nivel01Titulo"/>
    <w:qFormat/>
    <w:rsid w:val="00e967ea"/>
    <w:rPr>
      <w:rFonts w:ascii="Arial" w:hAnsi="Arial" w:eastAsia="" w:cs="" w:cstheme="majorBidi" w:eastAsiaTheme="majorEastAsia"/>
      <w:b/>
      <w:bCs/>
      <w:color w:themeColor="text1" w:val="000000"/>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216690"/>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Emphasis">
    <w:name w:val="Emphasis"/>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FollowedHyperlink">
    <w:name w:val="FollowedHyperlink"/>
    <w:basedOn w:val="DefaultParagraphFont"/>
    <w:uiPriority w:val="99"/>
    <w:semiHidden/>
    <w:unhideWhenUsed/>
    <w:rsid w:val="00d30a43"/>
    <w:rPr>
      <w:color w:themeColor="followedHyperlink" w:val="800080"/>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216690"/>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4"/>
      <w:szCs w:val="24"/>
    </w:rPr>
  </w:style>
  <w:style w:type="character" w:styleId="Ttulo6Char" w:customStyle="1">
    <w:name w:val="Título 6 Char"/>
    <w:basedOn w:val="DefaultParagraphFont"/>
    <w:uiPriority w:val="9"/>
    <w:semiHidden/>
    <w:qFormat/>
    <w:rsid w:val="00cb3192"/>
    <w:rPr>
      <w:rFonts w:ascii="Calibri" w:hAnsi="Calibri" w:eastAsia="" w:cs="" w:asciiTheme="majorHAnsi" w:cstheme="majorBidi" w:eastAsiaTheme="majorEastAsia" w:hAnsiTheme="majorHAnsi"/>
      <w:color w:themeColor="accent1" w:themeShade="7f" w:val="243F60"/>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994a89"/>
    <w:rPr>
      <w:rFonts w:ascii="Arial" w:hAnsi="Arial" w:eastAsia="Cambria" w:cs="Arial" w:eastAsiaTheme="minorHAnsi"/>
      <w:b/>
      <w:bCs/>
      <w:iCs/>
      <w:color w:val="FF0000"/>
      <w:sz w:val="24"/>
      <w:szCs w:val="24"/>
      <w:u w:val="single"/>
      <w:lang w:eastAsia="pt-BR"/>
    </w:rPr>
  </w:style>
  <w:style w:type="character" w:styleId="Nvel2-RedChar" w:customStyle="1">
    <w:name w:val="Nível 2 -Red Char"/>
    <w:basedOn w:val="Nivel2Char"/>
    <w:link w:val="Nvel2-Red"/>
    <w:qFormat/>
    <w:rsid w:val="00f83142"/>
    <w:rPr>
      <w:rFonts w:ascii="Arial" w:hAnsi="Arial" w:cs="Arial"/>
      <w:i/>
      <w:iCs/>
      <w:color w:val="FF0000"/>
      <w:lang w:eastAsia="pt-BR"/>
    </w:rPr>
  </w:style>
  <w:style w:type="character" w:styleId="Nivel3Char" w:customStyle="1">
    <w:name w:val="Nivel 3 Char"/>
    <w:basedOn w:val="DefaultParagraphFont"/>
    <w:link w:val="Nivel3"/>
    <w:qFormat/>
    <w:rsid w:val="0046374b"/>
    <w:rPr>
      <w:rFonts w:ascii="Arial" w:hAnsi="Arial" w:cs="Arial"/>
      <w:color w:val="000000"/>
      <w:lang w:eastAsia="pt-BR"/>
    </w:rPr>
  </w:style>
  <w:style w:type="character" w:styleId="Nvel3-RChar" w:customStyle="1">
    <w:name w:val="Nível 3-R Char"/>
    <w:basedOn w:val="Nivel3Char"/>
    <w:link w:val="Nvel3-R"/>
    <w:qFormat/>
    <w:rsid w:val="00216690"/>
    <w:rPr>
      <w:rFonts w:ascii="Arial" w:hAnsi="Arial" w:cs="Arial"/>
      <w:i/>
      <w:iCs/>
      <w:color w:val="FF0000"/>
      <w:lang w:eastAsia="pt-BR"/>
    </w:rPr>
  </w:style>
  <w:style w:type="character" w:styleId="Nvel4-RChar" w:customStyle="1">
    <w:name w:val="Nível 4-R Char"/>
    <w:basedOn w:val="Nivel4Char"/>
    <w:link w:val="Nvel4-R"/>
    <w:qFormat/>
    <w:rsid w:val="00c5563a"/>
    <w:rPr>
      <w:rFonts w:ascii="Arial" w:hAnsi="Arial" w:cs="Arial"/>
      <w:i/>
      <w:iCs/>
      <w:color w:val="FF0000"/>
      <w:lang w:eastAsia="pt-BR"/>
    </w:rPr>
  </w:style>
  <w:style w:type="character" w:styleId="Nvel1-RedChar" w:customStyle="1">
    <w:name w:val="Nível 1-Red Char"/>
    <w:basedOn w:val="Nivel01Char"/>
    <w:link w:val="Nvel1-Red"/>
    <w:qFormat/>
    <w:rsid w:val="007c4a90"/>
    <w:rPr>
      <w:rFonts w:ascii="Arial" w:hAnsi="Arial" w:eastAsia="" w:cs="Arial" w:eastAsiaTheme="majorEastAsia"/>
      <w:b/>
      <w:bCs/>
      <w:i/>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TextodenotaderodapChar" w:customStyle="1">
    <w:name w:val="Texto de nota de rodapé Char"/>
    <w:basedOn w:val="DefaultParagraphFont"/>
    <w:semiHidden/>
    <w:qFormat/>
    <w:rsid w:val="002e5082"/>
    <w:rPr>
      <w:rFonts w:ascii="Ecofont_Spranq_eco_Sans" w:hAnsi="Ecofont_Spranq_eco_Sans" w:cs="Tahoma"/>
      <w:lang w:eastAsia="pt-BR"/>
    </w:rPr>
  </w:style>
  <w:style w:type="character" w:styleId="Caracteresdenotaderodap">
    <w:name w:val="Caracteres de nota de rodapé"/>
    <w:semiHidden/>
    <w:unhideWhenUsed/>
    <w:qFormat/>
    <w:rsid w:val="002e5082"/>
    <w:rPr>
      <w:vertAlign w:val="superscript"/>
    </w:rPr>
  </w:style>
  <w:style w:type="character" w:styleId="Caracteresdenotaderodapuser">
    <w:name w:val="Caracteres de nota de rodapé (user)"/>
    <w:qFormat/>
    <w:rPr>
      <w:vertAlign w:val="superscript"/>
    </w:rPr>
  </w:style>
  <w:style w:type="character" w:styleId="FootnoteReference">
    <w:name w:val="footnote reference"/>
    <w:rPr>
      <w:vertAlign w:val="superscript"/>
    </w:rPr>
  </w:style>
  <w:style w:type="character" w:styleId="SombreamentoMdio1-nfase3Char" w:customStyle="1">
    <w:name w:val="Sombreamento Médio 1 - Ênfase 3 Char"/>
    <w:link w:val="SombreamentoMdio1-nfase31"/>
    <w:qFormat/>
    <w:rsid w:val="00f848d5"/>
    <w:rPr>
      <w:rFonts w:ascii="Ecofont_Spranq_eco_Sans" w:hAnsi="Ecofont_Spranq_eco_Sans" w:eastAsia="Calibri" w:cs="Tahoma"/>
      <w:i/>
      <w:iCs/>
      <w:color w:val="000000"/>
      <w:szCs w:val="24"/>
      <w:shd w:fill="FFFFCC" w:val="clear"/>
      <w:lang w:eastAsia="zh-CN"/>
    </w:rPr>
  </w:style>
  <w:style w:type="character" w:styleId="UnresolvedMention">
    <w:name w:val="Unresolved Mention"/>
    <w:basedOn w:val="DefaultParagraphFont"/>
    <w:uiPriority w:val="99"/>
    <w:semiHidden/>
    <w:unhideWhenUsed/>
    <w:qFormat/>
    <w:rsid w:val="00d44edf"/>
    <w:rPr>
      <w:color w:val="605E5C"/>
      <w:shd w:fill="E1DFDD" w:val="clear"/>
    </w:rPr>
  </w:style>
  <w:style w:type="character" w:styleId="Nvel1-SemNumChar" w:customStyle="1">
    <w:name w:val="Nível 1-Sem Num Char"/>
    <w:basedOn w:val="Nivel01Char"/>
    <w:link w:val="Nvel1-SemNum"/>
    <w:qFormat/>
    <w:rsid w:val="00687859"/>
    <w:rPr>
      <w:rFonts w:ascii="Arial" w:hAnsi="Arial" w:eastAsia="" w:cs="Arial" w:eastAsiaTheme="majorEastAsia"/>
      <w:b/>
      <w:bCs/>
      <w:color w:val="FF0000"/>
      <w:spacing w:val="5"/>
      <w:kern w:val="2"/>
      <w:sz w:val="52"/>
      <w:szCs w:val="52"/>
      <w:lang w:eastAsia="pt-BR"/>
    </w:rPr>
  </w:style>
  <w:style w:type="character" w:styleId="UnresolvedMention1" w:customStyle="1">
    <w:name w:val="Unresolved Mention1"/>
    <w:basedOn w:val="DefaultParagraphFont"/>
    <w:uiPriority w:val="99"/>
    <w:semiHidden/>
    <w:unhideWhenUsed/>
    <w:qFormat/>
    <w:rsid w:val="00687859"/>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ListParagraph">
    <w:name w:val="List Paragraph"/>
    <w:basedOn w:val="Normal"/>
    <w:link w:val="PargrafodaListaChar"/>
    <w:uiPriority w:val="34"/>
    <w:qFormat/>
    <w:rsid w:val="004773fc"/>
    <w:pPr>
      <w:spacing w:before="0" w:after="0"/>
      <w:ind w:start="720"/>
      <w:contextualSpacing/>
    </w:pPr>
    <w:rPr/>
  </w:style>
  <w:style w:type="paragraph" w:styleId="NormalWeb">
    <w:name w:val="Normal (Web)"/>
    <w:basedOn w:val="Normal"/>
    <w:uiPriority w:val="99"/>
    <w:qFormat/>
    <w:rsid w:val="00d44edf"/>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rsid w:val="001a3a05"/>
    <w:pPr>
      <w:numPr>
        <w:ilvl w:val="0"/>
        <w:numId w:val="2"/>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link w:val="CabealhoChar"/>
    <w:uiPriority w:val="99"/>
    <w:rsid w:val="00ca24fb"/>
    <w:pPr>
      <w:tabs>
        <w:tab w:val="clear" w:pos="708"/>
        <w:tab w:val="center" w:pos="4252" w:leader="none"/>
        <w:tab w:val="right" w:pos="8504" w:leader="none"/>
      </w:tabs>
    </w:pPr>
    <w:rPr/>
  </w:style>
  <w:style w:type="paragraph" w:styleId="Footer">
    <w:name w:val="footer"/>
    <w:basedOn w:val="Normal"/>
    <w:link w:val="RodapChar"/>
    <w:uiPriority w:val="99"/>
    <w:rsid w:val="00ca24fb"/>
    <w:pPr>
      <w:tabs>
        <w:tab w:val="clear" w:pos="708"/>
        <w:tab w:val="center" w:pos="4252" w:leader="none"/>
        <w:tab w:val="right" w:pos="8504" w:leader="none"/>
      </w:tabs>
    </w:pPr>
    <w:rPr/>
  </w:style>
  <w:style w:type="paragraph" w:styleId="CommentText">
    <w:name w:val="annotation text"/>
    <w:basedOn w:val="Normal"/>
    <w:link w:val="TextodecomentrioChar"/>
    <w:uiPriority w:val="99"/>
    <w:unhideWhenUsed/>
    <w:rsid w:val="00d30a43"/>
    <w:pPr/>
    <w:rPr>
      <w:sz w:val="20"/>
      <w:szCs w:val="20"/>
    </w:rPr>
  </w:style>
  <w:style w:type="paragraph" w:styleId="annotationsubject">
    <w:name w:val="annotation subject"/>
    <w:basedOn w:val="CommentText"/>
    <w:next w:val="CommentText"/>
    <w:link w:val="AssuntodocomentrioChar"/>
    <w:uiPriority w:val="99"/>
    <w:semiHidden/>
    <w:unhideWhenUsed/>
    <w:qFormat/>
    <w:rsid w:val="00430fdb"/>
    <w:pPr/>
    <w:rPr>
      <w:b/>
      <w:bCs/>
    </w:rPr>
  </w:style>
  <w:style w:type="paragraph" w:styleId="Nivel01" w:customStyle="1">
    <w:name w:val="Nivel 01"/>
    <w:basedOn w:val="Heading1"/>
    <w:next w:val="Normal"/>
    <w:link w:val="Nivel01Char"/>
    <w:qFormat/>
    <w:rsid w:val="008e7bb0"/>
    <w:pPr>
      <w:numPr>
        <w:ilvl w:val="0"/>
        <w:numId w:val="1"/>
      </w:numPr>
      <w:tabs>
        <w:tab w:val="clear" w:pos="708"/>
        <w:tab w:val="left" w:pos="0" w:leader="none"/>
      </w:tabs>
      <w:spacing w:before="240" w:after="0"/>
      <w:ind w:start="0"/>
      <w:jc w:val="both"/>
    </w:pPr>
    <w:rPr>
      <w:rFonts w:ascii="Arial" w:hAnsi="Arial" w:cs="Arial"/>
      <w:color w:val="auto"/>
      <w:sz w:val="20"/>
      <w:szCs w:val="20"/>
    </w:rPr>
  </w:style>
  <w:style w:type="paragraph" w:styleId="Nivel01Titulo" w:customStyle="1">
    <w:name w:val="Nivel_01_Titulo"/>
    <w:basedOn w:val="Nivel01"/>
    <w:link w:val="Nivel01TituloChar"/>
    <w:qFormat/>
    <w:rsid w:val="00485f6c"/>
    <w:pPr>
      <w:jc w:val="start"/>
    </w:pPr>
    <w:rPr>
      <w:rFonts w:cs="" w:cstheme="majorBidi"/>
      <w:color w:themeColor="text1" w:val="000000"/>
      <w:spacing w:val="5"/>
      <w:kern w:val="2"/>
      <w:sz w:val="52"/>
      <w:szCs w:val="52"/>
    </w:rPr>
  </w:style>
  <w:style w:type="paragraph" w:styleId="Title">
    <w:name w:val="Title"/>
    <w:basedOn w:val="Normal"/>
    <w:next w:val="Normal"/>
    <w:link w:val="TtuloChar"/>
    <w:qFormat/>
    <w:rsid w:val="007f77ad"/>
    <w:pPr>
      <w:pBdr>
        <w:bottom w:val="single" w:sz="8" w:space="4" w:color="4F81BD" w:themeColor="accent1"/>
      </w:pBdr>
      <w:spacing w:before="0" w:after="300"/>
      <w:contextualSpacing/>
    </w:pPr>
    <w:rPr>
      <w:rFonts w:ascii="Calibri" w:hAnsi="Calibri" w:eastAsia="" w:cs="" w:asciiTheme="majorHAnsi" w:cstheme="majorBidi" w:eastAsiaTheme="majorEastAsia" w:hAnsiTheme="majorHAnsi"/>
      <w:color w:themeColor="text2" w:themeShade="bf" w:val="17365D"/>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Heading1"/>
    <w:link w:val="Nivel1Char"/>
    <w:qFormat/>
    <w:rsid w:val="00d30a43"/>
    <w:pPr>
      <w:spacing w:lineRule="auto" w:line="276"/>
      <w:ind w:hanging="357" w:start="357"/>
      <w:jc w:val="both"/>
    </w:pPr>
    <w:rPr>
      <w:rFonts w:ascii="Arial" w:hAnsi="Arial" w:cs="Arial"/>
      <w:bCs w:val="false"/>
      <w:color w:val="000000"/>
    </w:rPr>
  </w:style>
  <w:style w:type="paragraph" w:styleId="PargrafodaLista1" w:customStyle="1">
    <w:name w:val="Parágrafo da Lista1"/>
    <w:basedOn w:val="Normal"/>
    <w:qFormat/>
    <w:rsid w:val="00d30a43"/>
    <w:pPr>
      <w:ind w:start="720"/>
    </w:pPr>
    <w:rPr>
      <w:rFonts w:eastAsia="Times New Roman" w:cs="Ecofont_Spranq_eco_Sans"/>
    </w:rPr>
  </w:style>
  <w:style w:type="paragraph" w:styleId="Nivel2" w:customStyle="1">
    <w:name w:val="Nivel 2"/>
    <w:basedOn w:val="Normal"/>
    <w:link w:val="Nivel2Char"/>
    <w:qFormat/>
    <w:rsid w:val="00216690"/>
    <w:pPr>
      <w:numPr>
        <w:ilvl w:val="1"/>
        <w:numId w:val="1"/>
      </w:numPr>
      <w:spacing w:lineRule="auto" w:line="276" w:before="120" w:after="120"/>
      <w:ind w:hanging="0" w:start="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hanging="360" w:start="360"/>
    </w:pPr>
    <w:rPr>
      <w:b/>
    </w:rPr>
  </w:style>
  <w:style w:type="paragraph" w:styleId="Nivel3" w:customStyle="1">
    <w:name w:val="Nivel 3"/>
    <w:basedOn w:val="Normal"/>
    <w:link w:val="Nivel3Char"/>
    <w:qFormat/>
    <w:rsid w:val="0046374b"/>
    <w:pPr>
      <w:numPr>
        <w:ilvl w:val="2"/>
        <w:numId w:val="1"/>
      </w:numPr>
      <w:spacing w:lineRule="auto" w:line="276" w:before="120" w:after="120"/>
      <w:ind w:hanging="0" w:start="284"/>
      <w:jc w:val="both"/>
    </w:pPr>
    <w:rPr>
      <w:rFonts w:ascii="Arial" w:hAnsi="Arial" w:cs="Arial"/>
      <w:color w:val="000000"/>
      <w:sz w:val="20"/>
      <w:szCs w:val="20"/>
    </w:rPr>
  </w:style>
  <w:style w:type="paragraph" w:styleId="Nivel4" w:customStyle="1">
    <w:name w:val="Nivel 4"/>
    <w:basedOn w:val="Nivel3"/>
    <w:link w:val="Nivel4Char"/>
    <w:qFormat/>
    <w:rsid w:val="00216690"/>
    <w:pPr>
      <w:ind w:hanging="0" w:start="567"/>
    </w:pPr>
    <w:rPr>
      <w:color w:val="auto"/>
    </w:rPr>
  </w:style>
  <w:style w:type="paragraph" w:styleId="Nivel5" w:customStyle="1">
    <w:name w:val="Nivel 5"/>
    <w:basedOn w:val="Nivel4"/>
    <w:qFormat/>
    <w:rsid w:val="00d44edf"/>
    <w:pPr>
      <w:ind w:hanging="0" w:start="851"/>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start="416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star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star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hanging="432" w:start="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hanging="504" w:start="1072"/>
    </w:pPr>
    <w:rPr>
      <w:rFonts w:eastAsia="Times New Roman"/>
      <w:i/>
      <w:iCs/>
      <w:color w:val="FF0000"/>
    </w:rPr>
  </w:style>
  <w:style w:type="paragraph" w:styleId="SombreamentoMdio1-nfase31" w:customStyle="1">
    <w:name w:val="Sombreamento Médio 1 - Ênfase 31"/>
    <w:basedOn w:val="Normal"/>
    <w:next w:val="Normal"/>
    <w:link w:val="SombreamentoMdio1-nfase3Char"/>
    <w:qFormat/>
    <w:rsid w:val="00485f6c"/>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star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485f6c"/>
    <w:pPr>
      <w:spacing w:lineRule="auto" w:line="259" w:before="60" w:after="60"/>
      <w:ind w:start="0"/>
      <w:contextualSpacing w:val="false"/>
      <w:jc w:val="center"/>
    </w:pPr>
    <w:rPr>
      <w:rFonts w:ascii="Arial" w:hAnsi="Arial" w:eastAsia="Cambria" w:cs="Arial" w:eastAsiaTheme="minorHAnsi"/>
      <w:b/>
      <w:bCs/>
      <w:iCs/>
      <w:color w:val="FF000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f83142"/>
    <w:pPr/>
    <w:rPr>
      <w:i/>
      <w:iCs/>
      <w:color w:val="FF0000"/>
    </w:rPr>
  </w:style>
  <w:style w:type="paragraph" w:styleId="Nvel3-R" w:customStyle="1">
    <w:name w:val="Nível 3-R"/>
    <w:basedOn w:val="Nivel3"/>
    <w:link w:val="Nvel3-RChar"/>
    <w:qFormat/>
    <w:rsid w:val="00216690"/>
    <w:pPr/>
    <w:rPr>
      <w:i/>
      <w:iCs/>
      <w:color w:val="FF0000"/>
    </w:rPr>
  </w:style>
  <w:style w:type="paragraph" w:styleId="Nvel4-R" w:customStyle="1">
    <w:name w:val="Nível 4-R"/>
    <w:basedOn w:val="Nivel4"/>
    <w:link w:val="Nvel4-RChar"/>
    <w:qFormat/>
    <w:rsid w:val="00687859"/>
    <w:pPr/>
    <w:rPr>
      <w:i/>
      <w:iCs/>
      <w:color w:val="FF0000"/>
    </w:rPr>
  </w:style>
  <w:style w:type="paragraph" w:styleId="Nvel1-Red" w:customStyle="1">
    <w:name w:val="Nível 1-Red"/>
    <w:basedOn w:val="Nivel01"/>
    <w:link w:val="Nvel1-RedChar"/>
    <w:qFormat/>
    <w:rsid w:val="007c4a90"/>
    <w:pPr>
      <w:ind w:start="-426"/>
    </w:pPr>
    <w:rPr>
      <w:i/>
      <w:color w:val="FF0000"/>
    </w:rPr>
  </w:style>
  <w:style w:type="paragraph" w:styleId="citao2" w:customStyle="1">
    <w:name w:val="citação 2"/>
    <w:basedOn w:val="Quote"/>
    <w:qFormat/>
    <w:rsid w:val="00dc41dd"/>
    <w:pPr>
      <w:overflowPunct w:val="true"/>
    </w:pPr>
    <w:rPr>
      <w:szCs w:val="20"/>
    </w:rPr>
  </w:style>
  <w:style w:type="paragraph" w:styleId="Prembulo" w:customStyle="1">
    <w:name w:val="Preâmbulo"/>
    <w:basedOn w:val="Normal"/>
    <w:link w:val="PrembuloChar"/>
    <w:qFormat/>
    <w:rsid w:val="00bb19e4"/>
    <w:pPr>
      <w:spacing w:lineRule="auto" w:line="360" w:before="480" w:after="120"/>
      <w:ind w:start="4253" w:end="-17"/>
      <w:jc w:val="both"/>
    </w:pPr>
    <w:rPr>
      <w:rFonts w:ascii="Arial" w:hAnsi="Arial" w:eastAsia="Arial" w:cs="Arial"/>
      <w:bCs/>
      <w:sz w:val="20"/>
      <w:szCs w:val="20"/>
    </w:rPr>
  </w:style>
  <w:style w:type="paragraph" w:styleId="FootnoteText">
    <w:name w:val="footnote text"/>
    <w:basedOn w:val="Normal"/>
    <w:link w:val="TextodenotaderodapChar"/>
    <w:semiHidden/>
    <w:unhideWhenUsed/>
    <w:rsid w:val="002e5082"/>
    <w:pPr/>
    <w:rPr>
      <w:sz w:val="20"/>
      <w:szCs w:val="20"/>
    </w:rPr>
  </w:style>
  <w:style w:type="paragraph" w:styleId="Nvel1-SemNum" w:customStyle="1">
    <w:name w:val="Nível 1-Sem Num"/>
    <w:basedOn w:val="Nivel01"/>
    <w:link w:val="Nvel1-SemNumChar"/>
    <w:qFormat/>
    <w:rsid w:val="00485f6c"/>
    <w:pPr>
      <w:numPr>
        <w:ilvl w:val="0"/>
        <w:numId w:val="0"/>
      </w:numPr>
      <w:tabs>
        <w:tab w:val="clear" w:pos="0"/>
      </w:tabs>
      <w:ind w:start="357"/>
      <w:outlineLvl w:val="1"/>
    </w:pPr>
    <w:rPr>
      <w:color w:val="FF0000"/>
      <w:spacing w:val="5"/>
      <w:kern w:val="2"/>
      <w:sz w:val="52"/>
      <w:szCs w:val="52"/>
    </w:rPr>
  </w:style>
  <w:style w:type="numbering" w:styleId="Semlista" w:default="1">
    <w:name w:val="Sem lista"/>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mailto:cgu.modeloscontratacao@agu.gov.br" TargetMode="External"/><Relationship Id="rId2" Type="http://schemas.openxmlformats.org/officeDocument/2006/relationships/hyperlink" Target="https://www.in.gov.br/en/web/dou/-/portaria-me-n-1.144-de-3-de-fevereiro-de-2021-302550048"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emf"/><Relationship Id="rId3" Type="http://schemas.openxmlformats.org/officeDocument/2006/relationships/hyperlink" Target="http://www.ibama.gov.br/component/legislacao/?view=legislacao&amp;legislacao=112647" TargetMode="External"/><Relationship Id="rId4" Type="http://schemas.openxmlformats.org/officeDocument/2006/relationships/hyperlink" Target="http://www.ibama.gov.br/phocadownload/sinaflor/2018/2018-06-13-Ibama-IN-IBAMA-21-24-12-2014-SINAFLOR-DOF-compilada.pdf"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comments" Target="comments.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4A365-8AC4-49CB-83A9-C91CF2267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Application>LibreOffice/26.2.4.2$Windows_X86_64 LibreOffice_project/0229ac93fcf0d7cbc6376066c6f35021cef002dc</Application>
  <AppVersion>15.0000</AppVersion>
  <Pages>12</Pages>
  <Words>4970</Words>
  <Characters>28938</Characters>
  <CharactersWithSpaces>33603</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2025-03-24T17:55:00Z</dcterms:created>
  <dc:creator/>
  <dc:description/>
  <dc:language>pt-BR</dc:language>
  <cp:lastModifiedBy/>
  <dcterms:modified xsi:type="dcterms:W3CDTF">2026-07-17T11:34:29Z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