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B9B05" w14:textId="77777777" w:rsidR="003875E3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noProof/>
        </w:rPr>
        <w:drawing>
          <wp:inline distT="0" distB="0" distL="0" distR="0" wp14:anchorId="2FFED26A" wp14:editId="5DDAF915">
            <wp:extent cx="1097280" cy="1066800"/>
            <wp:effectExtent l="0" t="0" r="0" b="0"/>
            <wp:docPr id="1" name="image1.png" descr="Desenho de personagem de desenho animado&#10;&#10;O conteúdo gerado por IA pode estar incorre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Desenho de personagem de desenho animado&#10;&#10;O conteúdo gerado por IA pode estar incorreto.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1066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56BC73" w14:textId="77777777" w:rsidR="003875E3" w:rsidRDefault="00000000">
      <w:pPr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MINISTÉRIO DA DEFESA</w:t>
      </w:r>
    </w:p>
    <w:p w14:paraId="1F885302" w14:textId="77777777" w:rsidR="003875E3" w:rsidRDefault="00000000">
      <w:pPr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EXÉRCITO BRASILEIRO</w:t>
      </w:r>
    </w:p>
    <w:p w14:paraId="4BE5354A" w14:textId="77777777" w:rsidR="003875E3" w:rsidRDefault="00000000">
      <w:pPr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CMS - 3ª DE - AD/3</w:t>
      </w:r>
    </w:p>
    <w:p w14:paraId="333A2F40" w14:textId="77777777" w:rsidR="003875E3" w:rsidRDefault="00000000">
      <w:pPr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27º GRUPO DE ARTILHARIA DE CAMPANHA</w:t>
      </w:r>
    </w:p>
    <w:p w14:paraId="5A337C25" w14:textId="77777777" w:rsidR="003875E3" w:rsidRDefault="00000000">
      <w:pPr>
        <w:spacing w:after="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(I/4º RADC/1938)</w:t>
      </w:r>
    </w:p>
    <w:p w14:paraId="042E85BD" w14:textId="77777777" w:rsidR="003875E3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GRUPO MONTE CASEROS</w:t>
      </w:r>
    </w:p>
    <w:p w14:paraId="07CD6587" w14:textId="77777777" w:rsidR="003875E3" w:rsidRDefault="003875E3">
      <w:pPr>
        <w:rPr>
          <w:b/>
          <w:bCs/>
        </w:rPr>
      </w:pPr>
    </w:p>
    <w:p w14:paraId="7E7291EC" w14:textId="77777777" w:rsidR="00BA710F" w:rsidRPr="00BA710F" w:rsidRDefault="00BA710F" w:rsidP="00BA710F">
      <w:pPr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BA710F">
        <w:rPr>
          <w:rFonts w:ascii="Times New Roman" w:eastAsia="Times New Roman" w:hAnsi="Times New Roman" w:cs="Times New Roman"/>
          <w:b/>
          <w:bCs/>
          <w:u w:val="single"/>
        </w:rPr>
        <w:t>JUSTIFICATIVA DE NÃO APLICAÇÃO DA COTA RESERVADA PARA MICROEMPRESAS E EMPRESAS DE PEQUENO PORTE (ME/EPP)</w:t>
      </w:r>
    </w:p>
    <w:p w14:paraId="0C550159" w14:textId="77777777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</w:p>
    <w:p w14:paraId="038B412E" w14:textId="16E84F2D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Não foi adotada a reserva de cota de até 25% para Microempresas e Empresas de Pequeno Porte (ME/EPP), prevista no art. 48, inciso III, da Lei Complementar nº 123, de 14 de dezembro de 2006, em razão das particularidades do objeto licitado e com fundamento na exceção prevista no art. 49, inciso III, da referida Lei Complementar.</w:t>
      </w:r>
    </w:p>
    <w:p w14:paraId="72096D9B" w14:textId="150FB6E6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O presente processo tem por objeto o Registro de Preços para futura e eventual aquisição de peças de reposição destinadas à manutenção das viaturas da frota desta Organização Militar, mediante aplicação de desconto sobre tabelas oficiais de fabricantes e sistemas especializados de identificação e precificação de peças automotivas.</w:t>
      </w:r>
    </w:p>
    <w:p w14:paraId="447B780A" w14:textId="4D2B66B3" w:rsidR="00941901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Trata-se de contratação que abrange extenso universo de componentes automotivos, envolvendo milhares de peças de reposição pertencentes a diversos fabricantes e sistemas automotivos, conforme demonstrado pelas tabelas de referência utilizadas para a formação dos preços estimados. A amplitude e a diversidade dos itens contemplados evidenciam a elevada complexidade do objeto e a necessidade de ampla capacidade de fornecimento para atendimento das futuras demandas da Administração.</w:t>
      </w:r>
    </w:p>
    <w:p w14:paraId="5E9805A3" w14:textId="69323EF9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Ressalta-se que</w:t>
      </w:r>
      <w:r>
        <w:rPr>
          <w:rFonts w:ascii="Times New Roman" w:eastAsia="Times New Roman" w:hAnsi="Times New Roman" w:cs="Times New Roman"/>
        </w:rPr>
        <w:t xml:space="preserve"> o</w:t>
      </w:r>
      <w:r w:rsidRPr="00BA710F">
        <w:rPr>
          <w:rFonts w:ascii="Times New Roman" w:eastAsia="Times New Roman" w:hAnsi="Times New Roman" w:cs="Times New Roman"/>
        </w:rPr>
        <w:t xml:space="preserve"> Termo de Referência apresenta</w:t>
      </w:r>
      <w:r>
        <w:rPr>
          <w:rFonts w:ascii="Times New Roman" w:eastAsia="Times New Roman" w:hAnsi="Times New Roman" w:cs="Times New Roman"/>
        </w:rPr>
        <w:t>, em anexo,</w:t>
      </w:r>
      <w:r w:rsidRPr="00BA710F">
        <w:rPr>
          <w:rFonts w:ascii="Times New Roman" w:eastAsia="Times New Roman" w:hAnsi="Times New Roman" w:cs="Times New Roman"/>
        </w:rPr>
        <w:t xml:space="preserve"> a tabela de referência de peças da fabricante Agrale e a relação de fabricantes e marcas contempladas pelo sistema </w:t>
      </w:r>
      <w:proofErr w:type="spellStart"/>
      <w:r w:rsidRPr="00BA710F">
        <w:rPr>
          <w:rFonts w:ascii="Times New Roman" w:eastAsia="Times New Roman" w:hAnsi="Times New Roman" w:cs="Times New Roman"/>
        </w:rPr>
        <w:t>Audatex</w:t>
      </w:r>
      <w:proofErr w:type="spellEnd"/>
      <w:r w:rsidRPr="00BA710F">
        <w:rPr>
          <w:rFonts w:ascii="Times New Roman" w:eastAsia="Times New Roman" w:hAnsi="Times New Roman" w:cs="Times New Roman"/>
        </w:rPr>
        <w:t>/</w:t>
      </w:r>
      <w:proofErr w:type="spellStart"/>
      <w:r w:rsidRPr="00BA710F">
        <w:rPr>
          <w:rFonts w:ascii="Times New Roman" w:eastAsia="Times New Roman" w:hAnsi="Times New Roman" w:cs="Times New Roman"/>
        </w:rPr>
        <w:t>Solera</w:t>
      </w:r>
      <w:proofErr w:type="spellEnd"/>
      <w:r w:rsidRPr="00BA710F">
        <w:rPr>
          <w:rFonts w:ascii="Times New Roman" w:eastAsia="Times New Roman" w:hAnsi="Times New Roman" w:cs="Times New Roman"/>
        </w:rPr>
        <w:t xml:space="preserve"> utilizado para identificação e precificação dos componentes automotivos objeto da contratação.</w:t>
      </w:r>
    </w:p>
    <w:p w14:paraId="3E8967BB" w14:textId="295F6ED3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Os referidos documentos demonstram a elevada abrangência do objeto licitado, o qual compreende um universo extremamente amplo de componentes automotivos, distribuídos entre diversos fabricantes, sistemas, conjuntos mecânicos, elétricos, eletrônicos, hidráulicos, pneumáticos e estruturais. Tal característica evidencia que a contratação não se restringe ao fornecimento de itens específicos e previamente determinados, mas sim à disponibilização de uma ampla capacidade de atendimento para futuras demandas de manutenção corretiva e preventiva da frota.</w:t>
      </w:r>
    </w:p>
    <w:p w14:paraId="6B611E40" w14:textId="54F3D5D7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lastRenderedPageBreak/>
        <w:t>A análise dos anexos evidencia ainda a impossibilidade prática de se prever, com precisão, quais peças serão efetivamente demandadas durante a vigência da Ata de Registro de Preços, circunstância inerente à natureza da contratação. Dessa forma, a divisão do objeto em cotas reservadas poderá resultar na fragmentação do fornecimento entre diferentes fornecedores, aumentando a complexidade da gestão contratual, dificultando o controle da execução da Ata e elevando o risco de indisponibilidade de peças essenciais para a manutenção da frota.</w:t>
      </w:r>
    </w:p>
    <w:p w14:paraId="25BA48E5" w14:textId="07D26840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Considerando que a operacionalidade das viaturas depende diretamente da agilidade na obtenção das peças necessárias às manutenções corretivas e preventivas, eventual fragmentação do fornecimento poderá comprometer a eficiência logística da contratação e prejudicar a continuidade das atividades administrativas e operacionais desempenhadas por esta Organização Militar.</w:t>
      </w:r>
    </w:p>
    <w:p w14:paraId="591735EC" w14:textId="47A6B730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Destaca-se que a presente contratação será realizada por meio do Sistema de Registro de Preços, cuja característica principal consiste na existência de demanda futura, eventual e imprevisível. Dessa forma, não é possível determinar previamente quais peças específicas serão efetivamente adquiridas durante a vigência da Ata de Registro de Preços, tampouco em quais quantidades serão demandadas.</w:t>
      </w:r>
    </w:p>
    <w:p w14:paraId="4788CA47" w14:textId="61CE9962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Nesse contexto, a aplicação da cota reservada prevista no art. 48, inciso III, da Lei Complementar nº 123/2006 implicaria a divisão artificial do objeto entre fornecedores distintos, criando dificuldades para a gestão e execução contratual, aumentando os custos administrativos de acompanhamento, fiscalização e controle da contratação, além de elevar o risco de fracasso parcial de itens e de desabastecimento de peças essenciais à manutenção da frota.</w:t>
      </w:r>
    </w:p>
    <w:p w14:paraId="4B656B4D" w14:textId="4DDF227C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A eventual existência de fornecedores distintos para atendimento de parcelas do mesmo grupo de peças poderá ocasionar atrasos no fornecimento, dificuldades operacionais para a Administração e comprometimento da eficiência logística necessária à manutenção das viaturas, afetando diretamente a disponibilidade operacional dos meios empregados nas atividades institucionais desta Organização Militar.</w:t>
      </w:r>
    </w:p>
    <w:p w14:paraId="79E3F106" w14:textId="043ADFBE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Ademais, durante os levantamentos de mercado e pesquisas realizadas para a instrução do presente processo, verificou-se que o segmento de fornecimento de peças automotivas para atendimento de ampla gama de marcas, modelos e sistemas especializados é composto por fornecedores com diferentes estruturas operacionais, sendo necessária elevada capacidade de atendimento para garantir o fornecimento contínuo e integral dos itens que venham a ser demandados durante a execução da Ata de Registro de Preços.</w:t>
      </w:r>
    </w:p>
    <w:p w14:paraId="4A3A1378" w14:textId="61A636B1" w:rsidR="00BA710F" w:rsidRPr="00BA710F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t>Importante ressaltar que a não aplicação da cota reservada não afasta o tratamento favorecido assegurado às Microempresas e Empresas de Pequeno Porte, permanecendo integralmente aplicáveis os demais benefícios previstos na Lei Complementar nº 123/2006, especialmente aqueles relacionados ao direito de preferência e aos critérios de desempate estabelecidos em seus artigos 44 e 45.</w:t>
      </w:r>
    </w:p>
    <w:p w14:paraId="538BEE10" w14:textId="3109CC18" w:rsidR="003875E3" w:rsidRDefault="00BA710F" w:rsidP="00BA710F">
      <w:pPr>
        <w:jc w:val="both"/>
        <w:rPr>
          <w:rFonts w:ascii="Times New Roman" w:eastAsia="Times New Roman" w:hAnsi="Times New Roman" w:cs="Times New Roman"/>
        </w:rPr>
      </w:pPr>
      <w:r w:rsidRPr="00BA710F">
        <w:rPr>
          <w:rFonts w:ascii="Times New Roman" w:eastAsia="Times New Roman" w:hAnsi="Times New Roman" w:cs="Times New Roman"/>
        </w:rPr>
        <w:lastRenderedPageBreak/>
        <w:t>Diante do exposto, conclui-se que a adoção da reserva de cota para ME/EPP, no presente caso, mostra-se potencialmente prejudicial ao conjunto do objeto e à eficiência da contratação, enquadrando-se na hipótese excepcional prevista no art. 49, inciso III, da Lei Complementar nº 123/2006, razão pela qual se justifica sua não aplicação, em observância aos princípios da eficiência, da economicidade, da competitividade e da supremacia do interesse público.</w:t>
      </w:r>
    </w:p>
    <w:p w14:paraId="3A38CC35" w14:textId="77777777" w:rsidR="003875E3" w:rsidRDefault="003875E3">
      <w:pPr>
        <w:jc w:val="both"/>
        <w:rPr>
          <w:rFonts w:ascii="Times New Roman" w:eastAsia="Times New Roman" w:hAnsi="Times New Roman" w:cs="Times New Roman"/>
        </w:rPr>
      </w:pPr>
    </w:p>
    <w:sectPr w:rsidR="003875E3">
      <w:pgSz w:w="11906" w:h="16838"/>
      <w:pgMar w:top="1417" w:right="1701" w:bottom="1417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532F5C97-1536-4C16-8538-4E7D65488A7A}"/>
    <w:embedBold r:id="rId2" w:fontKey="{B0C0BBCF-F11F-46AF-9801-ECB8B7D70493}"/>
    <w:embedItalic r:id="rId3" w:fontKey="{4BF041D2-9259-4B6B-B829-DB9249A3C820}"/>
  </w:font>
  <w:font w:name="Play">
    <w:charset w:val="00"/>
    <w:family w:val="auto"/>
    <w:pitch w:val="default"/>
    <w:embedRegular r:id="rId4" w:fontKey="{A5268F5B-88D8-4F05-8BBD-C6B3C14A591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7DA55485-7DC9-4B3E-A64D-F208016648A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BA4A4E83-D691-4309-9CDA-86EDB4E6821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5E3"/>
    <w:rsid w:val="00053873"/>
    <w:rsid w:val="00124895"/>
    <w:rsid w:val="003875E3"/>
    <w:rsid w:val="008840D9"/>
    <w:rsid w:val="00941901"/>
    <w:rsid w:val="00BA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D6420"/>
  <w15:docId w15:val="{86C20C67-3396-4A49-9319-BE5BB39D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895</Words>
  <Characters>4835</Characters>
  <Application>Microsoft Office Word</Application>
  <DocSecurity>0</DocSecurity>
  <Lines>40</Lines>
  <Paragraphs>11</Paragraphs>
  <ScaleCrop>false</ScaleCrop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guedes</dc:creator>
  <cp:lastModifiedBy>leonardo guedes</cp:lastModifiedBy>
  <cp:revision>5</cp:revision>
  <dcterms:created xsi:type="dcterms:W3CDTF">2026-06-08T07:04:00Z</dcterms:created>
  <dcterms:modified xsi:type="dcterms:W3CDTF">2026-06-08T07:10:00Z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