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E2D6D" w14:textId="77777777" w:rsidR="00400035" w:rsidRDefault="00E90840">
      <w:pPr>
        <w:spacing w:after="288" w:line="312" w:lineRule="auto"/>
        <w:jc w:val="center"/>
      </w:pPr>
      <w:r>
        <w:rPr>
          <w:rFonts w:ascii="Arial" w:eastAsia="Arial" w:hAnsi="Arial" w:cs="Arial"/>
          <w:b/>
          <w:bCs/>
          <w:color w:val="000000"/>
          <w:sz w:val="20"/>
          <w:szCs w:val="20"/>
        </w:rPr>
        <w:t xml:space="preserve">MODELO DE ATA DE REGISTRO DE PREÇOS </w:t>
      </w:r>
      <w:r>
        <w:rPr>
          <w:rFonts w:ascii="Arial" w:eastAsia="Arial" w:hAnsi="Arial" w:cs="Arial"/>
          <w:b/>
          <w:bCs/>
          <w:color w:val="000000"/>
          <w:sz w:val="20"/>
          <w:szCs w:val="20"/>
        </w:rPr>
        <w:br/>
        <w:t>Lei nº 14.133, de 1º de abril de 2021</w:t>
      </w:r>
    </w:p>
    <w:p w14:paraId="0F718E96" w14:textId="77777777" w:rsidR="00400035" w:rsidRDefault="00E90840">
      <w:pPr>
        <w:spacing w:after="288" w:line="312" w:lineRule="auto"/>
        <w:jc w:val="center"/>
      </w:pPr>
      <w:bookmarkStart w:id="0" w:name="bookmark=id.tacmvlnfq1c1_Copia_1" w:colFirst="0" w:colLast="0"/>
      <w:bookmarkEnd w:id="0"/>
      <w:r>
        <w:rPr>
          <w:noProof/>
        </w:rPr>
        <w:drawing>
          <wp:inline distT="0" distB="0" distL="0" distR="0" wp14:anchorId="09BECE09" wp14:editId="77F2E990">
            <wp:extent cx="981075" cy="83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81075" cy="838200"/>
                    </a:xfrm>
                    <a:prstGeom prst="rect">
                      <a:avLst/>
                    </a:prstGeom>
                    <a:ln/>
                  </pic:spPr>
                </pic:pic>
              </a:graphicData>
            </a:graphic>
          </wp:inline>
        </w:drawing>
      </w:r>
    </w:p>
    <w:p w14:paraId="1277B7C2" w14:textId="77777777" w:rsidR="00400035" w:rsidRDefault="00E90840">
      <w:pPr>
        <w:pBdr>
          <w:top w:val="nil"/>
          <w:left w:val="nil"/>
          <w:bottom w:val="nil"/>
          <w:right w:val="nil"/>
          <w:between w:val="nil"/>
        </w:pBdr>
        <w:spacing w:line="288" w:lineRule="auto"/>
        <w:jc w:val="center"/>
        <w:rPr>
          <w:color w:val="000000"/>
        </w:rPr>
      </w:pPr>
      <w:r>
        <w:rPr>
          <w:rFonts w:ascii="Arial" w:eastAsia="Arial" w:hAnsi="Arial" w:cs="Arial"/>
          <w:b/>
          <w:bCs/>
          <w:color w:val="000000"/>
        </w:rPr>
        <w:t>MINISTÉRIO DA DEFESA</w:t>
      </w:r>
    </w:p>
    <w:p w14:paraId="15D147D9" w14:textId="77777777" w:rsidR="00400035" w:rsidRDefault="00E90840">
      <w:pPr>
        <w:pBdr>
          <w:top w:val="nil"/>
          <w:left w:val="nil"/>
          <w:bottom w:val="nil"/>
          <w:right w:val="nil"/>
          <w:between w:val="nil"/>
        </w:pBdr>
        <w:spacing w:line="288" w:lineRule="auto"/>
        <w:jc w:val="center"/>
        <w:rPr>
          <w:color w:val="000000"/>
        </w:rPr>
      </w:pPr>
      <w:r>
        <w:rPr>
          <w:rFonts w:ascii="Arial" w:eastAsia="Arial" w:hAnsi="Arial" w:cs="Arial"/>
          <w:b/>
          <w:bCs/>
          <w:color w:val="000000"/>
        </w:rPr>
        <w:t>EXÉRCITO BRASILEIRO</w:t>
      </w:r>
    </w:p>
    <w:p w14:paraId="18BE166B" w14:textId="77777777" w:rsidR="00400035" w:rsidRDefault="00E90840">
      <w:pPr>
        <w:pBdr>
          <w:top w:val="nil"/>
          <w:left w:val="nil"/>
          <w:bottom w:val="nil"/>
          <w:right w:val="nil"/>
          <w:between w:val="nil"/>
        </w:pBdr>
        <w:jc w:val="center"/>
        <w:rPr>
          <w:color w:val="000000"/>
        </w:rPr>
      </w:pPr>
      <w:r>
        <w:rPr>
          <w:rFonts w:ascii="Arial" w:eastAsia="Arial" w:hAnsi="Arial" w:cs="Arial"/>
          <w:b/>
          <w:bCs/>
          <w:color w:val="000000"/>
        </w:rPr>
        <w:t>53º BATALHÃO DE INFANTARIA DE SELVA</w:t>
      </w:r>
    </w:p>
    <w:p w14:paraId="4F6EBE64" w14:textId="77777777" w:rsidR="00400035" w:rsidRDefault="00E90840">
      <w:pPr>
        <w:pBdr>
          <w:top w:val="nil"/>
          <w:left w:val="nil"/>
          <w:bottom w:val="nil"/>
          <w:right w:val="nil"/>
          <w:between w:val="nil"/>
        </w:pBdr>
        <w:jc w:val="center"/>
        <w:rPr>
          <w:rFonts w:ascii="Arial" w:eastAsia="Arial" w:hAnsi="Arial" w:cs="Arial"/>
          <w:color w:val="000000"/>
        </w:rPr>
      </w:pPr>
      <w:r>
        <w:rPr>
          <w:rFonts w:ascii="Arial" w:eastAsia="Arial" w:hAnsi="Arial" w:cs="Arial"/>
          <w:b/>
          <w:bCs/>
          <w:color w:val="000000"/>
        </w:rPr>
        <w:t xml:space="preserve">(BATALHÃO TENENTE-CORONEL JOAQUIM CAETANO CORRÊA) </w:t>
      </w:r>
      <w:r>
        <w:rPr>
          <w:rFonts w:ascii="Arial" w:eastAsia="Arial" w:hAnsi="Arial" w:cs="Arial"/>
          <w:color w:val="000000"/>
        </w:rPr>
        <w:t>      </w:t>
      </w:r>
    </w:p>
    <w:p w14:paraId="668AF305" w14:textId="77777777" w:rsidR="00400035" w:rsidRDefault="00400035">
      <w:pPr>
        <w:pBdr>
          <w:top w:val="nil"/>
          <w:left w:val="nil"/>
          <w:bottom w:val="nil"/>
          <w:right w:val="nil"/>
          <w:between w:val="nil"/>
        </w:pBdr>
        <w:jc w:val="center"/>
        <w:rPr>
          <w:rFonts w:ascii="Arial" w:eastAsia="Arial" w:hAnsi="Arial" w:cs="Arial"/>
        </w:rPr>
      </w:pPr>
    </w:p>
    <w:p w14:paraId="7B99E7D8" w14:textId="2E17958A" w:rsidR="00400035" w:rsidRDefault="00E90840">
      <w:pPr>
        <w:spacing w:before="288"/>
        <w:ind w:firstLine="567"/>
        <w:jc w:val="center"/>
        <w:rPr>
          <w:rFonts w:ascii="Arial" w:eastAsia="Arial" w:hAnsi="Arial" w:cs="Arial"/>
          <w:sz w:val="20"/>
          <w:szCs w:val="20"/>
        </w:rPr>
      </w:pPr>
      <w:r>
        <w:rPr>
          <w:rFonts w:ascii="Arial" w:eastAsia="Arial" w:hAnsi="Arial" w:cs="Arial"/>
          <w:sz w:val="20"/>
          <w:szCs w:val="20"/>
        </w:rPr>
        <w:t xml:space="preserve">PREGÃO ELETRÔNICO Nº </w:t>
      </w:r>
      <w:r w:rsidR="00B746B8">
        <w:rPr>
          <w:rFonts w:ascii="Arial" w:eastAsia="Arial" w:hAnsi="Arial" w:cs="Arial"/>
          <w:sz w:val="20"/>
          <w:szCs w:val="20"/>
        </w:rPr>
        <w:t>50</w:t>
      </w:r>
      <w:r>
        <w:rPr>
          <w:rFonts w:ascii="Arial" w:eastAsia="Arial" w:hAnsi="Arial" w:cs="Arial"/>
          <w:sz w:val="20"/>
          <w:szCs w:val="20"/>
        </w:rPr>
        <w:t>/2026</w:t>
      </w:r>
    </w:p>
    <w:p w14:paraId="5A605249" w14:textId="66107035" w:rsidR="00400035" w:rsidRDefault="00E90840">
      <w:pPr>
        <w:spacing w:after="720"/>
        <w:ind w:firstLine="567"/>
        <w:jc w:val="center"/>
        <w:rPr>
          <w:rFonts w:ascii="Arial" w:eastAsia="Arial" w:hAnsi="Arial" w:cs="Arial"/>
          <w:sz w:val="20"/>
          <w:szCs w:val="20"/>
        </w:rPr>
      </w:pPr>
      <w:r>
        <w:rPr>
          <w:rFonts w:ascii="Arial" w:eastAsia="Arial" w:hAnsi="Arial" w:cs="Arial"/>
          <w:sz w:val="20"/>
          <w:szCs w:val="20"/>
        </w:rPr>
        <w:t>(Processo Administrativo n° 64121.00</w:t>
      </w:r>
      <w:r w:rsidR="00B746B8">
        <w:rPr>
          <w:rFonts w:ascii="Arial" w:eastAsia="Arial" w:hAnsi="Arial" w:cs="Arial"/>
          <w:sz w:val="20"/>
          <w:szCs w:val="20"/>
        </w:rPr>
        <w:t>6323</w:t>
      </w:r>
      <w:r w:rsidR="000B61FF">
        <w:rPr>
          <w:rFonts w:ascii="Arial" w:eastAsia="Arial" w:hAnsi="Arial" w:cs="Arial"/>
          <w:sz w:val="20"/>
          <w:szCs w:val="20"/>
        </w:rPr>
        <w:t>/2026-61</w:t>
      </w:r>
      <w:r>
        <w:rPr>
          <w:rFonts w:ascii="Arial" w:eastAsia="Arial" w:hAnsi="Arial" w:cs="Arial"/>
          <w:sz w:val="20"/>
          <w:szCs w:val="20"/>
        </w:rPr>
        <w:t>)</w:t>
      </w:r>
    </w:p>
    <w:p w14:paraId="3C41AE6F" w14:textId="77777777" w:rsidR="00400035" w:rsidRDefault="00E90840">
      <w:pPr>
        <w:widowControl w:val="0"/>
        <w:tabs>
          <w:tab w:val="center" w:pos="4779"/>
          <w:tab w:val="right" w:pos="9198"/>
        </w:tabs>
        <w:spacing w:before="120" w:after="120" w:line="276" w:lineRule="auto"/>
        <w:ind w:right="-28" w:firstLine="1418"/>
        <w:jc w:val="both"/>
      </w:pPr>
      <w:r>
        <w:rPr>
          <w:rFonts w:ascii="Arial" w:eastAsia="Arial" w:hAnsi="Arial" w:cs="Arial"/>
          <w:sz w:val="20"/>
          <w:szCs w:val="20"/>
        </w:rPr>
        <w:t>O 53º Batalhão de Infantaria de Selva, com sede na Estrada do Quinquagésimo terceiro BIS, S/Nº, Bairro Bom jardim, na cidade de Itaituba/PA, CEP: 68181-470, inscrito(a) no CNPJ sob o nº 09.579.843/0001-69, neste ato representado(a) pelo(a) Sr. Tenente Coronel DIOGO FERNANDES FALEIRO VIEIRA, Ordenador de Despesas nomeado pela Portaria Nº 618, de 22 de maio de 2025, do Comandante do Exército, publicada no D.O.U nº 96, de 23 de maio de 2025 portador da matrícula funcional nº 011.419.894-8 (MD), considerando o julgamento da licitação na modalidade de pregão, na forma eletrônica, para REGISTRO DE PREÇOS nº 90008/2026, publicada no Portal Nacional de Contratações Públicas (PNCP), processo administrativo n.º 64121.002534/2026-24,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3ECDB217"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pPr>
      <w:r>
        <w:rPr>
          <w:rFonts w:ascii="Arial" w:eastAsia="Arial" w:hAnsi="Arial" w:cs="Arial"/>
          <w:b/>
          <w:bCs/>
          <w:sz w:val="20"/>
          <w:szCs w:val="20"/>
        </w:rPr>
        <w:t>DO OBJETO</w:t>
      </w:r>
    </w:p>
    <w:p w14:paraId="7435E70E" w14:textId="63F85556" w:rsidR="00400035" w:rsidRDefault="00B746B8">
      <w:pPr>
        <w:numPr>
          <w:ilvl w:val="1"/>
          <w:numId w:val="1"/>
        </w:numPr>
        <w:pBdr>
          <w:top w:val="nil"/>
          <w:left w:val="nil"/>
          <w:bottom w:val="nil"/>
          <w:right w:val="nil"/>
          <w:between w:val="nil"/>
        </w:pBdr>
        <w:spacing w:before="120" w:after="120" w:line="276" w:lineRule="auto"/>
        <w:jc w:val="both"/>
      </w:pPr>
      <w:r w:rsidRPr="00B746B8">
        <w:rPr>
          <w:rFonts w:ascii="Arial" w:eastAsia="Arial" w:hAnsi="Arial" w:cs="Arial"/>
          <w:sz w:val="20"/>
          <w:szCs w:val="20"/>
        </w:rPr>
        <w:t>Eventual aquisição de material de construção</w:t>
      </w:r>
      <w:r w:rsidR="00362ABC">
        <w:rPr>
          <w:rFonts w:ascii="Arial" w:eastAsia="Arial" w:hAnsi="Arial" w:cs="Arial"/>
          <w:sz w:val="20"/>
          <w:szCs w:val="20"/>
        </w:rPr>
        <w:t>,</w:t>
      </w:r>
      <w:r w:rsidR="00E90840">
        <w:rPr>
          <w:rFonts w:ascii="Arial" w:eastAsia="Arial" w:hAnsi="Arial" w:cs="Arial"/>
          <w:sz w:val="20"/>
          <w:szCs w:val="20"/>
        </w:rPr>
        <w:t xml:space="preserve"> conforme condições e exigências estabelecidas neste instrumento</w:t>
      </w:r>
      <w:r w:rsidR="00E90840">
        <w:rPr>
          <w:rFonts w:ascii="Arial" w:eastAsia="Arial" w:hAnsi="Arial" w:cs="Arial"/>
          <w:color w:val="000000"/>
          <w:sz w:val="20"/>
          <w:szCs w:val="20"/>
        </w:rPr>
        <w:t xml:space="preserve"> especificado(s) no(s) item(ns) 1.1 do Termo de Referência, anexo I do edital de licitação, que é parte integrante desta Ata, assim como as propostas cujos preços tenham sido registrados, independentemente de transcrição.</w:t>
      </w:r>
    </w:p>
    <w:p w14:paraId="52EE07F5" w14:textId="77777777" w:rsidR="00400035" w:rsidRDefault="00400035">
      <w:pPr>
        <w:pBdr>
          <w:top w:val="nil"/>
          <w:left w:val="nil"/>
          <w:bottom w:val="nil"/>
          <w:right w:val="nil"/>
          <w:between w:val="nil"/>
        </w:pBdr>
        <w:spacing w:before="120" w:after="120" w:line="276" w:lineRule="auto"/>
        <w:ind w:left="574"/>
        <w:jc w:val="both"/>
        <w:rPr>
          <w:rFonts w:ascii="Arial" w:eastAsia="Arial" w:hAnsi="Arial" w:cs="Arial"/>
          <w:sz w:val="20"/>
          <w:szCs w:val="20"/>
        </w:rPr>
      </w:pPr>
    </w:p>
    <w:p w14:paraId="10B43639"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pPr>
      <w:r>
        <w:rPr>
          <w:rFonts w:ascii="Arial" w:eastAsia="Arial" w:hAnsi="Arial" w:cs="Arial"/>
          <w:b/>
          <w:bCs/>
          <w:sz w:val="20"/>
          <w:szCs w:val="20"/>
        </w:rPr>
        <w:t>DOS PREÇOS, ESPECIFICAÇÕES E QUANTITATIVOS</w:t>
      </w:r>
    </w:p>
    <w:p w14:paraId="6C90D19E" w14:textId="77777777" w:rsidR="00400035" w:rsidRDefault="00400035">
      <w:pPr>
        <w:keepNext/>
        <w:keepLines/>
        <w:pBdr>
          <w:top w:val="nil"/>
          <w:left w:val="nil"/>
          <w:bottom w:val="nil"/>
          <w:right w:val="nil"/>
          <w:between w:val="nil"/>
        </w:pBdr>
        <w:tabs>
          <w:tab w:val="left" w:pos="567"/>
        </w:tabs>
        <w:spacing w:before="120" w:after="120" w:line="276" w:lineRule="auto"/>
        <w:ind w:left="360"/>
        <w:jc w:val="both"/>
        <w:rPr>
          <w:rFonts w:ascii="Arial" w:eastAsia="Arial" w:hAnsi="Arial" w:cs="Arial"/>
          <w:b/>
          <w:bCs/>
          <w:color w:val="366091"/>
          <w:sz w:val="20"/>
          <w:szCs w:val="20"/>
        </w:rPr>
      </w:pPr>
    </w:p>
    <w:p w14:paraId="0AC67AFC" w14:textId="34147CA0" w:rsidR="00400035" w:rsidRPr="000B61FF"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 preço registrado, as especificações do objeto, as quantidades mínimas e máximas de cada item, fornecedor(es) e as demais condições ofertadas na(s) proposta(s) são as que seguem: </w:t>
      </w:r>
    </w:p>
    <w:p w14:paraId="10FDCC09" w14:textId="77777777" w:rsidR="000B61FF" w:rsidRDefault="000B61FF" w:rsidP="000B61FF">
      <w:pPr>
        <w:pBdr>
          <w:top w:val="nil"/>
          <w:left w:val="nil"/>
          <w:bottom w:val="nil"/>
          <w:right w:val="nil"/>
          <w:between w:val="nil"/>
        </w:pBdr>
        <w:spacing w:before="120" w:after="120" w:line="276" w:lineRule="auto"/>
        <w:ind w:left="142"/>
        <w:jc w:val="both"/>
      </w:pPr>
    </w:p>
    <w:p w14:paraId="7B68CE44" w14:textId="77777777" w:rsidR="00400035" w:rsidRDefault="00400035">
      <w:pPr>
        <w:pBdr>
          <w:top w:val="nil"/>
          <w:left w:val="nil"/>
          <w:bottom w:val="nil"/>
          <w:right w:val="nil"/>
          <w:between w:val="nil"/>
        </w:pBdr>
        <w:spacing w:before="120" w:after="120" w:line="276" w:lineRule="auto"/>
        <w:ind w:left="574"/>
        <w:jc w:val="both"/>
        <w:rPr>
          <w:rFonts w:ascii="Arial" w:eastAsia="Arial" w:hAnsi="Arial" w:cs="Arial"/>
          <w:sz w:val="20"/>
          <w:szCs w:val="20"/>
        </w:rPr>
      </w:pPr>
    </w:p>
    <w:tbl>
      <w:tblPr>
        <w:tblStyle w:val="a"/>
        <w:tblW w:w="9392" w:type="dxa"/>
        <w:tblInd w:w="0" w:type="dxa"/>
        <w:tblLayout w:type="fixed"/>
        <w:tblLook w:val="0000" w:firstRow="0" w:lastRow="0" w:firstColumn="0" w:lastColumn="0" w:noHBand="0" w:noVBand="0"/>
      </w:tblPr>
      <w:tblGrid>
        <w:gridCol w:w="497"/>
        <w:gridCol w:w="1333"/>
        <w:gridCol w:w="1254"/>
        <w:gridCol w:w="1540"/>
        <w:gridCol w:w="1122"/>
        <w:gridCol w:w="1120"/>
        <w:gridCol w:w="842"/>
        <w:gridCol w:w="840"/>
        <w:gridCol w:w="844"/>
      </w:tblGrid>
      <w:tr w:rsidR="00400035" w14:paraId="734F2D0C" w14:textId="77777777">
        <w:trPr>
          <w:trHeight w:val="511"/>
        </w:trPr>
        <w:tc>
          <w:tcPr>
            <w:tcW w:w="497" w:type="dxa"/>
            <w:tcBorders>
              <w:top w:val="single" w:sz="4" w:space="0" w:color="000000"/>
              <w:left w:val="single" w:sz="4" w:space="0" w:color="000000"/>
              <w:bottom w:val="single" w:sz="4" w:space="0" w:color="000000"/>
              <w:right w:val="single" w:sz="4" w:space="0" w:color="000000"/>
            </w:tcBorders>
            <w:vAlign w:val="center"/>
          </w:tcPr>
          <w:p w14:paraId="7EBDF3CC" w14:textId="77777777" w:rsidR="00400035" w:rsidRDefault="00E90840">
            <w:pPr>
              <w:widowControl w:val="0"/>
              <w:ind w:right="-28"/>
              <w:jc w:val="center"/>
            </w:pPr>
            <w:r>
              <w:rPr>
                <w:rFonts w:ascii="Arial" w:eastAsia="Arial" w:hAnsi="Arial" w:cs="Arial"/>
                <w:sz w:val="16"/>
                <w:szCs w:val="16"/>
              </w:rPr>
              <w:lastRenderedPageBreak/>
              <w:t>Item</w:t>
            </w:r>
          </w:p>
          <w:p w14:paraId="583EC4EE" w14:textId="77777777" w:rsidR="00400035" w:rsidRDefault="00E90840">
            <w:pPr>
              <w:widowControl w:val="0"/>
              <w:ind w:right="-28"/>
              <w:jc w:val="center"/>
            </w:pPr>
            <w:r>
              <w:rPr>
                <w:rFonts w:ascii="Arial" w:eastAsia="Arial" w:hAnsi="Arial" w:cs="Arial"/>
                <w:sz w:val="16"/>
                <w:szCs w:val="16"/>
              </w:rPr>
              <w:t>do</w:t>
            </w:r>
          </w:p>
          <w:p w14:paraId="7B15C6FC" w14:textId="77777777" w:rsidR="00400035" w:rsidRDefault="00E90840">
            <w:pPr>
              <w:widowControl w:val="0"/>
              <w:ind w:right="-28"/>
              <w:jc w:val="center"/>
            </w:pPr>
            <w:r>
              <w:rPr>
                <w:rFonts w:ascii="Arial" w:eastAsia="Arial" w:hAnsi="Arial" w:cs="Arial"/>
                <w:sz w:val="16"/>
                <w:szCs w:val="16"/>
              </w:rPr>
              <w:t>TR</w:t>
            </w:r>
          </w:p>
        </w:tc>
        <w:tc>
          <w:tcPr>
            <w:tcW w:w="8895" w:type="dxa"/>
            <w:gridSpan w:val="8"/>
            <w:tcBorders>
              <w:top w:val="single" w:sz="4" w:space="0" w:color="000000"/>
              <w:left w:val="single" w:sz="4" w:space="0" w:color="000000"/>
              <w:bottom w:val="single" w:sz="4" w:space="0" w:color="000000"/>
              <w:right w:val="single" w:sz="4" w:space="0" w:color="000000"/>
            </w:tcBorders>
          </w:tcPr>
          <w:p w14:paraId="0D7F9A4D" w14:textId="77777777" w:rsidR="00400035" w:rsidRDefault="00E90840">
            <w:pPr>
              <w:widowControl w:val="0"/>
              <w:ind w:right="-28"/>
              <w:jc w:val="center"/>
            </w:pPr>
            <w:r>
              <w:rPr>
                <w:rFonts w:ascii="Arial" w:eastAsia="Arial" w:hAnsi="Arial" w:cs="Arial"/>
                <w:sz w:val="16"/>
                <w:szCs w:val="16"/>
              </w:rPr>
              <w:br/>
              <w:t xml:space="preserve">Fornecedor </w:t>
            </w:r>
            <w:r>
              <w:rPr>
                <w:rFonts w:ascii="Arial" w:eastAsia="Arial" w:hAnsi="Arial" w:cs="Arial"/>
                <w:color w:val="FF0000"/>
                <w:sz w:val="16"/>
                <w:szCs w:val="16"/>
              </w:rPr>
              <w:t>[razão social, CNPJ/MF, endereço, contatos, representante]</w:t>
            </w:r>
          </w:p>
        </w:tc>
      </w:tr>
      <w:tr w:rsidR="00400035" w14:paraId="1DD4914A" w14:textId="77777777">
        <w:trPr>
          <w:trHeight w:val="674"/>
        </w:trPr>
        <w:tc>
          <w:tcPr>
            <w:tcW w:w="497" w:type="dxa"/>
            <w:tcBorders>
              <w:left w:val="single" w:sz="4" w:space="0" w:color="000000"/>
              <w:bottom w:val="single" w:sz="4" w:space="0" w:color="000000"/>
            </w:tcBorders>
            <w:vAlign w:val="center"/>
          </w:tcPr>
          <w:p w14:paraId="3F802497" w14:textId="77777777" w:rsidR="00400035" w:rsidRDefault="00E90840">
            <w:pPr>
              <w:widowControl w:val="0"/>
              <w:ind w:right="-28"/>
              <w:jc w:val="center"/>
            </w:pPr>
            <w:r>
              <w:rPr>
                <w:rFonts w:ascii="Arial" w:eastAsia="Arial" w:hAnsi="Arial" w:cs="Arial"/>
                <w:sz w:val="16"/>
                <w:szCs w:val="16"/>
              </w:rPr>
              <w:t>X</w:t>
            </w:r>
          </w:p>
        </w:tc>
        <w:tc>
          <w:tcPr>
            <w:tcW w:w="1333" w:type="dxa"/>
            <w:tcBorders>
              <w:left w:val="single" w:sz="4" w:space="0" w:color="000000"/>
              <w:bottom w:val="single" w:sz="4" w:space="0" w:color="000000"/>
            </w:tcBorders>
          </w:tcPr>
          <w:p w14:paraId="320878D1" w14:textId="77777777" w:rsidR="00400035" w:rsidRDefault="00400035">
            <w:pPr>
              <w:widowControl w:val="0"/>
              <w:ind w:right="-28"/>
              <w:jc w:val="center"/>
              <w:rPr>
                <w:rFonts w:ascii="Arial" w:eastAsia="Arial" w:hAnsi="Arial" w:cs="Arial"/>
                <w:sz w:val="16"/>
                <w:szCs w:val="16"/>
              </w:rPr>
            </w:pPr>
          </w:p>
          <w:p w14:paraId="0A0FBA1A" w14:textId="77777777" w:rsidR="00400035" w:rsidRDefault="00E90840">
            <w:pPr>
              <w:widowControl w:val="0"/>
              <w:ind w:right="-28"/>
              <w:jc w:val="center"/>
            </w:pPr>
            <w:r>
              <w:rPr>
                <w:rFonts w:ascii="Arial" w:eastAsia="Arial" w:hAnsi="Arial" w:cs="Arial"/>
                <w:sz w:val="16"/>
                <w:szCs w:val="16"/>
              </w:rPr>
              <w:t>Especificação</w:t>
            </w:r>
          </w:p>
        </w:tc>
        <w:tc>
          <w:tcPr>
            <w:tcW w:w="1254" w:type="dxa"/>
            <w:tcBorders>
              <w:left w:val="single" w:sz="4" w:space="0" w:color="000000"/>
              <w:bottom w:val="single" w:sz="4" w:space="0" w:color="000000"/>
            </w:tcBorders>
          </w:tcPr>
          <w:p w14:paraId="18633890" w14:textId="77777777" w:rsidR="00400035" w:rsidRDefault="00400035">
            <w:pPr>
              <w:widowControl w:val="0"/>
              <w:ind w:right="-28"/>
              <w:jc w:val="center"/>
              <w:rPr>
                <w:rFonts w:ascii="Arial" w:eastAsia="Arial" w:hAnsi="Arial" w:cs="Arial"/>
                <w:sz w:val="16"/>
                <w:szCs w:val="16"/>
              </w:rPr>
            </w:pPr>
          </w:p>
          <w:p w14:paraId="317D99DF" w14:textId="77777777" w:rsidR="00400035" w:rsidRDefault="00E90840">
            <w:pPr>
              <w:widowControl w:val="0"/>
              <w:ind w:right="-28"/>
              <w:jc w:val="center"/>
            </w:pPr>
            <w:r>
              <w:rPr>
                <w:rFonts w:ascii="Arial" w:eastAsia="Arial" w:hAnsi="Arial" w:cs="Arial"/>
                <w:sz w:val="16"/>
                <w:szCs w:val="16"/>
              </w:rPr>
              <w:t xml:space="preserve">Marca </w:t>
            </w:r>
          </w:p>
        </w:tc>
        <w:tc>
          <w:tcPr>
            <w:tcW w:w="1540" w:type="dxa"/>
            <w:tcBorders>
              <w:left w:val="single" w:sz="4" w:space="0" w:color="000000"/>
              <w:bottom w:val="single" w:sz="4" w:space="0" w:color="000000"/>
            </w:tcBorders>
          </w:tcPr>
          <w:p w14:paraId="3A84C446" w14:textId="77777777" w:rsidR="00400035" w:rsidRDefault="00400035">
            <w:pPr>
              <w:widowControl w:val="0"/>
              <w:ind w:right="-28"/>
              <w:jc w:val="center"/>
              <w:rPr>
                <w:rFonts w:ascii="Arial" w:eastAsia="Arial" w:hAnsi="Arial" w:cs="Arial"/>
                <w:sz w:val="16"/>
                <w:szCs w:val="16"/>
              </w:rPr>
            </w:pPr>
          </w:p>
          <w:p w14:paraId="126A771E" w14:textId="77777777" w:rsidR="00400035" w:rsidRDefault="00E90840">
            <w:pPr>
              <w:widowControl w:val="0"/>
              <w:ind w:right="-28"/>
              <w:jc w:val="center"/>
            </w:pPr>
            <w:r>
              <w:rPr>
                <w:rFonts w:ascii="Arial" w:eastAsia="Arial" w:hAnsi="Arial" w:cs="Arial"/>
                <w:sz w:val="16"/>
                <w:szCs w:val="16"/>
              </w:rPr>
              <w:t>Modelo</w:t>
            </w:r>
          </w:p>
          <w:p w14:paraId="19686A88" w14:textId="77777777" w:rsidR="00400035" w:rsidRDefault="00400035">
            <w:pPr>
              <w:widowControl w:val="0"/>
              <w:ind w:right="-28"/>
              <w:jc w:val="center"/>
            </w:pPr>
          </w:p>
        </w:tc>
        <w:tc>
          <w:tcPr>
            <w:tcW w:w="1122" w:type="dxa"/>
            <w:tcBorders>
              <w:left w:val="single" w:sz="4" w:space="0" w:color="000000"/>
              <w:bottom w:val="single" w:sz="4" w:space="0" w:color="000000"/>
            </w:tcBorders>
          </w:tcPr>
          <w:p w14:paraId="55CB9276" w14:textId="77777777" w:rsidR="00400035" w:rsidRDefault="00400035">
            <w:pPr>
              <w:widowControl w:val="0"/>
              <w:ind w:right="-28"/>
              <w:jc w:val="center"/>
              <w:rPr>
                <w:rFonts w:ascii="Arial" w:eastAsia="Arial" w:hAnsi="Arial" w:cs="Arial"/>
                <w:sz w:val="16"/>
                <w:szCs w:val="16"/>
              </w:rPr>
            </w:pPr>
          </w:p>
          <w:p w14:paraId="7DBE9566" w14:textId="77777777" w:rsidR="00400035" w:rsidRDefault="00E90840">
            <w:pPr>
              <w:widowControl w:val="0"/>
              <w:ind w:right="-28"/>
              <w:jc w:val="center"/>
            </w:pPr>
            <w:r>
              <w:rPr>
                <w:rFonts w:ascii="Arial" w:eastAsia="Arial" w:hAnsi="Arial" w:cs="Arial"/>
                <w:sz w:val="16"/>
                <w:szCs w:val="16"/>
              </w:rPr>
              <w:t>Unidade</w:t>
            </w:r>
          </w:p>
        </w:tc>
        <w:tc>
          <w:tcPr>
            <w:tcW w:w="1120" w:type="dxa"/>
            <w:tcBorders>
              <w:left w:val="single" w:sz="4" w:space="0" w:color="000000"/>
              <w:bottom w:val="single" w:sz="4" w:space="0" w:color="000000"/>
            </w:tcBorders>
          </w:tcPr>
          <w:p w14:paraId="137676C6" w14:textId="77777777" w:rsidR="00400035" w:rsidRDefault="00400035">
            <w:pPr>
              <w:widowControl w:val="0"/>
              <w:ind w:right="-28"/>
              <w:jc w:val="center"/>
              <w:rPr>
                <w:rFonts w:ascii="Arial" w:eastAsia="Arial" w:hAnsi="Arial" w:cs="Arial"/>
                <w:sz w:val="16"/>
                <w:szCs w:val="16"/>
              </w:rPr>
            </w:pPr>
          </w:p>
          <w:p w14:paraId="42B74233" w14:textId="77777777" w:rsidR="00400035" w:rsidRDefault="00E90840">
            <w:pPr>
              <w:widowControl w:val="0"/>
              <w:ind w:right="-28"/>
              <w:jc w:val="center"/>
            </w:pPr>
            <w:r>
              <w:rPr>
                <w:rFonts w:ascii="Arial" w:eastAsia="Arial" w:hAnsi="Arial" w:cs="Arial"/>
                <w:sz w:val="16"/>
                <w:szCs w:val="16"/>
              </w:rPr>
              <w:t>Quantidade</w:t>
            </w:r>
            <w:r>
              <w:rPr>
                <w:rFonts w:ascii="Arial" w:eastAsia="Arial" w:hAnsi="Arial" w:cs="Arial"/>
                <w:sz w:val="16"/>
                <w:szCs w:val="16"/>
              </w:rPr>
              <w:br/>
              <w:t>Mínima</w:t>
            </w:r>
          </w:p>
        </w:tc>
        <w:tc>
          <w:tcPr>
            <w:tcW w:w="842" w:type="dxa"/>
            <w:tcBorders>
              <w:left w:val="single" w:sz="4" w:space="0" w:color="000000"/>
              <w:bottom w:val="single" w:sz="4" w:space="0" w:color="000000"/>
              <w:right w:val="single" w:sz="4" w:space="0" w:color="000000"/>
            </w:tcBorders>
          </w:tcPr>
          <w:p w14:paraId="0B73882E" w14:textId="77777777" w:rsidR="00400035" w:rsidRDefault="00400035">
            <w:pPr>
              <w:widowControl w:val="0"/>
              <w:ind w:right="-28"/>
              <w:jc w:val="center"/>
              <w:rPr>
                <w:rFonts w:ascii="Arial" w:eastAsia="Arial" w:hAnsi="Arial" w:cs="Arial"/>
                <w:sz w:val="16"/>
                <w:szCs w:val="16"/>
              </w:rPr>
            </w:pPr>
          </w:p>
          <w:p w14:paraId="6A3C0488" w14:textId="77777777" w:rsidR="00400035" w:rsidRDefault="00E90840">
            <w:pPr>
              <w:widowControl w:val="0"/>
              <w:ind w:right="-28"/>
              <w:jc w:val="center"/>
            </w:pPr>
            <w:r>
              <w:rPr>
                <w:rFonts w:ascii="Arial" w:eastAsia="Arial" w:hAnsi="Arial" w:cs="Arial"/>
                <w:sz w:val="16"/>
                <w:szCs w:val="16"/>
              </w:rPr>
              <w:t>Quantidade</w:t>
            </w:r>
            <w:r>
              <w:rPr>
                <w:rFonts w:ascii="Arial" w:eastAsia="Arial" w:hAnsi="Arial" w:cs="Arial"/>
                <w:sz w:val="16"/>
                <w:szCs w:val="16"/>
              </w:rPr>
              <w:br/>
              <w:t>Máxima</w:t>
            </w:r>
          </w:p>
        </w:tc>
        <w:tc>
          <w:tcPr>
            <w:tcW w:w="840" w:type="dxa"/>
            <w:tcBorders>
              <w:left w:val="single" w:sz="4" w:space="0" w:color="000000"/>
              <w:bottom w:val="single" w:sz="4" w:space="0" w:color="000000"/>
            </w:tcBorders>
          </w:tcPr>
          <w:p w14:paraId="1B86BB9C" w14:textId="77777777" w:rsidR="00400035" w:rsidRDefault="00400035">
            <w:pPr>
              <w:widowControl w:val="0"/>
              <w:ind w:right="-28"/>
              <w:jc w:val="center"/>
              <w:rPr>
                <w:rFonts w:ascii="Arial" w:eastAsia="Arial" w:hAnsi="Arial" w:cs="Arial"/>
                <w:sz w:val="16"/>
                <w:szCs w:val="16"/>
              </w:rPr>
            </w:pPr>
          </w:p>
          <w:p w14:paraId="1AD82039" w14:textId="77777777" w:rsidR="00400035" w:rsidRDefault="00E90840">
            <w:pPr>
              <w:widowControl w:val="0"/>
              <w:ind w:right="-28"/>
              <w:jc w:val="center"/>
            </w:pPr>
            <w:r>
              <w:rPr>
                <w:rFonts w:ascii="Arial" w:eastAsia="Arial" w:hAnsi="Arial" w:cs="Arial"/>
                <w:sz w:val="16"/>
                <w:szCs w:val="16"/>
              </w:rPr>
              <w:t>Valor</w:t>
            </w:r>
            <w:r>
              <w:rPr>
                <w:rFonts w:ascii="Arial" w:eastAsia="Arial" w:hAnsi="Arial" w:cs="Arial"/>
                <w:sz w:val="16"/>
                <w:szCs w:val="16"/>
              </w:rPr>
              <w:br/>
              <w:t>Unitário</w:t>
            </w:r>
          </w:p>
        </w:tc>
        <w:tc>
          <w:tcPr>
            <w:tcW w:w="844" w:type="dxa"/>
            <w:tcBorders>
              <w:left w:val="single" w:sz="4" w:space="0" w:color="000000"/>
              <w:bottom w:val="single" w:sz="4" w:space="0" w:color="000000"/>
              <w:right w:val="single" w:sz="4" w:space="0" w:color="000000"/>
            </w:tcBorders>
          </w:tcPr>
          <w:p w14:paraId="7058E84C" w14:textId="77777777" w:rsidR="00400035" w:rsidRDefault="00E90840">
            <w:pPr>
              <w:widowControl w:val="0"/>
              <w:ind w:right="-28"/>
              <w:jc w:val="center"/>
            </w:pPr>
            <w:r>
              <w:rPr>
                <w:rFonts w:ascii="Arial" w:eastAsia="Arial" w:hAnsi="Arial" w:cs="Arial"/>
                <w:sz w:val="16"/>
                <w:szCs w:val="16"/>
              </w:rPr>
              <w:t>Prazo garantia ou validade</w:t>
            </w:r>
          </w:p>
        </w:tc>
      </w:tr>
      <w:tr w:rsidR="00400035" w14:paraId="08955558" w14:textId="77777777">
        <w:trPr>
          <w:trHeight w:val="174"/>
        </w:trPr>
        <w:tc>
          <w:tcPr>
            <w:tcW w:w="497" w:type="dxa"/>
            <w:tcBorders>
              <w:left w:val="single" w:sz="4" w:space="0" w:color="000000"/>
              <w:bottom w:val="single" w:sz="4" w:space="0" w:color="000000"/>
            </w:tcBorders>
          </w:tcPr>
          <w:p w14:paraId="7ED68A16" w14:textId="77777777" w:rsidR="00400035" w:rsidRDefault="00400035">
            <w:pPr>
              <w:widowControl w:val="0"/>
              <w:spacing w:line="360" w:lineRule="auto"/>
              <w:ind w:right="-30"/>
              <w:jc w:val="both"/>
              <w:rPr>
                <w:rFonts w:ascii="Arial" w:eastAsia="Arial" w:hAnsi="Arial" w:cs="Arial"/>
                <w:sz w:val="16"/>
                <w:szCs w:val="16"/>
              </w:rPr>
            </w:pPr>
          </w:p>
        </w:tc>
        <w:tc>
          <w:tcPr>
            <w:tcW w:w="1333" w:type="dxa"/>
            <w:tcBorders>
              <w:left w:val="single" w:sz="4" w:space="0" w:color="000000"/>
              <w:bottom w:val="single" w:sz="4" w:space="0" w:color="000000"/>
            </w:tcBorders>
          </w:tcPr>
          <w:p w14:paraId="077C75C4" w14:textId="77777777" w:rsidR="00400035" w:rsidRDefault="00400035">
            <w:pPr>
              <w:widowControl w:val="0"/>
              <w:spacing w:line="360" w:lineRule="auto"/>
              <w:ind w:right="-30"/>
              <w:jc w:val="both"/>
              <w:rPr>
                <w:rFonts w:ascii="Arial" w:eastAsia="Arial" w:hAnsi="Arial" w:cs="Arial"/>
                <w:sz w:val="16"/>
                <w:szCs w:val="16"/>
              </w:rPr>
            </w:pPr>
          </w:p>
        </w:tc>
        <w:tc>
          <w:tcPr>
            <w:tcW w:w="1254" w:type="dxa"/>
            <w:tcBorders>
              <w:left w:val="single" w:sz="4" w:space="0" w:color="000000"/>
              <w:bottom w:val="single" w:sz="4" w:space="0" w:color="000000"/>
            </w:tcBorders>
          </w:tcPr>
          <w:p w14:paraId="4CBE98C6" w14:textId="77777777" w:rsidR="00400035" w:rsidRDefault="00400035">
            <w:pPr>
              <w:widowControl w:val="0"/>
              <w:spacing w:line="360" w:lineRule="auto"/>
              <w:ind w:right="-30"/>
              <w:jc w:val="both"/>
              <w:rPr>
                <w:rFonts w:ascii="Arial" w:eastAsia="Arial" w:hAnsi="Arial" w:cs="Arial"/>
                <w:sz w:val="16"/>
                <w:szCs w:val="16"/>
              </w:rPr>
            </w:pPr>
          </w:p>
        </w:tc>
        <w:tc>
          <w:tcPr>
            <w:tcW w:w="1540" w:type="dxa"/>
            <w:tcBorders>
              <w:left w:val="single" w:sz="4" w:space="0" w:color="000000"/>
              <w:bottom w:val="single" w:sz="4" w:space="0" w:color="000000"/>
            </w:tcBorders>
          </w:tcPr>
          <w:p w14:paraId="46F7C317" w14:textId="77777777" w:rsidR="00400035" w:rsidRDefault="00400035">
            <w:pPr>
              <w:widowControl w:val="0"/>
              <w:spacing w:line="360" w:lineRule="auto"/>
              <w:ind w:right="-30"/>
              <w:jc w:val="both"/>
              <w:rPr>
                <w:rFonts w:ascii="Arial" w:eastAsia="Arial" w:hAnsi="Arial" w:cs="Arial"/>
                <w:sz w:val="16"/>
                <w:szCs w:val="16"/>
              </w:rPr>
            </w:pPr>
          </w:p>
        </w:tc>
        <w:tc>
          <w:tcPr>
            <w:tcW w:w="1122" w:type="dxa"/>
            <w:tcBorders>
              <w:left w:val="single" w:sz="4" w:space="0" w:color="000000"/>
              <w:bottom w:val="single" w:sz="4" w:space="0" w:color="000000"/>
            </w:tcBorders>
          </w:tcPr>
          <w:p w14:paraId="2A04170F" w14:textId="77777777" w:rsidR="00400035" w:rsidRDefault="00400035">
            <w:pPr>
              <w:widowControl w:val="0"/>
              <w:spacing w:line="360" w:lineRule="auto"/>
              <w:ind w:right="-30"/>
              <w:jc w:val="both"/>
              <w:rPr>
                <w:rFonts w:ascii="Arial" w:eastAsia="Arial" w:hAnsi="Arial" w:cs="Arial"/>
                <w:sz w:val="16"/>
                <w:szCs w:val="16"/>
              </w:rPr>
            </w:pPr>
          </w:p>
        </w:tc>
        <w:tc>
          <w:tcPr>
            <w:tcW w:w="1120" w:type="dxa"/>
            <w:tcBorders>
              <w:left w:val="single" w:sz="4" w:space="0" w:color="000000"/>
              <w:bottom w:val="single" w:sz="4" w:space="0" w:color="000000"/>
            </w:tcBorders>
          </w:tcPr>
          <w:p w14:paraId="79F55BC9" w14:textId="77777777" w:rsidR="00400035" w:rsidRDefault="00400035">
            <w:pPr>
              <w:widowControl w:val="0"/>
              <w:spacing w:line="360" w:lineRule="auto"/>
              <w:ind w:right="-30"/>
              <w:jc w:val="both"/>
              <w:rPr>
                <w:rFonts w:ascii="Arial" w:eastAsia="Arial" w:hAnsi="Arial" w:cs="Arial"/>
                <w:sz w:val="16"/>
                <w:szCs w:val="16"/>
              </w:rPr>
            </w:pPr>
          </w:p>
        </w:tc>
        <w:tc>
          <w:tcPr>
            <w:tcW w:w="842" w:type="dxa"/>
            <w:tcBorders>
              <w:left w:val="single" w:sz="4" w:space="0" w:color="000000"/>
              <w:bottom w:val="single" w:sz="4" w:space="0" w:color="000000"/>
              <w:right w:val="single" w:sz="4" w:space="0" w:color="000000"/>
            </w:tcBorders>
          </w:tcPr>
          <w:p w14:paraId="54CF16D8" w14:textId="77777777" w:rsidR="00400035" w:rsidRDefault="00400035">
            <w:pPr>
              <w:widowControl w:val="0"/>
              <w:spacing w:line="360" w:lineRule="auto"/>
              <w:ind w:right="-30"/>
              <w:jc w:val="both"/>
              <w:rPr>
                <w:rFonts w:ascii="Arial" w:eastAsia="Arial" w:hAnsi="Arial" w:cs="Arial"/>
                <w:sz w:val="16"/>
                <w:szCs w:val="16"/>
              </w:rPr>
            </w:pPr>
          </w:p>
        </w:tc>
        <w:tc>
          <w:tcPr>
            <w:tcW w:w="840" w:type="dxa"/>
            <w:tcBorders>
              <w:left w:val="single" w:sz="4" w:space="0" w:color="000000"/>
              <w:bottom w:val="single" w:sz="4" w:space="0" w:color="000000"/>
            </w:tcBorders>
          </w:tcPr>
          <w:p w14:paraId="27AC3ACE" w14:textId="77777777" w:rsidR="00400035" w:rsidRDefault="00400035">
            <w:pPr>
              <w:widowControl w:val="0"/>
              <w:spacing w:line="360" w:lineRule="auto"/>
              <w:ind w:right="-30"/>
              <w:jc w:val="both"/>
              <w:rPr>
                <w:rFonts w:ascii="Arial" w:eastAsia="Arial" w:hAnsi="Arial" w:cs="Arial"/>
                <w:sz w:val="16"/>
                <w:szCs w:val="16"/>
              </w:rPr>
            </w:pPr>
          </w:p>
        </w:tc>
        <w:tc>
          <w:tcPr>
            <w:tcW w:w="844" w:type="dxa"/>
            <w:tcBorders>
              <w:left w:val="single" w:sz="4" w:space="0" w:color="000000"/>
              <w:bottom w:val="single" w:sz="4" w:space="0" w:color="000000"/>
              <w:right w:val="single" w:sz="4" w:space="0" w:color="000000"/>
            </w:tcBorders>
          </w:tcPr>
          <w:p w14:paraId="1558BE9D" w14:textId="77777777" w:rsidR="00400035" w:rsidRDefault="00400035">
            <w:pPr>
              <w:widowControl w:val="0"/>
              <w:spacing w:line="360" w:lineRule="auto"/>
              <w:ind w:right="-30"/>
              <w:jc w:val="both"/>
              <w:rPr>
                <w:rFonts w:ascii="Arial" w:eastAsia="Arial" w:hAnsi="Arial" w:cs="Arial"/>
                <w:sz w:val="16"/>
                <w:szCs w:val="16"/>
              </w:rPr>
            </w:pPr>
          </w:p>
        </w:tc>
      </w:tr>
    </w:tbl>
    <w:p w14:paraId="63F7CF4F" w14:textId="77777777" w:rsidR="00400035" w:rsidRDefault="00400035">
      <w:pPr>
        <w:spacing w:line="360" w:lineRule="auto"/>
        <w:rPr>
          <w:rFonts w:ascii="Arial" w:eastAsia="Arial" w:hAnsi="Arial" w:cs="Arial"/>
          <w:sz w:val="20"/>
          <w:szCs w:val="20"/>
        </w:rPr>
      </w:pPr>
    </w:p>
    <w:p w14:paraId="34D8E856"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garantia dos produtos deverá ser de 90 dias, contados a partir da entrega efetiva do bem, conforme o Art. 26, II e § 1º, do Código de Defesa do Consumidor (CDC) e prolongada enquanto durar a garantia da fabricante. </w:t>
      </w:r>
    </w:p>
    <w:p w14:paraId="0055EE88"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listagem do cadastro de reserva referente ao presente registro de preços consta como anexo a esta Ata.</w:t>
      </w:r>
    </w:p>
    <w:p w14:paraId="7BAC8F39"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ÓRGÃO(S) GERENCIADOR E PARTICIPANTE(S)</w:t>
      </w:r>
    </w:p>
    <w:p w14:paraId="25FF8A47"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gerenciador será o(a) O órgão gerenciador será o 53º Batalhão de Infantaria de Selva, situado na Estrada do Quinquagésimo Terceiro Batalhão de Infantaria de Selva, S/N – Bairro Bom Jardim – CEP 68.181 – 470 – Itaituba-PA, instalações do 53º Batalhão de Infantaria de Selva.</w:t>
      </w:r>
    </w:p>
    <w:p w14:paraId="57687E5D"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Além do gerenciador, não há órgãos e entidades públicas participantes do registro de preços.</w:t>
      </w:r>
    </w:p>
    <w:p w14:paraId="5EC494F1"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DA ADESÃO À ATA DE REGISTRO DE PREÇOS</w:t>
      </w:r>
    </w:p>
    <w:p w14:paraId="3692D59E"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A19CFBD"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apresentação de justificativa da vantagem da adesão, inclusive em situações de provável desabastecimento ou descontinuidade de serviço público;</w:t>
      </w:r>
    </w:p>
    <w:p w14:paraId="0B434820"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demonstração de que os valores registrados estão compatíveis com os valores praticados pelo mercado na forma do art. 23 da Lei nº 14.133, de 2021; e</w:t>
      </w:r>
    </w:p>
    <w:p w14:paraId="2F32AB86"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consulta e aceitação prévias do órgão ou da entidade gerenciadora e do fornecedor.</w:t>
      </w:r>
    </w:p>
    <w:p w14:paraId="45EAFA7D"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autorização do órgão ou entidade gerenciadora apenas será realizada após a aceitação da adesão pelo fornecedor.</w:t>
      </w:r>
    </w:p>
    <w:p w14:paraId="629859D6"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órgão ou entidade gerenciadora poderá rejeitar adesões caso elas possam acarretar prejuízo à execução de seus próprios contratos ou à sua capacidade de gerenciamento.</w:t>
      </w:r>
    </w:p>
    <w:p w14:paraId="09BB4B13"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Após a autorização do órgão ou da entidade gerenciadora, o órgão ou entidade não participante deverá efetivar a aquisição ou a contratação solicitada em até noventa dias, observado o prazo de vigência da ata.</w:t>
      </w:r>
    </w:p>
    <w:p w14:paraId="713BD3B1"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F352B8F"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órgão ou a entidade poderá aderir a item da ata de registro de preços da qual seja integrante, na qualidade de não participante, para aqueles itens para os quais não tenha quantitativo registrado, observados os requisitos do item 4.1.</w:t>
      </w:r>
    </w:p>
    <w:p w14:paraId="55D4C2F9" w14:textId="77777777" w:rsidR="00400035" w:rsidRDefault="00E90840">
      <w:pPr>
        <w:pBdr>
          <w:top w:val="nil"/>
          <w:left w:val="nil"/>
          <w:bottom w:val="nil"/>
          <w:right w:val="nil"/>
          <w:between w:val="nil"/>
        </w:pBdr>
        <w:spacing w:before="24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Dos limites para as adesões</w:t>
      </w:r>
    </w:p>
    <w:p w14:paraId="5E48A2DF"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bookmarkStart w:id="1" w:name="_heading=h.s2m704uwj2fd" w:colFirst="0" w:colLast="0"/>
      <w:bookmarkEnd w:id="1"/>
      <w:r>
        <w:rPr>
          <w:rFonts w:ascii="Arial" w:eastAsia="Arial" w:hAnsi="Arial" w:cs="Arial"/>
          <w:color w:val="000000"/>
          <w:sz w:val="20"/>
          <w:szCs w:val="20"/>
        </w:rPr>
        <w:lastRenderedPageBreak/>
        <w:t>As aquisições ou contratações adicionais não poderão exceder, por órgão ou entidade, a cinquenta por cento dos quantitativos dos itens do instrumento convocatório registrados na ata de registro de preços para o gerenciador e para os participantes.</w:t>
      </w:r>
    </w:p>
    <w:p w14:paraId="239D2BBE"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FA3CC9F"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29EDDD3C"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adesão à ata de registro de preços por órgãos e entidades da Administração Pública estadual, distrital e municipal poderá ser exigida para fins de transferências voluntárias, não ficando sujeita ao limite de que trata o item 4.6, desde que seja destinada à execução descentralizada de programa ou projeto federal e comprovada a compatibilidade dos preços registrados com os valores praticados no mercado na forma do art. 23 da Lei nº 14.133, de 2021.</w:t>
      </w:r>
    </w:p>
    <w:p w14:paraId="254D08BC" w14:textId="77777777" w:rsidR="00400035" w:rsidRDefault="00E90840">
      <w:pPr>
        <w:pBdr>
          <w:top w:val="nil"/>
          <w:left w:val="nil"/>
          <w:bottom w:val="nil"/>
          <w:right w:val="nil"/>
          <w:between w:val="nil"/>
        </w:pBdr>
        <w:spacing w:before="24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Vedação a acréscimo de quantitativos</w:t>
      </w:r>
    </w:p>
    <w:p w14:paraId="1754E825"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É vedado efetuar acréscimos nos quantitativos fixados na ata de registro de preços.</w:t>
      </w:r>
    </w:p>
    <w:p w14:paraId="2F5A90BC"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VALIDADE, FORMALIZAÇÃO DA ATA DE REGISTRO DE PREÇOS E CADASTRO RESERVA</w:t>
      </w:r>
    </w:p>
    <w:p w14:paraId="406F461A"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7E12A11"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Em caso de prorrogação da ata, poderá ser renovado o quantitativo originalmente registrado.</w:t>
      </w:r>
    </w:p>
    <w:p w14:paraId="641780C0"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B336E4" w14:textId="77777777" w:rsidR="00400035" w:rsidRDefault="00E9084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Na formalização do contrato ou do instrumento substituto deverá haver a indicação da disponibilidade dos créditos orçamentários respectivos.</w:t>
      </w:r>
    </w:p>
    <w:p w14:paraId="1A4DAD4F"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0FE7981" w14:textId="77777777" w:rsidR="00400035" w:rsidRDefault="00E90840">
      <w:pPr>
        <w:pBdr>
          <w:top w:val="nil"/>
          <w:left w:val="nil"/>
          <w:bottom w:val="nil"/>
          <w:right w:val="nil"/>
          <w:between w:val="nil"/>
        </w:pBdr>
        <w:spacing w:before="120" w:after="120" w:line="276" w:lineRule="auto"/>
        <w:ind w:left="574"/>
        <w:jc w:val="both"/>
        <w:rPr>
          <w:rFonts w:ascii="Arial" w:eastAsia="Arial" w:hAnsi="Arial" w:cs="Arial"/>
          <w:color w:val="000000"/>
          <w:sz w:val="20"/>
          <w:szCs w:val="20"/>
        </w:rPr>
      </w:pPr>
      <w:r>
        <w:rPr>
          <w:rFonts w:ascii="Arial" w:eastAsia="Arial" w:hAnsi="Arial" w:cs="Arial"/>
          <w:color w:val="000000"/>
          <w:sz w:val="20"/>
          <w:szCs w:val="20"/>
        </w:rPr>
        <w:t>5.2</w:t>
      </w:r>
      <w:r>
        <w:rPr>
          <w:rFonts w:ascii="Arial" w:eastAsia="Arial" w:hAnsi="Arial" w:cs="Arial"/>
          <w:sz w:val="20"/>
          <w:szCs w:val="20"/>
        </w:rPr>
        <w:t>.1</w:t>
      </w:r>
      <w:r>
        <w:rPr>
          <w:rFonts w:ascii="Arial" w:eastAsia="Arial" w:hAnsi="Arial" w:cs="Arial"/>
          <w:color w:val="000000"/>
          <w:sz w:val="20"/>
          <w:szCs w:val="20"/>
        </w:rPr>
        <w:t xml:space="preserve"> O instrumento contratual de que trata o item 5.2. deverá ser assinado no prazo de validade da ata de registro de preços.</w:t>
      </w:r>
    </w:p>
    <w:p w14:paraId="2D88207B"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contratos decorrentes do sistema de registro de preços poderão ser alterados, observado o art. 124 da Lei nº 14.133, de 2021.</w:t>
      </w:r>
    </w:p>
    <w:p w14:paraId="5A52E79F"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Após a homologação da licitação ou da contratação direta, deverão ser observadas as seguintes condições para formalização da ata de registro de preços:</w:t>
      </w:r>
    </w:p>
    <w:p w14:paraId="398CAFE7"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Serão registrados na ata os preços e os quantitativos do adjudicatário, devendo ser observada a possibilidade de o licitante oferecer ou não proposta em quantitativo inferior ao máximo previsto no edital e se obrigar nos limites dela;</w:t>
      </w:r>
    </w:p>
    <w:p w14:paraId="65451565"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Será incluído na ata, na forma de anexo, o registro dos licitantes ou dos fornecedores que:</w:t>
      </w:r>
    </w:p>
    <w:p w14:paraId="2652B3C9"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 xml:space="preserve">Aceitarem cotar os bens, as obras ou os serviços com preços iguais aos do adjudicatário, observada a classificação da licitação; e </w:t>
      </w:r>
    </w:p>
    <w:p w14:paraId="4DC7F5AB"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 xml:space="preserve">Mantiverem sua proposta original. </w:t>
      </w:r>
      <w:bookmarkStart w:id="2" w:name="bookmark=id.ooi32gajcte" w:colFirst="0" w:colLast="0"/>
      <w:bookmarkEnd w:id="2"/>
    </w:p>
    <w:p w14:paraId="0B287E30"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Será respeitada, nas contratações, a ordem de classificação dos licitantes ou dos fornecedores registrados na ata.</w:t>
      </w:r>
    </w:p>
    <w:p w14:paraId="2B7D9B7B"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registro a que se refere o item 5.4.2</w:t>
      </w:r>
      <w:r>
        <w:rPr>
          <w:rFonts w:ascii="Arial" w:eastAsia="Arial" w:hAnsi="Arial" w:cs="Arial"/>
          <w:b/>
          <w:bCs/>
          <w:color w:val="000000"/>
          <w:sz w:val="20"/>
          <w:szCs w:val="20"/>
        </w:rPr>
        <w:t xml:space="preserve"> </w:t>
      </w:r>
      <w:r>
        <w:rPr>
          <w:rFonts w:ascii="Arial" w:eastAsia="Arial" w:hAnsi="Arial" w:cs="Arial"/>
          <w:color w:val="000000"/>
          <w:sz w:val="20"/>
          <w:szCs w:val="20"/>
        </w:rPr>
        <w:t>tem por objetivo a formação de cadastro de reserva para o caso de impossibilidade de atendimento pelo signatário da ata.</w:t>
      </w:r>
    </w:p>
    <w:p w14:paraId="0CC27F53"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Para fins da ordem de classificação, os licitantes ou fornecedores que aceitarem reduzir suas propostas para o preço do adjudicatário antecederão aqueles que mantiverem sua proposta original.</w:t>
      </w:r>
    </w:p>
    <w:p w14:paraId="1C9B4B20"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habilitação dos licitantes que comporão o cadastro de reserva a que se refere o item 5.4.2.2 somente será efetuada quando houver necessidade de contratação dos licitantes remanescentes, nas seguintes hipóteses:</w:t>
      </w:r>
    </w:p>
    <w:p w14:paraId="0C9DD867"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Quando o licitante vencedor não assinar a ata de registro de preços, no prazo e nas condições estabelecidos no edital; e</w:t>
      </w:r>
    </w:p>
    <w:p w14:paraId="1E83AFB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Quando houver o cancelamento do registro do licitante ou do registro de preços nas hipóteses previstas no item 9.</w:t>
      </w:r>
    </w:p>
    <w:p w14:paraId="3CF930E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preço registrado com indicação dos licitantes e fornecedores será divulgado no PNCP e ficará disponibilizado durante a vigência da ata de registro de preços.</w:t>
      </w:r>
    </w:p>
    <w:p w14:paraId="3ED63948"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B604271" w14:textId="77777777" w:rsidR="00400035" w:rsidRDefault="00E90840">
      <w:pPr>
        <w:pBdr>
          <w:top w:val="nil"/>
          <w:left w:val="nil"/>
          <w:bottom w:val="nil"/>
          <w:right w:val="nil"/>
          <w:between w:val="nil"/>
        </w:pBdr>
        <w:spacing w:before="120" w:after="120" w:line="276" w:lineRule="auto"/>
        <w:ind w:left="574"/>
        <w:jc w:val="both"/>
        <w:rPr>
          <w:rFonts w:ascii="Arial" w:eastAsia="Arial" w:hAnsi="Arial" w:cs="Arial"/>
          <w:color w:val="000000"/>
          <w:sz w:val="20"/>
          <w:szCs w:val="20"/>
        </w:rPr>
      </w:pPr>
      <w:r>
        <w:rPr>
          <w:rFonts w:ascii="Arial" w:eastAsia="Arial" w:hAnsi="Arial" w:cs="Arial"/>
          <w:sz w:val="20"/>
          <w:szCs w:val="20"/>
        </w:rPr>
        <w:t xml:space="preserve">5.9.1 </w:t>
      </w:r>
      <w:r>
        <w:rPr>
          <w:rFonts w:ascii="Arial" w:eastAsia="Arial" w:hAnsi="Arial" w:cs="Arial"/>
          <w:color w:val="00000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6E1C73C"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ata de registro de preços será assinada por meio de assinatura digital e disponibilizada no Sistema de Registro de Preços.</w:t>
      </w:r>
    </w:p>
    <w:p w14:paraId="4EA52F00"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Quando o convocado não assinar a ata de registro de preços no prazo e nas condições estabelecidos no edital ou no aviso de contratação, observando o item 5.7 e subitens, fica facultado à Administração convocar os licitantes remanescentes do cadastro de reserva, na ordem de classificação, para fazê-lo em igual prazo e nas condições propostas pelo primeiro classificado.</w:t>
      </w:r>
    </w:p>
    <w:p w14:paraId="3208E38D"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nenhum dos licitantes que trata o item 5.4.2.1, aceitar a contratação nos termos do item anterior, a Administração, observados o valor estimado e sua eventual atualização nos termos do edital, poderá:</w:t>
      </w:r>
    </w:p>
    <w:p w14:paraId="1A0E55D1"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32FEF23E"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Adjudicar e firmar o contrato nas condições ofertadas pelos licitantes ou fornecedores remanescentes, atendida a ordem classificatória, quando frustrada a negociação de melhor condição.</w:t>
      </w:r>
    </w:p>
    <w:p w14:paraId="799FFAA7"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5FD979"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ALTERAÇÃO OU ATUALIZAÇÃO DOS PREÇOS REGISTRADOS</w:t>
      </w:r>
    </w:p>
    <w:p w14:paraId="3D26B3B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10C9A5F6"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2F09B78"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Em caso de criação, alteração ou extinção de quaisquer tributos ou encargos legais ou a superveniência de disposições legais, com comprovada repercussão sobre os preços registrados; </w:t>
      </w:r>
    </w:p>
    <w:p w14:paraId="038920E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previsão no edital ou no aviso de contratação direta de cláusula de reajustamento ou repactuação sobre os preços registrados, nos termos da Lei nº 14.133, de 2021.</w:t>
      </w:r>
    </w:p>
    <w:p w14:paraId="3EC06E13"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 xml:space="preserve">No caso do reajustamento, deverá ser respeitada a contagem da anualidade e o índice previstos para a contratação;  </w:t>
      </w:r>
    </w:p>
    <w:p w14:paraId="774BAA29"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No caso da repactuação, poderá ser a pedido do interessado, conforme critérios definidos para a contratação.</w:t>
      </w:r>
    </w:p>
    <w:p w14:paraId="2CCBF03D"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NEGOCIAÇÃO DE PREÇOS REGISTRADOS</w:t>
      </w:r>
    </w:p>
    <w:p w14:paraId="26CC2C0E"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o preço registrado tornar-se superior ao preço praticado no mercado por motivo superveniente, o órgão ou entidade gerenciadora convocará o fornecedor para negociar a redução do preço registrado.</w:t>
      </w:r>
    </w:p>
    <w:p w14:paraId="01C2CB0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Caso não aceite reduzir seu preço aos valores praticados pelo mercado, o fornecedor será liberado do compromisso assumido quanto ao item registrado, sem aplicação de penalidades administrativas.</w:t>
      </w:r>
    </w:p>
    <w:p w14:paraId="28F3E9B8"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59FC55"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 não obtiver êxito nas negociações, o órgão ou entidade gerenciadora procederá ao cancelamento da ata de registro de preços, adotando as medidas cabíveis para obtenção de contratação mais vantajosa.</w:t>
      </w:r>
      <w:bookmarkStart w:id="3" w:name="bookmark=id.33ublvnvcxnm" w:colFirst="0" w:colLast="0"/>
      <w:bookmarkEnd w:id="3"/>
    </w:p>
    <w:p w14:paraId="0732141C"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Calibri" w:eastAsia="Calibri" w:hAnsi="Calibri" w:cs="Calibri"/>
          <w:color w:val="000000"/>
          <w:sz w:val="20"/>
          <w:szCs w:val="20"/>
        </w:rPr>
        <w:t>Na hipótese de</w:t>
      </w:r>
      <w:r>
        <w:rPr>
          <w:rFonts w:ascii="Arial" w:eastAsia="Arial" w:hAnsi="Arial" w:cs="Arial"/>
          <w:color w:val="000000"/>
          <w:sz w:val="20"/>
          <w:szCs w:val="20"/>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73A37BC"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bookmark=id.xblx2e6n057z" w:colFirst="0" w:colLast="0"/>
      <w:bookmarkEnd w:id="4"/>
    </w:p>
    <w:p w14:paraId="7F78FEA9"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Neste caso, o fornecedor encaminhará, juntamente com o pedido de alteração, a documentação comprobatória ou a planilha de custos que demonstre a inviabilidade do preço registrado em relação às condições inicialmente pactuadas.</w:t>
      </w:r>
      <w:bookmarkStart w:id="5" w:name="bookmark=id.i7ocbh57eauk" w:colFirst="0" w:colLast="0"/>
      <w:bookmarkEnd w:id="5"/>
    </w:p>
    <w:p w14:paraId="5FCE91A7"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12B6A20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3732278"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 não obtiver êxito nas negociações, o órgão ou entidade gerenciadora procederá ao cancelamento da ata de registro de preços, nos termos do item 9.4, e adotará as medidas cabíveis para a obtenção da contratação mais vantajosa.</w:t>
      </w:r>
    </w:p>
    <w:p w14:paraId="72FDF7FC"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141F66B3"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3B3A717"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REMANEJAMENTO DAS QUANTIDADES REGISTRADAS NA ATA DE REGISTRO DE PREÇOS</w:t>
      </w:r>
    </w:p>
    <w:p w14:paraId="6E1DCA76"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07ECF80C"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O remanejamento somente poderá ser feito:</w:t>
      </w:r>
    </w:p>
    <w:p w14:paraId="28F49C7B"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De órgão ou entidade participante para órgão ou entidade participante; ou</w:t>
      </w:r>
    </w:p>
    <w:p w14:paraId="4B23F665"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De órgão ou entidade participante para órgão ou entidade não participante.</w:t>
      </w:r>
    </w:p>
    <w:p w14:paraId="3DB0671E"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ou entidade gerenciadora que tiver estimado as quantidades que pretende contratar será considerado participante para efeito do remanejamento.</w:t>
      </w:r>
      <w:bookmarkStart w:id="6" w:name="bookmark=id.wi49lyw64ofn" w:colFirst="0" w:colLast="0"/>
      <w:bookmarkEnd w:id="6"/>
    </w:p>
    <w:p w14:paraId="3370CF5A"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remanejamento de órgão ou entidade participante para órgão ou entidade não participante, serão observados os limites previstos no art. 32 do Decreto nº 11.462, de 2023.</w:t>
      </w:r>
    </w:p>
    <w:p w14:paraId="09CF874A"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985E251"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04845B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FA78D45"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CANCELAMENTO DO REGISTRO DO LICITANTE VENCEDOR E DOS PREÇOS REGISTRADOS</w:t>
      </w:r>
      <w:bookmarkStart w:id="7" w:name="bookmark=id.5nugfeeztjcw" w:colFirst="0" w:colLast="0"/>
      <w:bookmarkEnd w:id="7"/>
    </w:p>
    <w:p w14:paraId="29E3595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registro do fornecedor será cancelado pelo gerenciador, quando o fornecedor:</w:t>
      </w:r>
      <w:bookmarkStart w:id="8" w:name="bookmark=id.gje9i8e675mk" w:colFirst="0" w:colLast="0"/>
      <w:bookmarkEnd w:id="8"/>
    </w:p>
    <w:p w14:paraId="11E7778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Descumprir as condições da ata de registro de preços, sem motivo justificado;</w:t>
      </w:r>
    </w:p>
    <w:p w14:paraId="77E19231"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retirar a nota de empenho, ou instrumento equivalente, no prazo estabelecido pela Administração sem justificativa razoável;</w:t>
      </w:r>
    </w:p>
    <w:p w14:paraId="23B25052"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aceitar manter seu preço registrado, na hipótese prevista no artigo 27, § 2º, do Decreto nº 11.462, de 2023; ou</w:t>
      </w:r>
    </w:p>
    <w:p w14:paraId="0AC030A2"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Sofrer sanção prevista nos incisos III ou IV do caput do art. 156 da Lei nº 14.133, de 2021.</w:t>
      </w:r>
    </w:p>
    <w:p w14:paraId="0A167E56" w14:textId="77777777" w:rsidR="00400035" w:rsidRDefault="00E90840">
      <w:pPr>
        <w:numPr>
          <w:ilvl w:val="3"/>
          <w:numId w:val="1"/>
        </w:numPr>
        <w:pBdr>
          <w:top w:val="nil"/>
          <w:left w:val="nil"/>
          <w:bottom w:val="nil"/>
          <w:right w:val="nil"/>
          <w:between w:val="nil"/>
        </w:pBdr>
        <w:spacing w:before="120" w:after="120" w:line="276" w:lineRule="auto"/>
        <w:ind w:left="567" w:firstLine="0"/>
        <w:jc w:val="both"/>
      </w:pPr>
      <w:r>
        <w:rPr>
          <w:rFonts w:ascii="Arial" w:eastAsia="Arial" w:hAnsi="Arial" w:cs="Arial"/>
          <w:color w:val="000000"/>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1BF967A9"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O cancelamento de registros nas hipóteses previstas no item 9.1 será formalizado por despacho do órgão ou da entidade gerenciadora, garantidos os princípios do contraditório e da ampla defesa.</w:t>
      </w:r>
    </w:p>
    <w:p w14:paraId="4A0A7DA2"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cancelamento do registro do fornecedor, o órgão ou a entidade gerenciadora poderá convocar os licitantes que compõem o cadastro de reserva, observada a ordem de classificação.</w:t>
      </w:r>
    </w:p>
    <w:p w14:paraId="0F829562"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cancelamento dos preços registrados poderá ser realizado pelo gerenciador, em determinada ata de registro de preços, total ou parcialmente, nas seguintes hipóteses, desde que devidamente comprovadas e justificadas:</w:t>
      </w:r>
      <w:bookmarkStart w:id="9" w:name="bookmark=id.vzd1osnurj2z" w:colFirst="0" w:colLast="0"/>
      <w:bookmarkEnd w:id="9"/>
      <w:r>
        <w:rPr>
          <w:rFonts w:ascii="Arial" w:eastAsia="Arial" w:hAnsi="Arial" w:cs="Arial"/>
          <w:color w:val="000000"/>
          <w:sz w:val="20"/>
          <w:szCs w:val="20"/>
        </w:rPr>
        <w:t xml:space="preserve"> </w:t>
      </w:r>
    </w:p>
    <w:p w14:paraId="1FA988CD"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Por razão de interesse público;</w:t>
      </w:r>
    </w:p>
    <w:p w14:paraId="45F1DCCA"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pedido do fornecedor, decorrente de caso fortuito ou força maior; ou</w:t>
      </w:r>
    </w:p>
    <w:p w14:paraId="6AB013B0"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Se não houver êxito nas negociações, nas hipóteses em que o preço de mercado tornar-se superior ou inferior ao preço registrado, nos termos do artigos 26, § 3º e  27, § 4º, ambos do Decreto nº 11.462, de 2023. </w:t>
      </w:r>
    </w:p>
    <w:p w14:paraId="7FF02CC3"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DAS PENALIDADES</w:t>
      </w:r>
    </w:p>
    <w:p w14:paraId="3BF22F46"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descumprimento da Ata de Registro de Preços ensejará aplicação das penalidades estabelecidas no edital.</w:t>
      </w:r>
    </w:p>
    <w:p w14:paraId="550C62C6" w14:textId="77777777" w:rsidR="00400035" w:rsidRDefault="00E9084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 xml:space="preserve">As sanções também se aplicam aos integrantes do cadastro de reserva no registro de preços que, convocados, não honrarem o compromisso assumido injustificadamente após terem assinado a ata. </w:t>
      </w:r>
    </w:p>
    <w:p w14:paraId="573637AB"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p>
    <w:p w14:paraId="560290FB"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ou entidade participante deverá comunicar ao órgão gerenciador qualquer das ocorrências previstas no item 9.1, dada a necessidade de instauração de procedimento para cancelamento do registro do fornecedor.</w:t>
      </w:r>
    </w:p>
    <w:p w14:paraId="3B80E2AC" w14:textId="77777777" w:rsidR="00400035" w:rsidRDefault="00E90840">
      <w:pPr>
        <w:keepNext/>
        <w:keepLines/>
        <w:numPr>
          <w:ilvl w:val="0"/>
          <w:numId w:val="1"/>
        </w:numPr>
        <w:pBdr>
          <w:top w:val="nil"/>
          <w:left w:val="nil"/>
          <w:bottom w:val="nil"/>
          <w:right w:val="nil"/>
          <w:between w:val="nil"/>
        </w:pBdr>
        <w:tabs>
          <w:tab w:val="left" w:pos="567"/>
        </w:tabs>
        <w:spacing w:before="120" w:after="120" w:line="276" w:lineRule="auto"/>
        <w:jc w:val="both"/>
        <w:rPr>
          <w:rFonts w:ascii="Arial" w:eastAsia="Arial" w:hAnsi="Arial" w:cs="Arial"/>
          <w:b/>
          <w:bCs/>
          <w:color w:val="000000"/>
          <w:sz w:val="20"/>
          <w:szCs w:val="20"/>
        </w:rPr>
      </w:pPr>
      <w:r>
        <w:rPr>
          <w:rFonts w:ascii="Arial" w:eastAsia="Arial" w:hAnsi="Arial" w:cs="Arial"/>
          <w:b/>
          <w:bCs/>
          <w:color w:val="000000"/>
          <w:sz w:val="20"/>
          <w:szCs w:val="20"/>
        </w:rPr>
        <w:t>CONDIÇÕES GERAIS</w:t>
      </w:r>
    </w:p>
    <w:p w14:paraId="5A84B321" w14:textId="77777777" w:rsidR="00400035" w:rsidRDefault="00E9084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FD8E03E" w14:textId="77777777" w:rsidR="00400035" w:rsidRDefault="00E9084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No caso de adjudicação por preço global de grupo de itens, só será admitida a contratação de parte de itens do grupo se houver prévia pesquisa de mercado e demonstração de sua vantagem para o órgão ou a entidade.</w:t>
      </w:r>
    </w:p>
    <w:p w14:paraId="2E1F698A" w14:textId="77777777" w:rsidR="00400035" w:rsidRDefault="00E90840">
      <w:pPr>
        <w:widowControl w:val="0"/>
        <w:spacing w:before="120" w:after="120" w:line="276" w:lineRule="auto"/>
        <w:jc w:val="both"/>
      </w:pPr>
      <w:r>
        <w:rPr>
          <w:rFonts w:ascii="Arial" w:eastAsia="Arial" w:hAnsi="Arial" w:cs="Arial"/>
          <w:color w:val="000000"/>
          <w:sz w:val="20"/>
          <w:szCs w:val="20"/>
        </w:rPr>
        <w:t>Para firmeza e validade do pactuado, a presente Ata foi lavrada em 2 (duas) vias de igual teor, que, depois de lida e achada em ordem, vai assinada pelas partes.</w:t>
      </w:r>
    </w:p>
    <w:p w14:paraId="0620A3C2" w14:textId="77777777" w:rsidR="00400035" w:rsidRDefault="00400035">
      <w:pPr>
        <w:widowControl w:val="0"/>
        <w:spacing w:before="120" w:after="120" w:line="276" w:lineRule="auto"/>
        <w:jc w:val="both"/>
      </w:pPr>
    </w:p>
    <w:p w14:paraId="2D370E0A" w14:textId="77777777" w:rsidR="00400035" w:rsidRDefault="00E90840">
      <w:pPr>
        <w:widowControl w:val="0"/>
        <w:spacing w:before="120" w:after="120" w:line="276" w:lineRule="auto"/>
        <w:jc w:val="center"/>
      </w:pPr>
      <w:r>
        <w:rPr>
          <w:rFonts w:ascii="Arial" w:eastAsia="Arial" w:hAnsi="Arial" w:cs="Arial"/>
          <w:color w:val="000000"/>
          <w:sz w:val="20"/>
          <w:szCs w:val="20"/>
        </w:rPr>
        <w:t>Itaituba-PA, _____ de _____________ de ________.</w:t>
      </w:r>
    </w:p>
    <w:p w14:paraId="342250D4" w14:textId="77777777" w:rsidR="00400035" w:rsidRDefault="00400035">
      <w:pPr>
        <w:widowControl w:val="0"/>
        <w:spacing w:before="120" w:after="120" w:line="276" w:lineRule="auto"/>
        <w:jc w:val="both"/>
      </w:pPr>
    </w:p>
    <w:p w14:paraId="23839B86" w14:textId="54DB5C91" w:rsidR="00400035" w:rsidRDefault="00B746B8">
      <w:pPr>
        <w:spacing w:before="280" w:line="312" w:lineRule="auto"/>
        <w:jc w:val="center"/>
        <w:rPr>
          <w:rFonts w:ascii="Arial" w:eastAsia="Arial" w:hAnsi="Arial" w:cs="Arial"/>
          <w:sz w:val="20"/>
          <w:szCs w:val="20"/>
        </w:rPr>
      </w:pPr>
      <w:r>
        <w:rPr>
          <w:rFonts w:ascii="Arial" w:eastAsia="Arial" w:hAnsi="Arial" w:cs="Arial"/>
          <w:sz w:val="20"/>
          <w:szCs w:val="20"/>
        </w:rPr>
        <w:t>DIOGO FERNANDES FALEIRO VIEIRA</w:t>
      </w:r>
      <w:r w:rsidR="00E90840">
        <w:rPr>
          <w:rFonts w:ascii="Arial" w:eastAsia="Arial" w:hAnsi="Arial" w:cs="Arial"/>
          <w:sz w:val="20"/>
          <w:szCs w:val="20"/>
        </w:rPr>
        <w:t xml:space="preserve"> - </w:t>
      </w:r>
      <w:r>
        <w:rPr>
          <w:rFonts w:ascii="Arial" w:eastAsia="Arial" w:hAnsi="Arial" w:cs="Arial"/>
          <w:sz w:val="20"/>
          <w:szCs w:val="20"/>
        </w:rPr>
        <w:t>TC</w:t>
      </w:r>
      <w:r w:rsidR="00E90840">
        <w:rPr>
          <w:rFonts w:ascii="Arial" w:eastAsia="Arial" w:hAnsi="Arial" w:cs="Arial"/>
          <w:sz w:val="20"/>
          <w:szCs w:val="20"/>
        </w:rPr>
        <w:br/>
        <w:t>Ordenador de Despesas do 53º Batalhão de Infantaria de Selva</w:t>
      </w:r>
    </w:p>
    <w:p w14:paraId="7D0ABC37" w14:textId="77777777" w:rsidR="00362ABC" w:rsidRDefault="00362ABC">
      <w:pPr>
        <w:widowControl w:val="0"/>
        <w:spacing w:before="120" w:after="120" w:line="276" w:lineRule="auto"/>
        <w:jc w:val="center"/>
        <w:rPr>
          <w:rFonts w:ascii="Arial" w:eastAsia="Arial" w:hAnsi="Arial" w:cs="Arial"/>
          <w:sz w:val="20"/>
          <w:szCs w:val="20"/>
        </w:rPr>
      </w:pPr>
    </w:p>
    <w:p w14:paraId="59B92237" w14:textId="77777777" w:rsidR="00362ABC" w:rsidRDefault="00362ABC">
      <w:pPr>
        <w:widowControl w:val="0"/>
        <w:spacing w:before="120" w:after="120" w:line="276" w:lineRule="auto"/>
        <w:jc w:val="center"/>
        <w:rPr>
          <w:rFonts w:ascii="Arial" w:eastAsia="Arial" w:hAnsi="Arial" w:cs="Arial"/>
          <w:sz w:val="20"/>
          <w:szCs w:val="20"/>
        </w:rPr>
      </w:pPr>
    </w:p>
    <w:p w14:paraId="0AF23A9A" w14:textId="3953AA4D" w:rsidR="00400035" w:rsidRDefault="00E90840">
      <w:pPr>
        <w:widowControl w:val="0"/>
        <w:spacing w:before="120" w:after="120" w:line="276" w:lineRule="auto"/>
        <w:jc w:val="center"/>
        <w:rPr>
          <w:rFonts w:ascii="Arial" w:eastAsia="Arial" w:hAnsi="Arial" w:cs="Arial"/>
          <w:color w:val="000000"/>
          <w:sz w:val="20"/>
          <w:szCs w:val="20"/>
        </w:rPr>
      </w:pPr>
      <w:r>
        <w:rPr>
          <w:rFonts w:ascii="Arial" w:eastAsia="Arial" w:hAnsi="Arial" w:cs="Arial"/>
          <w:sz w:val="20"/>
          <w:szCs w:val="20"/>
        </w:rPr>
        <w:br/>
      </w:r>
      <w:r>
        <w:rPr>
          <w:rFonts w:ascii="Arial" w:eastAsia="Arial" w:hAnsi="Arial" w:cs="Arial"/>
          <w:color w:val="000000"/>
          <w:sz w:val="20"/>
          <w:szCs w:val="20"/>
        </w:rPr>
        <w:t>_______________________________________</w:t>
      </w:r>
      <w:r>
        <w:br/>
      </w:r>
      <w:r>
        <w:rPr>
          <w:rFonts w:ascii="Arial" w:eastAsia="Arial" w:hAnsi="Arial" w:cs="Arial"/>
          <w:color w:val="000000"/>
          <w:sz w:val="20"/>
          <w:szCs w:val="20"/>
        </w:rPr>
        <w:t>CPF:</w:t>
      </w:r>
      <w:r>
        <w:rPr>
          <w:rFonts w:ascii="Arial" w:eastAsia="Arial" w:hAnsi="Arial" w:cs="Arial"/>
          <w:sz w:val="20"/>
          <w:szCs w:val="20"/>
        </w:rPr>
        <w:t xml:space="preserve"> </w:t>
      </w:r>
      <w:hyperlink r:id="rId9">
        <w:r>
          <w:rPr>
            <w:rFonts w:ascii="Arial" w:eastAsia="Arial" w:hAnsi="Arial" w:cs="Arial"/>
            <w:sz w:val="20"/>
            <w:szCs w:val="20"/>
          </w:rPr>
          <w:t>xxx.xxx.xxx</w:t>
        </w:r>
      </w:hyperlink>
      <w:r>
        <w:rPr>
          <w:rFonts w:ascii="Arial" w:eastAsia="Arial" w:hAnsi="Arial" w:cs="Arial"/>
          <w:sz w:val="20"/>
          <w:szCs w:val="20"/>
        </w:rPr>
        <w:t>-xx</w:t>
      </w:r>
      <w:r>
        <w:br/>
      </w:r>
      <w:r>
        <w:rPr>
          <w:rFonts w:ascii="Arial" w:eastAsia="Arial" w:hAnsi="Arial" w:cs="Arial"/>
          <w:color w:val="000000"/>
          <w:sz w:val="20"/>
          <w:szCs w:val="20"/>
        </w:rPr>
        <w:t>Responsável legal</w:t>
      </w:r>
    </w:p>
    <w:sectPr w:rsidR="00400035">
      <w:headerReference w:type="default" r:id="rId10"/>
      <w:footerReference w:type="default" r:id="rId11"/>
      <w:footerReference w:type="first" r:id="rId12"/>
      <w:pgSz w:w="11906" w:h="16838"/>
      <w:pgMar w:top="1418" w:right="1134" w:bottom="1418"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4BB7F" w14:textId="77777777" w:rsidR="001C3AB4" w:rsidRDefault="001C3AB4">
      <w:r>
        <w:separator/>
      </w:r>
    </w:p>
  </w:endnote>
  <w:endnote w:type="continuationSeparator" w:id="0">
    <w:p w14:paraId="5E823CE7" w14:textId="77777777" w:rsidR="001C3AB4" w:rsidRDefault="001C3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1" w:fontKey="{D63C57A1-C0A0-4CEC-B969-3A58B7B89FB3}"/>
    <w:embedBold r:id="rId2" w:fontKey="{E6F32343-3CA6-4378-8F94-1DA7CA2AAF5E}"/>
  </w:font>
  <w:font w:name="Liberation Sans">
    <w:altName w:val="Arial"/>
    <w:charset w:val="00"/>
    <w:family w:val="auto"/>
    <w:pitch w:val="default"/>
  </w:font>
  <w:font w:name="Georgia">
    <w:panose1 w:val="02040502050405020303"/>
    <w:charset w:val="00"/>
    <w:family w:val="roman"/>
    <w:pitch w:val="variable"/>
    <w:sig w:usb0="00000287" w:usb1="00000000" w:usb2="00000000" w:usb3="00000000" w:csb0="0000009F" w:csb1="00000000"/>
    <w:embedItalic r:id="rId3" w:fontKey="{06F5C8AF-55F3-4070-ACC1-8B18C996C0B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4EDB09E1-A64F-43EE-BA47-DC0DDAC596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6C98C" w14:textId="77777777" w:rsidR="00400035" w:rsidRDefault="00E90840">
    <w:pPr>
      <w:pBdr>
        <w:top w:val="nil"/>
        <w:left w:val="nil"/>
        <w:bottom w:val="nil"/>
        <w:right w:val="nil"/>
        <w:between w:val="nil"/>
      </w:pBdr>
      <w:tabs>
        <w:tab w:val="center" w:pos="4252"/>
        <w:tab w:val="right" w:pos="8504"/>
      </w:tabs>
      <w:rPr>
        <w:color w:val="8496B0"/>
        <w:sz w:val="16"/>
        <w:szCs w:val="16"/>
      </w:rPr>
    </w:pPr>
    <w:r>
      <w:rPr>
        <w:color w:val="8496B0"/>
      </w:rPr>
      <w:tab/>
    </w:r>
    <w:r>
      <w:rPr>
        <w:color w:val="8496B0"/>
      </w:rPr>
      <w:tab/>
    </w:r>
  </w:p>
  <w:p w14:paraId="4DCED26E"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7F7F7F"/>
        <w:sz w:val="18"/>
        <w:szCs w:val="18"/>
      </w:rPr>
    </w:pPr>
    <w:r>
      <w:rPr>
        <w:color w:val="7F7F7F"/>
      </w:rPr>
      <w:tab/>
    </w:r>
    <w:r>
      <w:rPr>
        <w:color w:val="7F7F7F"/>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Pr>
        <w:rFonts w:ascii="Arial" w:eastAsia="Arial" w:hAnsi="Arial" w:cs="Arial"/>
        <w:color w:val="595959"/>
        <w:sz w:val="18"/>
        <w:szCs w:val="18"/>
      </w:rPr>
      <w:fldChar w:fldCharType="separate"/>
    </w:r>
    <w:r w:rsidR="00362ABC">
      <w:rPr>
        <w:rFonts w:ascii="Arial" w:eastAsia="Arial" w:hAnsi="Arial" w:cs="Arial"/>
        <w:noProof/>
        <w:color w:val="595959"/>
        <w:sz w:val="18"/>
        <w:szCs w:val="18"/>
      </w:rPr>
      <w:t>1</w:t>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362ABC">
      <w:rPr>
        <w:rFonts w:ascii="Arial" w:eastAsia="Arial" w:hAnsi="Arial" w:cs="Arial"/>
        <w:noProof/>
        <w:color w:val="595959"/>
        <w:sz w:val="18"/>
        <w:szCs w:val="18"/>
      </w:rPr>
      <w:t>2</w:t>
    </w:r>
    <w:r>
      <w:rPr>
        <w:rFonts w:ascii="Arial" w:eastAsia="Arial" w:hAnsi="Arial" w:cs="Arial"/>
        <w:color w:val="595959"/>
        <w:sz w:val="18"/>
        <w:szCs w:val="18"/>
      </w:rPr>
      <w:fldChar w:fldCharType="end"/>
    </w:r>
  </w:p>
  <w:p w14:paraId="126BA63F"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Câmara Nacional de Modelos de Licitações e Contratos da Consultoria-Geral da União</w:t>
    </w:r>
  </w:p>
  <w:p w14:paraId="46D58206"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222A35"/>
        <w:sz w:val="14"/>
        <w:szCs w:val="14"/>
      </w:rPr>
    </w:pPr>
    <w:r>
      <w:rPr>
        <w:rFonts w:ascii="Arial" w:eastAsia="Arial" w:hAnsi="Arial" w:cs="Arial"/>
        <w:color w:val="000000"/>
        <w:sz w:val="14"/>
        <w:szCs w:val="14"/>
      </w:rPr>
      <w:t>Modelo de Modelo Ata de Registro de Preços - Lei nº 14.133, de 2021</w:t>
    </w:r>
  </w:p>
  <w:p w14:paraId="07E9F06E"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Aprovado pela Secretaria de Gestão e Inovação</w:t>
    </w:r>
  </w:p>
  <w:p w14:paraId="34B9740B"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Identidade visual pela Secretaria de Gestão e Inovação</w:t>
    </w:r>
  </w:p>
  <w:p w14:paraId="49A599CB"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Atualização: NOV/2025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5C08D" w14:textId="77777777" w:rsidR="00400035" w:rsidRDefault="00E90840">
    <w:pPr>
      <w:pBdr>
        <w:top w:val="nil"/>
        <w:left w:val="nil"/>
        <w:bottom w:val="nil"/>
        <w:right w:val="nil"/>
        <w:between w:val="nil"/>
      </w:pBdr>
      <w:tabs>
        <w:tab w:val="center" w:pos="4252"/>
        <w:tab w:val="right" w:pos="8504"/>
      </w:tabs>
      <w:rPr>
        <w:color w:val="8496B0"/>
        <w:sz w:val="16"/>
        <w:szCs w:val="16"/>
      </w:rPr>
    </w:pPr>
    <w:r>
      <w:rPr>
        <w:color w:val="8496B0"/>
      </w:rPr>
      <w:tab/>
    </w:r>
    <w:r>
      <w:rPr>
        <w:color w:val="8496B0"/>
      </w:rPr>
      <w:tab/>
    </w:r>
  </w:p>
  <w:p w14:paraId="05D8A3B0" w14:textId="00E2CF6D" w:rsidR="00400035" w:rsidRDefault="00E90840">
    <w:pPr>
      <w:pBdr>
        <w:top w:val="nil"/>
        <w:left w:val="nil"/>
        <w:bottom w:val="nil"/>
        <w:right w:val="nil"/>
        <w:between w:val="nil"/>
      </w:pBdr>
      <w:tabs>
        <w:tab w:val="center" w:pos="4252"/>
        <w:tab w:val="right" w:pos="8504"/>
      </w:tabs>
      <w:rPr>
        <w:rFonts w:ascii="Arial" w:eastAsia="Arial" w:hAnsi="Arial" w:cs="Arial"/>
        <w:color w:val="7F7F7F"/>
        <w:sz w:val="18"/>
        <w:szCs w:val="18"/>
      </w:rPr>
    </w:pPr>
    <w:r>
      <w:rPr>
        <w:color w:val="7F7F7F"/>
      </w:rPr>
      <w:tab/>
    </w:r>
    <w:r>
      <w:rPr>
        <w:color w:val="7F7F7F"/>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sidR="001C3AB4">
      <w:rPr>
        <w:rFonts w:ascii="Arial" w:eastAsia="Arial" w:hAnsi="Arial" w:cs="Arial"/>
        <w:color w:val="595959"/>
        <w:sz w:val="18"/>
        <w:szCs w:val="18"/>
      </w:rPr>
      <w:fldChar w:fldCharType="separate"/>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403E1C">
      <w:rPr>
        <w:rFonts w:ascii="Arial" w:eastAsia="Arial" w:hAnsi="Arial" w:cs="Arial"/>
        <w:noProof/>
        <w:color w:val="595959"/>
        <w:sz w:val="18"/>
        <w:szCs w:val="18"/>
      </w:rPr>
      <w:t>8</w:t>
    </w:r>
    <w:r>
      <w:rPr>
        <w:rFonts w:ascii="Arial" w:eastAsia="Arial" w:hAnsi="Arial" w:cs="Arial"/>
        <w:color w:val="595959"/>
        <w:sz w:val="18"/>
        <w:szCs w:val="18"/>
      </w:rPr>
      <w:fldChar w:fldCharType="end"/>
    </w:r>
  </w:p>
  <w:p w14:paraId="630C4ED5"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Câmara Nacional de Modelos de Licitações e Contratos da Consultoria-Geral da União</w:t>
    </w:r>
  </w:p>
  <w:p w14:paraId="6A392E8C"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222A35"/>
        <w:sz w:val="14"/>
        <w:szCs w:val="14"/>
      </w:rPr>
    </w:pPr>
    <w:r>
      <w:rPr>
        <w:rFonts w:ascii="Arial" w:eastAsia="Arial" w:hAnsi="Arial" w:cs="Arial"/>
        <w:color w:val="000000"/>
        <w:sz w:val="14"/>
        <w:szCs w:val="14"/>
      </w:rPr>
      <w:t>Modelo de Modelo Ata de Registro de Preços - Lei nº 14.133, de 2021</w:t>
    </w:r>
  </w:p>
  <w:p w14:paraId="2EBBA3A7"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Aprovado pela Secretaria de Gestão e Inovação</w:t>
    </w:r>
  </w:p>
  <w:p w14:paraId="6F81FBA2"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Identidade visual pela Secretaria de Gestão e Inovação</w:t>
    </w:r>
  </w:p>
  <w:p w14:paraId="689F5801" w14:textId="77777777" w:rsidR="00400035" w:rsidRDefault="00E90840">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color w:val="000000"/>
        <w:sz w:val="14"/>
        <w:szCs w:val="14"/>
      </w:rPr>
      <w:t>Atualização: NOV/2025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1E8B0" w14:textId="77777777" w:rsidR="001C3AB4" w:rsidRDefault="001C3AB4">
      <w:r>
        <w:separator/>
      </w:r>
    </w:p>
  </w:footnote>
  <w:footnote w:type="continuationSeparator" w:id="0">
    <w:p w14:paraId="70CC017B" w14:textId="77777777" w:rsidR="001C3AB4" w:rsidRDefault="001C3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FBE7D" w14:textId="77777777" w:rsidR="00400035" w:rsidRDefault="00400035">
    <w:pPr>
      <w:pBdr>
        <w:top w:val="nil"/>
        <w:left w:val="nil"/>
        <w:bottom w:val="nil"/>
        <w:right w:val="nil"/>
        <w:between w:val="nil"/>
      </w:pBdr>
      <w:tabs>
        <w:tab w:val="center" w:pos="4252"/>
        <w:tab w:val="right" w:pos="8504"/>
      </w:tabs>
      <w:jc w:val="center"/>
      <w:rPr>
        <w:color w:val="FF0000"/>
      </w:rPr>
    </w:pPr>
  </w:p>
  <w:p w14:paraId="1A5BA345" w14:textId="77777777" w:rsidR="00400035" w:rsidRDefault="00400035">
    <w:pPr>
      <w:pBdr>
        <w:top w:val="nil"/>
        <w:left w:val="nil"/>
        <w:bottom w:val="nil"/>
        <w:right w:val="nil"/>
        <w:between w:val="nil"/>
      </w:pBdr>
      <w:tabs>
        <w:tab w:val="center" w:pos="4252"/>
        <w:tab w:val="right" w:pos="8504"/>
      </w:tabs>
      <w:jc w:val="center"/>
      <w:rPr>
        <w:color w:val="FF0000"/>
      </w:rPr>
    </w:pPr>
  </w:p>
  <w:p w14:paraId="48934A15" w14:textId="77777777" w:rsidR="00400035" w:rsidRDefault="00E90840">
    <w:pPr>
      <w:pBdr>
        <w:top w:val="nil"/>
        <w:left w:val="nil"/>
        <w:bottom w:val="nil"/>
        <w:right w:val="nil"/>
        <w:between w:val="nil"/>
      </w:pBdr>
      <w:tabs>
        <w:tab w:val="center" w:pos="4252"/>
        <w:tab w:val="right" w:pos="8504"/>
      </w:tabs>
      <w:jc w:val="center"/>
      <w:rPr>
        <w:color w:val="FF0000"/>
      </w:rPr>
    </w:pPr>
    <w:r>
      <w:rPr>
        <w:color w:val="FF0000"/>
      </w:rPr>
      <w:t>MINUTA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E337C"/>
    <w:multiLevelType w:val="multilevel"/>
    <w:tmpl w:val="91CE1968"/>
    <w:lvl w:ilvl="0">
      <w:start w:val="1"/>
      <w:numFmt w:val="decimal"/>
      <w:lvlText w:val="%1."/>
      <w:lvlJc w:val="left"/>
      <w:pPr>
        <w:ind w:left="360" w:hanging="360"/>
      </w:pPr>
      <w:rPr>
        <w:b/>
        <w:bCs/>
        <w:color w:val="000000"/>
      </w:rPr>
    </w:lvl>
    <w:lvl w:ilvl="1">
      <w:start w:val="1"/>
      <w:numFmt w:val="decimal"/>
      <w:lvlText w:val="%1.%2."/>
      <w:lvlJc w:val="left"/>
      <w:pPr>
        <w:ind w:left="57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035"/>
    <w:rsid w:val="000B61FF"/>
    <w:rsid w:val="001C3AB4"/>
    <w:rsid w:val="00362ABC"/>
    <w:rsid w:val="00400035"/>
    <w:rsid w:val="00403E1C"/>
    <w:rsid w:val="00582ACC"/>
    <w:rsid w:val="00B746B8"/>
    <w:rsid w:val="00E67248"/>
    <w:rsid w:val="00E908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A9790"/>
  <w15:docId w15:val="{01CC9402-AEB7-4AC3-B562-C791AC53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mbria" w:eastAsia="Cambria" w:hAnsi="Cambria" w:cs="Cambria"/>
      <w:b/>
      <w:bCs/>
      <w:color w:val="366091"/>
      <w:sz w:val="28"/>
      <w:szCs w:val="2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spacing w:before="240" w:after="120"/>
    </w:pPr>
    <w:rPr>
      <w:rFonts w:ascii="Liberation Sans" w:eastAsia="Liberation Sans" w:hAnsi="Liberation Sans" w:cs="Liberation Sans"/>
      <w:sz w:val="28"/>
      <w:szCs w:val="28"/>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xxx.xxx.xxx"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uWxc0anPvaCTYylGuR2eA6M20A==">CgMxLjAyF2lkLnRhY212bG5mcTFjMV9Db3BpYV8xMg5oLnMybTcwNHV3ajJmZDIOaWQub29pMzJnYWpjdGUyD2lkLjMzdWJsdm52Y3hubTIPaWQueGJseDJlNm4wNTd6Mg9pZC5pN29jYmg1N2VhdWsyD2lkLndpNDlseXc2NG9mbjIPaWQuNW51Z2ZlZXp0amN3Mg9pZC5namU5aThlNjc1bWsyD2lkLnZ6ZDFvc251cmoyejgAciExSEREa1dWRl9MbHZpbjVQSjNGT1BZX2ltc3Jma1BtUE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3316</Words>
  <Characters>17910</Characters>
  <Application>Microsoft Office Word</Application>
  <DocSecurity>0</DocSecurity>
  <Lines>149</Lines>
  <Paragraphs>42</Paragraphs>
  <ScaleCrop>false</ScaleCrop>
  <Company/>
  <LinksUpToDate>false</LinksUpToDate>
  <CharactersWithSpaces>21184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Brendo Oliveira Batista</dc:creator>
  <cp:lastModifiedBy>Brendo Oliveira Batista</cp:lastModifiedBy>
  <cp:revision>8</cp:revision>
  <cp:lastPrinted>2026-08-05T18:34:00Z</cp:lastPrinted>
  <dcterms:created xsi:type="dcterms:W3CDTF">2026-06-15T13:34:00Z</dcterms:created>
  <dcterms:modified xsi:type="dcterms:W3CDTF">2026-08-14T14:50:00Z</dcterms:modified>
</cp:coreProperties>
</file>