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wmf" ContentType="image/x-wmf"/>
  <Override PartName="/word/styles.xml" ContentType="application/vnd.openxmlformats-officedocument.wordprocessingml.styles+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rPr/>
      </w:pPr>
      <w:r>
        <w:rPr/>
        <w:t xml:space="preserve">   </w:t>
      </w:r>
    </w:p>
    <w:p>
      <w:pPr>
        <w:pStyle w:val="Standard"/>
        <w:spacing w:lineRule="auto" w:line="240" w:before="0" w:after="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r>
    </w:p>
    <w:p>
      <w:pPr>
        <w:pStyle w:val="Standard"/>
        <w:spacing w:lineRule="auto" w:line="240" w:before="0" w:after="0"/>
        <w:ind w:left="360" w:hanging="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r>
    </w:p>
    <w:p>
      <w:pPr>
        <w:pStyle w:val="Standard"/>
        <w:spacing w:lineRule="auto" w:line="240" w:before="0" w:after="0"/>
        <w:ind w:left="360" w:hanging="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r>
    </w:p>
    <w:p>
      <w:pPr>
        <w:pStyle w:val="Standard"/>
        <w:spacing w:lineRule="auto" w:line="240" w:before="0" w:after="0"/>
        <w:ind w:left="360" w:hanging="0"/>
        <w:jc w:val="center"/>
        <w:rPr>
          <w:rFonts w:ascii="Times New Roman" w:hAnsi="Times New Roman" w:eastAsia="Times New Roman" w:cs="Times New Roman"/>
          <w:b/>
          <w:b/>
          <w:bCs/>
          <w:sz w:val="20"/>
          <w:szCs w:val="20"/>
        </w:rPr>
      </w:pPr>
      <w:r>
        <w:rPr/>
        <w:drawing>
          <wp:inline distT="0" distB="0" distL="0" distR="0">
            <wp:extent cx="978535" cy="105727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2"/>
                    <a:stretch>
                      <a:fillRect/>
                    </a:stretch>
                  </pic:blipFill>
                  <pic:spPr bwMode="auto">
                    <a:xfrm>
                      <a:off x="0" y="0"/>
                      <a:ext cx="978535" cy="1057275"/>
                    </a:xfrm>
                    <a:prstGeom prst="rect">
                      <a:avLst/>
                    </a:prstGeom>
                  </pic:spPr>
                </pic:pic>
              </a:graphicData>
            </a:graphic>
          </wp:inline>
        </w:drawing>
      </w:r>
    </w:p>
    <w:p>
      <w:pPr>
        <w:pStyle w:val="Standard"/>
        <w:spacing w:lineRule="auto" w:line="240" w:before="0" w:after="0"/>
        <w:ind w:left="360" w:hanging="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t>MINISTÉRIO DA DEFESA</w:t>
      </w:r>
    </w:p>
    <w:p>
      <w:pPr>
        <w:pStyle w:val="Standard"/>
        <w:spacing w:lineRule="auto" w:line="240" w:before="0" w:after="0"/>
        <w:ind w:left="360" w:hanging="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t>EXÉRCITO BRASILEIRO</w:t>
      </w:r>
    </w:p>
    <w:p>
      <w:pPr>
        <w:pStyle w:val="Standard"/>
        <w:spacing w:lineRule="auto" w:line="240" w:before="0" w:after="0"/>
        <w:ind w:left="360" w:hanging="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t>5º BATALHÃO DE INFANTARIA LEVE</w:t>
      </w:r>
    </w:p>
    <w:p>
      <w:pPr>
        <w:pStyle w:val="Standard"/>
        <w:spacing w:lineRule="auto" w:line="240" w:before="0" w:after="0"/>
        <w:ind w:left="360" w:hanging="0"/>
        <w:jc w:val="center"/>
        <w:rPr>
          <w:rFonts w:ascii="Times New Roman" w:hAnsi="Times New Roman" w:eastAsia="Times New Roman" w:cs="Times New Roman"/>
          <w:b/>
          <w:b/>
          <w:bCs/>
          <w:sz w:val="20"/>
          <w:szCs w:val="20"/>
        </w:rPr>
      </w:pPr>
      <w:r>
        <w:rPr>
          <w:rFonts w:eastAsia="Times New Roman" w:cs="Times New Roman" w:ascii="Times New Roman" w:hAnsi="Times New Roman"/>
          <w:b/>
          <w:bCs/>
          <w:sz w:val="20"/>
          <w:szCs w:val="20"/>
        </w:rPr>
        <w:t>“</w:t>
      </w:r>
      <w:r>
        <w:rPr>
          <w:rFonts w:eastAsia="Times New Roman" w:cs="Times New Roman" w:ascii="Times New Roman" w:hAnsi="Times New Roman"/>
          <w:b/>
          <w:bCs/>
          <w:sz w:val="20"/>
          <w:szCs w:val="20"/>
        </w:rPr>
        <w:t>REGIMENTO ITORORÓ”</w:t>
      </w:r>
    </w:p>
    <w:p>
      <w:pPr>
        <w:pStyle w:val="Standard"/>
        <w:rPr/>
      </w:pPr>
      <w:r>
        <w:rPr/>
      </w:r>
    </w:p>
    <w:p>
      <w:pPr>
        <w:pStyle w:val="Default"/>
        <w:jc w:val="center"/>
        <w:rPr>
          <w:bCs/>
        </w:rPr>
      </w:pPr>
      <w:r>
        <w:rPr>
          <w:bCs/>
        </w:rPr>
      </w:r>
    </w:p>
    <w:p>
      <w:pPr>
        <w:pStyle w:val="Default"/>
        <w:jc w:val="center"/>
        <w:rPr/>
      </w:pPr>
      <w:r>
        <w:rPr>
          <w:b/>
          <w:bCs/>
        </w:rPr>
        <w:t xml:space="preserve">AVISO DE COTAÇÃO ELETRÔNICA N° </w:t>
      </w:r>
      <w:r>
        <w:rPr>
          <w:b/>
          <w:bCs/>
        </w:rPr>
        <w:t>30</w:t>
      </w:r>
      <w:r>
        <w:rPr>
          <w:b/>
          <w:bCs/>
        </w:rPr>
        <w:t xml:space="preserve"> /202</w:t>
      </w:r>
      <w:r>
        <w:rPr>
          <w:b/>
          <w:bCs/>
        </w:rPr>
        <w:t>6</w:t>
      </w:r>
    </w:p>
    <w:p>
      <w:pPr>
        <w:pStyle w:val="Default"/>
        <w:jc w:val="center"/>
        <w:rPr>
          <w:b/>
          <w:b/>
        </w:rPr>
      </w:pPr>
      <w:r>
        <w:rPr>
          <w:b/>
        </w:rPr>
        <w:t>64082.00</w:t>
      </w:r>
      <w:r>
        <w:rPr>
          <w:b/>
        </w:rPr>
        <w:t>0359/2026-44</w:t>
      </w:r>
    </w:p>
    <w:p>
      <w:pPr>
        <w:pStyle w:val="Default"/>
        <w:jc w:val="center"/>
        <w:rPr>
          <w:b/>
          <w:b/>
          <w:bCs/>
        </w:rPr>
      </w:pPr>
      <w:r>
        <w:rPr>
          <w:b/>
          <w:bCs/>
        </w:rPr>
      </w:r>
    </w:p>
    <w:p>
      <w:pPr>
        <w:pStyle w:val="Default"/>
        <w:jc w:val="center"/>
        <w:rPr>
          <w:b/>
          <w:b/>
          <w:bCs/>
        </w:rPr>
      </w:pPr>
      <w:r>
        <w:rPr>
          <w:b/>
          <w:bCs/>
        </w:rPr>
        <w:t>CONDIÇÕES GERAIS DA CONTRATAÇÃO</w:t>
      </w:r>
    </w:p>
    <w:p>
      <w:pPr>
        <w:pStyle w:val="Default"/>
        <w:jc w:val="both"/>
        <w:rPr>
          <w:b/>
          <w:b/>
          <w:bCs/>
        </w:rPr>
      </w:pPr>
      <w:r>
        <w:rPr>
          <w:b/>
          <w:bCs/>
        </w:rPr>
      </w:r>
    </w:p>
    <w:p>
      <w:pPr>
        <w:pStyle w:val="Standard"/>
        <w:jc w:val="both"/>
        <w:rPr/>
      </w:pPr>
      <w:r>
        <w:rPr>
          <w:rFonts w:cs="Times New Roman" w:ascii="Times New Roman" w:hAnsi="Times New Roman"/>
          <w:color w:val="000000"/>
          <w:sz w:val="24"/>
          <w:szCs w:val="24"/>
        </w:rPr>
        <w:t>Torna-se público, para conhecimento dos interessados, que o 5º Batalhão de Infantaria Leve – 5º BIL</w:t>
      </w:r>
      <w:r>
        <w:rPr>
          <w:rFonts w:cs="Times New Roman" w:ascii="Times New Roman" w:hAnsi="Times New Roman"/>
          <w:sz w:val="24"/>
          <w:szCs w:val="24"/>
        </w:rPr>
        <w:t xml:space="preserve">, Seção de Licitações e Contratos - SALC, sediado na Avenida Marechal Argolo, nº 19, Bairro Santa Edwiges – CEP: 12.604-440, realizará </w:t>
      </w:r>
      <w:r>
        <w:rPr>
          <w:rFonts w:cs="Times New Roman" w:ascii="Times New Roman" w:hAnsi="Times New Roman"/>
          <w:b/>
          <w:sz w:val="24"/>
          <w:szCs w:val="24"/>
        </w:rPr>
        <w:t>COTAÇÃO ELETRÔNICA</w:t>
      </w:r>
      <w:r>
        <w:rPr>
          <w:rFonts w:cs="Times New Roman" w:ascii="Times New Roman" w:hAnsi="Times New Roman"/>
          <w:sz w:val="24"/>
          <w:szCs w:val="24"/>
        </w:rPr>
        <w:t>,</w:t>
      </w:r>
      <w:r>
        <w:rPr>
          <w:rFonts w:cs="Times New Roman" w:ascii="Times New Roman" w:hAnsi="Times New Roman"/>
          <w:bCs/>
          <w:sz w:val="24"/>
          <w:szCs w:val="24"/>
        </w:rPr>
        <w:t xml:space="preserve"> do </w:t>
      </w:r>
      <w:r>
        <w:rPr>
          <w:rFonts w:cs="Times New Roman" w:ascii="Times New Roman" w:hAnsi="Times New Roman"/>
          <w:bCs/>
          <w:iCs/>
          <w:sz w:val="24"/>
          <w:szCs w:val="24"/>
        </w:rPr>
        <w:t xml:space="preserve">tipo </w:t>
      </w:r>
      <w:r>
        <w:rPr>
          <w:rFonts w:cs="Times New Roman" w:ascii="Times New Roman" w:hAnsi="Times New Roman"/>
          <w:b/>
          <w:bCs/>
          <w:iCs/>
          <w:sz w:val="24"/>
          <w:szCs w:val="24"/>
        </w:rPr>
        <w:t>menor preço</w:t>
      </w:r>
      <w:r>
        <w:rPr>
          <w:rFonts w:cs="Times New Roman" w:ascii="Times New Roman" w:hAnsi="Times New Roman"/>
          <w:bCs/>
          <w:color w:val="000000"/>
          <w:sz w:val="24"/>
          <w:szCs w:val="24"/>
        </w:rPr>
        <w:t xml:space="preserve">, </w:t>
      </w:r>
      <w:r>
        <w:rPr>
          <w:rFonts w:cs="Times New Roman" w:ascii="Times New Roman" w:hAnsi="Times New Roman"/>
          <w:sz w:val="24"/>
          <w:szCs w:val="24"/>
        </w:rPr>
        <w:t>que se regerá por este instrumento, e pela legislação pertinente,Lei n° 14.133, de 01° de abril de 2021 e atualizações e demais legislações correlatas.</w:t>
      </w:r>
    </w:p>
    <w:p>
      <w:pPr>
        <w:pStyle w:val="Standard"/>
        <w:snapToGrid w:val="false"/>
        <w:spacing w:before="0" w:after="0"/>
        <w:ind w:right="-30" w:firstLine="567"/>
        <w:jc w:val="both"/>
        <w:rPr>
          <w:rFonts w:ascii="Times New Roman" w:hAnsi="Times New Roman" w:cs="Times New Roman"/>
          <w:sz w:val="24"/>
          <w:szCs w:val="24"/>
        </w:rPr>
      </w:pPr>
      <w:r>
        <w:rPr>
          <w:rFonts w:cs="Times New Roman" w:ascii="Times New Roman" w:hAnsi="Times New Roman"/>
          <w:sz w:val="24"/>
          <w:szCs w:val="24"/>
        </w:rPr>
      </w:r>
    </w:p>
    <w:p>
      <w:pPr>
        <w:pStyle w:val="Standard"/>
        <w:snapToGrid w:val="false"/>
        <w:spacing w:before="0" w:after="0"/>
        <w:ind w:right="-30" w:hanging="0"/>
        <w:jc w:val="both"/>
        <w:rPr/>
      </w:pPr>
      <w:r>
        <w:rPr>
          <w:rFonts w:cs="Times New Roman" w:ascii="Times New Roman" w:hAnsi="Times New Roman"/>
          <w:b/>
          <w:sz w:val="24"/>
          <w:szCs w:val="24"/>
        </w:rPr>
        <w:t xml:space="preserve">UASG: 160472 – </w:t>
      </w:r>
      <w:r>
        <w:rPr>
          <w:rFonts w:cs="Times New Roman" w:ascii="Times New Roman" w:hAnsi="Times New Roman"/>
          <w:b/>
          <w:color w:val="000000"/>
          <w:sz w:val="24"/>
          <w:szCs w:val="24"/>
        </w:rPr>
        <w:t>5º Batalhão de Infantaria Leve</w:t>
      </w:r>
    </w:p>
    <w:p>
      <w:pPr>
        <w:pStyle w:val="Standard"/>
        <w:snapToGrid w:val="false"/>
        <w:spacing w:before="0" w:after="0"/>
        <w:ind w:right="-30" w:hanging="0"/>
        <w:jc w:val="both"/>
        <w:rPr/>
      </w:pPr>
      <w:r>
        <w:rPr>
          <w:rFonts w:cs="Times New Roman" w:ascii="Times New Roman" w:hAnsi="Times New Roman"/>
          <w:b/>
          <w:sz w:val="24"/>
          <w:szCs w:val="24"/>
        </w:rPr>
        <w:t xml:space="preserve">Data da abertura da sessão: </w:t>
      </w:r>
    </w:p>
    <w:p>
      <w:pPr>
        <w:pStyle w:val="Standard"/>
        <w:spacing w:before="0" w:after="0"/>
        <w:rPr>
          <w:rFonts w:ascii="Times New Roman" w:hAnsi="Times New Roman" w:cs="Times New Roman"/>
          <w:sz w:val="24"/>
          <w:szCs w:val="24"/>
        </w:rPr>
      </w:pPr>
      <w:r>
        <w:rPr>
          <w:rFonts w:cs="Times New Roman" w:ascii="Times New Roman" w:hAnsi="Times New Roman"/>
          <w:sz w:val="24"/>
          <w:szCs w:val="24"/>
        </w:rPr>
        <w:t>Horário da abertura: 08:00h</w:t>
      </w:r>
    </w:p>
    <w:p>
      <w:pPr>
        <w:pStyle w:val="Standard"/>
        <w:spacing w:before="0" w:after="0"/>
        <w:rPr/>
      </w:pPr>
      <w:r>
        <w:rPr>
          <w:rFonts w:cs="Times New Roman" w:ascii="Times New Roman" w:hAnsi="Times New Roman"/>
          <w:b/>
          <w:sz w:val="24"/>
          <w:szCs w:val="24"/>
        </w:rPr>
        <w:t xml:space="preserve">Data do término da sessão: </w:t>
      </w:r>
    </w:p>
    <w:p>
      <w:pPr>
        <w:pStyle w:val="Standard"/>
        <w:spacing w:before="0" w:after="0"/>
        <w:rPr>
          <w:rFonts w:ascii="Times New Roman" w:hAnsi="Times New Roman" w:cs="Times New Roman"/>
          <w:sz w:val="24"/>
          <w:szCs w:val="24"/>
        </w:rPr>
      </w:pPr>
      <w:r>
        <w:rPr>
          <w:rFonts w:cs="Times New Roman" w:ascii="Times New Roman" w:hAnsi="Times New Roman"/>
          <w:sz w:val="24"/>
          <w:szCs w:val="24"/>
        </w:rPr>
        <w:t>Horário do término: 14:00h</w:t>
      </w:r>
    </w:p>
    <w:p>
      <w:pPr>
        <w:pStyle w:val="Standard"/>
        <w:spacing w:before="0" w:after="0"/>
        <w:ind w:right="-15" w:hanging="0"/>
        <w:jc w:val="both"/>
        <w:rPr/>
      </w:pPr>
      <w:r>
        <w:rPr>
          <w:rFonts w:cs="Times New Roman" w:ascii="Times New Roman" w:hAnsi="Times New Roman"/>
          <w:b/>
          <w:sz w:val="24"/>
          <w:szCs w:val="24"/>
        </w:rPr>
        <w:t>Local:</w:t>
      </w:r>
      <w:r>
        <w:rPr>
          <w:rFonts w:cs="Times New Roman" w:ascii="Times New Roman" w:hAnsi="Times New Roman"/>
          <w:sz w:val="24"/>
          <w:szCs w:val="24"/>
        </w:rPr>
        <w:t xml:space="preserve"> </w:t>
      </w:r>
      <w:r>
        <w:rPr>
          <w:rFonts w:cs="Times New Roman" w:ascii="Times New Roman" w:hAnsi="Times New Roman"/>
          <w:b/>
          <w:sz w:val="24"/>
          <w:szCs w:val="24"/>
        </w:rPr>
        <w:t>Portal de Compras do Governo Federal</w:t>
      </w:r>
      <w:r>
        <w:rPr>
          <w:rFonts w:cs="Times New Roman" w:ascii="Times New Roman" w:hAnsi="Times New Roman"/>
          <w:sz w:val="24"/>
          <w:szCs w:val="24"/>
        </w:rPr>
        <w:t xml:space="preserve"> – </w:t>
      </w:r>
      <w:hyperlink r:id="rId3">
        <w:r>
          <w:rPr>
            <w:rStyle w:val="Internetlink"/>
            <w:rFonts w:cs="Times New Roman" w:ascii="Times New Roman" w:hAnsi="Times New Roman"/>
            <w:i/>
            <w:sz w:val="24"/>
            <w:szCs w:val="24"/>
          </w:rPr>
          <w:t>www.comprasgovernamentais.gov.br</w:t>
        </w:r>
      </w:hyperlink>
      <w:r>
        <w:rPr>
          <w:rFonts w:cs="Times New Roman" w:ascii="Times New Roman" w:hAnsi="Times New Roman"/>
          <w:i/>
          <w:sz w:val="24"/>
          <w:szCs w:val="24"/>
        </w:rPr>
        <w:t>.</w:t>
      </w:r>
    </w:p>
    <w:p>
      <w:pPr>
        <w:pStyle w:val="Default"/>
        <w:spacing w:lineRule="auto" w:line="276"/>
        <w:jc w:val="both"/>
        <w:rPr>
          <w:b/>
          <w:b/>
          <w:bCs/>
        </w:rPr>
      </w:pPr>
      <w:r>
        <w:rPr>
          <w:b/>
          <w:bCs/>
        </w:rPr>
      </w:r>
      <w:r>
        <w:br w:type="page"/>
      </w:r>
    </w:p>
    <w:p>
      <w:pPr>
        <w:pStyle w:val="Default"/>
        <w:numPr>
          <w:ilvl w:val="0"/>
          <w:numId w:val="2"/>
        </w:numPr>
        <w:spacing w:lineRule="auto" w:line="276"/>
        <w:jc w:val="both"/>
        <w:rPr>
          <w:b/>
          <w:b/>
          <w:bCs/>
        </w:rPr>
      </w:pPr>
      <w:r>
        <w:rPr>
          <w:b/>
          <w:bCs/>
        </w:rPr>
        <w:t>OBJETO</w:t>
      </w:r>
    </w:p>
    <w:p>
      <w:pPr>
        <w:pStyle w:val="Default"/>
        <w:spacing w:lineRule="auto" w:line="276"/>
        <w:ind w:left="284" w:hanging="0"/>
        <w:jc w:val="both"/>
        <w:rPr>
          <w:b/>
          <w:b/>
          <w:bCs/>
        </w:rPr>
      </w:pPr>
      <w:r>
        <w:rPr>
          <w:b/>
          <w:bCs/>
        </w:rPr>
      </w:r>
    </w:p>
    <w:tbl>
      <w:tblPr>
        <w:tblW w:w="10787" w:type="dxa"/>
        <w:jc w:val="left"/>
        <w:tblInd w:w="-527" w:type="dxa"/>
        <w:tblCellMar>
          <w:top w:w="0" w:type="dxa"/>
          <w:left w:w="70" w:type="dxa"/>
          <w:bottom w:w="0" w:type="dxa"/>
          <w:right w:w="70" w:type="dxa"/>
        </w:tblCellMar>
        <w:tblLook w:val="0000" w:noHBand="0" w:noVBand="0" w:firstColumn="0" w:lastRow="0" w:lastColumn="0" w:firstRow="0"/>
      </w:tblPr>
      <w:tblGrid>
        <w:gridCol w:w="795"/>
        <w:gridCol w:w="1019"/>
        <w:gridCol w:w="4311"/>
        <w:gridCol w:w="993"/>
        <w:gridCol w:w="849"/>
        <w:gridCol w:w="1340"/>
        <w:gridCol w:w="1479"/>
      </w:tblGrid>
      <w:tr>
        <w:trPr/>
        <w:tc>
          <w:tcPr>
            <w:tcW w:w="795" w:type="dxa"/>
            <w:tcBorders>
              <w:top w:val="single" w:sz="4" w:space="0" w:color="000000"/>
              <w:left w:val="single" w:sz="4" w:space="0" w:color="000000"/>
              <w:bottom w:val="single" w:sz="4" w:space="0" w:color="000000"/>
            </w:tcBorders>
            <w:shd w:color="auto" w:fill="0070C0" w:val="clear"/>
            <w:vAlign w:val="center"/>
          </w:tcPr>
          <w:p>
            <w:pPr>
              <w:pStyle w:val="Normal"/>
              <w:snapToGrid w:val="false"/>
              <w:jc w:val="center"/>
              <w:rPr/>
            </w:pPr>
            <w:bookmarkStart w:id="0" w:name="docs-internal-guid-2f69429c-7fff-234b-6b"/>
            <w:bookmarkEnd w:id="0"/>
            <w:r>
              <w:rPr>
                <w:rFonts w:cs="Times New Roman" w:ascii="Times New Roman" w:hAnsi="Times New Roman"/>
                <w:bCs/>
                <w:color w:val="000000"/>
              </w:rPr>
              <w:t>Nr Ord</w:t>
            </w:r>
          </w:p>
        </w:tc>
        <w:tc>
          <w:tcPr>
            <w:tcW w:w="1019" w:type="dxa"/>
            <w:tcBorders>
              <w:top w:val="single" w:sz="4" w:space="0" w:color="000000"/>
              <w:left w:val="single" w:sz="4" w:space="0" w:color="000000"/>
              <w:bottom w:val="single" w:sz="4" w:space="0" w:color="000000"/>
            </w:tcBorders>
            <w:shd w:color="auto" w:fill="0070C0" w:val="clear"/>
          </w:tcPr>
          <w:p>
            <w:pPr>
              <w:pStyle w:val="Normal"/>
              <w:snapToGrid w:val="false"/>
              <w:jc w:val="center"/>
              <w:rPr/>
            </w:pPr>
            <w:r>
              <w:rPr>
                <w:rFonts w:cs="Times New Roman" w:ascii="Times New Roman" w:hAnsi="Times New Roman"/>
                <w:bCs/>
                <w:color w:val="000000"/>
              </w:rPr>
              <w:t xml:space="preserve">Catser </w:t>
            </w:r>
          </w:p>
        </w:tc>
        <w:tc>
          <w:tcPr>
            <w:tcW w:w="4311" w:type="dxa"/>
            <w:tcBorders>
              <w:top w:val="single" w:sz="4" w:space="0" w:color="000000"/>
              <w:left w:val="single" w:sz="4" w:space="0" w:color="000000"/>
              <w:bottom w:val="single" w:sz="4" w:space="0" w:color="000000"/>
            </w:tcBorders>
            <w:shd w:color="auto" w:fill="0070C0" w:val="clear"/>
            <w:vAlign w:val="center"/>
          </w:tcPr>
          <w:p>
            <w:pPr>
              <w:pStyle w:val="Normal"/>
              <w:snapToGrid w:val="false"/>
              <w:jc w:val="center"/>
              <w:rPr/>
            </w:pPr>
            <w:r>
              <w:rPr>
                <w:rFonts w:cs="Times New Roman" w:ascii="Times New Roman" w:hAnsi="Times New Roman"/>
                <w:bCs/>
                <w:color w:val="000000"/>
              </w:rPr>
              <w:t>Descrição</w:t>
            </w:r>
          </w:p>
        </w:tc>
        <w:tc>
          <w:tcPr>
            <w:tcW w:w="993" w:type="dxa"/>
            <w:tcBorders>
              <w:top w:val="single" w:sz="4" w:space="0" w:color="000000"/>
              <w:left w:val="single" w:sz="4" w:space="0" w:color="000000"/>
              <w:bottom w:val="single" w:sz="4" w:space="0" w:color="000000"/>
            </w:tcBorders>
            <w:shd w:color="auto" w:fill="0070C0" w:val="clear"/>
            <w:vAlign w:val="center"/>
          </w:tcPr>
          <w:p>
            <w:pPr>
              <w:pStyle w:val="Normal"/>
              <w:snapToGrid w:val="false"/>
              <w:jc w:val="center"/>
              <w:rPr/>
            </w:pPr>
            <w:r>
              <w:rPr>
                <w:rFonts w:cs="Times New Roman" w:ascii="Times New Roman" w:hAnsi="Times New Roman"/>
                <w:bCs/>
                <w:color w:val="000000"/>
                <w:lang w:val="pt-PT"/>
              </w:rPr>
              <w:t>Und</w:t>
            </w:r>
          </w:p>
        </w:tc>
        <w:tc>
          <w:tcPr>
            <w:tcW w:w="849" w:type="dxa"/>
            <w:tcBorders>
              <w:top w:val="single" w:sz="4" w:space="0" w:color="000000"/>
              <w:left w:val="single" w:sz="4" w:space="0" w:color="000000"/>
              <w:bottom w:val="single" w:sz="4" w:space="0" w:color="000000"/>
            </w:tcBorders>
            <w:shd w:color="auto" w:fill="0070C0" w:val="clear"/>
            <w:vAlign w:val="center"/>
          </w:tcPr>
          <w:p>
            <w:pPr>
              <w:pStyle w:val="Normal"/>
              <w:snapToGrid w:val="false"/>
              <w:jc w:val="center"/>
              <w:rPr/>
            </w:pPr>
            <w:r>
              <w:rPr>
                <w:rFonts w:cs="Times New Roman" w:ascii="Times New Roman" w:hAnsi="Times New Roman"/>
                <w:bCs/>
                <w:color w:val="000000"/>
              </w:rPr>
              <w:t>Qnt</w:t>
            </w:r>
          </w:p>
        </w:tc>
        <w:tc>
          <w:tcPr>
            <w:tcW w:w="1340" w:type="dxa"/>
            <w:tcBorders>
              <w:top w:val="single" w:sz="4" w:space="0" w:color="000000"/>
              <w:left w:val="single" w:sz="4" w:space="0" w:color="000000"/>
              <w:bottom w:val="single" w:sz="4" w:space="0" w:color="000000"/>
            </w:tcBorders>
            <w:shd w:color="auto" w:fill="0070C0" w:val="clear"/>
          </w:tcPr>
          <w:p>
            <w:pPr>
              <w:pStyle w:val="Normal"/>
              <w:snapToGrid w:val="false"/>
              <w:jc w:val="center"/>
              <w:rPr/>
            </w:pPr>
            <w:r>
              <w:rPr>
                <w:rFonts w:cs="Times New Roman" w:ascii="Times New Roman" w:hAnsi="Times New Roman"/>
                <w:bCs/>
                <w:color w:val="000000"/>
              </w:rPr>
              <w:t>Valor</w:t>
            </w:r>
          </w:p>
          <w:p>
            <w:pPr>
              <w:pStyle w:val="Normal"/>
              <w:snapToGrid w:val="false"/>
              <w:jc w:val="center"/>
              <w:rPr/>
            </w:pPr>
            <w:r>
              <w:rPr>
                <w:rFonts w:cs="Times New Roman" w:ascii="Times New Roman" w:hAnsi="Times New Roman"/>
                <w:bCs/>
                <w:color w:val="000000"/>
              </w:rPr>
              <w:t>Unit</w:t>
            </w:r>
          </w:p>
        </w:tc>
        <w:tc>
          <w:tcPr>
            <w:tcW w:w="1479" w:type="dxa"/>
            <w:tcBorders>
              <w:top w:val="single" w:sz="4" w:space="0" w:color="000000"/>
              <w:left w:val="single" w:sz="4" w:space="0" w:color="000000"/>
              <w:bottom w:val="single" w:sz="4" w:space="0" w:color="000000"/>
              <w:right w:val="single" w:sz="4" w:space="0" w:color="000000"/>
            </w:tcBorders>
            <w:shd w:color="auto" w:fill="0070C0" w:val="clear"/>
          </w:tcPr>
          <w:p>
            <w:pPr>
              <w:pStyle w:val="Normal"/>
              <w:snapToGrid w:val="false"/>
              <w:jc w:val="center"/>
              <w:rPr/>
            </w:pPr>
            <w:r>
              <w:rPr>
                <w:rFonts w:cs="Times New Roman" w:ascii="Times New Roman" w:hAnsi="Times New Roman"/>
                <w:bCs/>
                <w:color w:val="000000"/>
              </w:rPr>
              <w:t>Valor Total</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246018</w:t>
            </w:r>
          </w:p>
        </w:tc>
        <w:tc>
          <w:tcPr>
            <w:tcW w:w="4311" w:type="dxa"/>
            <w:tcBorders>
              <w:left w:val="single" w:sz="4" w:space="0" w:color="000000"/>
              <w:bottom w:val="single" w:sz="4" w:space="0" w:color="000000"/>
            </w:tcBorders>
            <w:shd w:color="auto" w:fill="auto" w:val="clear"/>
            <w:vAlign w:val="center"/>
          </w:tcPr>
          <w:p>
            <w:pPr>
              <w:pStyle w:val="Normal"/>
              <w:jc w:val="center"/>
              <w:rPr>
                <w:rFonts w:ascii="Times New Roman" w:hAnsi="Times New Roman" w:eastAsia="Calibri" w:cs="Times New Roman"/>
                <w:b w:val="false"/>
                <w:b w:val="false"/>
                <w:bCs w:val="false"/>
                <w:color w:val="00000A"/>
                <w:sz w:val="24"/>
                <w:szCs w:val="24"/>
                <w:lang w:bidi="ar-SA"/>
              </w:rPr>
            </w:pPr>
            <w:r>
              <w:rPr>
                <w:rFonts w:eastAsia="Calibri" w:cs="Times New Roman" w:ascii="Times New Roman" w:hAnsi="Times New Roman"/>
                <w:b w:val="false"/>
                <w:bCs w:val="false"/>
                <w:color w:val="00000A"/>
                <w:sz w:val="24"/>
                <w:szCs w:val="24"/>
                <w:lang w:bidi="ar-SA"/>
              </w:rPr>
              <w:t xml:space="preserve"> </w:t>
            </w:r>
            <w:r>
              <w:rPr>
                <w:rFonts w:eastAsia="Calibri" w:cs="Times New Roman" w:ascii="Times New Roman" w:hAnsi="Times New Roman"/>
                <w:b w:val="false"/>
                <w:bCs w:val="false"/>
                <w:color w:val="00000A"/>
                <w:sz w:val="24"/>
                <w:szCs w:val="24"/>
                <w:lang w:bidi="ar-SA"/>
              </w:rPr>
              <w:t xml:space="preserve">GRAMPO 26. GRAMPO USO ODONTOLÓGICO, MATERIAL:AÇO INOXIDÁVEL, TIPO USO:REUTILIZÁVEL, TAMANHO:26,FINALIDADE:ISOLAENTO ABSOLUTO DO DENTE. REFERÊNCIA SIMILAR: DUFLEX OU KSK OU DE MELHOR QUALIDADE. </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6</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R$ 5,63</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R$ 33,78</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2</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432863</w:t>
            </w:r>
          </w:p>
        </w:tc>
        <w:tc>
          <w:tcPr>
            <w:tcW w:w="4311" w:type="dxa"/>
            <w:tcBorders>
              <w:left w:val="single" w:sz="4" w:space="0" w:color="000000"/>
              <w:bottom w:val="single" w:sz="4" w:space="0" w:color="000000"/>
            </w:tcBorders>
            <w:shd w:color="auto" w:fill="auto" w:val="clear"/>
            <w:vAlign w:val="center"/>
          </w:tcPr>
          <w:p>
            <w:pPr>
              <w:pStyle w:val="Normal"/>
              <w:jc w:val="center"/>
              <w:rPr>
                <w:rFonts w:ascii="Times New Roman" w:hAnsi="Times New Roman" w:eastAsia="Calibri" w:cs="Times New Roman"/>
                <w:color w:val="00000A"/>
                <w:sz w:val="24"/>
                <w:szCs w:val="24"/>
                <w:lang w:bidi="ar-SA"/>
              </w:rPr>
            </w:pPr>
            <w:r>
              <w:rPr>
                <w:rFonts w:eastAsia="Calibri" w:cs="Times New Roman" w:ascii="Times New Roman" w:hAnsi="Times New Roman"/>
                <w:color w:val="00000A"/>
                <w:sz w:val="24"/>
                <w:szCs w:val="24"/>
                <w:lang w:bidi="ar-SA"/>
              </w:rPr>
              <w:t>CIMENTO ENDODÔNTICO PARA OBTURAÇÃO DOS CANAIS RADICULARES A BASE DE HIDRÓXIDO DE CÁLCIO TIPO PASTA/PASTA CADA QUAL COM 24G DE PESO LÍQUIDO, TENDO A SEGUINTE COMPOSIÇÃO: PASTA BASE- OXIDO DE CÁLCIO, ÓXIDO DEZINCO, COMPOSTO A BASE DESULFONAMIDA, SÍLICA; PASTA CATALISADORA- SULFATO DEBÁRIO, RESINA POLIMETILENO,METILSALICILATO, DIÓXIDO DETITÂNEO, SÌLICA, SALICILATO DEISOBUTILA E PIGMENTOS. APRESENTAÇÃO: CAIXA COM 2PASTAS, SENDO UMA CATALISADORA E A OUTRA BASE ,E1 BLOCO DE MANIPULAÇÃO. PADRÃO DE REFERÊNCIA SEALAPEX OU DE MELHOR QUALIDADE</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cx</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4</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R$ 153,01</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R$ 612,04</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3</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441916</w:t>
            </w:r>
          </w:p>
        </w:tc>
        <w:tc>
          <w:tcPr>
            <w:tcW w:w="4311" w:type="dxa"/>
            <w:tcBorders>
              <w:left w:val="single" w:sz="4" w:space="0" w:color="000000"/>
              <w:bottom w:val="single" w:sz="4" w:space="0" w:color="000000"/>
            </w:tcBorders>
            <w:shd w:color="auto" w:fill="auto" w:val="clear"/>
            <w:vAlign w:val="center"/>
          </w:tcPr>
          <w:p>
            <w:pPr>
              <w:pStyle w:val="Normal"/>
              <w:jc w:val="center"/>
              <w:rPr>
                <w:rFonts w:ascii="Times New Roman" w:hAnsi="Times New Roman" w:eastAsia="Calibri" w:cs="Times New Roman"/>
                <w:color w:val="00000A"/>
                <w:sz w:val="24"/>
                <w:szCs w:val="24"/>
                <w:lang w:bidi="ar-SA"/>
              </w:rPr>
            </w:pPr>
            <w:r>
              <w:rPr>
                <w:rFonts w:eastAsia="Calibri" w:cs="Times New Roman" w:ascii="Times New Roman" w:hAnsi="Times New Roman"/>
                <w:color w:val="00000A"/>
                <w:sz w:val="24"/>
                <w:szCs w:val="24"/>
                <w:lang w:bidi="ar-SA"/>
              </w:rPr>
              <w:t>CONE DE PAPEL ABSORVENTE ROTATÓRIO. CONE ENDODÔNTICO,TIPO ABSORVENTE, MATERIAL PAPEL, CALIBRE ESPECÍFICO P/ T</w:t>
            </w:r>
            <w:r>
              <w:rPr>
                <w:rFonts w:eastAsia="Calibri" w:cs="Times New Roman" w:ascii="Times New Roman" w:hAnsi="Times New Roman"/>
                <w:color w:val="00000A"/>
                <w:sz w:val="24"/>
                <w:szCs w:val="24"/>
                <w:lang w:bidi="ar-SA"/>
              </w:rPr>
              <w:t>É</w:t>
            </w:r>
            <w:r>
              <w:rPr>
                <w:rFonts w:eastAsia="Calibri" w:cs="Times New Roman" w:ascii="Times New Roman" w:hAnsi="Times New Roman"/>
                <w:color w:val="00000A"/>
                <w:sz w:val="24"/>
                <w:szCs w:val="24"/>
                <w:lang w:bidi="ar-SA"/>
              </w:rPr>
              <w:t>CNICA INSTRUMENTAÇÃO ROT</w:t>
            </w:r>
            <w:r>
              <w:rPr>
                <w:rFonts w:eastAsia="Calibri" w:cs="Times New Roman" w:ascii="Times New Roman" w:hAnsi="Times New Roman"/>
                <w:color w:val="00000A"/>
                <w:sz w:val="24"/>
                <w:szCs w:val="24"/>
                <w:lang w:bidi="ar-SA"/>
              </w:rPr>
              <w:t>A</w:t>
            </w:r>
            <w:r>
              <w:rPr>
                <w:rFonts w:eastAsia="Calibri" w:cs="Times New Roman" w:ascii="Times New Roman" w:hAnsi="Times New Roman"/>
                <w:color w:val="00000A"/>
                <w:sz w:val="24"/>
                <w:szCs w:val="24"/>
                <w:lang w:bidi="ar-SA"/>
              </w:rPr>
              <w:t>T</w:t>
            </w:r>
            <w:r>
              <w:rPr>
                <w:rFonts w:eastAsia="Calibri" w:cs="Times New Roman" w:ascii="Times New Roman" w:hAnsi="Times New Roman"/>
                <w:color w:val="00000A"/>
                <w:sz w:val="24"/>
                <w:szCs w:val="24"/>
                <w:lang w:bidi="ar-SA"/>
              </w:rPr>
              <w:t>Ó</w:t>
            </w:r>
            <w:r>
              <w:rPr>
                <w:rFonts w:eastAsia="Calibri" w:cs="Times New Roman" w:ascii="Times New Roman" w:hAnsi="Times New Roman"/>
                <w:color w:val="00000A"/>
                <w:sz w:val="24"/>
                <w:szCs w:val="24"/>
                <w:lang w:bidi="ar-SA"/>
              </w:rPr>
              <w:t>RIA, COMPRIMENTO CERCA DE 28, APRESENTAÇÃO ESTOJO COM DIFERENTES CALIBRES. DESCRIÇÃO COMPLEMENTAR: PONTAS DE PAPEL ABSORVENTE PAR</w:t>
            </w:r>
            <w:r>
              <w:rPr>
                <w:rFonts w:eastAsia="Calibri" w:cs="Times New Roman" w:ascii="Times New Roman" w:hAnsi="Times New Roman"/>
                <w:color w:val="00000A"/>
                <w:sz w:val="24"/>
                <w:szCs w:val="24"/>
                <w:lang w:bidi="ar-SA"/>
              </w:rPr>
              <w:t xml:space="preserve">A </w:t>
            </w:r>
            <w:r>
              <w:rPr>
                <w:rFonts w:eastAsia="Calibri" w:cs="Times New Roman" w:ascii="Times New Roman" w:hAnsi="Times New Roman"/>
                <w:color w:val="00000A"/>
                <w:sz w:val="24"/>
                <w:szCs w:val="24"/>
                <w:lang w:bidi="ar-SA"/>
              </w:rPr>
              <w:t>SECAGEM DE CANAIS RADICULARES PREPARADOS POR SISTEMAS DE INSTRUMENTOS ROTATÓRIOS QUE POSSUAM CONICIDADES MÚLTIPLAS EM SUAS LÂMINAS ATIVAS. À BASE DE PAPEL FILTRO (PAPEL DE SEDA). PRE-ESTERILIZADAS POR RAIOS GAMA,COM 28MM DE COMPRIMENTO. EMBALAGEM COM 72 UNIDADES,F1, F2, F3 OU SORTIDA. REFERÊNCIA SIMILAR: DENTSPLYOU DE MELHOR QUALIDADE.</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Emb 80 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4</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R$ 48,46</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 xml:space="preserve">R$ </w:t>
            </w:r>
            <w:r>
              <w:rPr/>
              <w:t>193,84</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4</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431743</w:t>
            </w:r>
          </w:p>
        </w:tc>
        <w:tc>
          <w:tcPr>
            <w:tcW w:w="4311" w:type="dxa"/>
            <w:tcBorders>
              <w:left w:val="single" w:sz="4" w:space="0" w:color="000000"/>
              <w:bottom w:val="single" w:sz="4" w:space="0" w:color="000000"/>
            </w:tcBorders>
            <w:shd w:color="auto" w:fill="auto" w:val="clear"/>
            <w:vAlign w:val="center"/>
          </w:tcPr>
          <w:p>
            <w:pPr>
              <w:pStyle w:val="Normal"/>
              <w:jc w:val="center"/>
              <w:rPr/>
            </w:pPr>
            <w:r>
              <w:rPr/>
              <w:t>GEL DESSENSIBILIZANTE DENTÁRIO COMPOSTO DE NITRATO DE POTÁSSIO A 3% COM FLÚOR0,25%. Embalagem: KIT DE 04SERINGAS de 1,2ml cada (1,48g).Padrão: UltraEZ da Ultradent OU SIMILAR, OU EQUIVALENTE, OU DE MELHOR QUALIDADE</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5</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R$ 38,92</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R$ 194,60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5</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419189</w:t>
            </w:r>
          </w:p>
        </w:tc>
        <w:tc>
          <w:tcPr>
            <w:tcW w:w="4311" w:type="dxa"/>
            <w:tcBorders>
              <w:left w:val="single" w:sz="4" w:space="0" w:color="000000"/>
              <w:bottom w:val="single" w:sz="4" w:space="0" w:color="000000"/>
            </w:tcBorders>
            <w:shd w:color="auto" w:fill="auto" w:val="clear"/>
            <w:vAlign w:val="center"/>
          </w:tcPr>
          <w:p>
            <w:pPr>
              <w:pStyle w:val="Normal"/>
              <w:jc w:val="center"/>
              <w:rPr>
                <w:rFonts w:ascii="sans-serif" w:hAnsi="sans-serif"/>
                <w:sz w:val="24"/>
              </w:rPr>
            </w:pPr>
            <w:r>
              <w:rPr/>
              <w:t>MATRIZ DE POLIESTER. MATRIZ ODONTOLÓGICA, MATERIAL: POLIESTER, TIPO: PRÉ-CORTADA,FORMATO: FITA, TIPO USO:DESCARTÁVEL. APRESENTAÇÃO:ENVELOPE 50 FOLHAS DE 10 CM,LARGURA 10 MM.</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Emb 50 und</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30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R$ 1,23</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R$ 36,90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6</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406285</w:t>
            </w:r>
          </w:p>
        </w:tc>
        <w:tc>
          <w:tcPr>
            <w:tcW w:w="4311" w:type="dxa"/>
            <w:tcBorders>
              <w:left w:val="single" w:sz="4" w:space="0" w:color="000000"/>
              <w:bottom w:val="single" w:sz="4" w:space="0" w:color="000000"/>
            </w:tcBorders>
            <w:shd w:color="auto" w:fill="auto" w:val="clear"/>
            <w:vAlign w:val="center"/>
          </w:tcPr>
          <w:p>
            <w:pPr>
              <w:pStyle w:val="Normal"/>
              <w:jc w:val="center"/>
              <w:rPr/>
            </w:pPr>
            <w:r>
              <w:rPr/>
              <w:t>TIRA DE LIXA DE AÇO. TIRA ABRASIVA - USO ODONTOLÓGICO,MATERIAL:AÇO INOXIDÁVEL +ÓXIDO DE ALUMÍNIO,COMPRIMENTO:CERCA DE 150MM, LARGURA:4 MM,APRESENTAÇÃO:ENVELOPE C/ 12 UNIDADES, TIPO USO:ESTÉRIL,DESCARTÁVEL. APRESENTAÇÃO:EMBALAGEM COM 50UNIDADES. REFERÊNCIA SIMILAR:TDV OU DE QUALIDADE SUPERIOR.</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Emb 50 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30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R$ 5,25</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R$ 157,50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7</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406150</w:t>
            </w:r>
          </w:p>
        </w:tc>
        <w:tc>
          <w:tcPr>
            <w:tcW w:w="4311" w:type="dxa"/>
            <w:tcBorders>
              <w:left w:val="single" w:sz="4" w:space="0" w:color="000000"/>
              <w:bottom w:val="single" w:sz="4" w:space="0" w:color="000000"/>
            </w:tcBorders>
            <w:shd w:color="auto" w:fill="auto" w:val="clear"/>
            <w:vAlign w:val="center"/>
          </w:tcPr>
          <w:p>
            <w:pPr>
              <w:pStyle w:val="Normal"/>
              <w:jc w:val="center"/>
              <w:rPr/>
            </w:pPr>
            <w:r>
              <w:rPr/>
              <w:t>CARBONO ODONTOLÓGICO. CARBONO ARTICULAR PARA VERIFICAÇÃO DE CONTATOS OCLUSAIS. CARACTERÍSTICAS ADICIONAIS: DUPLA-FACE, SUPERFINO E ELÁSTICO, NÃO RASGA FACILMENTE. REFLETE COM EXATIDÃO OS REGISTROS OCLUSAIS, NÃO HAVENDO SENSIBILIDADE INADEQUADA DURANTE O REGISTRO E NÃO HAVENDO DESVIO MAXILAR. RESISTENTE A UMIDADE. ESPESSURA DE 19 MICRONS. DUAS CORES (PRETO/VERMELHO).DESCARTÁVEL. COM QUALIDADE IGUAL OU SUPERIOR AO ANGELUS. APRESENTAÇÃO:CAIXA COM 140TIRAS.</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Cx</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4</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R$ 116,11</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R$ 464,44</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8</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428166</w:t>
            </w:r>
          </w:p>
        </w:tc>
        <w:tc>
          <w:tcPr>
            <w:tcW w:w="4311" w:type="dxa"/>
            <w:tcBorders>
              <w:left w:val="single" w:sz="4" w:space="0" w:color="000000"/>
              <w:bottom w:val="single" w:sz="4" w:space="0" w:color="000000"/>
            </w:tcBorders>
            <w:shd w:color="auto" w:fill="auto" w:val="clear"/>
            <w:vAlign w:val="center"/>
          </w:tcPr>
          <w:p>
            <w:pPr>
              <w:pStyle w:val="Normal"/>
              <w:jc w:val="center"/>
              <w:rPr/>
            </w:pPr>
            <w:r>
              <w:rPr/>
              <w:t>VERNIZ FLUORETADO. VERNIZ DENTÁRIO, COMPOSIÇÃO: C/FLUORETO DE SÓDIO. APRESENTAÇÃO: FRASCO COM 10ML. REFERÊNCIA SIMILAR:DUORFLUORID XII OU FLUORNIZ.</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Frasco  15ml</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2</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R$ 25,56</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R$ 51,12</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9</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632248</w:t>
            </w:r>
          </w:p>
        </w:tc>
        <w:tc>
          <w:tcPr>
            <w:tcW w:w="4311" w:type="dxa"/>
            <w:tcBorders>
              <w:left w:val="single" w:sz="4" w:space="0" w:color="000000"/>
              <w:bottom w:val="single" w:sz="4" w:space="0" w:color="000000"/>
            </w:tcBorders>
            <w:shd w:color="auto" w:fill="auto" w:val="clear"/>
            <w:vAlign w:val="center"/>
          </w:tcPr>
          <w:p>
            <w:pPr>
              <w:pStyle w:val="Normal"/>
              <w:jc w:val="center"/>
              <w:rPr/>
            </w:pPr>
            <w:r>
              <w:rPr/>
              <w:t>SUGADOR ENDODÔNTICO DESCARTAVEL ATÓXICO, PONTEIRAS COLORIDAS. REFERÊNCIA: SS PLUS PACOTE COM 20UNIDADES</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Pct c/ 20</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100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R$ 18,33</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R$ 1.833,00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10</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406292</w:t>
            </w:r>
          </w:p>
        </w:tc>
        <w:tc>
          <w:tcPr>
            <w:tcW w:w="4311" w:type="dxa"/>
            <w:tcBorders>
              <w:left w:val="single" w:sz="4" w:space="0" w:color="000000"/>
              <w:bottom w:val="single" w:sz="4" w:space="0" w:color="000000"/>
            </w:tcBorders>
            <w:shd w:color="auto" w:fill="auto" w:val="clear"/>
            <w:vAlign w:val="center"/>
          </w:tcPr>
          <w:p>
            <w:pPr>
              <w:pStyle w:val="Normal"/>
              <w:jc w:val="center"/>
              <w:rPr/>
            </w:pPr>
            <w:r>
              <w:rPr/>
              <w:t>SUGADOR DESCARTAVEL PARA USO ODONTOLÓGICO, CONFECCIONADO EM PVC, ATOXICO, DE COR ÚNICA, COM FIO DE COBRE, SEM AROMATIZANTES,MEDIDAS DE 12,5CM POR 6,5CM.APRESENTAÇÃO: PACOTE COM 40UNIDADES.</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Pct c/ 40</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150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R$ 7,14</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R$ 1.071,00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w:t>
            </w:r>
            <w:r>
              <w:rPr/>
              <w:t>1</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403374</w:t>
            </w:r>
          </w:p>
        </w:tc>
        <w:tc>
          <w:tcPr>
            <w:tcW w:w="4311" w:type="dxa"/>
            <w:tcBorders>
              <w:left w:val="single" w:sz="4" w:space="0" w:color="000000"/>
              <w:bottom w:val="single" w:sz="4" w:space="0" w:color="000000"/>
            </w:tcBorders>
            <w:shd w:color="auto" w:fill="auto" w:val="clear"/>
            <w:vAlign w:val="center"/>
          </w:tcPr>
          <w:p>
            <w:pPr>
              <w:pStyle w:val="Normal"/>
              <w:jc w:val="center"/>
              <w:rPr/>
            </w:pPr>
            <w:r>
              <w:rPr/>
              <w:t>BROCA ALTA ROTAÇÃO, MATERIAL:AÇO INOXIDÁVEL DIAMANTADA,FORMATO: ESFÉRICA, TIPO HASTE:HASTE LONGA, TIPO CORTE: CORTE MÉDIO, NUMERAÇÃO AMERICANA:1016HL</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 xml:space="preserve">Un </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50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R$ 2,12</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rFonts w:eastAsia="Arial Unicode MS" w:cs="Times New Roman" w:ascii="Times New Roman" w:hAnsi="Times New Roman"/>
                <w:color w:val="000000"/>
              </w:rPr>
              <w:t>R$ 106,00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12</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403373</w:t>
            </w:r>
          </w:p>
        </w:tc>
        <w:tc>
          <w:tcPr>
            <w:tcW w:w="4311" w:type="dxa"/>
            <w:tcBorders>
              <w:left w:val="single" w:sz="4" w:space="0" w:color="000000"/>
              <w:bottom w:val="single" w:sz="4" w:space="0" w:color="000000"/>
            </w:tcBorders>
            <w:shd w:color="auto" w:fill="auto" w:val="clear"/>
            <w:vAlign w:val="center"/>
          </w:tcPr>
          <w:p>
            <w:pPr>
              <w:pStyle w:val="Normal"/>
              <w:jc w:val="center"/>
              <w:rPr/>
            </w:pPr>
            <w:r>
              <w:rPr/>
              <w:t>BROCA ALTA ROTAÇÃO, MATERIAL:AÇO INOXIDÁVEL DIAMANTADA,FORMATO: ESFÉRICA, TIPO HASTE:HASTE LONGA, TIPO CORTE: CORTE MÉDIO, NUMERAÇÃO AMERICANA:1014HL</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25</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R$ 1,92</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R$ 48,00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13</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403372</w:t>
            </w:r>
          </w:p>
        </w:tc>
        <w:tc>
          <w:tcPr>
            <w:tcW w:w="4311" w:type="dxa"/>
            <w:tcBorders>
              <w:left w:val="single" w:sz="4" w:space="0" w:color="000000"/>
              <w:bottom w:val="single" w:sz="4" w:space="0" w:color="000000"/>
            </w:tcBorders>
            <w:shd w:color="auto" w:fill="auto" w:val="clear"/>
            <w:vAlign w:val="center"/>
          </w:tcPr>
          <w:p>
            <w:pPr>
              <w:pStyle w:val="Normal"/>
              <w:jc w:val="center"/>
              <w:rPr/>
            </w:pPr>
            <w:r>
              <w:rPr/>
              <w:t>BROCA ALTA ROTAÇÃO, MATERIAL:AÇO INOXIDÁVEL DIAMANTADA,FORMATO: ESFÉRICA, TIPO HASTE:HASTE LONGA, TIPO CORTE: CORTE MÉDIO, NUMERAÇÃO AMERICANA:1012HL</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15</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R$ 3,69</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R$ 55,35</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14</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404425</w:t>
            </w:r>
          </w:p>
        </w:tc>
        <w:tc>
          <w:tcPr>
            <w:tcW w:w="4311" w:type="dxa"/>
            <w:tcBorders>
              <w:left w:val="single" w:sz="4" w:space="0" w:color="000000"/>
              <w:bottom w:val="single" w:sz="4" w:space="0" w:color="000000"/>
            </w:tcBorders>
            <w:shd w:color="auto" w:fill="auto" w:val="clear"/>
            <w:vAlign w:val="center"/>
          </w:tcPr>
          <w:p>
            <w:pPr>
              <w:pStyle w:val="Normal"/>
              <w:jc w:val="center"/>
              <w:rPr/>
            </w:pPr>
            <w:r>
              <w:rPr/>
              <w:t>BENZOCAÍNA. ANESTÉSICO TÓPICO EM PASTA À BASE DE BENZOCAÍNA NA CONCENTRAÇÃO DE 200 MG/G. APRESENTAÇÃO: POTE COM 12G.VALIDADE MÍNIMA DE 01 ANO.</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Pote c/ 12g</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2</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R$ 17,73</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R$ 35,46</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15</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404425</w:t>
            </w:r>
          </w:p>
        </w:tc>
        <w:tc>
          <w:tcPr>
            <w:tcW w:w="4311" w:type="dxa"/>
            <w:tcBorders>
              <w:left w:val="single" w:sz="4" w:space="0" w:color="000000"/>
              <w:bottom w:val="single" w:sz="4" w:space="0" w:color="000000"/>
            </w:tcBorders>
            <w:shd w:color="auto" w:fill="auto" w:val="clear"/>
            <w:vAlign w:val="center"/>
          </w:tcPr>
          <w:p>
            <w:pPr>
              <w:pStyle w:val="Normal"/>
              <w:jc w:val="center"/>
              <w:rPr/>
            </w:pPr>
            <w:r>
              <w:rPr/>
              <w:t>ANESTÉSICO LOCAL LIDOCAÍNA 2%COM EPINEFRINA 1:100.000.COMPOSIÇÃO: CLORIDRATO DE LIDOCAÍNA 20,0 MG, ASSOCIADA COM EPINEFRINA BASE 10,0 gG,EXCIPIENTES Q.S.P 1,0 ML,BISSULFITO DE SÓDIO, CLORETO DE SÓDIO E ÁGUA PARA INJEÇÃO. CONCENTRAÇÃO: 2% +1:100.000, FORMA FARMACÊUTICA: SOLUÇÃO INJETÁVEL. APRESENTAÇÃO: CAIXA COM 5 BLISTERS LACRADOS CONTENDO CADA UM 10 TUBETES DE VIDRO COM 1,8 ML CADA. REFERÊNCIA SIMILAR:ALPHACAINE DFL OU DE MELHOR QUALIDADE</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Cx c/  50un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10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R$ 144,60</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R$ 1.446,00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16</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269888</w:t>
            </w:r>
          </w:p>
        </w:tc>
        <w:tc>
          <w:tcPr>
            <w:tcW w:w="4311" w:type="dxa"/>
            <w:tcBorders>
              <w:left w:val="single" w:sz="4" w:space="0" w:color="000000"/>
              <w:bottom w:val="single" w:sz="4" w:space="0" w:color="000000"/>
            </w:tcBorders>
            <w:shd w:color="auto" w:fill="auto" w:val="clear"/>
            <w:vAlign w:val="center"/>
          </w:tcPr>
          <w:p>
            <w:pPr>
              <w:pStyle w:val="Normal"/>
              <w:jc w:val="center"/>
              <w:rPr/>
            </w:pPr>
            <w:r>
              <w:rPr/>
              <w:t>ANESTÉSICO LOCAL MEPIVACAÍNA2% COM EPINEFRINA 1:100.000.COMPOSIÇÃO: CLORIDRATO DE MEPIVACAÍNA 20,0 MG,ASSOCIADA COM EPINEFRINA BASE10,0 gG, EXCIPIENTES Q.S.P 1,0 ML,BISSULFITO DE SÓDIO, CLORETO DE SÓDIO, EDTA DISSÓDICO E ÁGUA PARA INJEÇÃO. CONCENTRAÇÃO: 2% +1:100.000, FORMA FARMACÊUTICA: SOLUÇÃO INJETÁVEL. APRESENTAÇÃO: CAIXACOM 5 BLISTERS LACRADOS CONTENDO CADA UM 10 TUBETES DE VIDRO COM 1,8 ML CADA. REFERÊNCIA SIMILAR: MEPIADREDFL OU DE MELHOR QUALIDADE</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Cx c/  50un</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10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R$ 150,99</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R$ 1.509,90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pPr>
            <w:r>
              <w:rPr/>
              <w:t>17</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rFonts w:ascii="Liberation Serif" w:hAnsi="Liberation Serif"/>
                <w:sz w:val="24"/>
              </w:rPr>
            </w:pPr>
            <w:r>
              <w:rPr>
                <w:rFonts w:ascii="Liberation Serif" w:hAnsi="Liberation Serif"/>
                <w:sz w:val="24"/>
              </w:rPr>
              <w:t>391137</w:t>
            </w:r>
          </w:p>
        </w:tc>
        <w:tc>
          <w:tcPr>
            <w:tcW w:w="4311" w:type="dxa"/>
            <w:tcBorders>
              <w:left w:val="single" w:sz="4" w:space="0" w:color="000000"/>
              <w:bottom w:val="single" w:sz="4" w:space="0" w:color="000000"/>
            </w:tcBorders>
            <w:shd w:color="auto" w:fill="auto" w:val="clear"/>
            <w:vAlign w:val="center"/>
          </w:tcPr>
          <w:p>
            <w:pPr>
              <w:pStyle w:val="Normal"/>
              <w:jc w:val="center"/>
              <w:rPr/>
            </w:pPr>
            <w:r>
              <w:rPr>
                <w:rFonts w:ascii="sans-serif" w:hAnsi="sans-serif"/>
                <w:sz w:val="24"/>
              </w:rPr>
              <w:t>ADESIVO</w:t>
            </w:r>
            <w:r>
              <w:rPr/>
              <w:t xml:space="preserve"> </w:t>
            </w:r>
            <w:r>
              <w:rPr>
                <w:rFonts w:ascii="sans-serif" w:hAnsi="sans-serif"/>
                <w:sz w:val="24"/>
              </w:rPr>
              <w:t>DENTAL,TIPO:FOTOPOLIMERIZÁVEL,COMPONENTES: ADESIVO + PRIMER + ÁCIDO, Adesivo universal com Tecnologia VMS e com condicionamento ácido total,condicionamento ácido seletivo em esmalte e auto condicionante.</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 xml:space="preserve">Frasco 5ml </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5</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R$ 93,16</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R$ 465,80</w:t>
            </w:r>
          </w:p>
        </w:tc>
      </w:tr>
      <w:tr>
        <w:trPr>
          <w:trHeight w:val="857" w:hRule="atLeast"/>
        </w:trPr>
        <w:tc>
          <w:tcPr>
            <w:tcW w:w="795" w:type="dxa"/>
            <w:tcBorders>
              <w:left w:val="single" w:sz="4" w:space="0" w:color="000000"/>
              <w:bottom w:val="single" w:sz="4" w:space="0" w:color="000000"/>
            </w:tcBorders>
            <w:shd w:color="auto" w:fill="auto" w:val="clear"/>
            <w:vAlign w:val="center"/>
          </w:tcPr>
          <w:p>
            <w:pPr>
              <w:pStyle w:val="Normal"/>
              <w:rPr/>
            </w:pPr>
            <w:r>
              <w:rPr/>
              <w:t>18</w:t>
            </w:r>
          </w:p>
        </w:tc>
        <w:tc>
          <w:tcPr>
            <w:tcW w:w="1019" w:type="dxa"/>
            <w:tcBorders>
              <w:left w:val="single" w:sz="4" w:space="0" w:color="000000"/>
              <w:bottom w:val="single" w:sz="4" w:space="0" w:color="000000"/>
            </w:tcBorders>
            <w:shd w:color="auto" w:fill="auto" w:val="clear"/>
            <w:vAlign w:val="center"/>
          </w:tcPr>
          <w:p>
            <w:pPr>
              <w:pStyle w:val="Normal"/>
              <w:suppressAutoHyphens w:val="false"/>
              <w:snapToGrid w:val="false"/>
              <w:jc w:val="center"/>
              <w:rPr/>
            </w:pPr>
            <w:bookmarkStart w:id="1" w:name="codigo-pdm-item-1614081"/>
            <w:bookmarkEnd w:id="1"/>
            <w:r>
              <w:rPr/>
              <w:t>433258</w:t>
            </w:r>
          </w:p>
          <w:p>
            <w:pPr>
              <w:pStyle w:val="Normal"/>
              <w:suppressAutoHyphens w:val="false"/>
              <w:snapToGrid w:val="false"/>
              <w:jc w:val="center"/>
              <w:rPr/>
            </w:pPr>
            <w:r>
              <w:rPr/>
            </w:r>
          </w:p>
        </w:tc>
        <w:tc>
          <w:tcPr>
            <w:tcW w:w="4311" w:type="dxa"/>
            <w:tcBorders>
              <w:left w:val="single" w:sz="4" w:space="0" w:color="000000"/>
              <w:bottom w:val="single" w:sz="4" w:space="0" w:color="000000"/>
            </w:tcBorders>
            <w:shd w:color="auto" w:fill="auto" w:val="clear"/>
            <w:vAlign w:val="center"/>
          </w:tcPr>
          <w:p>
            <w:pPr>
              <w:pStyle w:val="Normal"/>
              <w:jc w:val="center"/>
              <w:rPr/>
            </w:pPr>
            <w:r>
              <w:rPr/>
              <w:t>CLAREADOR\, COMPOSIÇÃO:PERÓXIDO DE HIDROGÊNIO, COMPOSIÇÃO ADICIONAL:ESPESSANTE,CONCENTRAÇÃO:35%, FORMA FÍSICA:GEL,APRESENTAÇÃO :CONJUNTO COMPLETO</w:t>
            </w:r>
          </w:p>
        </w:tc>
        <w:tc>
          <w:tcPr>
            <w:tcW w:w="993" w:type="dxa"/>
            <w:tcBorders>
              <w:left w:val="single" w:sz="4" w:space="0" w:color="000000"/>
              <w:bottom w:val="single" w:sz="4" w:space="0" w:color="000000"/>
            </w:tcBorders>
            <w:shd w:color="auto" w:fill="auto" w:val="clear"/>
            <w:vAlign w:val="center"/>
          </w:tcPr>
          <w:p>
            <w:pPr>
              <w:pStyle w:val="Normal"/>
              <w:snapToGrid w:val="false"/>
              <w:jc w:val="center"/>
              <w:rPr/>
            </w:pPr>
            <w:r>
              <w:rPr/>
              <w:t>Cx</w:t>
            </w:r>
          </w:p>
        </w:tc>
        <w:tc>
          <w:tcPr>
            <w:tcW w:w="849" w:type="dxa"/>
            <w:tcBorders>
              <w:left w:val="single" w:sz="4" w:space="0" w:color="000000"/>
              <w:bottom w:val="single" w:sz="4" w:space="0" w:color="000000"/>
            </w:tcBorders>
            <w:shd w:color="auto" w:fill="auto" w:val="clear"/>
            <w:vAlign w:val="center"/>
          </w:tcPr>
          <w:p>
            <w:pPr>
              <w:pStyle w:val="Normal"/>
              <w:snapToGrid w:val="false"/>
              <w:jc w:val="center"/>
              <w:rPr/>
            </w:pPr>
            <w:r>
              <w:rPr/>
              <w:t>20</w:t>
            </w:r>
          </w:p>
        </w:tc>
        <w:tc>
          <w:tcPr>
            <w:tcW w:w="1340" w:type="dxa"/>
            <w:tcBorders>
              <w:left w:val="single" w:sz="4" w:space="0" w:color="000000"/>
              <w:bottom w:val="single" w:sz="4" w:space="0" w:color="000000"/>
            </w:tcBorders>
            <w:shd w:color="auto" w:fill="auto" w:val="clear"/>
            <w:vAlign w:val="center"/>
          </w:tcPr>
          <w:p>
            <w:pPr>
              <w:pStyle w:val="Normal"/>
              <w:snapToGrid w:val="false"/>
              <w:jc w:val="center"/>
              <w:rPr/>
            </w:pPr>
            <w:r>
              <w:rPr/>
              <w:t>R$ 56,62</w:t>
            </w:r>
          </w:p>
        </w:tc>
        <w:tc>
          <w:tcPr>
            <w:tcW w:w="1479" w:type="dxa"/>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rFonts w:ascii="Times New Roman" w:hAnsi="Times New Roman" w:eastAsia="Arial Unicode MS" w:cs="Times New Roman"/>
                <w:color w:val="000000"/>
              </w:rPr>
            </w:pPr>
            <w:r>
              <w:rPr/>
              <w:t>R$ 1.132,40</w:t>
            </w:r>
          </w:p>
        </w:tc>
      </w:tr>
      <w:tr>
        <w:trPr>
          <w:trHeight w:val="428" w:hRule="atLeast"/>
        </w:trPr>
        <w:tc>
          <w:tcPr>
            <w:tcW w:w="795" w:type="dxa"/>
            <w:tcBorders>
              <w:left w:val="single" w:sz="4" w:space="0" w:color="000000"/>
              <w:bottom w:val="single" w:sz="4" w:space="0" w:color="000000"/>
            </w:tcBorders>
            <w:shd w:color="auto" w:fill="auto" w:val="clear"/>
            <w:vAlign w:val="center"/>
          </w:tcPr>
          <w:p>
            <w:pPr>
              <w:pStyle w:val="Normal"/>
              <w:snapToGrid w:val="false"/>
              <w:jc w:val="center"/>
              <w:rPr>
                <w:b/>
                <w:b/>
              </w:rPr>
            </w:pPr>
            <w:r>
              <w:rPr>
                <w:rFonts w:eastAsia="Arial Unicode MS" w:cs="Times New Roman" w:ascii="Times New Roman" w:hAnsi="Times New Roman"/>
                <w:b/>
                <w:color w:val="000000"/>
              </w:rPr>
              <w:t>Total</w:t>
            </w:r>
          </w:p>
        </w:tc>
        <w:tc>
          <w:tcPr>
            <w:tcW w:w="9991" w:type="dxa"/>
            <w:gridSpan w:val="6"/>
            <w:tcBorders>
              <w:left w:val="single" w:sz="4" w:space="0" w:color="000000"/>
              <w:bottom w:val="single" w:sz="4" w:space="0" w:color="000000"/>
              <w:right w:val="single" w:sz="4" w:space="0" w:color="000000"/>
            </w:tcBorders>
            <w:shd w:color="auto" w:fill="auto" w:val="clear"/>
            <w:vAlign w:val="center"/>
          </w:tcPr>
          <w:p>
            <w:pPr>
              <w:pStyle w:val="Normal"/>
              <w:snapToGrid w:val="false"/>
              <w:jc w:val="center"/>
              <w:rPr>
                <w:b/>
                <w:b/>
                <w:bCs/>
              </w:rPr>
            </w:pPr>
            <w:r>
              <w:rPr>
                <w:b/>
                <w:bCs/>
              </w:rPr>
              <w:t xml:space="preserve">R$   </w:t>
            </w:r>
            <w:r>
              <w:rPr>
                <w:b/>
                <w:bCs/>
              </w:rPr>
              <w:t>9.447,13</w:t>
            </w:r>
          </w:p>
        </w:tc>
      </w:tr>
    </w:tbl>
    <w:p>
      <w:pPr>
        <w:pStyle w:val="Normal"/>
        <w:jc w:val="right"/>
        <w:rPr>
          <w:rFonts w:ascii="Times New Roman" w:hAnsi="Times New Roman" w:cs="Times New Roman"/>
          <w:color w:val="000000"/>
        </w:rPr>
      </w:pPr>
      <w:r>
        <w:rPr>
          <w:rFonts w:cs="Times New Roman" w:ascii="Times New Roman" w:hAnsi="Times New Roman"/>
          <w:color w:val="000000"/>
        </w:rPr>
      </w:r>
    </w:p>
    <w:p>
      <w:pPr>
        <w:pStyle w:val="Normal"/>
        <w:spacing w:lineRule="auto" w:line="276"/>
        <w:ind w:left="284" w:hanging="0"/>
        <w:jc w:val="both"/>
        <w:rPr>
          <w:b/>
          <w:b/>
          <w:bCs/>
        </w:rPr>
      </w:pPr>
      <w:r>
        <w:rPr>
          <w:b/>
          <w:bCs/>
        </w:rPr>
      </w:r>
    </w:p>
    <w:p>
      <w:pPr>
        <w:pStyle w:val="Standard"/>
        <w:jc w:val="both"/>
        <w:rPr/>
      </w:pPr>
      <w:r>
        <w:rPr/>
      </w:r>
    </w:p>
    <w:p>
      <w:pPr>
        <w:pStyle w:val="Standard"/>
        <w:spacing w:before="0" w:after="0"/>
        <w:jc w:val="both"/>
        <w:rPr/>
      </w:pPr>
      <w:r>
        <w:rPr>
          <w:rFonts w:cs="Times New Roman" w:ascii="Times New Roman" w:hAnsi="Times New Roman"/>
          <w:color w:val="000000"/>
          <w:sz w:val="24"/>
          <w:szCs w:val="24"/>
        </w:rPr>
        <w:t>1.1.</w:t>
      </w:r>
      <w:r>
        <w:rPr>
          <w:rFonts w:cs="Times New Roman" w:ascii="Times New Roman" w:hAnsi="Times New Roman"/>
          <w:b/>
          <w:bCs/>
          <w:color w:val="000000"/>
          <w:sz w:val="24"/>
          <w:szCs w:val="24"/>
        </w:rPr>
        <w:t xml:space="preserve"> </w:t>
      </w:r>
      <w:r>
        <w:rPr>
          <w:rFonts w:cs="Times New Roman" w:ascii="Times New Roman" w:hAnsi="Times New Roman"/>
          <w:bCs/>
          <w:color w:val="000000"/>
          <w:sz w:val="24"/>
          <w:szCs w:val="24"/>
        </w:rPr>
        <w:t xml:space="preserve">CASO O ITEM APRESENTE DESCRIÇÃO DIFERENTE DAQUELA REGISTRADA NO SISTEMA, DEVERÁ SER CONSIDERADA A CONSTANTE </w:t>
      </w:r>
      <w:r>
        <w:rPr>
          <w:rFonts w:cs="Times New Roman" w:ascii="Times New Roman" w:hAnsi="Times New Roman"/>
          <w:b/>
          <w:bCs/>
          <w:i/>
          <w:color w:val="000000"/>
          <w:sz w:val="24"/>
          <w:szCs w:val="24"/>
        </w:rPr>
        <w:t>DESTE DOCUMENTO</w:t>
      </w:r>
      <w:r>
        <w:rPr>
          <w:rFonts w:cs="Times New Roman" w:ascii="Times New Roman" w:hAnsi="Times New Roman"/>
          <w:bCs/>
          <w:color w:val="000000"/>
          <w:sz w:val="24"/>
          <w:szCs w:val="24"/>
        </w:rPr>
        <w:t>, TENDO EM VISTA NÃO HAVER CATMAT DISPONÍVEL COM A DESCRIÇÃO EXATA DO ITEM PRETENDIDO.</w:t>
      </w:r>
    </w:p>
    <w:p>
      <w:pPr>
        <w:pStyle w:val="Standard"/>
        <w:spacing w:before="0" w:after="0"/>
        <w:jc w:val="both"/>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Textbody"/>
        <w:spacing w:before="240" w:after="0"/>
        <w:jc w:val="both"/>
        <w:rPr/>
      </w:pPr>
      <w:r>
        <w:rPr>
          <w:color w:val="000000"/>
        </w:rPr>
        <w:t>1.2. O valor total previsto para esta Cotação Eletrônica é de</w:t>
      </w:r>
      <w:r>
        <w:rPr>
          <w:rFonts w:eastAsia="Arial Unicode MS"/>
          <w:b/>
          <w:color w:val="000000"/>
        </w:rPr>
        <w:t xml:space="preserve"> </w:t>
      </w:r>
      <w:r>
        <w:rPr>
          <w:bCs/>
        </w:rPr>
        <w:t xml:space="preserve">R$ </w:t>
      </w:r>
      <w:r>
        <w:rPr>
          <w:bCs/>
        </w:rPr>
        <w:t>9.447,13</w:t>
      </w:r>
      <w:r>
        <w:rPr/>
        <w:t xml:space="preserve"> (</w:t>
      </w:r>
      <w:r>
        <w:rPr>
          <w:rFonts w:eastAsia="Times New Roman" w:cs="Times New Roman"/>
          <w:color w:val="00000A"/>
          <w:sz w:val="24"/>
          <w:szCs w:val="24"/>
          <w:lang w:bidi="ar-SA"/>
        </w:rPr>
        <w:t>Nove mil, quatrocentos e quarenta e sete e treze reais e treze centavos</w:t>
      </w:r>
      <w:r>
        <w:rPr/>
        <w:t>)</w:t>
      </w:r>
    </w:p>
    <w:p>
      <w:pPr>
        <w:pStyle w:val="Standard"/>
        <w:spacing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Standard"/>
        <w:spacing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Standard"/>
        <w:spacing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t>1.3. Devendo ser entendido como o valor máximo total admissível para a contratação, respeitados os valores máximos individuais de cada item.</w:t>
      </w:r>
    </w:p>
    <w:p>
      <w:pPr>
        <w:pStyle w:val="Standard"/>
        <w:spacing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Standard"/>
        <w:spacing w:before="0" w:after="0"/>
        <w:jc w:val="both"/>
        <w:rPr>
          <w:rFonts w:ascii="Times New Roman" w:hAnsi="Times New Roman" w:cs="Times New Roman"/>
          <w:color w:val="000000"/>
          <w:sz w:val="24"/>
          <w:szCs w:val="24"/>
        </w:rPr>
      </w:pPr>
      <w:r>
        <w:rPr>
          <w:rFonts w:cs="Times New Roman" w:ascii="Times New Roman" w:hAnsi="Times New Roman"/>
          <w:color w:val="000000"/>
          <w:sz w:val="24"/>
          <w:szCs w:val="24"/>
        </w:rPr>
      </w:r>
    </w:p>
    <w:p>
      <w:pPr>
        <w:pStyle w:val="Default"/>
        <w:spacing w:lineRule="auto" w:line="276"/>
        <w:jc w:val="both"/>
        <w:rPr>
          <w:b/>
          <w:b/>
          <w:bCs/>
        </w:rPr>
      </w:pPr>
      <w:r>
        <w:rPr>
          <w:b/>
          <w:bCs/>
        </w:rPr>
        <w:t>2. FUNDAMENTO LEGAL</w:t>
      </w:r>
    </w:p>
    <w:p>
      <w:pPr>
        <w:pStyle w:val="Default"/>
        <w:spacing w:lineRule="auto" w:line="276"/>
        <w:jc w:val="both"/>
        <w:rPr/>
      </w:pPr>
      <w:r>
        <w:rPr/>
        <w:t xml:space="preserve">2.1. As contratações realizadas pelo Sistema de Cotação Eletrônica de Preços enquadram-se, como dispensa de licitação, por limite de valor, nos termos do inciso II do Art. 75 da 14.133, de 01° de abril de 2021. </w:t>
        <w:tab/>
      </w:r>
    </w:p>
    <w:p>
      <w:pPr>
        <w:pStyle w:val="Nivel1"/>
        <w:spacing w:before="342" w:after="342"/>
        <w:rPr>
          <w:rFonts w:ascii="Times New Roman" w:hAnsi="Times New Roman"/>
          <w:sz w:val="24"/>
          <w:szCs w:val="24"/>
        </w:rPr>
      </w:pPr>
      <w:r>
        <w:rPr>
          <w:rFonts w:ascii="Times New Roman" w:hAnsi="Times New Roman"/>
          <w:sz w:val="24"/>
          <w:szCs w:val="24"/>
        </w:rPr>
        <w:t>3. DA FONTE RECURSO PARA A DESPESA</w:t>
        <w:tab/>
      </w:r>
    </w:p>
    <w:tbl>
      <w:tblPr>
        <w:tblW w:w="7867" w:type="dxa"/>
        <w:jc w:val="center"/>
        <w:tblInd w:w="0" w:type="dxa"/>
        <w:tblCellMar>
          <w:top w:w="0" w:type="dxa"/>
          <w:left w:w="103" w:type="dxa"/>
          <w:bottom w:w="0" w:type="dxa"/>
          <w:right w:w="108" w:type="dxa"/>
        </w:tblCellMar>
        <w:tblLook w:val="04a0" w:noHBand="0" w:noVBand="1" w:firstColumn="1" w:lastRow="0" w:lastColumn="0" w:firstRow="1"/>
      </w:tblPr>
      <w:tblGrid>
        <w:gridCol w:w="1839"/>
        <w:gridCol w:w="1667"/>
        <w:gridCol w:w="982"/>
        <w:gridCol w:w="1549"/>
        <w:gridCol w:w="1830"/>
      </w:tblGrid>
      <w:tr>
        <w:trPr>
          <w:trHeight w:val="562" w:hRule="atLeast"/>
        </w:trPr>
        <w:tc>
          <w:tcPr>
            <w:tcW w:w="1839" w:type="dxa"/>
            <w:tcBorders>
              <w:top w:val="single" w:sz="4" w:space="0" w:color="000001"/>
              <w:left w:val="single" w:sz="4" w:space="0" w:color="000001"/>
            </w:tcBorders>
            <w:shd w:color="auto" w:fill="CCCCCC" w:val="clear"/>
          </w:tcPr>
          <w:p>
            <w:pPr>
              <w:pStyle w:val="Standard"/>
              <w:widowControl w:val="false"/>
              <w:snapToGrid w:val="false"/>
              <w:rPr>
                <w:b/>
                <w:b/>
                <w:sz w:val="20"/>
                <w:szCs w:val="20"/>
              </w:rPr>
            </w:pPr>
            <w:r>
              <w:rPr>
                <w:b/>
                <w:sz w:val="20"/>
                <w:szCs w:val="20"/>
              </w:rPr>
            </w:r>
          </w:p>
          <w:p>
            <w:pPr>
              <w:pStyle w:val="Standard"/>
              <w:widowControl w:val="false"/>
              <w:snapToGrid w:val="false"/>
              <w:spacing w:before="0" w:after="200"/>
              <w:jc w:val="center"/>
              <w:rPr>
                <w:b/>
                <w:b/>
                <w:sz w:val="20"/>
                <w:szCs w:val="20"/>
              </w:rPr>
            </w:pPr>
            <w:r>
              <w:rPr>
                <w:b/>
                <w:sz w:val="20"/>
                <w:szCs w:val="20"/>
              </w:rPr>
            </w:r>
          </w:p>
        </w:tc>
        <w:tc>
          <w:tcPr>
            <w:tcW w:w="1667" w:type="dxa"/>
            <w:tcBorders>
              <w:top w:val="single" w:sz="4" w:space="0" w:color="000001"/>
              <w:left w:val="single" w:sz="4" w:space="0" w:color="000001"/>
              <w:bottom w:val="single" w:sz="4" w:space="0" w:color="000001"/>
            </w:tcBorders>
            <w:shd w:color="auto" w:fill="CCCCCC" w:val="clear"/>
            <w:vAlign w:val="center"/>
          </w:tcPr>
          <w:p>
            <w:pPr>
              <w:pStyle w:val="Standard"/>
              <w:widowControl w:val="false"/>
              <w:snapToGrid w:val="false"/>
              <w:spacing w:before="0" w:after="200"/>
              <w:jc w:val="center"/>
              <w:rPr>
                <w:b/>
                <w:b/>
                <w:sz w:val="20"/>
                <w:szCs w:val="20"/>
              </w:rPr>
            </w:pPr>
            <w:r>
              <w:rPr>
                <w:b/>
                <w:sz w:val="20"/>
                <w:szCs w:val="20"/>
              </w:rPr>
              <w:t>NOTA DE CRÉDITO</w:t>
            </w:r>
          </w:p>
        </w:tc>
        <w:tc>
          <w:tcPr>
            <w:tcW w:w="982" w:type="dxa"/>
            <w:tcBorders>
              <w:top w:val="single" w:sz="4" w:space="0" w:color="000001"/>
              <w:left w:val="single" w:sz="4" w:space="0" w:color="000001"/>
              <w:bottom w:val="single" w:sz="4" w:space="0" w:color="000001"/>
            </w:tcBorders>
            <w:shd w:color="auto" w:fill="CCCCCC" w:val="clear"/>
            <w:vAlign w:val="center"/>
          </w:tcPr>
          <w:p>
            <w:pPr>
              <w:pStyle w:val="Standard"/>
              <w:widowControl w:val="false"/>
              <w:snapToGrid w:val="false"/>
              <w:spacing w:before="0" w:after="200"/>
              <w:jc w:val="center"/>
              <w:rPr>
                <w:b/>
                <w:b/>
                <w:sz w:val="20"/>
                <w:szCs w:val="20"/>
              </w:rPr>
            </w:pPr>
            <w:r>
              <w:rPr>
                <w:b/>
                <w:sz w:val="20"/>
                <w:szCs w:val="20"/>
              </w:rPr>
              <w:t>UG</w:t>
            </w:r>
          </w:p>
        </w:tc>
        <w:tc>
          <w:tcPr>
            <w:tcW w:w="1549" w:type="dxa"/>
            <w:tcBorders>
              <w:top w:val="single" w:sz="4" w:space="0" w:color="000001"/>
              <w:left w:val="single" w:sz="4" w:space="0" w:color="000001"/>
              <w:bottom w:val="single" w:sz="4" w:space="0" w:color="000001"/>
            </w:tcBorders>
            <w:shd w:color="auto" w:fill="CCCCCC" w:val="clear"/>
            <w:vAlign w:val="center"/>
          </w:tcPr>
          <w:p>
            <w:pPr>
              <w:pStyle w:val="Standard"/>
              <w:widowControl w:val="false"/>
              <w:snapToGrid w:val="false"/>
              <w:spacing w:before="0" w:after="200"/>
              <w:jc w:val="center"/>
              <w:rPr>
                <w:b/>
                <w:b/>
                <w:sz w:val="20"/>
                <w:szCs w:val="20"/>
              </w:rPr>
            </w:pPr>
            <w:r>
              <w:rPr>
                <w:b/>
                <w:sz w:val="20"/>
                <w:szCs w:val="20"/>
              </w:rPr>
              <w:t>NATUREZA DA DESPESA</w:t>
            </w:r>
          </w:p>
        </w:tc>
        <w:tc>
          <w:tcPr>
            <w:tcW w:w="1830" w:type="dxa"/>
            <w:tcBorders>
              <w:top w:val="single" w:sz="4" w:space="0" w:color="000001"/>
              <w:left w:val="single" w:sz="4" w:space="0" w:color="000001"/>
              <w:bottom w:val="single" w:sz="4" w:space="0" w:color="000001"/>
              <w:right w:val="single" w:sz="4" w:space="0" w:color="000001"/>
            </w:tcBorders>
            <w:shd w:color="auto" w:fill="CCCCCC" w:val="clear"/>
            <w:vAlign w:val="center"/>
          </w:tcPr>
          <w:p>
            <w:pPr>
              <w:pStyle w:val="Standard"/>
              <w:widowControl w:val="false"/>
              <w:snapToGrid w:val="false"/>
              <w:spacing w:before="0" w:after="200"/>
              <w:jc w:val="center"/>
              <w:rPr>
                <w:b/>
                <w:b/>
                <w:sz w:val="20"/>
                <w:szCs w:val="20"/>
              </w:rPr>
            </w:pPr>
            <w:r>
              <w:rPr>
                <w:b/>
                <w:sz w:val="20"/>
                <w:szCs w:val="20"/>
              </w:rPr>
              <w:t>PLANO INTERNO</w:t>
            </w:r>
          </w:p>
        </w:tc>
      </w:tr>
      <w:tr>
        <w:trPr>
          <w:trHeight w:val="274" w:hRule="atLeast"/>
        </w:trPr>
        <w:tc>
          <w:tcPr>
            <w:tcW w:w="1839" w:type="dxa"/>
            <w:tcBorders>
              <w:top w:val="single" w:sz="4" w:space="0" w:color="000001"/>
              <w:left w:val="single" w:sz="4" w:space="0" w:color="000001"/>
              <w:bottom w:val="single" w:sz="4" w:space="0" w:color="000001"/>
            </w:tcBorders>
            <w:shd w:color="auto" w:fill="CCCCCC" w:val="clear"/>
          </w:tcPr>
          <w:p>
            <w:pPr>
              <w:pStyle w:val="Standard"/>
              <w:widowControl w:val="false"/>
              <w:snapToGrid w:val="false"/>
              <w:spacing w:before="0" w:after="200"/>
              <w:jc w:val="center"/>
              <w:rPr>
                <w:b/>
                <w:b/>
                <w:sz w:val="20"/>
                <w:szCs w:val="20"/>
              </w:rPr>
            </w:pPr>
            <w:r>
              <w:rPr>
                <w:b/>
                <w:sz w:val="20"/>
                <w:szCs w:val="20"/>
              </w:rPr>
              <w:t>MATERIAL DE CONSUMO</w:t>
            </w:r>
          </w:p>
        </w:tc>
        <w:tc>
          <w:tcPr>
            <w:tcW w:w="1667" w:type="dxa"/>
            <w:tcBorders>
              <w:top w:val="single" w:sz="4" w:space="0" w:color="000001"/>
              <w:left w:val="single" w:sz="4" w:space="0" w:color="000001"/>
              <w:bottom w:val="single" w:sz="4" w:space="0" w:color="000001"/>
            </w:tcBorders>
            <w:vAlign w:val="center"/>
          </w:tcPr>
          <w:p>
            <w:pPr>
              <w:pStyle w:val="Standard"/>
              <w:widowControl w:val="false"/>
              <w:snapToGrid w:val="false"/>
              <w:spacing w:before="0" w:after="200"/>
              <w:jc w:val="center"/>
              <w:rPr>
                <w:sz w:val="20"/>
                <w:szCs w:val="20"/>
              </w:rPr>
            </w:pPr>
            <w:r>
              <w:rPr>
                <w:sz w:val="20"/>
                <w:szCs w:val="20"/>
              </w:rPr>
              <w:t>2026NC401038</w:t>
            </w:r>
          </w:p>
        </w:tc>
        <w:tc>
          <w:tcPr>
            <w:tcW w:w="982" w:type="dxa"/>
            <w:tcBorders>
              <w:top w:val="single" w:sz="4" w:space="0" w:color="000001"/>
              <w:left w:val="single" w:sz="4" w:space="0" w:color="000001"/>
              <w:bottom w:val="single" w:sz="4" w:space="0" w:color="000001"/>
            </w:tcBorders>
            <w:vAlign w:val="center"/>
          </w:tcPr>
          <w:p>
            <w:pPr>
              <w:pStyle w:val="Standard"/>
              <w:widowControl w:val="false"/>
              <w:snapToGrid w:val="false"/>
              <w:spacing w:before="0" w:after="200"/>
              <w:jc w:val="center"/>
              <w:rPr>
                <w:sz w:val="20"/>
                <w:szCs w:val="20"/>
              </w:rPr>
            </w:pPr>
            <w:r>
              <w:rPr>
                <w:sz w:val="20"/>
                <w:szCs w:val="20"/>
              </w:rPr>
              <w:t>16</w:t>
            </w:r>
            <w:r>
              <w:rPr>
                <w:sz w:val="20"/>
                <w:szCs w:val="20"/>
              </w:rPr>
              <w:t>7505</w:t>
            </w:r>
          </w:p>
        </w:tc>
        <w:tc>
          <w:tcPr>
            <w:tcW w:w="1549" w:type="dxa"/>
            <w:tcBorders>
              <w:top w:val="single" w:sz="4" w:space="0" w:color="000001"/>
              <w:left w:val="single" w:sz="4" w:space="0" w:color="000001"/>
              <w:bottom w:val="single" w:sz="4" w:space="0" w:color="000001"/>
            </w:tcBorders>
            <w:vAlign w:val="center"/>
          </w:tcPr>
          <w:p>
            <w:pPr>
              <w:pStyle w:val="Standard"/>
              <w:widowControl w:val="false"/>
              <w:snapToGrid w:val="false"/>
              <w:spacing w:before="0" w:after="200"/>
              <w:jc w:val="center"/>
              <w:rPr>
                <w:sz w:val="20"/>
                <w:szCs w:val="20"/>
              </w:rPr>
            </w:pPr>
            <w:r>
              <w:rPr>
                <w:sz w:val="20"/>
                <w:szCs w:val="20"/>
              </w:rPr>
              <w:t>3390</w:t>
            </w:r>
            <w:r>
              <w:rPr>
                <w:sz w:val="20"/>
                <w:szCs w:val="20"/>
              </w:rPr>
              <w:t>3</w:t>
            </w:r>
            <w:r>
              <w:rPr>
                <w:sz w:val="20"/>
                <w:szCs w:val="20"/>
              </w:rPr>
              <w:t>0</w:t>
            </w:r>
          </w:p>
        </w:tc>
        <w:tc>
          <w:tcPr>
            <w:tcW w:w="1830" w:type="dxa"/>
            <w:tcBorders>
              <w:top w:val="single" w:sz="4" w:space="0" w:color="000001"/>
              <w:left w:val="single" w:sz="4" w:space="0" w:color="000001"/>
              <w:bottom w:val="single" w:sz="4" w:space="0" w:color="000001"/>
              <w:right w:val="single" w:sz="4" w:space="0" w:color="000001"/>
            </w:tcBorders>
            <w:vAlign w:val="center"/>
          </w:tcPr>
          <w:p>
            <w:pPr>
              <w:pStyle w:val="Standard"/>
              <w:widowControl w:val="false"/>
              <w:snapToGrid w:val="false"/>
              <w:spacing w:before="0" w:after="200"/>
              <w:jc w:val="center"/>
              <w:rPr>
                <w:sz w:val="20"/>
                <w:szCs w:val="20"/>
              </w:rPr>
            </w:pPr>
            <w:r>
              <w:rPr>
                <w:rFonts w:ascii="sans-serif" w:hAnsi="sans-serif"/>
                <w:sz w:val="20"/>
                <w:szCs w:val="20"/>
              </w:rPr>
              <w:t>D8SAFUSUGPD</w:t>
            </w:r>
          </w:p>
        </w:tc>
      </w:tr>
    </w:tbl>
    <w:p>
      <w:pPr>
        <w:pStyle w:val="Default"/>
        <w:jc w:val="both"/>
        <w:rPr>
          <w:color w:val="FF0000"/>
        </w:rPr>
      </w:pPr>
      <w:r>
        <w:rPr>
          <w:color w:val="FF0000"/>
        </w:rPr>
      </w:r>
    </w:p>
    <w:p>
      <w:pPr>
        <w:pStyle w:val="Default"/>
        <w:jc w:val="both"/>
        <w:rPr>
          <w:color w:val="FF0000"/>
        </w:rPr>
      </w:pPr>
      <w:r>
        <w:rPr>
          <w:color w:val="FF0000"/>
        </w:rPr>
      </w:r>
    </w:p>
    <w:p>
      <w:pPr>
        <w:pStyle w:val="ListParagraph"/>
        <w:ind w:left="0" w:hanging="0"/>
        <w:rPr>
          <w:rFonts w:ascii="Times New Roman" w:hAnsi="Times New Roman" w:cs="Times New Roman"/>
          <w:b/>
          <w:b/>
          <w:sz w:val="24"/>
          <w:szCs w:val="24"/>
        </w:rPr>
      </w:pPr>
      <w:r>
        <w:rPr>
          <w:rFonts w:cs="Times New Roman" w:ascii="Times New Roman" w:hAnsi="Times New Roman"/>
          <w:b/>
          <w:sz w:val="24"/>
          <w:szCs w:val="24"/>
        </w:rPr>
        <w:t>4. CONDIÇÕES DE PARTICIPAÇÃO</w:t>
      </w:r>
    </w:p>
    <w:p>
      <w:pPr>
        <w:pStyle w:val="Default"/>
        <w:spacing w:lineRule="auto" w:line="276"/>
        <w:jc w:val="both"/>
        <w:rPr/>
      </w:pPr>
      <w:r>
        <w:rPr/>
        <w:t>4.1. É vedada a participação de consórcios e de empresas impedidas de licitar e/ou contratar com a Administração Pública, na forma estabelecida em lei.</w:t>
      </w:r>
    </w:p>
    <w:p>
      <w:pPr>
        <w:pStyle w:val="Default"/>
        <w:spacing w:lineRule="auto" w:line="276"/>
        <w:jc w:val="both"/>
        <w:rPr/>
      </w:pPr>
      <w:r>
        <w:rPr/>
      </w:r>
    </w:p>
    <w:p>
      <w:pPr>
        <w:pStyle w:val="Default"/>
        <w:spacing w:lineRule="auto" w:line="276"/>
        <w:jc w:val="both"/>
        <w:rPr>
          <w:b/>
          <w:b/>
          <w:bCs/>
        </w:rPr>
      </w:pPr>
      <w:r>
        <w:rPr>
          <w:b/>
          <w:bCs/>
        </w:rPr>
        <w:t>5. ENVIO DE PROPOSTAS E LANCES</w:t>
      </w:r>
    </w:p>
    <w:p>
      <w:pPr>
        <w:pStyle w:val="Default"/>
        <w:spacing w:lineRule="auto" w:line="276"/>
        <w:jc w:val="both"/>
        <w:rPr/>
      </w:pPr>
      <w:r>
        <w:rPr/>
        <w:t>5.1. O envio de propostas e lances deverá ocorrer, exclusivamente, por meio eletrônico, pela Internet, no endereço eletrônico www.comprasnet.gov.br – Portal de Compras do Governo Federal – Comprasnet, vedada sua remessa em papel.</w:t>
      </w:r>
    </w:p>
    <w:p>
      <w:pPr>
        <w:pStyle w:val="Default"/>
        <w:spacing w:lineRule="auto" w:line="276"/>
        <w:jc w:val="both"/>
        <w:rPr/>
      </w:pPr>
      <w:r>
        <w:rPr/>
        <w:t xml:space="preserve">5.2. A fim de aferir o atendimento das especificações exigidas para o item, referente ao serviço ofertado pelo Fornecedor, o Gestor de Compras </w:t>
      </w:r>
      <w:r>
        <w:rPr>
          <w:b/>
          <w:bCs/>
        </w:rPr>
        <w:t>PODERÁ</w:t>
      </w:r>
      <w:r>
        <w:rPr/>
        <w:t xml:space="preserve"> solicitar, via e-mail, para que seja disponibilizada a proposta comercial, acompanhada de documentos onde se possam aferir as características técnicas do material (manual, folder, fotos, etc).</w:t>
      </w:r>
    </w:p>
    <w:p>
      <w:pPr>
        <w:pStyle w:val="Default"/>
        <w:spacing w:lineRule="auto" w:line="276"/>
        <w:jc w:val="both"/>
        <w:rPr/>
      </w:pPr>
      <w:r>
        <w:rPr/>
        <w:t xml:space="preserve">5.3. Os fornecedores possuidores dos 05(cinco) melhores lances para cada item deverão enviar, no prazo de até 02 (duas) horas após o encerramento do certame e/ou notificação por e-mail, a proposta dos itens. No caso de não envio de documentos solicitados ou não responder e-mail ou atender telefone, </w:t>
      </w:r>
      <w:r>
        <w:rPr>
          <w:b/>
        </w:rPr>
        <w:t>caberá à administração do  certame decidir se o fornecedor será desclassificado.</w:t>
      </w:r>
    </w:p>
    <w:p>
      <w:pPr>
        <w:pStyle w:val="Default"/>
        <w:spacing w:lineRule="auto" w:line="276"/>
        <w:jc w:val="both"/>
        <w:rPr/>
      </w:pPr>
      <w:r>
        <w:rPr/>
        <w:t>5.4. Os valores unitários para cada item devem ter apenas 02 casas decimais após a vírgula, ou seja, o lance final de cada item dividido pela sua quantidade não deve gerar dízima periódica. Ex: Forma Errada - R$10,1015. Forma Correta – R$10,10. O fornecedor que não realizar a alteração estará sob pena de ser desclassificado.</w:t>
      </w:r>
    </w:p>
    <w:p>
      <w:pPr>
        <w:pStyle w:val="Default"/>
        <w:spacing w:lineRule="auto" w:line="276"/>
        <w:jc w:val="both"/>
        <w:rPr/>
      </w:pPr>
      <w:r>
        <w:rPr/>
        <w:t>5.5.  OBRIGATORIAMENTE deverá constar a MARCA e a</w:t>
      </w:r>
      <w:r>
        <w:rPr>
          <w:b/>
          <w:bCs/>
        </w:rPr>
        <w:t xml:space="preserve"> ESPECIFICAÇÃO TÉCNICA</w:t>
      </w:r>
      <w:r>
        <w:rPr/>
        <w:t xml:space="preserve"> do item atendendo todos os requisitos descritos na tabela do item 1.0 deste certame. Assim, quando da inserção da proposta no COMPRASNET, o fornecedor que</w:t>
      </w:r>
      <w:r>
        <w:rPr>
          <w:b/>
          <w:bCs/>
        </w:rPr>
        <w:t xml:space="preserve"> NÃO ESPECIFICAR A MARCA E O MATERIAL ATRAVÉS DO USO DE TERMOS GENÉRICOS </w:t>
      </w:r>
      <w:r>
        <w:rPr/>
        <w:t>(EX:NOME DOS MATERIAIS DIVERSOS, DVS E OUTROS...) OU LANÇAR MAIS DE UMA MARCA para o mesmo item (ex: marca"a"/marca"b", marca"a"/outro, marca"a"/similar...) será automaticamente desclassificado.</w:t>
      </w:r>
    </w:p>
    <w:p>
      <w:pPr>
        <w:pStyle w:val="Default"/>
        <w:spacing w:lineRule="auto" w:line="276"/>
        <w:jc w:val="both"/>
        <w:rPr/>
      </w:pPr>
      <w:r>
        <w:rPr/>
      </w:r>
    </w:p>
    <w:p>
      <w:pPr>
        <w:pStyle w:val="Default"/>
        <w:spacing w:lineRule="auto" w:line="276"/>
        <w:jc w:val="both"/>
        <w:rPr>
          <w:b/>
          <w:b/>
          <w:bCs/>
        </w:rPr>
      </w:pPr>
      <w:r>
        <w:rPr>
          <w:b/>
          <w:bCs/>
        </w:rPr>
      </w:r>
    </w:p>
    <w:p>
      <w:pPr>
        <w:pStyle w:val="Default"/>
        <w:spacing w:lineRule="auto" w:line="276"/>
        <w:jc w:val="both"/>
        <w:rPr>
          <w:b/>
          <w:b/>
          <w:bCs/>
        </w:rPr>
      </w:pPr>
      <w:r>
        <w:rPr>
          <w:b/>
          <w:bCs/>
        </w:rPr>
      </w:r>
    </w:p>
    <w:p>
      <w:pPr>
        <w:pStyle w:val="Default"/>
        <w:spacing w:lineRule="auto" w:line="276"/>
        <w:jc w:val="both"/>
        <w:rPr>
          <w:b/>
          <w:b/>
          <w:bCs/>
        </w:rPr>
      </w:pPr>
      <w:r>
        <w:rPr>
          <w:b/>
          <w:bCs/>
        </w:rPr>
        <w:t>6. COTAÇÃO ELETRÔNICA</w:t>
      </w:r>
    </w:p>
    <w:p>
      <w:pPr>
        <w:pStyle w:val="Default"/>
        <w:spacing w:lineRule="auto" w:line="276"/>
        <w:jc w:val="both"/>
        <w:rPr/>
      </w:pPr>
      <w:r>
        <w:rPr/>
        <w:t>6.1.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pPr>
        <w:pStyle w:val="Default"/>
        <w:spacing w:lineRule="auto" w:line="276"/>
        <w:jc w:val="both"/>
        <w:rPr/>
      </w:pPr>
      <w:r>
        <w:rPr/>
        <w:t>6.2. Para participar da cotação eletrônica, o fornecedor deverá digitar seu CNPJ e senha de acesso no Sistema e assinalar, em campo próprio, a inexistência de fato impeditivo para licitar e/ou contratar com o 5º Batalhão de Infantaria Leve, ou com toda a Administração Pública, e o pleno conhecimento e aceitação das regras de que trata o subitem anterior.</w:t>
      </w:r>
    </w:p>
    <w:p>
      <w:pPr>
        <w:pStyle w:val="Default"/>
        <w:spacing w:lineRule="auto" w:line="276"/>
        <w:jc w:val="both"/>
        <w:rPr/>
      </w:pPr>
      <w:r>
        <w:rPr/>
        <w:t>6.3. A cotação de preços, bem como os lances subsequentes deverão ser registrados, em reais, para o item, com validade de 30 dias.</w:t>
      </w:r>
    </w:p>
    <w:p>
      <w:pPr>
        <w:pStyle w:val="Default"/>
        <w:spacing w:lineRule="auto" w:line="276"/>
        <w:jc w:val="both"/>
        <w:rPr/>
      </w:pPr>
      <w:r>
        <w:rPr/>
        <w:t xml:space="preserve">6.4. Será considerado vencedor da cotação eletrônica aquele que apresentar, durante o período da cotação, o </w:t>
      </w:r>
      <w:r>
        <w:rPr>
          <w:b/>
        </w:rPr>
        <w:t>lance de</w:t>
      </w:r>
      <w:r>
        <w:rPr/>
        <w:t xml:space="preserve"> </w:t>
      </w:r>
      <w:r>
        <w:rPr>
          <w:b/>
        </w:rPr>
        <w:t>menor valor,</w:t>
      </w:r>
      <w:r>
        <w:rPr/>
        <w:t xml:space="preserve"> sendo-lhe adjudicado o objeto, desde que atenda as especificações exigidas para o item.</w:t>
      </w:r>
    </w:p>
    <w:p>
      <w:pPr>
        <w:pStyle w:val="Default"/>
        <w:spacing w:lineRule="auto" w:line="276"/>
        <w:jc w:val="both"/>
        <w:rPr/>
      </w:pPr>
      <w:r>
        <w:rPr/>
        <w:t>6.5.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pPr>
        <w:pStyle w:val="Default"/>
        <w:spacing w:lineRule="auto" w:line="276"/>
        <w:jc w:val="both"/>
        <w:rPr/>
      </w:pPr>
      <w:r>
        <w:rPr/>
        <w:t>6.6. O 5º BIL poderá anular ou cancelar a cotação eletrônica, total ou parcialmente, sem que disso resulte, para o proponente, direito a qualquer indenização ou reclamação.</w:t>
      </w:r>
    </w:p>
    <w:p>
      <w:pPr>
        <w:pStyle w:val="Default"/>
        <w:spacing w:lineRule="auto" w:line="276"/>
        <w:rPr>
          <w:b/>
          <w:b/>
          <w:color w:val="00000A"/>
        </w:rPr>
      </w:pPr>
      <w:r>
        <w:rPr>
          <w:b/>
          <w:color w:val="00000A"/>
        </w:rPr>
      </w:r>
    </w:p>
    <w:p>
      <w:pPr>
        <w:pStyle w:val="Default"/>
        <w:spacing w:lineRule="auto" w:line="276"/>
        <w:rPr>
          <w:b/>
          <w:b/>
          <w:color w:val="00000A"/>
        </w:rPr>
      </w:pPr>
      <w:r>
        <w:rPr>
          <w:b/>
          <w:color w:val="00000A"/>
        </w:rPr>
      </w:r>
    </w:p>
    <w:p>
      <w:pPr>
        <w:pStyle w:val="Default"/>
        <w:spacing w:lineRule="auto" w:line="276"/>
        <w:rPr>
          <w:b/>
          <w:b/>
          <w:color w:val="00000A"/>
        </w:rPr>
      </w:pPr>
      <w:r>
        <w:rPr>
          <w:b/>
          <w:color w:val="00000A"/>
        </w:rPr>
      </w:r>
    </w:p>
    <w:p>
      <w:pPr>
        <w:pStyle w:val="Default"/>
        <w:spacing w:lineRule="auto" w:line="276"/>
        <w:rPr/>
      </w:pPr>
      <w:r>
        <w:rPr>
          <w:b/>
          <w:color w:val="00000A"/>
        </w:rPr>
        <w:t xml:space="preserve">7. </w:t>
      </w:r>
      <w:r>
        <w:rPr>
          <w:b/>
          <w:bCs/>
          <w:color w:val="00000A"/>
        </w:rPr>
        <w:t>CONTRATAÇÃO</w:t>
      </w:r>
    </w:p>
    <w:p>
      <w:pPr>
        <w:pStyle w:val="Default"/>
        <w:spacing w:lineRule="auto" w:line="276"/>
        <w:jc w:val="both"/>
        <w:rPr/>
      </w:pPr>
      <w:r>
        <w:rPr>
          <w:bCs/>
          <w:color w:val="00000A"/>
        </w:rPr>
        <w:t xml:space="preserve">7.1 </w:t>
      </w:r>
      <w:r>
        <w:rPr>
          <w:color w:val="00000A"/>
        </w:rPr>
        <w:t>As contratações oriundas das cotações eletrônicas serão formalizadas pela emissão de Nota de Empenho, a qual será encaminhada ao adjudicatário.</w:t>
      </w:r>
    </w:p>
    <w:p>
      <w:pPr>
        <w:pStyle w:val="Default"/>
        <w:spacing w:lineRule="auto" w:line="276"/>
        <w:jc w:val="both"/>
        <w:rPr/>
      </w:pPr>
      <w:r>
        <w:rPr/>
        <w:t xml:space="preserve">7.2 </w:t>
      </w:r>
      <w:r>
        <w:rPr>
          <w:color w:val="00000A"/>
        </w:rPr>
        <w:t xml:space="preserve">As obrigações recíprocas entre a Contratada e </w:t>
      </w:r>
      <w:r>
        <w:rPr/>
        <w:t>5</w:t>
      </w:r>
      <w:r>
        <w:rPr>
          <w:color w:val="00000A"/>
        </w:rPr>
        <w:t>º BIL correspondem ao estabelecido nas presentes Condições Gerais da Contratação, seus anexos e no Pedido de Cotação Eletrônica de Preços, sem prejuízo das disposições legais vigentes.</w:t>
      </w:r>
    </w:p>
    <w:p>
      <w:pPr>
        <w:pStyle w:val="Default"/>
        <w:spacing w:lineRule="auto" w:line="276"/>
        <w:jc w:val="both"/>
        <w:rPr>
          <w:color w:val="00000A"/>
        </w:rPr>
      </w:pPr>
      <w:r>
        <w:rPr>
          <w:color w:val="00000A"/>
        </w:rPr>
        <w:t xml:space="preserve">7.3 Em caso de manifestação de desistência do fornecedor, fica caracterizado o descumprimento total da obrigação assumida, consoante o estabelecido no Art. 90 da Lei n° </w:t>
      </w:r>
      <w:r>
        <w:rPr/>
        <w:t>14.133/2021</w:t>
      </w:r>
      <w:r>
        <w:rPr>
          <w:color w:val="00000A"/>
        </w:rPr>
        <w:t>, sujeitando-o às penalidades legalmente estabelecidas.</w:t>
      </w:r>
    </w:p>
    <w:p>
      <w:pPr>
        <w:pStyle w:val="Default"/>
        <w:spacing w:lineRule="auto" w:line="276"/>
        <w:jc w:val="both"/>
        <w:rPr/>
      </w:pPr>
      <w:r>
        <w:rPr>
          <w:color w:val="00000A"/>
        </w:rPr>
        <w:t xml:space="preserve">7.4 </w:t>
      </w:r>
      <w:r>
        <w:rPr/>
        <w:t>A anulação do procedimento licitatório por motivo de ilegalidade não gera obrigação de indenizar, ressalvado o disposto no parágrafo único do art. 147 d</w:t>
      </w:r>
      <w:r>
        <w:rPr>
          <w:color w:val="00000A"/>
        </w:rPr>
        <w:t>a Lei n° 14.133/2021.</w:t>
      </w:r>
    </w:p>
    <w:p>
      <w:pPr>
        <w:pStyle w:val="Default"/>
        <w:spacing w:lineRule="auto" w:line="276"/>
        <w:rPr>
          <w:b/>
          <w:b/>
          <w:color w:val="00000A"/>
        </w:rPr>
      </w:pPr>
      <w:r>
        <w:rPr>
          <w:b/>
          <w:color w:val="00000A"/>
        </w:rPr>
        <w:t>8. RESCISÃO</w:t>
      </w:r>
    </w:p>
    <w:p>
      <w:pPr>
        <w:pStyle w:val="Default"/>
        <w:spacing w:lineRule="auto" w:line="276"/>
        <w:jc w:val="both"/>
        <w:rPr/>
      </w:pPr>
      <w:r>
        <w:rPr/>
        <w:t xml:space="preserve">8.1. Constituem motivos para a rescisão do contrato os casos previstos no </w:t>
      </w:r>
      <w:bookmarkStart w:id="2" w:name="__DdeLink__1156_5228517"/>
      <w:r>
        <w:rPr/>
        <w:t xml:space="preserve">Art. 155 e Incisos da </w:t>
      </w:r>
      <w:r>
        <w:rPr>
          <w:color w:val="00000A"/>
        </w:rPr>
        <w:t xml:space="preserve"> Lei n° 14.133/2021</w:t>
      </w:r>
      <w:r>
        <w:rPr/>
        <w:t>.</w:t>
      </w:r>
      <w:bookmarkEnd w:id="2"/>
    </w:p>
    <w:p>
      <w:pPr>
        <w:pStyle w:val="Default"/>
        <w:spacing w:lineRule="auto" w:line="276"/>
        <w:rPr/>
      </w:pPr>
      <w:r>
        <w:rPr>
          <w:b/>
          <w:color w:val="00000A"/>
        </w:rPr>
        <w:t xml:space="preserve">9. </w:t>
      </w:r>
      <w:r>
        <w:rPr>
          <w:b/>
          <w:bCs/>
          <w:color w:val="00000A"/>
        </w:rPr>
        <w:t>LOCAL DE ENTREGA</w:t>
      </w:r>
    </w:p>
    <w:p>
      <w:pPr>
        <w:pStyle w:val="Default"/>
        <w:spacing w:lineRule="auto" w:line="276"/>
        <w:jc w:val="both"/>
        <w:rPr>
          <w:color w:val="00000A"/>
        </w:rPr>
      </w:pPr>
      <w:r>
        <w:rPr>
          <w:color w:val="00000A"/>
        </w:rPr>
        <w:t>9.1.  Os Serviços deverão ser realizados na área do hotel DE Trânsito do 5º Batalhão de Infantaria Leve no seguinte endereço:</w:t>
      </w:r>
    </w:p>
    <w:p>
      <w:pPr>
        <w:pStyle w:val="Default"/>
        <w:spacing w:lineRule="auto" w:line="276"/>
        <w:jc w:val="both"/>
        <w:rPr/>
      </w:pPr>
      <w:r>
        <w:rPr>
          <w:b/>
          <w:bCs/>
          <w:color w:val="00000A"/>
        </w:rPr>
        <w:t>-Avenida Marechal Argolo, nº 19, Bairro Santa Edwiges – CEP: 12.604-440.</w:t>
      </w:r>
      <w:r>
        <w:rPr>
          <w:b/>
          <w:color w:val="00000A"/>
        </w:rPr>
        <w:t xml:space="preserve"> das 08:00h às 11:30 h e das 13:30 h às 16:30h (de segunda-feira a quinta-feira) e entre as 08:00h às 11:00 h (na sexta-feira). Telefone: (12) 3153-2215,  ramal 2215 (almoxarifado).</w:t>
      </w:r>
    </w:p>
    <w:p>
      <w:pPr>
        <w:pStyle w:val="Default"/>
        <w:spacing w:lineRule="auto" w:line="276"/>
        <w:jc w:val="both"/>
        <w:rPr>
          <w:b/>
          <w:b/>
          <w:bCs/>
          <w:color w:val="00000A"/>
        </w:rPr>
      </w:pPr>
      <w:r>
        <w:rPr>
          <w:b/>
          <w:bCs/>
          <w:color w:val="00000A"/>
        </w:rPr>
        <w:t>10. DO PRAZO E DAS CONDIÇÕES DE ENTREGA DOS MATERIAIS</w:t>
      </w:r>
    </w:p>
    <w:p>
      <w:pPr>
        <w:pStyle w:val="Style14"/>
        <w:spacing w:lineRule="auto" w:line="276"/>
        <w:ind w:right="2" w:hanging="0"/>
        <w:jc w:val="both"/>
        <w:rPr>
          <w:sz w:val="24"/>
          <w:szCs w:val="24"/>
        </w:rPr>
      </w:pPr>
      <w:r>
        <w:rPr>
          <w:sz w:val="24"/>
          <w:szCs w:val="24"/>
        </w:rPr>
        <w:t>10.1.</w:t>
      </w:r>
      <w:r>
        <w:rPr>
          <w:rFonts w:cs="Calibri"/>
          <w:b/>
          <w:sz w:val="24"/>
          <w:szCs w:val="24"/>
        </w:rPr>
        <w:t>A Contratada deverá realizar o serviço no endereço acima citado, no prazo máximo de 3</w:t>
      </w:r>
      <w:r>
        <w:rPr>
          <w:rFonts w:eastAsia="Calibri" w:cs="Calibri"/>
          <w:b/>
          <w:sz w:val="24"/>
          <w:szCs w:val="24"/>
        </w:rPr>
        <w:t>0 (trinta) dias corridos</w:t>
      </w:r>
      <w:r>
        <w:rPr>
          <w:rFonts w:cs="Calibri"/>
          <w:sz w:val="24"/>
          <w:szCs w:val="24"/>
        </w:rPr>
        <w:t>, co</w:t>
      </w:r>
      <w:r>
        <w:rPr>
          <w:sz w:val="24"/>
          <w:szCs w:val="24"/>
        </w:rPr>
        <w:t>ntados a partir da retirada/recebimento da nota de empenho pela contratada;</w:t>
      </w:r>
    </w:p>
    <w:p>
      <w:pPr>
        <w:pStyle w:val="Style14"/>
        <w:spacing w:lineRule="auto" w:line="276"/>
        <w:ind w:right="2" w:hanging="0"/>
        <w:jc w:val="both"/>
        <w:rPr/>
      </w:pPr>
      <w:r>
        <w:rPr>
          <w:rStyle w:val="CharacterStyle1"/>
          <w:sz w:val="24"/>
          <w:szCs w:val="24"/>
        </w:rPr>
        <w:t>10.2. Os Serviços serão recebidos provisoriamente no prazo de 5 (cinco) dias, pelo(a) representante do Pelotão de transporte, para efeito de posterior verificação de sua conformidade com as especificações constantes neste Termo de Referência e na proposta.</w:t>
      </w:r>
    </w:p>
    <w:p>
      <w:pPr>
        <w:pStyle w:val="Style14"/>
        <w:spacing w:lineRule="auto" w:line="276"/>
        <w:ind w:right="2" w:hanging="0"/>
        <w:jc w:val="both"/>
        <w:rPr/>
      </w:pPr>
      <w:r>
        <w:rPr>
          <w:rStyle w:val="CharacterStyle1"/>
          <w:sz w:val="24"/>
          <w:szCs w:val="24"/>
        </w:rPr>
        <w:t xml:space="preserve">10.3. Os serviços poderão ser rejeitados, no todo ou em parte, quando em desacordo com as especificações constantes neste Termo de Referência e na proposta, devendo ser substituídos no </w:t>
      </w:r>
      <w:r>
        <w:rPr>
          <w:rStyle w:val="CharacterStyle1"/>
          <w:rFonts w:eastAsia="Calibri" w:cs="Calibri" w:ascii="Calibri" w:hAnsi="Calibri"/>
          <w:sz w:val="24"/>
          <w:szCs w:val="24"/>
        </w:rPr>
        <w:t>prazo de 10 (dez) dias</w:t>
      </w:r>
      <w:r>
        <w:rPr>
          <w:rStyle w:val="CharacterStyle1"/>
          <w:sz w:val="24"/>
          <w:szCs w:val="24"/>
        </w:rPr>
        <w:t>, a contar da notificação da contratada, às suas custas, sem prejuízo da aplicação das penalidades.</w:t>
      </w:r>
    </w:p>
    <w:p>
      <w:pPr>
        <w:pStyle w:val="Style14"/>
        <w:spacing w:lineRule="auto" w:line="276"/>
        <w:ind w:right="2" w:hanging="0"/>
        <w:jc w:val="both"/>
        <w:rPr/>
      </w:pPr>
      <w:r>
        <w:rPr>
          <w:rStyle w:val="CharacterStyle1"/>
          <w:sz w:val="24"/>
          <w:szCs w:val="24"/>
        </w:rPr>
        <w:t xml:space="preserve">10.4. Os serviços serão realizados definitivamente no </w:t>
      </w:r>
      <w:r>
        <w:rPr>
          <w:rStyle w:val="CharacterStyle1"/>
          <w:rFonts w:eastAsia="Calibri" w:cs="Calibri" w:ascii="Calibri" w:hAnsi="Calibri"/>
          <w:sz w:val="24"/>
          <w:szCs w:val="24"/>
        </w:rPr>
        <w:t>prazo de 15 (quinze) dias</w:t>
      </w:r>
      <w:r>
        <w:rPr>
          <w:rStyle w:val="CharacterStyle1"/>
          <w:sz w:val="24"/>
          <w:szCs w:val="24"/>
        </w:rPr>
        <w:t>, contados do recebimento provisório, após a verificação da qualidade e, consequente, a aceitação mediante termo circunstanciado.</w:t>
      </w:r>
    </w:p>
    <w:p>
      <w:pPr>
        <w:pStyle w:val="Style14"/>
        <w:spacing w:lineRule="auto" w:line="276"/>
        <w:ind w:right="2" w:hanging="0"/>
        <w:jc w:val="both"/>
        <w:rPr/>
      </w:pPr>
      <w:r>
        <w:rPr>
          <w:rStyle w:val="CharacterStyle1"/>
          <w:sz w:val="24"/>
          <w:szCs w:val="24"/>
        </w:rPr>
        <w:t>10.5. Na hipótese de a verificação a que se refere o subitem anterior não ser procedida dentro do prazo fixado, reputar-se-á como realizada, consumando-se o recebimento definitivo no dia do esgotamento do prazo.</w:t>
      </w:r>
    </w:p>
    <w:p>
      <w:pPr>
        <w:pStyle w:val="Style14"/>
        <w:spacing w:lineRule="auto" w:line="276"/>
        <w:ind w:right="2" w:hanging="0"/>
        <w:jc w:val="both"/>
        <w:rPr/>
      </w:pPr>
      <w:r>
        <w:rPr>
          <w:rStyle w:val="CharacterStyle1"/>
          <w:rFonts w:eastAsia="Calibri"/>
          <w:sz w:val="24"/>
          <w:szCs w:val="24"/>
        </w:rPr>
        <w:t>10.6.</w:t>
      </w:r>
      <w:r>
        <w:rPr>
          <w:rStyle w:val="CharacterStyle1"/>
          <w:sz w:val="24"/>
          <w:szCs w:val="24"/>
        </w:rPr>
        <w:t xml:space="preserve"> O recebimento provisório ou definitivo do serviço não exclui a responsabilidade da contratada pelos prejuízos resultantes da incorreta execução da contratação.</w:t>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t>11. SANÇÕES PARA O CASO DE INADIMPLEMENTO</w:t>
      </w:r>
    </w:p>
    <w:p>
      <w:pPr>
        <w:pStyle w:val="Default"/>
        <w:spacing w:lineRule="auto" w:line="276"/>
        <w:jc w:val="both"/>
        <w:rPr/>
      </w:pPr>
      <w:r>
        <w:rPr>
          <w:bCs/>
        </w:rPr>
        <w:t xml:space="preserve">11.1. A </w:t>
      </w:r>
      <w:r>
        <w:rPr>
          <w:b/>
          <w:bCs/>
        </w:rPr>
        <w:t>CONTRATADA</w:t>
      </w:r>
      <w:r>
        <w:rPr>
          <w:bCs/>
        </w:rPr>
        <w:t xml:space="preserve"> estará </w:t>
      </w:r>
      <w:r>
        <w:rPr/>
        <w:t>sujeita</w:t>
      </w:r>
      <w:r>
        <w:rPr>
          <w:bCs/>
        </w:rPr>
        <w:t xml:space="preserve"> a sanção administrativa todas as vezes que os materiais e/ou serviços prestados não cumprirem o prescrito n</w:t>
      </w:r>
      <w:r>
        <w:rPr/>
        <w:t>a proposta comercial aceita pela Administração Pública</w:t>
      </w:r>
      <w:r>
        <w:rPr>
          <w:bCs/>
        </w:rPr>
        <w:t>.</w:t>
      </w:r>
    </w:p>
    <w:p>
      <w:pPr>
        <w:pStyle w:val="ListParagraph"/>
        <w:tabs>
          <w:tab w:val="clear" w:pos="408"/>
          <w:tab w:val="left" w:pos="1418" w:leader="none"/>
        </w:tabs>
        <w:ind w:left="0" w:hanging="0"/>
        <w:jc w:val="both"/>
        <w:rPr>
          <w:rFonts w:ascii="Times New Roman" w:hAnsi="Times New Roman" w:cs="Times New Roman"/>
          <w:sz w:val="24"/>
          <w:szCs w:val="24"/>
        </w:rPr>
      </w:pPr>
      <w:r>
        <w:rPr>
          <w:rFonts w:cs="Times New Roman" w:ascii="Times New Roman" w:hAnsi="Times New Roman"/>
          <w:sz w:val="24"/>
          <w:szCs w:val="24"/>
        </w:rPr>
        <w:t>11.2. Pelo descumprimento parcial ou total dos compromissos assumidos, a Contratada estará sujeita à aplicação das seguintes sanções, após regular apuração, mediante processo administrativo, garantido o contraditório e ampla de defesa, no prazo de 5(cinco) dias úteis:</w:t>
      </w:r>
    </w:p>
    <w:p>
      <w:pPr>
        <w:pStyle w:val="ListParagraph"/>
        <w:ind w:left="0" w:hanging="0"/>
        <w:jc w:val="both"/>
        <w:rPr/>
      </w:pPr>
      <w:r>
        <w:rPr>
          <w:rFonts w:cs="Times New Roman" w:ascii="Times New Roman" w:hAnsi="Times New Roman"/>
          <w:sz w:val="24"/>
          <w:szCs w:val="24"/>
        </w:rPr>
        <w:t>11.2.1.</w:t>
      </w:r>
      <w:r>
        <w:rPr>
          <w:rFonts w:cs="Times New Roman" w:ascii="Times New Roman" w:hAnsi="Times New Roman"/>
          <w:b/>
          <w:sz w:val="24"/>
          <w:szCs w:val="24"/>
        </w:rPr>
        <w:t xml:space="preserve"> Advertência</w:t>
      </w:r>
      <w:r>
        <w:rPr>
          <w:rFonts w:cs="Times New Roman" w:ascii="Times New Roman" w:hAnsi="Times New Roman"/>
          <w:sz w:val="24"/>
          <w:szCs w:val="24"/>
        </w:rPr>
        <w:t xml:space="preserve"> por escrito, nos seguintes casos:</w:t>
      </w:r>
    </w:p>
    <w:p>
      <w:pPr>
        <w:pStyle w:val="Standard"/>
        <w:spacing w:before="0" w:after="0"/>
        <w:jc w:val="both"/>
        <w:rPr>
          <w:rFonts w:ascii="Times New Roman" w:hAnsi="Times New Roman" w:cs="Times New Roman"/>
          <w:sz w:val="24"/>
          <w:szCs w:val="24"/>
        </w:rPr>
      </w:pPr>
      <w:r>
        <w:rPr>
          <w:rFonts w:cs="Times New Roman" w:ascii="Times New Roman" w:hAnsi="Times New Roman"/>
          <w:sz w:val="24"/>
          <w:szCs w:val="24"/>
        </w:rPr>
        <w:t>11.2.1.1. Em caso de ocorrências de não-conformidade dos materiais e/ou requisitados.</w:t>
      </w:r>
    </w:p>
    <w:p>
      <w:pPr>
        <w:pStyle w:val="Standard"/>
        <w:spacing w:before="0" w:after="0"/>
        <w:jc w:val="both"/>
        <w:rPr>
          <w:rFonts w:ascii="Times New Roman" w:hAnsi="Times New Roman" w:cs="Times New Roman"/>
          <w:sz w:val="24"/>
          <w:szCs w:val="24"/>
        </w:rPr>
      </w:pPr>
      <w:r>
        <w:rPr>
          <w:rFonts w:cs="Times New Roman" w:ascii="Times New Roman" w:hAnsi="Times New Roman"/>
          <w:sz w:val="24"/>
          <w:szCs w:val="24"/>
        </w:rPr>
        <w:t>11.2..1.2. Descumprimento de outras obrigações consideradas acessórias.</w:t>
      </w:r>
    </w:p>
    <w:p>
      <w:pPr>
        <w:pStyle w:val="Standard"/>
        <w:tabs>
          <w:tab w:val="clear" w:pos="408"/>
          <w:tab w:val="left" w:pos="2268" w:leader="none"/>
        </w:tabs>
        <w:spacing w:before="0" w:after="0"/>
        <w:jc w:val="both"/>
        <w:rPr/>
      </w:pPr>
      <w:r>
        <w:rPr>
          <w:rFonts w:cs="Times New Roman" w:ascii="Times New Roman" w:hAnsi="Times New Roman"/>
          <w:sz w:val="24"/>
          <w:szCs w:val="24"/>
        </w:rPr>
        <w:t>11.2.2.</w:t>
      </w:r>
      <w:r>
        <w:rPr>
          <w:rFonts w:cs="Times New Roman" w:ascii="Times New Roman" w:hAnsi="Times New Roman"/>
          <w:b/>
          <w:sz w:val="24"/>
          <w:szCs w:val="24"/>
        </w:rPr>
        <w:t xml:space="preserve"> Multas</w:t>
      </w:r>
      <w:r>
        <w:rPr>
          <w:rFonts w:cs="Times New Roman" w:ascii="Times New Roman" w:hAnsi="Times New Roman"/>
          <w:sz w:val="24"/>
          <w:szCs w:val="24"/>
        </w:rPr>
        <w:t>:</w:t>
      </w:r>
    </w:p>
    <w:p>
      <w:pPr>
        <w:pStyle w:val="Standard"/>
        <w:spacing w:before="0" w:after="0"/>
        <w:jc w:val="both"/>
        <w:rPr>
          <w:rFonts w:ascii="Times New Roman" w:hAnsi="Times New Roman" w:cs="Times New Roman"/>
          <w:sz w:val="24"/>
          <w:szCs w:val="24"/>
        </w:rPr>
      </w:pPr>
      <w:r>
        <w:rPr>
          <w:rFonts w:cs="Times New Roman" w:ascii="Times New Roman" w:hAnsi="Times New Roman"/>
          <w:sz w:val="24"/>
          <w:szCs w:val="24"/>
        </w:rPr>
        <w:t>11.2.2.1. Multa compensatória de 20% (vinte por cento) a ser calculada sobre o valor total da contratação, no caso de inadimplemento total por parte da Contratada, sem prejuízo das demais sanções administrativas e indenização suplementar por perdas e danos.</w:t>
      </w:r>
    </w:p>
    <w:p>
      <w:pPr>
        <w:pStyle w:val="Standard"/>
        <w:spacing w:before="0" w:after="0"/>
        <w:jc w:val="both"/>
        <w:rPr>
          <w:rFonts w:ascii="Times New Roman" w:hAnsi="Times New Roman" w:cs="Times New Roman"/>
          <w:sz w:val="24"/>
          <w:szCs w:val="24"/>
        </w:rPr>
      </w:pPr>
      <w:r>
        <w:rPr>
          <w:rFonts w:cs="Times New Roman" w:ascii="Times New Roman" w:hAnsi="Times New Roman"/>
          <w:sz w:val="24"/>
          <w:szCs w:val="24"/>
        </w:rPr>
        <w:t>11.2.2.2. Pelo descumprimento das obrigações contratadas a Administração aplicará multas moratórias de 0,33% (trinta e três centésimos por cento) por dia/aula não ministrada ou que descumpra o previsto na proposta comercial.</w:t>
      </w:r>
    </w:p>
    <w:p>
      <w:pPr>
        <w:pStyle w:val="Standard"/>
        <w:tabs>
          <w:tab w:val="clear" w:pos="408"/>
          <w:tab w:val="left" w:pos="2268" w:leader="none"/>
        </w:tabs>
        <w:spacing w:before="0" w:after="0"/>
        <w:jc w:val="both"/>
        <w:rPr/>
      </w:pPr>
      <w:r>
        <w:rPr>
          <w:rFonts w:cs="Times New Roman" w:ascii="Times New Roman" w:hAnsi="Times New Roman"/>
          <w:sz w:val="24"/>
          <w:szCs w:val="24"/>
        </w:rPr>
        <w:t>11.2.3.</w:t>
      </w:r>
      <w:r>
        <w:rPr>
          <w:rFonts w:cs="Times New Roman" w:ascii="Times New Roman" w:hAnsi="Times New Roman"/>
          <w:b/>
          <w:sz w:val="24"/>
          <w:szCs w:val="24"/>
        </w:rPr>
        <w:t xml:space="preserve"> Suspensão temporária de participação em licitação e impedimento de contratar com a Administração</w:t>
      </w:r>
      <w:r>
        <w:rPr>
          <w:rFonts w:cs="Times New Roman" w:ascii="Times New Roman" w:hAnsi="Times New Roman"/>
          <w:sz w:val="24"/>
          <w:szCs w:val="24"/>
        </w:rPr>
        <w:t>, por prazo não superior a 2 (dois) anos.</w:t>
      </w:r>
    </w:p>
    <w:p>
      <w:pPr>
        <w:pStyle w:val="Standard"/>
        <w:tabs>
          <w:tab w:val="clear" w:pos="408"/>
          <w:tab w:val="left" w:pos="2268" w:leader="none"/>
        </w:tabs>
        <w:spacing w:before="0" w:after="0"/>
        <w:jc w:val="both"/>
        <w:rPr/>
      </w:pPr>
      <w:r>
        <w:rPr>
          <w:rFonts w:cs="Times New Roman" w:ascii="Times New Roman" w:hAnsi="Times New Roman"/>
          <w:sz w:val="24"/>
          <w:szCs w:val="24"/>
        </w:rPr>
        <w:t>11.2.4.</w:t>
      </w:r>
      <w:r>
        <w:rPr>
          <w:rFonts w:cs="Times New Roman" w:ascii="Times New Roman" w:hAnsi="Times New Roman"/>
          <w:b/>
          <w:sz w:val="24"/>
          <w:szCs w:val="24"/>
        </w:rPr>
        <w:t xml:space="preserve"> Declaração de inidoneidade para licitar ou contratar com a Administração Pública</w:t>
      </w:r>
      <w:r>
        <w:rPr>
          <w:rFonts w:cs="Times New Roman" w:ascii="Times New Roman" w:hAnsi="Times New Roman"/>
          <w:sz w:val="24"/>
          <w:szCs w:val="24"/>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letra anterior.</w:t>
      </w:r>
    </w:p>
    <w:p>
      <w:pPr>
        <w:pStyle w:val="Default"/>
        <w:spacing w:lineRule="auto" w:line="276"/>
        <w:jc w:val="both"/>
        <w:rPr>
          <w:color w:val="00000A"/>
        </w:rPr>
      </w:pPr>
      <w:r>
        <w:rPr>
          <w:color w:val="00000A"/>
        </w:rPr>
        <w:t>11.3. As importâncias relativas a multas serão descontadas do pagamento porventura devido à Contratada, ou efetuada a sua cobrança na forma prevista em lei.</w:t>
      </w:r>
    </w:p>
    <w:p>
      <w:pPr>
        <w:pStyle w:val="Default"/>
        <w:spacing w:lineRule="auto" w:line="276"/>
        <w:jc w:val="both"/>
        <w:rPr>
          <w:color w:val="00000A"/>
        </w:rPr>
      </w:pPr>
      <w:r>
        <w:rPr>
          <w:color w:val="00000A"/>
        </w:rPr>
        <w:t>11.4. O Órgão Contratante poderá, ainda, cancelar a Nota de Empenho decorrente da Cotação Eletrônica de Preços, sem prejuízo das penalidades previstas nos subitens anteriores e de outras previstas em lei.</w:t>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t>12. FATURAMENTO</w:t>
      </w:r>
    </w:p>
    <w:p>
      <w:pPr>
        <w:pStyle w:val="Default"/>
        <w:spacing w:lineRule="auto" w:line="276"/>
        <w:jc w:val="both"/>
        <w:rPr>
          <w:color w:val="00000A"/>
        </w:rPr>
      </w:pPr>
      <w:r>
        <w:rPr>
          <w:color w:val="00000A"/>
        </w:rPr>
        <w:t>12.1. A nota fiscal e/ou fatura deverá se emitida em nome do 5° BATALHÃO DE INFANTARIA LEVE, conforme dados da Nota de Empenho, fazendo constar a descrição/marca/quantidade do item fornecido/valor unitário/valor total.</w:t>
      </w:r>
    </w:p>
    <w:p>
      <w:pPr>
        <w:pStyle w:val="Default"/>
        <w:spacing w:lineRule="auto" w:line="276"/>
        <w:jc w:val="both"/>
        <w:rPr>
          <w:color w:val="00000A"/>
        </w:rPr>
      </w:pPr>
      <w:r>
        <w:rPr>
          <w:color w:val="00000A"/>
        </w:rPr>
        <w:t>12.2. Caso a nota fiscal e/ou fatura contenha erro, o contratado se responsabilizará pela correção.</w:t>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t>13. PRAZO PARA PAGAMENTO</w:t>
      </w:r>
    </w:p>
    <w:p>
      <w:pPr>
        <w:pStyle w:val="Default"/>
        <w:spacing w:lineRule="auto" w:line="276"/>
        <w:jc w:val="both"/>
        <w:rPr>
          <w:color w:val="00000A"/>
        </w:rPr>
      </w:pPr>
      <w:r>
        <w:rPr>
          <w:color w:val="00000A"/>
        </w:rPr>
        <w:t>13.1. O pagamento será efetuado mediante ordem bancária de pagamento, emitida pelo 5º BIL, depois do recebimento definitivo do material e da apresentação da Nota Fiscal pela contratada, conforme discriminado nesta Cotação Eletrônica, no prazo de até 30 (trinta) dias úteis após recebimento definitivo, conforme disponibilidade orçamentária.</w:t>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r>
    </w:p>
    <w:p>
      <w:pPr>
        <w:pStyle w:val="Default"/>
        <w:spacing w:lineRule="auto" w:line="276"/>
        <w:jc w:val="both"/>
        <w:rPr>
          <w:color w:val="00000A"/>
        </w:rPr>
      </w:pPr>
      <w:r>
        <w:rPr>
          <w:b/>
          <w:bCs/>
          <w:color w:val="00000A"/>
        </w:rPr>
        <w:t>14. DAS OBRIGAÇÕES DA CONTRATADA</w:t>
      </w:r>
    </w:p>
    <w:p>
      <w:pPr>
        <w:pStyle w:val="Default"/>
        <w:spacing w:lineRule="auto" w:line="276"/>
        <w:jc w:val="both"/>
        <w:rPr/>
      </w:pPr>
      <w:r>
        <w:rPr>
          <w:color w:val="00000A"/>
        </w:rPr>
        <w:t xml:space="preserve">14.1. A </w:t>
      </w:r>
      <w:r>
        <w:rPr>
          <w:rStyle w:val="CharacterStyle1"/>
          <w:sz w:val="24"/>
        </w:rPr>
        <w:t>Contratada deverá cumprir todas as obrigações constantes neste documento/legislações correlatas, e na sua proposta, assumindo como exclusivamente seus os riscos e as despesas decorrentes da boa e perfeita execução do objeto e, ainda:</w:t>
      </w:r>
    </w:p>
    <w:p>
      <w:pPr>
        <w:pStyle w:val="Style14"/>
        <w:spacing w:lineRule="auto" w:line="276"/>
        <w:ind w:right="2" w:hanging="0"/>
        <w:jc w:val="both"/>
        <w:rPr/>
      </w:pPr>
      <w:r>
        <w:rPr>
          <w:rStyle w:val="CharacterStyle1"/>
          <w:sz w:val="24"/>
          <w:szCs w:val="24"/>
        </w:rPr>
        <w:t xml:space="preserve">14.1.1. Realizar o serviço em perfeitas condições, conforme especificações, prazo e local constantes </w:t>
      </w:r>
      <w:r>
        <w:rPr>
          <w:sz w:val="24"/>
          <w:szCs w:val="24"/>
        </w:rPr>
        <w:t>deste documento</w:t>
      </w:r>
      <w:r>
        <w:rPr>
          <w:rStyle w:val="CharacterStyle1"/>
          <w:sz w:val="24"/>
          <w:szCs w:val="24"/>
        </w:rPr>
        <w:t xml:space="preserve">, acompanhado da respectiva nota fiscal, na qual constarão as indicações referentes a: </w:t>
      </w:r>
      <w:r>
        <w:rPr>
          <w:rStyle w:val="CharacterStyle1"/>
          <w:i/>
          <w:iCs/>
          <w:sz w:val="24"/>
          <w:szCs w:val="24"/>
        </w:rPr>
        <w:t>número da nota de empenho, marca, fabricante, modelo, e prazo de garantia do serviço;</w:t>
      </w:r>
    </w:p>
    <w:p>
      <w:pPr>
        <w:pStyle w:val="Style14"/>
        <w:spacing w:lineRule="auto" w:line="276"/>
        <w:ind w:right="2" w:hanging="0"/>
        <w:jc w:val="both"/>
        <w:rPr/>
      </w:pPr>
      <w:r>
        <w:rPr>
          <w:rStyle w:val="CharacterStyle1"/>
          <w:sz w:val="24"/>
          <w:szCs w:val="24"/>
        </w:rPr>
        <w:t>14.1.2. Responsabilizar-se pelos vícios e danos decorrentes do serviço, de acordo com os artigos 12. 13 e 17 a 27. do Código de Defesa do Consumidor (Lei n°8.078. de 1990);</w:t>
      </w:r>
    </w:p>
    <w:p>
      <w:pPr>
        <w:pStyle w:val="Style14"/>
        <w:spacing w:lineRule="auto" w:line="276"/>
        <w:ind w:right="2" w:hanging="0"/>
        <w:jc w:val="both"/>
        <w:rPr/>
      </w:pPr>
      <w:r>
        <w:rPr>
          <w:rStyle w:val="CharacterStyle1"/>
          <w:sz w:val="24"/>
          <w:szCs w:val="24"/>
        </w:rPr>
        <w:t>14.1.3. Comunicar à Contratante, no prazo máximo de 24 (vinte e quatro) horas que antecede a data da entrega, os motivos que impossibilitem o cumprimento do prazo previsto, com a devida comprovação;</w:t>
      </w:r>
    </w:p>
    <w:p>
      <w:pPr>
        <w:pStyle w:val="Style14"/>
        <w:spacing w:lineRule="auto" w:line="276"/>
        <w:ind w:right="2" w:hanging="0"/>
        <w:jc w:val="both"/>
        <w:rPr/>
      </w:pPr>
      <w:r>
        <w:rPr>
          <w:rStyle w:val="CharacterStyle1"/>
          <w:sz w:val="24"/>
          <w:szCs w:val="24"/>
        </w:rPr>
        <w:t>14.1.4. Manter, durante toda a execução do contrato, em compatibilidade com as obrigações assumidas, todas as condições de habilitação e qualificação exigidas na licitação;</w:t>
      </w:r>
    </w:p>
    <w:p>
      <w:pPr>
        <w:pStyle w:val="Style14"/>
        <w:spacing w:lineRule="auto" w:line="276"/>
        <w:ind w:right="2" w:hanging="0"/>
        <w:jc w:val="both"/>
        <w:rPr/>
      </w:pPr>
      <w:r>
        <w:rPr>
          <w:rStyle w:val="CharacterStyle1"/>
          <w:sz w:val="24"/>
          <w:szCs w:val="24"/>
        </w:rPr>
        <w:t>14.1.5. Indicar preposto para representá-la durante a execução do contrato.</w:t>
      </w:r>
    </w:p>
    <w:p>
      <w:pPr>
        <w:pStyle w:val="Default"/>
        <w:spacing w:lineRule="auto" w:line="276"/>
        <w:jc w:val="both"/>
        <w:rPr>
          <w:b/>
          <w:b/>
          <w:bCs/>
          <w:color w:val="00000A"/>
        </w:rPr>
      </w:pPr>
      <w:r>
        <w:rPr>
          <w:b/>
          <w:bCs/>
          <w:color w:val="00000A"/>
        </w:rPr>
      </w:r>
    </w:p>
    <w:p>
      <w:pPr>
        <w:pStyle w:val="Default"/>
        <w:spacing w:lineRule="auto" w:line="276"/>
        <w:jc w:val="both"/>
        <w:rPr>
          <w:b/>
          <w:b/>
          <w:bCs/>
          <w:color w:val="00000A"/>
        </w:rPr>
      </w:pPr>
      <w:r>
        <w:rPr>
          <w:b/>
          <w:bCs/>
          <w:color w:val="00000A"/>
        </w:rPr>
        <w:t>15. DAS OBRIGAÇÕES DA CONTRATANTE</w:t>
      </w:r>
    </w:p>
    <w:p>
      <w:pPr>
        <w:pStyle w:val="Default"/>
        <w:spacing w:lineRule="auto" w:line="276"/>
        <w:jc w:val="both"/>
        <w:rPr>
          <w:color w:val="00000A"/>
        </w:rPr>
      </w:pPr>
      <w:r>
        <w:rPr>
          <w:color w:val="00000A"/>
        </w:rPr>
        <w:t>15.1. Encaminhar a Nota de Empenho para a Contratada, podendo para isso utilizar mensagem via email.</w:t>
      </w:r>
    </w:p>
    <w:p>
      <w:pPr>
        <w:pStyle w:val="Default"/>
        <w:spacing w:lineRule="auto" w:line="276"/>
        <w:jc w:val="both"/>
        <w:rPr/>
      </w:pPr>
      <w:r>
        <w:rPr>
          <w:color w:val="00000A"/>
        </w:rPr>
        <w:t>15.2. R</w:t>
      </w:r>
      <w:r>
        <w:rPr>
          <w:rStyle w:val="CharacterStyle1"/>
          <w:sz w:val="24"/>
        </w:rPr>
        <w:t>eceber o objeto no prazo e condições estabelecidas neste termo e seus anexos;</w:t>
      </w:r>
    </w:p>
    <w:p>
      <w:pPr>
        <w:pStyle w:val="Default"/>
        <w:spacing w:lineRule="auto" w:line="276"/>
        <w:jc w:val="both"/>
        <w:rPr/>
      </w:pPr>
      <w:r>
        <w:rPr>
          <w:color w:val="00000A"/>
        </w:rPr>
        <w:t>15.3. V</w:t>
      </w:r>
      <w:r>
        <w:rPr>
          <w:rStyle w:val="CharacterStyle1"/>
          <w:sz w:val="24"/>
        </w:rPr>
        <w:t>erificar minuciosamente, no prazo fixado, a conformidade dos bens recebidos provisoriamente com as especificações constantes deste Termo e da proposta, para fins de aceitação e recebimento definitivo;</w:t>
      </w:r>
    </w:p>
    <w:p>
      <w:pPr>
        <w:pStyle w:val="Style14"/>
        <w:spacing w:lineRule="auto" w:line="276"/>
        <w:ind w:right="2" w:hanging="0"/>
        <w:jc w:val="both"/>
        <w:rPr/>
      </w:pPr>
      <w:r>
        <w:rPr>
          <w:sz w:val="24"/>
          <w:szCs w:val="24"/>
        </w:rPr>
        <w:t xml:space="preserve">15.4. </w:t>
      </w:r>
      <w:r>
        <w:rPr>
          <w:rStyle w:val="CharacterStyle1"/>
          <w:sz w:val="24"/>
          <w:szCs w:val="24"/>
        </w:rPr>
        <w:t>Comunicar à Contratada, por escrito, sobre imperfeições, falhas ou irregularidades verificadas no objeto fornecido, para que seja substituído, reparado ou corrigido;</w:t>
      </w:r>
    </w:p>
    <w:p>
      <w:pPr>
        <w:pStyle w:val="Style14"/>
        <w:spacing w:lineRule="auto" w:line="276"/>
        <w:ind w:right="2" w:hanging="0"/>
        <w:jc w:val="both"/>
        <w:rPr/>
      </w:pPr>
      <w:r>
        <w:rPr>
          <w:sz w:val="24"/>
          <w:szCs w:val="24"/>
        </w:rPr>
        <w:t>15.5. A</w:t>
      </w:r>
      <w:r>
        <w:rPr>
          <w:rStyle w:val="CharacterStyle1"/>
          <w:sz w:val="24"/>
          <w:szCs w:val="24"/>
        </w:rPr>
        <w:t>companhar e fiscalizar o cumprimento das obrigações da Contratada, através de comissão/servidor especialmente designado;</w:t>
      </w:r>
    </w:p>
    <w:p>
      <w:pPr>
        <w:pStyle w:val="Style14"/>
        <w:spacing w:lineRule="auto" w:line="276"/>
        <w:ind w:right="2" w:hanging="0"/>
        <w:jc w:val="both"/>
        <w:rPr/>
      </w:pPr>
      <w:r>
        <w:rPr>
          <w:sz w:val="24"/>
          <w:szCs w:val="24"/>
        </w:rPr>
        <w:t>15.6. E</w:t>
      </w:r>
      <w:r>
        <w:rPr>
          <w:rStyle w:val="CharacterStyle1"/>
          <w:sz w:val="24"/>
          <w:szCs w:val="24"/>
        </w:rPr>
        <w:t>fetuar o pagamento à Contratada no valor correspondente ao fornecimento do objeto, no prazo e forma estabelecidos em até 30 (trinta) dias após o ateste do material;</w:t>
      </w:r>
    </w:p>
    <w:p>
      <w:pPr>
        <w:pStyle w:val="Style14"/>
        <w:spacing w:lineRule="auto" w:line="276"/>
        <w:ind w:right="2" w:hanging="0"/>
        <w:jc w:val="both"/>
        <w:rPr/>
      </w:pPr>
      <w:r>
        <w:rPr>
          <w:sz w:val="24"/>
          <w:szCs w:val="24"/>
        </w:rPr>
        <w:t xml:space="preserve">15.7. </w:t>
      </w:r>
      <w:r>
        <w:rPr>
          <w:rStyle w:val="CharacterStyle1"/>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Default"/>
        <w:spacing w:lineRule="auto" w:line="276"/>
        <w:jc w:val="both"/>
        <w:rPr>
          <w:b/>
          <w:b/>
          <w:color w:val="00000A"/>
        </w:rPr>
      </w:pPr>
      <w:r>
        <w:rPr>
          <w:b/>
          <w:color w:val="00000A"/>
        </w:rPr>
      </w:r>
    </w:p>
    <w:p>
      <w:pPr>
        <w:pStyle w:val="Default"/>
        <w:spacing w:lineRule="auto" w:line="276"/>
        <w:jc w:val="both"/>
        <w:rPr>
          <w:b/>
          <w:b/>
          <w:color w:val="00000A"/>
        </w:rPr>
      </w:pPr>
      <w:r>
        <w:rPr>
          <w:b/>
          <w:color w:val="00000A"/>
        </w:rPr>
        <w:t>16. INFORMAÇÕES E CASOS OMISSOS</w:t>
      </w:r>
    </w:p>
    <w:p>
      <w:pPr>
        <w:pStyle w:val="Default"/>
        <w:spacing w:lineRule="auto" w:line="276"/>
        <w:jc w:val="both"/>
        <w:rPr/>
      </w:pPr>
      <w:r>
        <w:rPr/>
        <w:t xml:space="preserve">16.1. Informações complementares poderão ser obtidas no órgão contratante, a partir da divulgação do Pedido de Cotação Eletrônica de Preços, pelo </w:t>
      </w:r>
      <w:r>
        <w:rPr>
          <w:b/>
        </w:rPr>
        <w:t>telefone (12) 3153-2215</w:t>
      </w:r>
      <w:r>
        <w:rPr/>
        <w:t xml:space="preserve">, ou pelo </w:t>
      </w:r>
      <w:r>
        <w:rPr>
          <w:b/>
        </w:rPr>
        <w:t xml:space="preserve">e-mail </w:t>
      </w:r>
      <w:r>
        <w:rPr>
          <w:b/>
          <w:i/>
        </w:rPr>
        <w:t>salc.base5bil@gmail.com</w:t>
      </w:r>
      <w:r>
        <w:rPr>
          <w:b/>
        </w:rPr>
        <w:t>,</w:t>
      </w:r>
      <w:r>
        <w:rPr/>
        <w:t xml:space="preserve"> sendo resolvidos os casos omissos pela Seção de Aquisição, Licitações e Contratos do 5º BIL.</w:t>
      </w:r>
    </w:p>
    <w:p>
      <w:pPr>
        <w:pStyle w:val="ListParagraph"/>
        <w:ind w:left="0" w:hanging="0"/>
        <w:jc w:val="center"/>
        <w:rPr>
          <w:rFonts w:ascii="Times New Roman" w:hAnsi="Times New Roman" w:eastAsia="Times New Roman" w:cs="Times New Roman"/>
          <w:bCs/>
          <w:iCs/>
          <w:color w:val="000000"/>
          <w:lang w:eastAsia="pt-BR"/>
        </w:rPr>
      </w:pPr>
      <w:r>
        <w:rPr>
          <w:rFonts w:eastAsia="Times New Roman" w:cs="Times New Roman" w:ascii="Times New Roman" w:hAnsi="Times New Roman"/>
          <w:bCs/>
          <w:iCs/>
          <w:color w:val="000000"/>
          <w:lang w:eastAsia="pt-BR"/>
        </w:rPr>
      </w:r>
    </w:p>
    <w:p>
      <w:pPr>
        <w:pStyle w:val="ListParagraph"/>
        <w:ind w:left="0" w:hanging="0"/>
        <w:rPr>
          <w:rFonts w:ascii="Times New Roman" w:hAnsi="Times New Roman" w:eastAsia="Times New Roman" w:cs="Times New Roman"/>
          <w:bCs/>
          <w:iCs/>
          <w:color w:val="000000"/>
          <w:lang w:eastAsia="pt-BR"/>
        </w:rPr>
      </w:pPr>
      <w:r>
        <w:rPr>
          <w:rFonts w:eastAsia="Times New Roman" w:cs="Times New Roman" w:ascii="Times New Roman" w:hAnsi="Times New Roman"/>
          <w:bCs/>
          <w:iCs/>
          <w:color w:val="000000"/>
          <w:lang w:eastAsia="pt-BR"/>
        </w:rPr>
      </w:r>
    </w:p>
    <w:p>
      <w:pPr>
        <w:pStyle w:val="ListParagraph"/>
        <w:ind w:left="0" w:hanging="0"/>
        <w:jc w:val="center"/>
        <w:rPr>
          <w:rFonts w:ascii="Times New Roman" w:hAnsi="Times New Roman" w:eastAsia="Times New Roman" w:cs="Times New Roman"/>
          <w:bCs/>
          <w:iCs/>
          <w:color w:val="000000"/>
          <w:lang w:eastAsia="pt-BR"/>
        </w:rPr>
      </w:pPr>
      <w:r>
        <w:rPr>
          <w:rFonts w:eastAsia="Times New Roman" w:cs="Times New Roman" w:ascii="Times New Roman" w:hAnsi="Times New Roman"/>
          <w:bCs/>
          <w:iCs/>
          <w:color w:val="000000"/>
          <w:lang w:eastAsia="pt-BR"/>
        </w:rPr>
      </w:r>
    </w:p>
    <w:p>
      <w:pPr>
        <w:pStyle w:val="ListParagraph"/>
        <w:ind w:left="0" w:hanging="0"/>
        <w:jc w:val="center"/>
        <w:rPr>
          <w:rFonts w:ascii="Times New Roman" w:hAnsi="Times New Roman" w:eastAsia="Times New Roman" w:cs="Times New Roman"/>
          <w:bCs/>
          <w:iCs/>
          <w:color w:val="000000"/>
          <w:lang w:eastAsia="pt-BR"/>
        </w:rPr>
      </w:pPr>
      <w:r>
        <w:rPr>
          <w:rFonts w:eastAsia="Times New Roman" w:cs="Times New Roman" w:ascii="Times New Roman" w:hAnsi="Times New Roman"/>
          <w:bCs/>
          <w:iCs/>
          <w:color w:val="000000"/>
          <w:lang w:eastAsia="pt-BR"/>
        </w:rPr>
      </w:r>
    </w:p>
    <w:p>
      <w:pPr>
        <w:pStyle w:val="ListParagraph"/>
        <w:ind w:left="0" w:hanging="0"/>
        <w:jc w:val="center"/>
        <w:rPr>
          <w:rFonts w:ascii="Times New Roman" w:hAnsi="Times New Roman" w:eastAsia="Times New Roman" w:cs="Times New Roman"/>
          <w:bCs/>
          <w:iCs/>
          <w:color w:val="000000"/>
          <w:lang w:eastAsia="pt-BR"/>
        </w:rPr>
      </w:pPr>
      <w:r>
        <w:rPr/>
      </w:r>
    </w:p>
    <w:sectPr>
      <w:type w:val="nextPage"/>
      <w:pgSz w:w="11906" w:h="16838"/>
      <w:pgMar w:left="1134" w:right="1127"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Times New Roman">
    <w:charset w:val="01"/>
    <w:family w:val="roman"/>
    <w:pitch w:val="variable"/>
  </w:font>
  <w:font w:name="Calibri">
    <w:charset w:val="01"/>
    <w:family w:val="roman"/>
    <w:pitch w:val="variable"/>
  </w:font>
  <w:font w:name="Cambria">
    <w:charset w:val="01"/>
    <w:family w:val="roman"/>
    <w:pitch w:val="variable"/>
  </w:font>
  <w:font w:name="Segoe UI">
    <w:charset w:val="01"/>
    <w:family w:val="roman"/>
    <w:pitch w:val="variable"/>
  </w:font>
  <w:font w:name="OpenSymbol">
    <w:altName w:val="Arial Unicode MS"/>
    <w:charset w:val="01"/>
    <w:family w:val="roman"/>
    <w:pitch w:val="variable"/>
  </w:font>
  <w:font w:name="Liberation Sans">
    <w:altName w:val="Arial"/>
    <w:charset w:val="01"/>
    <w:family w:val="swiss"/>
    <w:pitch w:val="variable"/>
  </w:font>
  <w:font w:name="Liberation Sans">
    <w:altName w:val="Arial"/>
    <w:charset w:val="01"/>
    <w:family w:val="roman"/>
    <w:pitch w:val="variable"/>
  </w:font>
  <w:font w:name="sans-serif">
    <w:altName w:val="Arial"/>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bering>
</file>

<file path=word/settings.xml><?xml version="1.0" encoding="utf-8"?>
<w:settings xmlns:w="http://schemas.openxmlformats.org/wordprocessingml/2006/main">
  <w:zoom w:percent="100"/>
  <w:defaultTabStop w:val="408"/>
  <w:autoHyphenation w:val="true"/>
  <w:compat>
    <w:compatSetting w:name="compatibilityMode" w:uri="http://schemas.microsoft.com/office/word" w:val="12"/>
    <w:compatSetting w:name="useWord2013TrackBottomHyphenation" w:uri="http://schemas.microsoft.com/office/word" w:val="1"/>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pt-B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4437f"/>
    <w:pPr>
      <w:widowControl w:val="false"/>
      <w:suppressAutoHyphens w:val="true"/>
      <w:bidi w:val="0"/>
      <w:spacing w:before="0" w:after="0"/>
      <w:jc w:val="left"/>
      <w:textAlignment w:val="baseline"/>
    </w:pPr>
    <w:rPr>
      <w:rFonts w:ascii="Liberation Serif" w:hAnsi="Liberation Serif" w:eastAsia="NSimSun" w:cs="Arial"/>
      <w:color w:val="auto"/>
      <w:kern w:val="2"/>
      <w:sz w:val="24"/>
      <w:szCs w:val="24"/>
      <w:lang w:val="pt-BR" w:eastAsia="zh-CN" w:bidi="hi-IN"/>
    </w:rPr>
  </w:style>
  <w:style w:type="character" w:styleId="DefaultParagraphFont" w:default="1">
    <w:name w:val="Default Paragraph Font"/>
    <w:uiPriority w:val="1"/>
    <w:semiHidden/>
    <w:unhideWhenUsed/>
    <w:qFormat/>
    <w:rPr/>
  </w:style>
  <w:style w:type="character" w:styleId="WW8Num1z0" w:customStyle="1">
    <w:name w:val="WW8Num1z0"/>
    <w:qFormat/>
    <w:rsid w:val="00d4437f"/>
    <w:rPr/>
  </w:style>
  <w:style w:type="character" w:styleId="WW8Num1z1" w:customStyle="1">
    <w:name w:val="WW8Num1z1"/>
    <w:qFormat/>
    <w:rsid w:val="00d4437f"/>
    <w:rPr/>
  </w:style>
  <w:style w:type="character" w:styleId="WW8Num1z2" w:customStyle="1">
    <w:name w:val="WW8Num1z2"/>
    <w:qFormat/>
    <w:rsid w:val="00d4437f"/>
    <w:rPr/>
  </w:style>
  <w:style w:type="character" w:styleId="WW8Num1z3" w:customStyle="1">
    <w:name w:val="WW8Num1z3"/>
    <w:qFormat/>
    <w:rsid w:val="00d4437f"/>
    <w:rPr/>
  </w:style>
  <w:style w:type="character" w:styleId="WW8Num1z4" w:customStyle="1">
    <w:name w:val="WW8Num1z4"/>
    <w:qFormat/>
    <w:rsid w:val="00d4437f"/>
    <w:rPr/>
  </w:style>
  <w:style w:type="character" w:styleId="WW8Num1z5" w:customStyle="1">
    <w:name w:val="WW8Num1z5"/>
    <w:qFormat/>
    <w:rsid w:val="00d4437f"/>
    <w:rPr/>
  </w:style>
  <w:style w:type="character" w:styleId="WW8Num1z6" w:customStyle="1">
    <w:name w:val="WW8Num1z6"/>
    <w:qFormat/>
    <w:rsid w:val="00d4437f"/>
    <w:rPr/>
  </w:style>
  <w:style w:type="character" w:styleId="WW8Num1z7" w:customStyle="1">
    <w:name w:val="WW8Num1z7"/>
    <w:qFormat/>
    <w:rsid w:val="00d4437f"/>
    <w:rPr/>
  </w:style>
  <w:style w:type="character" w:styleId="WW8Num1z8" w:customStyle="1">
    <w:name w:val="WW8Num1z8"/>
    <w:qFormat/>
    <w:rsid w:val="00d4437f"/>
    <w:rPr/>
  </w:style>
  <w:style w:type="character" w:styleId="Ttulo2Char" w:customStyle="1">
    <w:name w:val="Título 2 Char"/>
    <w:basedOn w:val="DefaultParagraphFont"/>
    <w:qFormat/>
    <w:rsid w:val="00d4437f"/>
    <w:rPr>
      <w:rFonts w:ascii="Arial" w:hAnsi="Arial" w:eastAsia="Times New Roman" w:cs="Arial"/>
      <w:b/>
      <w:bCs/>
      <w:i/>
      <w:iCs/>
      <w:sz w:val="28"/>
      <w:szCs w:val="28"/>
    </w:rPr>
  </w:style>
  <w:style w:type="character" w:styleId="CabealhoChar" w:customStyle="1">
    <w:name w:val="Cabeçalho Char"/>
    <w:basedOn w:val="DefaultParagraphFont"/>
    <w:qFormat/>
    <w:rsid w:val="00d4437f"/>
    <w:rPr>
      <w:rFonts w:ascii="Times New Roman" w:hAnsi="Times New Roman" w:eastAsia="Times New Roman" w:cs="Times New Roman"/>
      <w:sz w:val="24"/>
      <w:szCs w:val="24"/>
    </w:rPr>
  </w:style>
  <w:style w:type="character" w:styleId="Ttulo5Char" w:customStyle="1">
    <w:name w:val="Título 5 Char"/>
    <w:basedOn w:val="DefaultParagraphFont"/>
    <w:qFormat/>
    <w:rsid w:val="00d4437f"/>
    <w:rPr>
      <w:rFonts w:ascii="Calibri" w:hAnsi="Calibri" w:eastAsia="Times New Roman" w:cs="Times New Roman"/>
      <w:b/>
      <w:bCs/>
      <w:i/>
      <w:iCs/>
      <w:sz w:val="26"/>
      <w:szCs w:val="26"/>
    </w:rPr>
  </w:style>
  <w:style w:type="character" w:styleId="Nivel1Char" w:customStyle="1">
    <w:name w:val="Nivel1 Char"/>
    <w:qFormat/>
    <w:rsid w:val="00d4437f"/>
    <w:rPr>
      <w:rFonts w:ascii="Arial" w:hAnsi="Arial" w:eastAsia="MS Gothic" w:cs="Times New Roman"/>
      <w:b/>
      <w:color w:val="000000"/>
      <w:sz w:val="20"/>
      <w:szCs w:val="20"/>
    </w:rPr>
  </w:style>
  <w:style w:type="character" w:styleId="Ttulo1Char" w:customStyle="1">
    <w:name w:val="Título 1 Char"/>
    <w:basedOn w:val="DefaultParagraphFont"/>
    <w:qFormat/>
    <w:rsid w:val="00d4437f"/>
    <w:rPr>
      <w:rFonts w:ascii="Cambria" w:hAnsi="Cambria" w:eastAsia="Calibri" w:cs="Tahoma"/>
      <w:color w:val="365F91"/>
      <w:sz w:val="32"/>
      <w:szCs w:val="32"/>
    </w:rPr>
  </w:style>
  <w:style w:type="character" w:styleId="TextodebaloChar" w:customStyle="1">
    <w:name w:val="Texto de balão Char"/>
    <w:basedOn w:val="DefaultParagraphFont"/>
    <w:qFormat/>
    <w:rsid w:val="00d4437f"/>
    <w:rPr>
      <w:rFonts w:ascii="Segoe UI" w:hAnsi="Segoe UI" w:eastAsia="Segoe UI" w:cs="Segoe UI"/>
      <w:sz w:val="18"/>
      <w:szCs w:val="18"/>
    </w:rPr>
  </w:style>
  <w:style w:type="character" w:styleId="Tiporegular2" w:customStyle="1">
    <w:name w:val="tipo_regular2"/>
    <w:basedOn w:val="DefaultParagraphFont"/>
    <w:qFormat/>
    <w:rsid w:val="00d4437f"/>
    <w:rPr/>
  </w:style>
  <w:style w:type="character" w:styleId="Recuodecorpodetexto2Char" w:customStyle="1">
    <w:name w:val="Recuo de corpo de texto 2 Char"/>
    <w:basedOn w:val="DefaultParagraphFont"/>
    <w:qFormat/>
    <w:rsid w:val="00d4437f"/>
    <w:rPr>
      <w:rFonts w:ascii="Arial" w:hAnsi="Arial" w:eastAsia="Times New Roman" w:cs="Tahoma"/>
      <w:sz w:val="20"/>
      <w:szCs w:val="24"/>
    </w:rPr>
  </w:style>
  <w:style w:type="character" w:styleId="Internetlink" w:customStyle="1">
    <w:name w:val="Hyperlink"/>
    <w:qFormat/>
    <w:rsid w:val="00d4437f"/>
    <w:rPr>
      <w:color w:val="000080"/>
      <w:u w:val="single"/>
    </w:rPr>
  </w:style>
  <w:style w:type="character" w:styleId="RodapChar" w:customStyle="1">
    <w:name w:val="Rodapé Char"/>
    <w:basedOn w:val="DefaultParagraphFont"/>
    <w:qFormat/>
    <w:rsid w:val="00d4437f"/>
    <w:rPr/>
  </w:style>
  <w:style w:type="character" w:styleId="CharacterStyle1" w:customStyle="1">
    <w:name w:val="Character Style 1"/>
    <w:qFormat/>
    <w:rsid w:val="00d4437f"/>
    <w:rPr>
      <w:sz w:val="20"/>
    </w:rPr>
  </w:style>
  <w:style w:type="character" w:styleId="CorpodetextoChar" w:customStyle="1">
    <w:name w:val="Corpo de texto Char"/>
    <w:basedOn w:val="DefaultParagraphFont"/>
    <w:qFormat/>
    <w:rsid w:val="00d4437f"/>
    <w:rPr>
      <w:rFonts w:ascii="Times New Roman" w:hAnsi="Times New Roman" w:eastAsia="Times New Roman" w:cs="Times New Roman"/>
      <w:sz w:val="24"/>
      <w:szCs w:val="24"/>
    </w:rPr>
  </w:style>
  <w:style w:type="character" w:styleId="Marcadores" w:customStyle="1">
    <w:name w:val="Marcadores"/>
    <w:qFormat/>
    <w:rsid w:val="00d4437f"/>
    <w:rPr>
      <w:rFonts w:ascii="OpenSymbol, 'Arial Unicode MS'" w:hAnsi="OpenSymbol, 'Arial Unicode MS'" w:eastAsia="OpenSymbol, 'Arial Unicode MS'" w:cs="OpenSymbol, 'Arial Unicode MS'"/>
    </w:rPr>
  </w:style>
  <w:style w:type="character" w:styleId="Fontepargpadro1" w:customStyle="1">
    <w:name w:val="Fonte parág. padrão1"/>
    <w:qFormat/>
    <w:rsid w:val="00d4437f"/>
    <w:rPr/>
  </w:style>
  <w:style w:type="character" w:styleId="Smbolosdenumerao" w:customStyle="1">
    <w:name w:val="Símbolos de numeração"/>
    <w:qFormat/>
    <w:rsid w:val="00d4437f"/>
    <w:rPr/>
  </w:style>
  <w:style w:type="character" w:styleId="Fontepargpadro6" w:customStyle="1">
    <w:name w:val="Fonte parág. padrão6"/>
    <w:qFormat/>
    <w:rsid w:val="00d4437f"/>
    <w:rPr/>
  </w:style>
  <w:style w:type="character" w:styleId="Tex5a" w:customStyle="1">
    <w:name w:val="tex5a"/>
    <w:basedOn w:val="Fontepargpadro6"/>
    <w:qFormat/>
    <w:rsid w:val="00d4437f"/>
    <w:rPr/>
  </w:style>
  <w:style w:type="character" w:styleId="LinkdaInternet">
    <w:name w:val="Link da Internet"/>
    <w:rsid w:val="009d2779"/>
    <w:rPr>
      <w:color w:val="000080"/>
      <w:u w:val="single"/>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rsid w:val="009d2779"/>
    <w:pPr>
      <w:spacing w:lineRule="auto" w:line="276" w:before="0" w:after="140"/>
    </w:pPr>
    <w:rPr/>
  </w:style>
  <w:style w:type="paragraph" w:styleId="Lista">
    <w:name w:val="List"/>
    <w:basedOn w:val="Textbody"/>
    <w:rsid w:val="00d4437f"/>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Standard"/>
    <w:qFormat/>
    <w:rsid w:val="00d4437f"/>
    <w:pPr>
      <w:suppressLineNumbers/>
    </w:pPr>
    <w:rPr>
      <w:rFonts w:cs="Lohit Devanagari"/>
    </w:rPr>
  </w:style>
  <w:style w:type="paragraph" w:styleId="Ttulo11" w:customStyle="1">
    <w:name w:val="Título 11"/>
    <w:basedOn w:val="Standard"/>
    <w:next w:val="Standard"/>
    <w:qFormat/>
    <w:rsid w:val="00d4437f"/>
    <w:pPr>
      <w:keepNext w:val="true"/>
      <w:keepLines/>
      <w:spacing w:before="240" w:after="0"/>
      <w:outlineLvl w:val="0"/>
    </w:pPr>
    <w:rPr>
      <w:rFonts w:ascii="Cambria" w:hAnsi="Cambria"/>
      <w:color w:val="365F91"/>
      <w:sz w:val="32"/>
      <w:szCs w:val="32"/>
    </w:rPr>
  </w:style>
  <w:style w:type="paragraph" w:styleId="Ttulo21" w:customStyle="1">
    <w:name w:val="Título 21"/>
    <w:basedOn w:val="Standard"/>
    <w:next w:val="Standard"/>
    <w:qFormat/>
    <w:rsid w:val="00d4437f"/>
    <w:pPr>
      <w:keepNext w:val="true"/>
      <w:spacing w:lineRule="auto" w:line="240" w:before="240" w:after="60"/>
      <w:outlineLvl w:val="1"/>
    </w:pPr>
    <w:rPr>
      <w:rFonts w:ascii="Arial" w:hAnsi="Arial" w:eastAsia="Times New Roman" w:cs="Arial"/>
      <w:b/>
      <w:bCs/>
      <w:i/>
      <w:iCs/>
      <w:sz w:val="28"/>
      <w:szCs w:val="28"/>
    </w:rPr>
  </w:style>
  <w:style w:type="paragraph" w:styleId="Ttulo51" w:customStyle="1">
    <w:name w:val="Título 51"/>
    <w:basedOn w:val="Standard"/>
    <w:next w:val="Standard"/>
    <w:qFormat/>
    <w:rsid w:val="00d4437f"/>
    <w:pPr>
      <w:spacing w:lineRule="auto" w:line="240" w:before="240" w:after="60"/>
      <w:outlineLvl w:val="4"/>
    </w:pPr>
    <w:rPr>
      <w:rFonts w:eastAsia="Times New Roman" w:cs="Times New Roman"/>
      <w:b/>
      <w:bCs/>
      <w:i/>
      <w:iCs/>
      <w:sz w:val="26"/>
      <w:szCs w:val="26"/>
    </w:rPr>
  </w:style>
  <w:style w:type="paragraph" w:styleId="Ttulo1" w:customStyle="1">
    <w:name w:val="Título1"/>
    <w:basedOn w:val="Standard"/>
    <w:next w:val="Textbody"/>
    <w:qFormat/>
    <w:rsid w:val="00d4437f"/>
    <w:pPr>
      <w:keepNext w:val="true"/>
      <w:spacing w:before="240" w:after="120"/>
    </w:pPr>
    <w:rPr>
      <w:rFonts w:ascii="Liberation Sans" w:hAnsi="Liberation Sans" w:eastAsia="Noto Sans CJK SC" w:cs="Lohit Devanagari"/>
      <w:sz w:val="28"/>
      <w:szCs w:val="28"/>
    </w:rPr>
  </w:style>
  <w:style w:type="paragraph" w:styleId="Legenda1" w:customStyle="1">
    <w:name w:val="Legenda1"/>
    <w:basedOn w:val="Standard"/>
    <w:qFormat/>
    <w:rsid w:val="00d4437f"/>
    <w:pPr>
      <w:suppressLineNumbers/>
      <w:spacing w:before="120" w:after="120"/>
    </w:pPr>
    <w:rPr>
      <w:rFonts w:cs="Lohit Devanagari"/>
      <w:i/>
      <w:iCs/>
      <w:sz w:val="24"/>
      <w:szCs w:val="24"/>
    </w:rPr>
  </w:style>
  <w:style w:type="paragraph" w:styleId="Standard" w:customStyle="1">
    <w:name w:val="Standard"/>
    <w:qFormat/>
    <w:rsid w:val="00d4437f"/>
    <w:pPr>
      <w:widowControl/>
      <w:suppressAutoHyphens w:val="true"/>
      <w:bidi w:val="0"/>
      <w:spacing w:lineRule="auto" w:line="276" w:before="0" w:after="200"/>
      <w:jc w:val="left"/>
      <w:textAlignment w:val="baseline"/>
    </w:pPr>
    <w:rPr>
      <w:rFonts w:ascii="Calibri" w:hAnsi="Calibri" w:eastAsia="Calibri" w:cs="Tahoma"/>
      <w:color w:val="00000A"/>
      <w:kern w:val="2"/>
      <w:sz w:val="22"/>
      <w:szCs w:val="22"/>
      <w:lang w:bidi="ar-SA" w:val="pt-BR" w:eastAsia="zh-CN"/>
    </w:rPr>
  </w:style>
  <w:style w:type="paragraph" w:styleId="Textbody" w:customStyle="1">
    <w:name w:val="Text body"/>
    <w:basedOn w:val="Standard"/>
    <w:qFormat/>
    <w:rsid w:val="00d4437f"/>
    <w:pPr>
      <w:spacing w:lineRule="auto" w:line="240" w:before="0" w:after="120"/>
    </w:pPr>
    <w:rPr>
      <w:rFonts w:ascii="Times New Roman" w:hAnsi="Times New Roman" w:eastAsia="Times New Roman" w:cs="Times New Roman"/>
      <w:sz w:val="24"/>
      <w:szCs w:val="24"/>
    </w:rPr>
  </w:style>
  <w:style w:type="paragraph" w:styleId="Default" w:customStyle="1">
    <w:name w:val="Default"/>
    <w:qFormat/>
    <w:rsid w:val="00d4437f"/>
    <w:pPr>
      <w:widowControl/>
      <w:suppressAutoHyphens w:val="true"/>
      <w:bidi w:val="0"/>
      <w:spacing w:before="0" w:after="0"/>
      <w:jc w:val="left"/>
      <w:textAlignment w:val="baseline"/>
    </w:pPr>
    <w:rPr>
      <w:rFonts w:ascii="Times New Roman" w:hAnsi="Times New Roman" w:eastAsia="Calibri" w:cs="Times New Roman"/>
      <w:color w:val="000000"/>
      <w:kern w:val="2"/>
      <w:sz w:val="24"/>
      <w:szCs w:val="24"/>
      <w:lang w:bidi="ar-SA" w:val="pt-BR" w:eastAsia="zh-CN"/>
    </w:rPr>
  </w:style>
  <w:style w:type="paragraph" w:styleId="CabealhoeRodap" w:customStyle="1">
    <w:name w:val="Cabeçalho e Rodapé"/>
    <w:basedOn w:val="Standard"/>
    <w:qFormat/>
    <w:rsid w:val="00d4437f"/>
    <w:pPr/>
    <w:rPr/>
  </w:style>
  <w:style w:type="paragraph" w:styleId="Cabealho1" w:customStyle="1">
    <w:name w:val="Cabeçalho1"/>
    <w:basedOn w:val="Standard"/>
    <w:qFormat/>
    <w:rsid w:val="00d4437f"/>
    <w:pPr>
      <w:tabs>
        <w:tab w:val="clear" w:pos="408"/>
        <w:tab w:val="center" w:pos="4419" w:leader="none"/>
        <w:tab w:val="right" w:pos="8838" w:leader="none"/>
      </w:tabs>
      <w:spacing w:lineRule="auto" w:line="240" w:before="0" w:after="0"/>
    </w:pPr>
    <w:rPr>
      <w:rFonts w:ascii="Times New Roman" w:hAnsi="Times New Roman" w:eastAsia="Times New Roman" w:cs="Times New Roman"/>
      <w:sz w:val="24"/>
      <w:szCs w:val="24"/>
    </w:rPr>
  </w:style>
  <w:style w:type="paragraph" w:styleId="Nivel1" w:customStyle="1">
    <w:name w:val="Nivel1"/>
    <w:basedOn w:val="Ttulo11"/>
    <w:qFormat/>
    <w:rsid w:val="00d4437f"/>
    <w:pPr>
      <w:spacing w:before="480" w:after="120"/>
      <w:jc w:val="both"/>
    </w:pPr>
    <w:rPr>
      <w:rFonts w:ascii="Arial" w:hAnsi="Arial" w:eastAsia="MS Gothic" w:cs="Times New Roman"/>
      <w:b/>
      <w:color w:val="000000"/>
      <w:sz w:val="20"/>
      <w:szCs w:val="20"/>
    </w:rPr>
  </w:style>
  <w:style w:type="paragraph" w:styleId="BalloonText">
    <w:name w:val="Balloon Text"/>
    <w:basedOn w:val="Standard"/>
    <w:qFormat/>
    <w:rsid w:val="00d4437f"/>
    <w:pPr>
      <w:spacing w:lineRule="auto" w:line="240" w:before="0" w:after="0"/>
    </w:pPr>
    <w:rPr>
      <w:rFonts w:ascii="Segoe UI" w:hAnsi="Segoe UI" w:eastAsia="Segoe UI" w:cs="Segoe UI"/>
      <w:sz w:val="18"/>
      <w:szCs w:val="18"/>
    </w:rPr>
  </w:style>
  <w:style w:type="paragraph" w:styleId="BodyTextIndent2">
    <w:name w:val="Body Text Indent 2"/>
    <w:basedOn w:val="Standard"/>
    <w:qFormat/>
    <w:rsid w:val="00d4437f"/>
    <w:pPr>
      <w:spacing w:lineRule="auto" w:line="480" w:before="0" w:after="120"/>
      <w:ind w:left="283" w:hanging="0"/>
    </w:pPr>
    <w:rPr>
      <w:rFonts w:ascii="Arial" w:hAnsi="Arial" w:eastAsia="Times New Roman"/>
      <w:sz w:val="20"/>
      <w:szCs w:val="24"/>
    </w:rPr>
  </w:style>
  <w:style w:type="paragraph" w:styleId="ListParagraph">
    <w:name w:val="List Paragraph"/>
    <w:basedOn w:val="Standard"/>
    <w:qFormat/>
    <w:rsid w:val="00d4437f"/>
    <w:pPr>
      <w:spacing w:before="0" w:after="0"/>
      <w:ind w:left="720" w:hanging="0"/>
    </w:pPr>
    <w:rPr/>
  </w:style>
  <w:style w:type="paragraph" w:styleId="Western" w:customStyle="1">
    <w:name w:val="western"/>
    <w:basedOn w:val="Standard"/>
    <w:qFormat/>
    <w:rsid w:val="00d4437f"/>
    <w:pPr>
      <w:spacing w:lineRule="auto" w:line="240" w:before="280" w:after="0"/>
      <w:jc w:val="both"/>
    </w:pPr>
    <w:rPr>
      <w:rFonts w:ascii="Arial" w:hAnsi="Arial" w:eastAsia="Times New Roman" w:cs="Arial"/>
      <w:color w:val="000000"/>
      <w:sz w:val="24"/>
      <w:szCs w:val="24"/>
    </w:rPr>
  </w:style>
  <w:style w:type="paragraph" w:styleId="PargrafodaLista1" w:customStyle="1">
    <w:name w:val="Parágrafo da Lista1"/>
    <w:basedOn w:val="Standard"/>
    <w:qFormat/>
    <w:rsid w:val="00d4437f"/>
    <w:pPr>
      <w:spacing w:lineRule="auto" w:line="240" w:before="0" w:after="0"/>
      <w:ind w:left="720" w:firstLine="851"/>
      <w:jc w:val="both"/>
    </w:pPr>
    <w:rPr>
      <w:rFonts w:ascii="Arial" w:hAnsi="Arial" w:eastAsia="Times New Roman"/>
      <w:sz w:val="20"/>
      <w:szCs w:val="24"/>
    </w:rPr>
  </w:style>
  <w:style w:type="paragraph" w:styleId="Rodap1" w:customStyle="1">
    <w:name w:val="Rodapé1"/>
    <w:basedOn w:val="Standard"/>
    <w:qFormat/>
    <w:rsid w:val="00d4437f"/>
    <w:pPr>
      <w:tabs>
        <w:tab w:val="clear" w:pos="408"/>
        <w:tab w:val="center" w:pos="4252" w:leader="none"/>
        <w:tab w:val="right" w:pos="8504" w:leader="none"/>
      </w:tabs>
      <w:spacing w:lineRule="auto" w:line="240" w:before="0" w:after="0"/>
    </w:pPr>
    <w:rPr/>
  </w:style>
  <w:style w:type="paragraph" w:styleId="Style21" w:customStyle="1">
    <w:name w:val="Style 2"/>
    <w:basedOn w:val="Standard"/>
    <w:qFormat/>
    <w:rsid w:val="00d4437f"/>
    <w:pPr>
      <w:widowControl w:val="false"/>
      <w:spacing w:lineRule="auto" w:line="240" w:before="0" w:after="0"/>
      <w:ind w:left="2232" w:hanging="0"/>
    </w:pPr>
    <w:rPr>
      <w:rFonts w:ascii="Times New Roman" w:hAnsi="Times New Roman" w:eastAsia="Times New Roman" w:cs="Times New Roman"/>
      <w:sz w:val="23"/>
      <w:szCs w:val="23"/>
    </w:rPr>
  </w:style>
  <w:style w:type="paragraph" w:styleId="Style14" w:customStyle="1">
    <w:name w:val="Style 1"/>
    <w:basedOn w:val="Standard"/>
    <w:qFormat/>
    <w:rsid w:val="00d4437f"/>
    <w:pPr>
      <w:widowControl w:val="false"/>
      <w:spacing w:lineRule="auto" w:line="240" w:before="0" w:after="0"/>
    </w:pPr>
    <w:rPr>
      <w:rFonts w:ascii="Times New Roman" w:hAnsi="Times New Roman" w:eastAsia="Times New Roman" w:cs="Times New Roman"/>
      <w:sz w:val="20"/>
      <w:szCs w:val="20"/>
    </w:rPr>
  </w:style>
  <w:style w:type="paragraph" w:styleId="Contedodatabela" w:customStyle="1">
    <w:name w:val="Conteúdo da tabela"/>
    <w:basedOn w:val="Standard"/>
    <w:qFormat/>
    <w:rsid w:val="00d4437f"/>
    <w:pPr>
      <w:suppressLineNumbers/>
    </w:pPr>
    <w:rPr/>
  </w:style>
  <w:style w:type="paragraph" w:styleId="Ttulodetabela" w:customStyle="1">
    <w:name w:val="Título de tabela"/>
    <w:basedOn w:val="Contedodatabela"/>
    <w:qFormat/>
    <w:rsid w:val="00d4437f"/>
    <w:pPr>
      <w:jc w:val="center"/>
    </w:pPr>
    <w:rPr>
      <w:b/>
      <w:bCs/>
    </w:rPr>
  </w:style>
  <w:style w:type="paragraph" w:styleId="BI" w:customStyle="1">
    <w:name w:val="BI"/>
    <w:basedOn w:val="Standard"/>
    <w:qFormat/>
    <w:rsid w:val="00d4437f"/>
    <w:pPr>
      <w:tabs>
        <w:tab w:val="clear" w:pos="408"/>
        <w:tab w:val="left" w:pos="284" w:leader="none"/>
        <w:tab w:val="left" w:pos="567" w:leader="none"/>
        <w:tab w:val="left" w:pos="851" w:leader="none"/>
        <w:tab w:val="left" w:pos="1134" w:leader="none"/>
        <w:tab w:val="left" w:pos="1418" w:leader="none"/>
      </w:tabs>
      <w:jc w:val="both"/>
    </w:pPr>
    <w:rPr>
      <w:szCs w:val="20"/>
    </w:rPr>
  </w:style>
  <w:style w:type="paragraph" w:styleId="Tabelanormal1" w:customStyle="1">
    <w:name w:val="Tabela normal1"/>
    <w:qFormat/>
    <w:rsid w:val="009d2779"/>
    <w:pPr>
      <w:widowControl/>
      <w:suppressAutoHyphens w:val="true"/>
      <w:bidi w:val="0"/>
      <w:spacing w:before="0" w:after="0"/>
      <w:jc w:val="left"/>
    </w:pPr>
    <w:rPr>
      <w:rFonts w:ascii="Calibri" w:hAnsi="Calibri" w:eastAsia="Times New Roman" w:cs="Times New Roman"/>
      <w:color w:val="auto"/>
      <w:kern w:val="2"/>
      <w:sz w:val="22"/>
      <w:szCs w:val="22"/>
      <w:lang w:eastAsia="pt-BR" w:bidi="ar-SA" w:val="pt-BR"/>
    </w:rPr>
  </w:style>
  <w:style w:type="numbering" w:styleId="NoList" w:default="1">
    <w:name w:val="No List"/>
    <w:uiPriority w:val="99"/>
    <w:semiHidden/>
    <w:unhideWhenUsed/>
    <w:qFormat/>
  </w:style>
  <w:style w:type="numbering" w:styleId="WW8Num1" w:customStyle="1">
    <w:name w:val="WW8Num1"/>
    <w:qFormat/>
    <w:rsid w:val="00d4437f"/>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www.comprasgovernamentais.gov.br/"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E3CB61-A831-49D7-A0F3-5FEDA09EA7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LibreOffice/6.4.7.2$Linux_X86_64 LibreOffice_project/40$Build-2</Application>
  <Pages>10</Pages>
  <Words>2780</Words>
  <Characters>16283</Characters>
  <CharactersWithSpaces>18860</CharactersWithSpaces>
  <Paragraphs>235</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2024-08-19T17:39:00Z</dcterms:created>
  <dc:creator>sg461</dc:creator>
  <dc:description/>
  <dc:language>pt-BR</dc:language>
  <cp:lastModifiedBy/>
  <cp:lastPrinted>2024-04-25T14:38:00Z</cp:lastPrinted>
  <dcterms:modified xsi:type="dcterms:W3CDTF">2026-02-05T16:25:02Z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