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spacing w:before="120" w:after="120"/>
        <w:jc w:val="center"/>
        <w:rPr>
          <w:rFonts w:ascii="Times New Roman" w:hAnsi="Times New Roman" w:cs="Times New Roman"/>
          <w:color w:val="auto"/>
          <w:sz w:val="20"/>
          <w:szCs w:val="20"/>
        </w:rPr>
      </w:pPr>
      <w:r>
        <w:drawing>
          <wp:anchor behindDoc="0" distT="0" distB="0" distL="0" distR="0" simplePos="0" locked="0" layoutInCell="0" allowOverlap="1" relativeHeight="2">
            <wp:simplePos x="0" y="0"/>
            <wp:positionH relativeFrom="column">
              <wp:posOffset>2738755</wp:posOffset>
            </wp:positionH>
            <wp:positionV relativeFrom="paragraph">
              <wp:posOffset>323850</wp:posOffset>
            </wp:positionV>
            <wp:extent cx="809625" cy="905510"/>
            <wp:effectExtent l="0" t="0" r="0" b="0"/>
            <wp:wrapSquare wrapText="largest"/>
            <wp:docPr id="1" name="Imagem 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7" descr="" title=""/>
                    <pic:cNvPicPr>
                      <a:picLocks noChangeAspect="1" noChangeArrowheads="1"/>
                    </pic:cNvPicPr>
                  </pic:nvPicPr>
                  <pic:blipFill>
                    <a:blip r:embed="rId2">
                      <a:grayscl/>
                    </a:blip>
                    <a:srcRect l="-56" t="-51" r="-56" b="-51"/>
                    <a:stretch>
                      <a:fillRect/>
                    </a:stretch>
                  </pic:blipFill>
                  <pic:spPr bwMode="auto">
                    <a:xfrm>
                      <a:off x="0" y="0"/>
                      <a:ext cx="809625" cy="905510"/>
                    </a:xfrm>
                    <a:prstGeom prst="rect">
                      <a:avLst/>
                    </a:prstGeom>
                  </pic:spPr>
                </pic:pic>
              </a:graphicData>
            </a:graphic>
          </wp:anchor>
        </w:drawing>
      </w:r>
      <w:r>
        <w:rPr>
          <w:rFonts w:cs="Times New Roman" w:ascii="Times New Roman" w:hAnsi="Times New Roman"/>
          <w:color w:val="auto"/>
          <w:sz w:val="20"/>
          <w:szCs w:val="20"/>
        </w:rPr>
        <w:t>ANEXO A –  TERMO DE CREDENCIAMENTO HOSPITAIS E MATERNIDADES</w:t>
      </w:r>
    </w:p>
    <w:p>
      <w:pPr>
        <w:pStyle w:val="Normal"/>
        <w:widowControl w:val="false"/>
        <w:spacing w:before="6" w:after="6"/>
        <w:jc w:val="center"/>
        <w:rPr>
          <w:color w:val="auto"/>
        </w:rPr>
      </w:pPr>
      <w:r>
        <w:rPr>
          <w:color w:val="auto"/>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t>MINISTÉRIO DA DEFESA</w:t>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t>EXÉRCITO BRASILEIRO</w:t>
      </w:r>
    </w:p>
    <w:p>
      <w:pPr>
        <w:pStyle w:val="Normal"/>
        <w:widowControl w:val="false"/>
        <w:spacing w:lineRule="auto" w:line="240" w:before="0" w:after="0"/>
        <w:jc w:val="center"/>
        <w:rPr>
          <w:rFonts w:ascii="Times New Roman" w:hAnsi="Times New Roman" w:cs="Times New Roman"/>
          <w:b/>
          <w:bCs/>
          <w:color w:val="auto"/>
          <w:sz w:val="16"/>
          <w:szCs w:val="16"/>
        </w:rPr>
      </w:pPr>
      <w:r>
        <w:rPr>
          <w:rFonts w:cs="Times New Roman" w:ascii="Times New Roman" w:hAnsi="Times New Roman"/>
          <w:b/>
          <w:bCs/>
          <w:color w:val="auto"/>
          <w:sz w:val="16"/>
          <w:szCs w:val="16"/>
        </w:rPr>
        <w:t>HOSPITAL MILITAR DE RESENDE</w:t>
      </w:r>
    </w:p>
    <w:p>
      <w:pPr>
        <w:pStyle w:val="Normal"/>
        <w:widowControl w:val="false"/>
        <w:spacing w:before="120" w:after="120"/>
        <w:jc w:val="both"/>
        <w:rPr>
          <w:rFonts w:ascii="Ecofont_Spranq_eco_Sans" w:hAnsi="Ecofont_Spranq_eco_Sans" w:cs="Times New Roman"/>
          <w:color w:val="auto"/>
          <w:sz w:val="20"/>
          <w:szCs w:val="20"/>
          <w:u w:val="none"/>
          <w:shd w:fill="auto" w:val="clear"/>
        </w:rPr>
      </w:pPr>
      <w:r>
        <w:rPr>
          <w:rFonts w:cs="Times New Roman" w:ascii="Ecofont_Spranq_eco_Sans" w:hAnsi="Ecofont_Spranq_eco_Sans"/>
          <w:color w:val="000000"/>
          <w:sz w:val="20"/>
          <w:szCs w:val="20"/>
          <w:u w:val="none"/>
          <w:shd w:fill="auto" w:val="clear"/>
        </w:rPr>
      </w:r>
    </w:p>
    <w:p>
      <w:pPr>
        <w:pStyle w:val="Normal"/>
        <w:widowControl w:val="false"/>
        <w:spacing w:before="120" w:after="120"/>
        <w:ind w:hanging="0" w:start="3686" w:end="0"/>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CONTRATANTE: UNIÃO/ MINISTÉRIO DA DEFESA/EXÉRCITO BRASILEIRO/ HOSPITAL MILITAR DE RESENDE</w:t>
      </w:r>
    </w:p>
    <w:p>
      <w:pPr>
        <w:pStyle w:val="Normal"/>
        <w:widowControl w:val="false"/>
        <w:spacing w:before="120" w:after="120"/>
        <w:ind w:hanging="0" w:start="3686" w:end="0"/>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CREDENCIADO: Hospitais e Maternidades.</w:t>
      </w:r>
    </w:p>
    <w:p>
      <w:pPr>
        <w:pStyle w:val="Normal"/>
        <w:widowControl w:val="false"/>
        <w:tabs>
          <w:tab w:val="clear" w:pos="680"/>
          <w:tab w:val="left" w:pos="6640" w:leader="none"/>
          <w:tab w:val="left" w:pos="7800" w:leader="none"/>
          <w:tab w:val="left" w:pos="8280" w:leader="none"/>
          <w:tab w:val="left" w:pos="9340" w:leader="none"/>
          <w:tab w:val="left" w:pos="9800" w:leader="none"/>
        </w:tabs>
        <w:spacing w:before="120" w:after="120"/>
        <w:ind w:hanging="0" w:start="3686" w:end="0"/>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OBJETO: Prestação de serviços de assistência médico-hospitalar.</w:t>
      </w:r>
    </w:p>
    <w:p>
      <w:pPr>
        <w:pStyle w:val="Normal"/>
        <w:widowControl w:val="false"/>
        <w:spacing w:before="120" w:after="120"/>
        <w:ind w:hanging="0" w:start="3686" w:end="0"/>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NATUREZA: Ostensiva.</w:t>
      </w:r>
    </w:p>
    <w:p>
      <w:pPr>
        <w:pStyle w:val="Normal"/>
        <w:widowControl w:val="false"/>
        <w:spacing w:before="120" w:after="120"/>
        <w:ind w:hanging="0" w:start="3686" w:end="0"/>
        <w:jc w:val="both"/>
        <w:rPr>
          <w:color w:val="auto"/>
          <w:u w:val="none"/>
          <w:shd w:fill="auto" w:val="clear"/>
        </w:rPr>
      </w:pPr>
      <w:r>
        <w:rPr>
          <w:rFonts w:cs="Times New Roman" w:ascii="Times New Roman" w:hAnsi="Times New Roman"/>
          <w:color w:val="000000"/>
          <w:sz w:val="20"/>
          <w:szCs w:val="20"/>
          <w:u w:val="none"/>
          <w:shd w:fill="auto" w:val="clear"/>
        </w:rPr>
        <w:t xml:space="preserve">VIGÊNCIA: </w:t>
      </w:r>
      <w:r>
        <w:rPr>
          <w:rFonts w:cs="Times New Roman" w:ascii="Times New Roman" w:hAnsi="Times New Roman"/>
          <w:color w:val="000000"/>
          <w:sz w:val="20"/>
          <w:szCs w:val="20"/>
          <w:u w:val="none"/>
          <w:shd w:fill="auto" w:val="clear"/>
          <w:lang w:val="pt-BR"/>
        </w:rPr>
        <w:t xml:space="preserve">___/____/______ a </w:t>
      </w:r>
      <w:r>
        <w:rPr>
          <w:rFonts w:cs="Times New Roman" w:ascii="Times New Roman" w:hAnsi="Times New Roman"/>
          <w:color w:val="000000"/>
          <w:sz w:val="20"/>
          <w:szCs w:val="20"/>
          <w:u w:val="none"/>
          <w:shd w:fill="auto" w:val="clear"/>
          <w:lang w:val="pt-BR"/>
        </w:rPr>
        <w:t>___/____/______</w:t>
      </w:r>
    </w:p>
    <w:p>
      <w:pPr>
        <w:pStyle w:val="Normal"/>
        <w:widowControl w:val="false"/>
        <w:spacing w:before="120" w:after="120"/>
        <w:ind w:hanging="0" w:start="3686" w:end="0"/>
        <w:jc w:val="both"/>
        <w:rPr>
          <w:color w:val="auto"/>
          <w:u w:val="none"/>
          <w:shd w:fill="auto" w:val="clear"/>
        </w:rPr>
      </w:pPr>
      <w:r>
        <w:rPr>
          <w:rFonts w:cs="Times New Roman" w:ascii="Times New Roman" w:hAnsi="Times New Roman"/>
          <w:color w:val="000000"/>
          <w:sz w:val="20"/>
          <w:szCs w:val="20"/>
          <w:u w:val="none"/>
          <w:shd w:fill="auto" w:val="clear"/>
        </w:rPr>
        <w:t xml:space="preserve">VALOR ESTIMADO: </w:t>
      </w:r>
      <w:r>
        <w:rPr>
          <w:rFonts w:cs="Times New Roman" w:ascii="Times New Roman" w:hAnsi="Times New Roman"/>
          <w:color w:val="000000"/>
          <w:sz w:val="20"/>
          <w:szCs w:val="20"/>
          <w:u w:val="none"/>
          <w:shd w:fill="auto" w:val="clear"/>
          <w:lang w:val="pt-BR"/>
        </w:rPr>
        <w:t xml:space="preserve">R$ </w:t>
      </w:r>
      <w:r>
        <w:rPr>
          <w:rFonts w:cs="Times New Roman" w:ascii="Times New Roman" w:hAnsi="Times New Roman"/>
          <w:color w:val="FFFFFF"/>
          <w:sz w:val="20"/>
          <w:szCs w:val="20"/>
          <w:u w:val="none"/>
          <w:shd w:fill="FF3838" w:val="clear"/>
          <w:lang w:val="pt-BR"/>
        </w:rPr>
        <w:t>xxxxxxxxxxxxxx</w:t>
      </w:r>
    </w:p>
    <w:p>
      <w:pPr>
        <w:pStyle w:val="Normal"/>
        <w:widowControl w:val="false"/>
        <w:spacing w:before="120" w:after="120"/>
        <w:ind w:hanging="0" w:start="3686" w:end="0"/>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REGIME DE EXECUÇÃO: indireta, empreitada por preço unitário.</w:t>
      </w:r>
    </w:p>
    <w:p>
      <w:pPr>
        <w:pStyle w:val="Normal"/>
        <w:widowControl w:val="false"/>
        <w:spacing w:before="120" w:after="120"/>
        <w:ind w:hanging="0" w:start="3686" w:end="0"/>
        <w:jc w:val="both"/>
        <w:rPr>
          <w:color w:val="auto"/>
          <w:u w:val="none"/>
          <w:shd w:fill="auto" w:val="clear"/>
        </w:rPr>
      </w:pPr>
      <w:r>
        <w:rPr>
          <w:rFonts w:cs="Times New Roman" w:ascii="Times New Roman" w:hAnsi="Times New Roman"/>
          <w:color w:val="000000"/>
          <w:sz w:val="20"/>
          <w:szCs w:val="20"/>
          <w:u w:val="none"/>
          <w:shd w:fill="auto" w:val="clear"/>
        </w:rPr>
        <w:t xml:space="preserve">PROCESSO Nº: </w:t>
      </w:r>
      <w:r>
        <w:rPr>
          <w:rFonts w:cs="Times New Roman" w:ascii="Times New Roman" w:hAnsi="Times New Roman"/>
          <w:b w:val="false"/>
          <w:bCs w:val="false"/>
          <w:strike w:val="false"/>
          <w:dstrike w:val="false"/>
          <w:color w:val="FFFFFF"/>
          <w:sz w:val="20"/>
          <w:szCs w:val="20"/>
          <w:u w:val="none"/>
          <w:shd w:fill="FF3838" w:val="clear"/>
          <w:lang w:val="pt-BR"/>
        </w:rPr>
        <w:t>xxxxx.xxxxxx/xxxx-xx</w:t>
      </w:r>
      <w:r>
        <w:rPr>
          <w:rFonts w:cs="Times New Roman" w:ascii="Times New Roman" w:hAnsi="Times New Roman"/>
          <w:b w:val="false"/>
          <w:bCs w:val="false"/>
          <w:strike w:val="false"/>
          <w:dstrike w:val="false"/>
          <w:color w:val="FFFFFF"/>
          <w:sz w:val="20"/>
          <w:szCs w:val="20"/>
          <w:u w:val="none"/>
          <w:shd w:fill="FF3838" w:val="clear"/>
          <w:lang w:val="pt-BR"/>
        </w:rPr>
        <w:t>.</w:t>
      </w:r>
    </w:p>
    <w:p>
      <w:pPr>
        <w:pStyle w:val="Normal"/>
        <w:widowControl w:val="false"/>
        <w:spacing w:before="120" w:after="120"/>
        <w:ind w:hanging="0" w:start="3686" w:end="0"/>
        <w:jc w:val="both"/>
        <w:rPr>
          <w:color w:val="auto"/>
          <w:u w:val="none"/>
          <w:shd w:fill="auto" w:val="clear"/>
        </w:rPr>
      </w:pPr>
      <w:r>
        <w:rPr>
          <w:rFonts w:cs="Times New Roman" w:ascii="Times New Roman" w:hAnsi="Times New Roman"/>
          <w:color w:val="000000"/>
          <w:sz w:val="20"/>
          <w:szCs w:val="20"/>
          <w:u w:val="none"/>
          <w:shd w:fill="auto" w:val="clear"/>
          <w:lang w:val="pt-BR"/>
        </w:rPr>
        <w:t>TERMO DE CREDENCIAMENTO Nº___/20___, originado do Processo de Inexigibilidad</w:t>
      </w:r>
      <w:r>
        <w:rPr>
          <w:rFonts w:cs="Times New Roman" w:ascii="Times New Roman" w:hAnsi="Times New Roman"/>
          <w:color w:val="000000"/>
          <w:sz w:val="20"/>
          <w:szCs w:val="20"/>
          <w:u w:val="none"/>
          <w:shd w:fill="FFFFFF" w:val="clear"/>
          <w:lang w:val="pt-BR"/>
        </w:rPr>
        <w:t>e nº ___/20___ - H Mil Resende, do Edital de Credenciamento nº 1/20</w:t>
      </w:r>
      <w:r>
        <w:rPr>
          <w:rFonts w:cs="Times New Roman" w:ascii="Times New Roman" w:hAnsi="Times New Roman"/>
          <w:color w:val="000000"/>
          <w:sz w:val="20"/>
          <w:szCs w:val="20"/>
          <w:u w:val="none"/>
          <w:shd w:fill="FFFFFF" w:val="clear"/>
          <w:lang w:val="pt-BR"/>
        </w:rPr>
        <w:t>20/</w:t>
      </w:r>
      <w:r>
        <w:rPr>
          <w:rFonts w:cs="Times New Roman" w:ascii="Times New Roman" w:hAnsi="Times New Roman"/>
          <w:color w:val="000000"/>
          <w:sz w:val="20"/>
          <w:szCs w:val="20"/>
          <w:u w:val="none"/>
          <w:shd w:fill="FFFFFF" w:val="clear"/>
          <w:lang w:val="pt-BR"/>
        </w:rPr>
        <w:t>202</w:t>
      </w:r>
      <w:r>
        <w:rPr>
          <w:rFonts w:cs="Times New Roman" w:ascii="Times New Roman" w:hAnsi="Times New Roman"/>
          <w:color w:val="000000"/>
          <w:sz w:val="20"/>
          <w:szCs w:val="20"/>
          <w:u w:val="none"/>
          <w:shd w:fill="FFFFFF" w:val="clear"/>
          <w:lang w:val="pt-BR"/>
        </w:rPr>
        <w:t>3</w:t>
      </w:r>
      <w:r>
        <w:rPr>
          <w:rFonts w:cs="Times New Roman" w:ascii="Times New Roman" w:hAnsi="Times New Roman"/>
          <w:color w:val="000000"/>
          <w:sz w:val="20"/>
          <w:szCs w:val="20"/>
          <w:u w:val="none"/>
          <w:shd w:fill="FFFFFF" w:val="clear"/>
          <w:lang w:val="pt-BR"/>
        </w:rPr>
        <w:t xml:space="preserve"> – H Mil Resende</w:t>
      </w:r>
      <w:r>
        <w:rPr>
          <w:rFonts w:cs="Times New Roman" w:ascii="Times New Roman" w:hAnsi="Times New Roman"/>
          <w:color w:val="000000"/>
          <w:sz w:val="20"/>
          <w:szCs w:val="20"/>
          <w:u w:val="none"/>
          <w:shd w:fill="auto" w:val="clear"/>
          <w:lang w:val="pt-BR"/>
        </w:rPr>
        <w:t>.</w:t>
      </w:r>
      <w:r>
        <w:rPr>
          <w:rFonts w:cs="Times New Roman" w:ascii="Times New Roman" w:hAnsi="Times New Roman"/>
          <w:color w:val="000000"/>
          <w:sz w:val="20"/>
          <w:szCs w:val="20"/>
          <w:u w:val="none"/>
          <w:shd w:fill="auto" w:val="clear"/>
        </w:rPr>
        <w:t xml:space="preserve"> </w:t>
      </w:r>
    </w:p>
    <w:p>
      <w:pPr>
        <w:pStyle w:val="Normal"/>
        <w:widowControl w:val="false"/>
        <w:spacing w:before="120" w:after="120"/>
        <w:ind w:hanging="0" w:start="3686" w:end="0"/>
        <w:jc w:val="both"/>
        <w:rPr>
          <w:rFonts w:ascii="Times New Roman" w:hAnsi="Times New Roman" w:cs="Times New Roman"/>
          <w:color w:val="CE181E"/>
          <w:sz w:val="20"/>
          <w:szCs w:val="20"/>
          <w:u w:val="none"/>
          <w:shd w:fill="auto" w:val="clear"/>
        </w:rPr>
      </w:pPr>
      <w:r>
        <w:rPr>
          <w:rFonts w:cs="Times New Roman" w:ascii="Times New Roman" w:hAnsi="Times New Roman"/>
          <w:color w:val="CE181E"/>
          <w:sz w:val="20"/>
          <w:szCs w:val="20"/>
          <w:u w:val="none"/>
          <w:shd w:fill="auto" w:val="clear"/>
        </w:rPr>
      </w:r>
    </w:p>
    <w:p>
      <w:pPr>
        <w:pStyle w:val="Normal"/>
        <w:widowControl w:val="false"/>
        <w:spacing w:before="0" w:after="113"/>
        <w:jc w:val="both"/>
        <w:rPr>
          <w:color w:val="auto"/>
          <w:u w:val="none"/>
          <w:shd w:fill="auto" w:val="clear"/>
        </w:rPr>
      </w:pPr>
      <w:r>
        <w:rPr>
          <w:rFonts w:cs="Times New Roman" w:ascii="Times New Roman" w:hAnsi="Times New Roman"/>
          <w:b w:val="false"/>
          <w:bCs w:val="false"/>
          <w:color w:val="000000"/>
          <w:sz w:val="20"/>
          <w:szCs w:val="20"/>
          <w:u w:val="none"/>
          <w:shd w:fill="auto" w:val="clear"/>
          <w:lang w:val="pt-BR"/>
        </w:rPr>
        <w:t xml:space="preserve">A União, entidade de direito público interno, por intermédio do HOSPITAL MILITAR DE RESENDE, órgão do Ministério da Defesa - Exército Brasileiro, com sede na Rodovia Presidente Dutra, km 312, Resende/RJ – CEP 27534-970, inscrita no CNPJ sob o nº 09.625.665/0001-65, para recurso do Tesouro Nacional, e do CNPJ nº 09.625.665/0002-46, para recurso do Fundo do Exército, </w:t>
      </w:r>
      <w:r>
        <w:rPr>
          <w:rFonts w:cs="Times New Roman" w:ascii="Times New Roman" w:hAnsi="Times New Roman"/>
          <w:b w:val="false"/>
          <w:bCs w:val="false"/>
          <w:strike w:val="false"/>
          <w:dstrike w:val="false"/>
          <w:color w:val="000000"/>
          <w:sz w:val="20"/>
          <w:szCs w:val="20"/>
          <w:u w:val="none"/>
          <w:shd w:fill="auto" w:val="clear"/>
          <w:lang w:val="pt-BR"/>
        </w:rPr>
        <w:t>neste ato representado pel</w:t>
      </w:r>
      <w:r>
        <w:rPr>
          <w:rFonts w:cs="Times New Roman" w:ascii="Times New Roman" w:hAnsi="Times New Roman"/>
          <w:b w:val="false"/>
          <w:bCs w:val="false"/>
          <w:strike w:val="false"/>
          <w:dstrike w:val="false"/>
          <w:color w:val="000000"/>
          <w:sz w:val="20"/>
          <w:szCs w:val="20"/>
          <w:u w:val="none"/>
          <w:shd w:fill="auto" w:val="clear"/>
          <w:lang w:val="pt-BR"/>
        </w:rPr>
        <w:t xml:space="preserve">o </w:t>
      </w:r>
      <w:r>
        <w:rPr>
          <w:rFonts w:cs="Times New Roman" w:ascii="Times New Roman" w:hAnsi="Times New Roman"/>
          <w:b w:val="false"/>
          <w:bCs w:val="false"/>
          <w:strike w:val="false"/>
          <w:dstrike w:val="false"/>
          <w:color w:val="000000"/>
          <w:sz w:val="20"/>
          <w:szCs w:val="20"/>
          <w:u w:val="none"/>
          <w:shd w:fill="auto" w:val="clear"/>
          <w:lang w:val="pt-BR"/>
        </w:rPr>
        <w:t xml:space="preserve">Coronel </w:t>
      </w:r>
      <w:r>
        <w:rPr>
          <w:rFonts w:cs="Times New Roman" w:ascii="Times New Roman" w:hAnsi="Times New Roman"/>
          <w:b w:val="false"/>
          <w:bCs w:val="false"/>
          <w:strike w:val="false"/>
          <w:dstrike w:val="false"/>
          <w:color w:val="000000"/>
          <w:sz w:val="20"/>
          <w:szCs w:val="20"/>
          <w:u w:val="none"/>
          <w:shd w:fill="auto" w:val="clear"/>
          <w:lang w:val="pt-BR"/>
        </w:rPr>
        <w:t>RENATA CRISTINA DE ALMEIDA MARTINS SCHMIDT</w:t>
      </w:r>
      <w:r>
        <w:rPr>
          <w:rFonts w:cs="Times New Roman" w:ascii="Times New Roman" w:hAnsi="Times New Roman"/>
          <w:b w:val="false"/>
          <w:bCs w:val="false"/>
          <w:strike w:val="false"/>
          <w:dstrike w:val="false"/>
          <w:color w:val="000000"/>
          <w:sz w:val="20"/>
          <w:szCs w:val="20"/>
          <w:u w:val="none"/>
          <w:shd w:fill="auto" w:val="clear"/>
          <w:lang w:val="pt-BR"/>
        </w:rPr>
        <w:t xml:space="preserve">, nomeada como Ordenador de Despesas e Diretor do H Mil Resende, por intermédio da Portaria nº 730, de 23 de maio de 2024, publicada no DOU nº 100 de 24 de maio de 2024, Carteira de Identidade nº </w:t>
      </w:r>
      <w:r>
        <w:rPr>
          <w:rFonts w:cs="Times New Roman" w:ascii="Times New Roman" w:hAnsi="Times New Roman"/>
          <w:b w:val="false"/>
          <w:bCs w:val="false"/>
          <w:strike w:val="false"/>
          <w:dstrike w:val="false"/>
          <w:color w:val="000000"/>
          <w:sz w:val="20"/>
          <w:szCs w:val="20"/>
          <w:u w:val="none"/>
          <w:shd w:fill="auto" w:val="clear"/>
          <w:lang w:val="pt-BR"/>
        </w:rPr>
        <w:t>xxxxxxxxxxxxxx</w:t>
      </w:r>
      <w:r>
        <w:rPr>
          <w:rFonts w:cs="Times New Roman" w:ascii="Times New Roman" w:hAnsi="Times New Roman"/>
          <w:b w:val="false"/>
          <w:bCs w:val="false"/>
          <w:strike w:val="false"/>
          <w:dstrike w:val="false"/>
          <w:color w:val="000000"/>
          <w:sz w:val="20"/>
          <w:szCs w:val="20"/>
          <w:u w:val="none"/>
          <w:shd w:fill="auto" w:val="clear"/>
          <w:lang w:val="pt-BR"/>
        </w:rPr>
        <w:t>, expedida pelo Serviço de Identificação do Exército Brasileiro, doravante denominada</w:t>
      </w:r>
      <w:r>
        <w:rPr>
          <w:rFonts w:cs="Times New Roman" w:ascii="Times New Roman" w:hAnsi="Times New Roman"/>
          <w:b w:val="false"/>
          <w:bCs w:val="false"/>
          <w:strike w:val="false"/>
          <w:dstrike w:val="false"/>
          <w:color w:val="000000"/>
          <w:sz w:val="20"/>
          <w:szCs w:val="20"/>
          <w:u w:val="none"/>
          <w:shd w:fill="auto" w:val="clear"/>
          <w:lang w:val="pt-BR"/>
        </w:rPr>
        <w:t xml:space="preserve"> </w:t>
      </w:r>
      <w:r>
        <w:rPr>
          <w:rFonts w:cs="Times New Roman" w:ascii="Times New Roman" w:hAnsi="Times New Roman"/>
          <w:b/>
          <w:bCs/>
          <w:color w:val="000000"/>
          <w:sz w:val="20"/>
          <w:szCs w:val="20"/>
          <w:u w:val="none"/>
          <w:shd w:fill="auto" w:val="clear"/>
          <w:lang w:val="pt-BR"/>
        </w:rPr>
        <w:t>CREDENCIANTE</w:t>
      </w:r>
      <w:r>
        <w:rPr>
          <w:rFonts w:cs="Times New Roman" w:ascii="Times New Roman" w:hAnsi="Times New Roman"/>
          <w:color w:val="000000"/>
          <w:sz w:val="20"/>
          <w:szCs w:val="20"/>
          <w:u w:val="none"/>
          <w:shd w:fill="auto" w:val="clear"/>
          <w:lang w:val="pt-BR"/>
        </w:rPr>
        <w:t xml:space="preserve">, e de outro lado a Organização Civil de Saúde _________________________, inscrita no CNPJ sob o nº _______________, estabelecida à Rua_________________, Bairro __________, neste ato representado pelo Sr Diretor___________, portador da cédula de identidade nº __________expedida pela </w:t>
      </w:r>
      <w:r>
        <w:rPr>
          <w:rFonts w:cs="Times New Roman" w:ascii="Times New Roman" w:hAnsi="Times New Roman"/>
          <w:color w:val="000000"/>
          <w:sz w:val="20"/>
          <w:szCs w:val="20"/>
          <w:u w:val="none"/>
          <w:shd w:fill="auto" w:val="clear"/>
          <w:lang w:val="pt-BR"/>
        </w:rPr>
        <w:t>________________</w:t>
      </w:r>
      <w:r>
        <w:rPr>
          <w:rFonts w:cs="Times New Roman" w:ascii="Times New Roman" w:hAnsi="Times New Roman"/>
          <w:color w:val="000000"/>
          <w:sz w:val="20"/>
          <w:szCs w:val="20"/>
          <w:u w:val="none"/>
          <w:shd w:fill="auto" w:val="clear"/>
          <w:lang w:val="pt-BR"/>
        </w:rPr>
        <w:t xml:space="preserve">, inscrito no CPF sob o nº_____________, residente e domiciliado nesta cidade, doravante denominado </w:t>
      </w:r>
      <w:r>
        <w:rPr>
          <w:rFonts w:cs="Times New Roman" w:ascii="Times New Roman" w:hAnsi="Times New Roman"/>
          <w:b/>
          <w:bCs/>
          <w:color w:val="000000"/>
          <w:sz w:val="20"/>
          <w:szCs w:val="20"/>
          <w:u w:val="none"/>
          <w:shd w:fill="auto" w:val="clear"/>
          <w:lang w:val="pt-BR"/>
        </w:rPr>
        <w:t>CREDENCIADO</w:t>
      </w:r>
      <w:r>
        <w:rPr>
          <w:rFonts w:cs="Times New Roman" w:ascii="Times New Roman" w:hAnsi="Times New Roman"/>
          <w:color w:val="000000"/>
          <w:sz w:val="20"/>
          <w:szCs w:val="20"/>
          <w:u w:val="none"/>
          <w:shd w:fill="auto" w:val="clear"/>
          <w:lang w:val="pt-BR"/>
        </w:rPr>
        <w:t xml:space="preserve">, têm entre si justo e </w:t>
      </w:r>
      <w:r>
        <w:rPr>
          <w:rFonts w:cs="Times New Roman" w:ascii="Times New Roman" w:hAnsi="Times New Roman"/>
          <w:b/>
          <w:bCs/>
          <w:color w:val="000000"/>
          <w:sz w:val="20"/>
          <w:szCs w:val="20"/>
          <w:u w:val="none"/>
          <w:shd w:fill="auto" w:val="clear"/>
          <w:lang w:val="pt-BR"/>
        </w:rPr>
        <w:t>CREDENCIADO</w:t>
      </w:r>
      <w:r>
        <w:rPr>
          <w:rFonts w:cs="Times New Roman" w:ascii="Times New Roman" w:hAnsi="Times New Roman"/>
          <w:color w:val="000000"/>
          <w:sz w:val="20"/>
          <w:szCs w:val="20"/>
          <w:u w:val="none"/>
          <w:shd w:fill="auto" w:val="clear"/>
          <w:lang w:val="pt-BR"/>
        </w:rPr>
        <w:t>, nos termos da seguinte legislação infraconstitucional</w:t>
      </w:r>
      <w:r>
        <w:rPr>
          <w:rFonts w:cs="Times New Roman" w:ascii="Times New Roman" w:hAnsi="Times New Roman"/>
          <w:color w:val="000000"/>
          <w:sz w:val="20"/>
          <w:szCs w:val="20"/>
          <w:u w:val="none"/>
          <w:shd w:fill="auto" w:val="clear"/>
        </w:rPr>
        <w:t xml:space="preserve"> constante do Edital de Credenciamento</w:t>
      </w:r>
      <w:r>
        <w:rPr>
          <w:rFonts w:ascii="Times New Roman" w:hAnsi="Times New Roman"/>
          <w:color w:val="000000"/>
          <w:sz w:val="20"/>
          <w:szCs w:val="20"/>
          <w:u w:val="none"/>
          <w:shd w:fill="auto" w:val="clear"/>
        </w:rPr>
        <w:t xml:space="preserve">, </w:t>
      </w:r>
      <w:r>
        <w:rPr>
          <w:rFonts w:cs="Times New Roman" w:ascii="Times New Roman" w:hAnsi="Times New Roman"/>
          <w:color w:val="000000"/>
          <w:sz w:val="20"/>
          <w:szCs w:val="20"/>
          <w:u w:val="none"/>
          <w:shd w:fill="auto" w:val="clear"/>
        </w:rPr>
        <w:t>que integram o presente Termo de Credenciamento, que será regido pelas seguintes cláusulas e condições estipuladas:</w:t>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PRIMEIRA - Do objeto.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t xml:space="preserve">O presente Termo de Credenciamento tem por objeto a prestação de serviços de assistência médico-hospitalar aos beneficiários do Sistema de Assistência Médico-Hospitalar aos Militares do Exército, seus dependentes e pensionistas (SAMMED/FuSEx), bem como aos beneficiários do Programa de Assistência à Saúde dos Servidores Civis do Exército Brasileiro (PASS), compreendendo atendimentos ambulatoriais, hospitalares, cirúrgicos, obstétricos, de urgência e emergência, exames complementares, procedimentos diagnósticos e terapêuticos e demais serviços constantes do Edital de Credenciamento, do Termo de Referência e de seus Anexos. </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t xml:space="preserve">Os serviços serão prestados nas instalações do CREDENCIADO, observadas as condições, requisitos técnicos, critérios de encaminhamento, autorizações, cobertura assistencial, remuneração, auditoria e demais disposições estabelecidas neste Termo de Credenciamento, no Edital, no Termo de Referência e em seus Anexos. </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t xml:space="preserve">A execução dos serviços observará a legislação vigente, as normas técnicas aplicáveis, os protocolos assistenciais adotados pela CREDENCIANTE e as diretrizes do Departamento-Geral do Pessoal (DGP), da Diretoria de Saúde (DSau) e demais normas aplicáveis ao Sistema de Saúde do Exército Brasileiro </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t xml:space="preserve">O objeto contratual compreende a prestação dos serviços de assistência médico-hospitalar previstos no Edital, no Termo de Referência e em seus Anexos, abrangendo, dentre outros, atendimentos ambulatoriais, hospitalares, de urgência e emergência, cirúrgicos, obstétricos, diagnósticos, terapêuticos e demais procedimentos compatíveis com a natureza do credenciamento. </w:t>
      </w:r>
    </w:p>
    <w:p>
      <w:pPr>
        <w:pStyle w:val="ListParagraph"/>
        <w:widowControl w:val="false"/>
        <w:numPr>
          <w:ilvl w:val="0"/>
          <w:numId w:val="0"/>
        </w:numPr>
        <w:spacing w:before="0" w:after="113"/>
        <w:ind w:hanging="0" w:start="1418"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SEGUNDA - Da vinculação ao edital.</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presente Termo de Credenciamento vincula-se ao Edital de Credenciamento nº 01/2026 do Hospital Militar de Resende, ao respectivo Termo de Referência e seus Anexos, bem como à documentação apresentada pelo CREDENCIADO para fins de habilitação, que passam a integrar este instrumento, independentemente de transcrição, prevalecendo suas disposições em caso de omissão.</w:t>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r>
    </w:p>
    <w:p>
      <w:pPr>
        <w:pStyle w:val="Normal"/>
        <w:widowControl w:val="false"/>
        <w:spacing w:before="0" w:after="113"/>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TERCEIRA – Do fundamento legal.</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presente Termo de Credenciamento decorre do Edital de Credenciamento nº 01/2026 do Hospital Militar de Resende e fundamenta-se no art. 79, inciso I, da Lei nº 14.133, de 1º de abril de 2021, bem como nas disposições do Decreto nº 11.878, de 9 de janeiro de 2024, e demais normas aplicáveis à espécie.</w:t>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eastAsia="Calibri" w:cs="Times New Roman"/>
          <w:b/>
          <w:color w:val="auto"/>
          <w:sz w:val="20"/>
          <w:szCs w:val="20"/>
          <w:u w:val="none"/>
          <w:shd w:fill="auto" w:val="clear"/>
          <w:lang w:val="pt-BR" w:eastAsia="pt-BR" w:bidi="ar-SA"/>
        </w:rPr>
      </w:pPr>
      <w:r>
        <w:rPr>
          <w:rFonts w:eastAsia="Calibri" w:cs="Times New Roman" w:ascii="Times New Roman" w:hAnsi="Times New Roman"/>
          <w:b/>
          <w:color w:val="000000"/>
          <w:sz w:val="20"/>
          <w:szCs w:val="20"/>
          <w:u w:val="none"/>
          <w:shd w:fill="auto" w:val="clear"/>
          <w:lang w:val="pt-BR" w:eastAsia="pt-BR" w:bidi="ar-SA"/>
        </w:rPr>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eastAsia="Calibri" w:cs="Times New Roman"/>
          <w:b/>
          <w:color w:val="auto"/>
          <w:sz w:val="20"/>
          <w:szCs w:val="20"/>
          <w:u w:val="none"/>
          <w:shd w:fill="auto" w:val="clear"/>
          <w:lang w:val="pt-BR" w:eastAsia="pt-BR" w:bidi="ar-SA"/>
        </w:rPr>
      </w:pPr>
      <w:r>
        <w:rPr>
          <w:rFonts w:eastAsia="Calibri" w:cs="Times New Roman" w:ascii="Times New Roman" w:hAnsi="Times New Roman"/>
          <w:b/>
          <w:color w:val="000000"/>
          <w:sz w:val="20"/>
          <w:szCs w:val="20"/>
          <w:u w:val="none"/>
          <w:shd w:fill="auto" w:val="clear"/>
          <w:lang w:val="pt-BR" w:eastAsia="pt-BR" w:bidi="ar-SA"/>
        </w:rPr>
        <w:t>CLÁUSULA QUARTA - Do regime de execução.</w:t>
      </w:r>
    </w:p>
    <w:p>
      <w:pPr>
        <w:pStyle w:val="BodyText"/>
        <w:widowControl w:val="false"/>
        <w:numPr>
          <w:ilvl w:val="0"/>
          <w:numId w:val="1"/>
        </w:numPr>
        <w:bidi w:val="0"/>
        <w:spacing w:lineRule="auto" w:line="276" w:before="0" w:after="113"/>
        <w:ind w:hanging="0" w:start="0" w:end="0"/>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color w:val="000000"/>
          <w:sz w:val="20"/>
          <w:szCs w:val="20"/>
          <w:u w:val="none"/>
          <w:shd w:fill="auto" w:val="clear"/>
          <w:lang w:val="pt-BR" w:eastAsia="pt-BR" w:bidi="ar-SA"/>
        </w:rPr>
        <w:t>A execução dos serviços objeto deste Termo de Credenciamento dar-se-á de forma indireta, sob o regime de empreitada por preço unitário, observados os critérios de remuneração, faturamento, auditoria, autorização, encaminhamento e demais condições estabelecidas no Edital de Credenciamento, no Termo de Referência e em seus Anexos.</w:t>
      </w:r>
    </w:p>
    <w:p>
      <w:pPr>
        <w:pStyle w:val="BodyText"/>
        <w:widowControl w:val="false"/>
        <w:numPr>
          <w:ilvl w:val="0"/>
          <w:numId w:val="1"/>
        </w:numPr>
        <w:bidi w:val="0"/>
        <w:spacing w:lineRule="auto" w:line="276" w:before="0" w:after="113"/>
        <w:ind w:hanging="0" w:start="0" w:end="0"/>
        <w:jc w:val="both"/>
        <w:rPr>
          <w:rFonts w:eastAsia="Calibri"/>
          <w:color w:val="auto"/>
          <w:sz w:val="20"/>
          <w:lang w:eastAsia="pt-BR"/>
        </w:rPr>
      </w:pPr>
      <w:r>
        <w:rPr>
          <w:rFonts w:eastAsia="Calibri"/>
          <w:color w:val="auto"/>
          <w:sz w:val="20"/>
          <w:lang w:eastAsia="pt-BR"/>
        </w:rPr>
        <w:t>A remuneração dos serviços observará as listas referenciais, tabelas, pacotes assistenciais e demais critérios de precificação previstos no Edital de Credenciamento e em seus Anexos, conforme a natureza do procedimento executado.</w:t>
      </w:r>
    </w:p>
    <w:p>
      <w:pPr>
        <w:pStyle w:val="BodyText"/>
        <w:widowControl w:val="false"/>
        <w:numPr>
          <w:ilvl w:val="0"/>
          <w:numId w:val="1"/>
        </w:numPr>
        <w:bidi w:val="0"/>
        <w:spacing w:lineRule="auto" w:line="276" w:before="0" w:after="113"/>
        <w:ind w:hanging="0" w:start="0" w:end="0"/>
        <w:jc w:val="both"/>
        <w:rPr>
          <w:rFonts w:eastAsia="Calibri"/>
          <w:color w:val="auto"/>
          <w:sz w:val="20"/>
          <w:lang w:eastAsia="pt-BR"/>
        </w:rPr>
      </w:pPr>
      <w:r>
        <w:rPr>
          <w:rFonts w:eastAsia="Calibri"/>
          <w:color w:val="auto"/>
          <w:sz w:val="20"/>
          <w:lang w:eastAsia="pt-BR"/>
        </w:rPr>
        <w:t xml:space="preserve"> </w:t>
      </w:r>
      <w:r>
        <w:rPr>
          <w:rFonts w:eastAsia="Calibri"/>
          <w:color w:val="auto"/>
          <w:sz w:val="20"/>
          <w:lang w:eastAsia="pt-BR"/>
        </w:rPr>
        <w:t>A prestação dos serviços ocorrerá mediante encaminhamento, autorização ou demais formas de acesso previstas no Edital e no Termo de Referência, observadas as regras de distribuição da demanda, continuidade da assistência e cobertura assistencial aplicáveis aos beneficiários do SAMMED/FuSEx/PASS.</w:t>
      </w:r>
    </w:p>
    <w:p>
      <w:pPr>
        <w:pStyle w:val="BodyText"/>
        <w:widowControl w:val="false"/>
        <w:numPr>
          <w:ilvl w:val="0"/>
          <w:numId w:val="1"/>
        </w:numPr>
        <w:bidi w:val="0"/>
        <w:spacing w:lineRule="auto" w:line="276" w:before="0" w:after="113"/>
        <w:ind w:hanging="0" w:start="0" w:end="0"/>
        <w:jc w:val="both"/>
        <w:rPr>
          <w:rFonts w:eastAsia="Calibri"/>
          <w:color w:val="auto"/>
          <w:sz w:val="20"/>
          <w:lang w:eastAsia="pt-BR"/>
        </w:rPr>
      </w:pPr>
      <w:r>
        <w:rPr>
          <w:rFonts w:eastAsia="Calibri"/>
          <w:color w:val="auto"/>
          <w:sz w:val="20"/>
          <w:lang w:eastAsia="pt-BR"/>
        </w:rPr>
        <w:t>A execução dos serviços deverá observar os princípios da continuidade da assistência, da qualidade da atenção à saúde, da segurança do paciente, da eficiência, da economicidade e da boa-fé objetiva, sem prejuízo das normas técnicas, sanitárias e éticas aplicáveis.</w:t>
      </w:r>
    </w:p>
    <w:p>
      <w:pPr>
        <w:pStyle w:val="BodyText"/>
        <w:widowControl w:val="false"/>
        <w:numPr>
          <w:ilvl w:val="0"/>
          <w:numId w:val="0"/>
        </w:numPr>
        <w:bidi w:val="0"/>
        <w:spacing w:lineRule="auto" w:line="276" w:before="0" w:after="113"/>
        <w:ind w:hanging="0" w:start="0" w:end="0"/>
        <w:jc w:val="both"/>
        <w:rPr/>
      </w:pPr>
      <w:r>
        <w:rPr>
          <w:b/>
          <w:color w:val="000000"/>
          <w:sz w:val="20"/>
          <w:szCs w:val="20"/>
          <w:u w:val="none"/>
          <w:shd w:fill="auto" w:val="clear"/>
        </w:rPr>
        <w:t>CLÁUSULA QUIN</w:t>
      </w:r>
      <w:r>
        <w:rPr>
          <w:rFonts w:ascii="Times New Roman" w:hAnsi="Times New Roman"/>
          <w:b/>
          <w:color w:val="000000"/>
          <w:sz w:val="20"/>
          <w:szCs w:val="20"/>
          <w:u w:val="none"/>
          <w:shd w:fill="auto" w:val="clear"/>
        </w:rPr>
        <w:t>TA - Dos preços e das condições de pagamento.</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Pela execução dos serviços efetivamente prestados e regularmente autorizados, a CREDENCIANTE remunerará o CREDENCIADO de acordo com os valores, critérios de remuneração e listas referenciais previstos no Edital de Credenciamento, no Termo de Referência e em seus Anexos, que passam a integrar este Termo de Credenciamento, independentemente de transcrição.</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A remuneração compreenderá exclusivamente os serviços efetivamente executados, devidamente autorizados quando exigível, comprovados documentalmente, auditados e considerados conformes pela CREDENCIANTE.</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valores dos serviços observarão as tabelas, listas referenciais, pacotes assistenciais, diárias, taxas, honorários profissionais, materiais, medicamentos, gases medicinais, órteses, próteses, materiais especiais (OPME) e demais critérios de remuneração previstos no Edital e em seus Anexos, conforme a natureza da assistência prestada.</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serviços não contemplados nas listas referenciais serão remunerados na forma estabelecida no Edital de Credenciamento e no Termo de Referência.</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 pagamento ficará condicionado à apresentação da documentação exigida, à conferência da produção, à auditoria técnica e administrativa, à inexistência de pendências documentais e ao atesto da execução dos serviços.</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pagamentos serão efetuados pela CREDENCIANTE na forma, nos prazos e nas condições estabelecidos no Edital de Credenciamento, no Termo de Referência e na legislação aplicável.</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A constatação de inconsistências, irregularidades, cobranças indevidas, duplicidades, ausência de documentação obrigatória ou qualquer outra desconformidade identificada durante a auditoria poderá ensejar glosa total ou parcial da cobrança, sem prejuízo da apresentação de recurso administrativo pelo CREDENCIADO, na forma prevista no Edital.</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 xml:space="preserve"> </w:t>
      </w:r>
      <w:r>
        <w:rPr>
          <w:rFonts w:eastAsia="Calibri" w:cs="Tahoma" w:ascii="Times New Roman" w:hAnsi="Times New Roman"/>
          <w:color w:val="000000"/>
          <w:sz w:val="20"/>
          <w:lang w:eastAsia="pt-BR"/>
        </w:rPr>
        <w:t>Nenhum pagamento será efetuado ao CREDENCIADO enquanto perdurarem pendências que impeçam a liquidação da despesa ou enquanto não forem atendidas as exigências previstas neste Termo de Credenciamento, no Edital ou na legislação aplicável.</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 pagamento dos serviços não implica reconhecimento da regularidade de cobranças futuras, nem afasta o direito da CREDENCIANTE de promover auditorias posteriores, revisões de contas, compensações, restituições ou outras medidas administrativas cabíveis, observada a legislação vigente.</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 xml:space="preserve">Os valores constantes das listas referenciais e demais critérios de remuneração poderão ser atualizados pela CREDENCIANTE na forma prevista no Edital de Credenciamento e no Termo de Referência, aplicando-se automaticamente aos Termos de Credenciamento vigentes, observado o contraditório quando exigido pela legislação e preservado o equilíbrio contratual. </w:t>
      </w:r>
    </w:p>
    <w:p>
      <w:pPr>
        <w:pStyle w:val="ListParagraph"/>
        <w:widowControl w:val="false"/>
        <w:numPr>
          <w:ilvl w:val="0"/>
          <w:numId w:val="0"/>
        </w:numPr>
        <w:spacing w:before="0" w:after="113"/>
        <w:ind w:hanging="0" w:start="0" w:end="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r>
    </w:p>
    <w:p>
      <w:pPr>
        <w:pStyle w:val="ListParagraph"/>
        <w:widowControl w:val="false"/>
        <w:numPr>
          <w:ilvl w:val="0"/>
          <w:numId w:val="0"/>
        </w:numPr>
        <w:spacing w:before="0" w:after="113"/>
        <w:ind w:hanging="0" w:start="0" w:end="0"/>
        <w:contextualSpacing w:val="false"/>
        <w:jc w:val="both"/>
        <w:rPr>
          <w:shd w:fill="auto" w:val="clear"/>
        </w:rPr>
      </w:pPr>
      <w:r>
        <w:rPr>
          <w:rFonts w:ascii="Times New Roman" w:hAnsi="Times New Roman"/>
          <w:b/>
          <w:color w:val="000000"/>
          <w:sz w:val="20"/>
          <w:szCs w:val="20"/>
          <w:u w:val="none"/>
          <w:shd w:fill="auto" w:val="clear"/>
        </w:rPr>
        <w:t>C</w:t>
      </w:r>
      <w:r>
        <w:rPr>
          <w:rFonts w:ascii="Times New Roman" w:hAnsi="Times New Roman"/>
          <w:b/>
          <w:color w:val="000000"/>
          <w:sz w:val="20"/>
          <w:szCs w:val="20"/>
          <w:u w:val="none"/>
          <w:shd w:fill="auto" w:val="clear"/>
        </w:rPr>
        <w:t>LÁUSULA SEXTA – D</w:t>
      </w:r>
      <w:r>
        <w:rPr>
          <w:rFonts w:ascii="Times New Roman" w:hAnsi="Times New Roman"/>
          <w:b/>
          <w:color w:val="000000"/>
          <w:sz w:val="20"/>
          <w:szCs w:val="20"/>
          <w:u w:val="none"/>
          <w:shd w:fill="auto" w:val="clear"/>
        </w:rPr>
        <w:t>o</w:t>
      </w:r>
      <w:r>
        <w:rPr>
          <w:rFonts w:ascii="Times New Roman" w:hAnsi="Times New Roman"/>
          <w:b/>
          <w:color w:val="000000"/>
          <w:sz w:val="20"/>
          <w:szCs w:val="20"/>
          <w:u w:val="none"/>
          <w:shd w:fill="auto" w:val="clear"/>
        </w:rPr>
        <w:t xml:space="preserve"> </w:t>
      </w:r>
      <w:r>
        <w:rPr>
          <w:rFonts w:ascii="Times New Roman" w:hAnsi="Times New Roman"/>
          <w:b/>
          <w:color w:val="000000"/>
          <w:sz w:val="20"/>
          <w:szCs w:val="20"/>
          <w:u w:val="none"/>
          <w:shd w:fill="auto" w:val="clear"/>
        </w:rPr>
        <w:t>reajuste</w:t>
      </w:r>
      <w:r>
        <w:rPr>
          <w:rFonts w:ascii="Times New Roman" w:hAnsi="Times New Roman"/>
          <w:b/>
          <w:color w:val="000000"/>
          <w:sz w:val="20"/>
          <w:szCs w:val="20"/>
          <w:u w:val="none"/>
          <w:shd w:fill="auto" w:val="clear"/>
        </w:rPr>
        <w:t xml:space="preserve"> de preços</w:t>
      </w:r>
      <w:r>
        <w:rPr>
          <w:rFonts w:ascii="Times New Roman" w:hAnsi="Times New Roman"/>
          <w:b/>
          <w:color w:val="000000"/>
          <w:sz w:val="20"/>
          <w:szCs w:val="20"/>
          <w:u w:val="none"/>
          <w:shd w:fill="auto" w:val="clear"/>
        </w:rPr>
        <w:t>.</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b w:val="false"/>
          <w:bCs w:val="false"/>
          <w:color w:val="000000"/>
          <w:sz w:val="20"/>
          <w:shd w:fill="auto" w:val="clear"/>
          <w:lang w:eastAsia="pt-BR"/>
        </w:rPr>
      </w:pPr>
      <w:r>
        <w:rPr>
          <w:rFonts w:eastAsia="Calibri" w:cs="Tahoma" w:ascii="Times New Roman" w:hAnsi="Times New Roman"/>
          <w:b w:val="false"/>
          <w:bCs w:val="false"/>
          <w:i w:val="false"/>
          <w:iCs w:val="false"/>
          <w:color w:val="000000"/>
          <w:sz w:val="20"/>
          <w:shd w:fill="auto" w:val="clear"/>
          <w:lang w:eastAsia="pt-BR"/>
        </w:rPr>
        <w:t>Os preços inicialmente contratados são fixos e irreajustáveis no prazo de 01 (um) ano contado da data d</w:t>
      </w:r>
      <w:r>
        <w:rPr>
          <w:rFonts w:eastAsia="Arial" w:cs="Arial" w:ascii="Times New Roman" w:hAnsi="Times New Roman"/>
          <w:b w:val="false"/>
          <w:bCs w:val="false"/>
          <w:i w:val="false"/>
          <w:iCs w:val="false"/>
          <w:color w:val="000000"/>
          <w:kern w:val="0"/>
          <w:sz w:val="20"/>
          <w:szCs w:val="20"/>
          <w:shd w:fill="auto" w:val="clear"/>
          <w:lang w:val="pt-BR" w:eastAsia="pt-BR" w:bidi="ar-SA"/>
        </w:rPr>
        <w:t>e publicação do edital</w:t>
      </w:r>
      <w:r>
        <w:rPr>
          <w:rFonts w:eastAsia="Calibri" w:cs="Tahoma" w:ascii="Times New Roman" w:hAnsi="Times New Roman"/>
          <w:b w:val="false"/>
          <w:bCs w:val="false"/>
          <w:i w:val="false"/>
          <w:iCs w:val="false"/>
          <w:color w:val="000000"/>
          <w:sz w:val="20"/>
          <w:shd w:fill="auto" w:val="clear"/>
          <w:lang w:eastAsia="pt-BR"/>
        </w:rPr>
        <w:t>.</w:t>
      </w:r>
    </w:p>
    <w:p>
      <w:pPr>
        <w:pStyle w:val="Nvel2-Opcional"/>
        <w:numPr>
          <w:ilvl w:val="2"/>
          <w:numId w:val="1"/>
        </w:numPr>
        <w:spacing w:lineRule="auto" w:line="276" w:before="119" w:after="119"/>
        <w:ind w:hanging="0" w:start="0" w:end="0"/>
        <w:rPr>
          <w:rFonts w:ascii="Times New Roman" w:hAnsi="Times New Roman"/>
          <w:b w:val="false"/>
          <w:bCs w:val="false"/>
          <w:i w:val="false"/>
          <w:i w:val="false"/>
          <w:iCs w:val="false"/>
          <w:color w:val="000000"/>
          <w:shd w:fill="auto" w:val="clear"/>
        </w:rPr>
      </w:pPr>
      <w:r>
        <w:rPr>
          <w:rFonts w:ascii="Times New Roman" w:hAnsi="Times New Roman"/>
          <w:b w:val="false"/>
          <w:bCs w:val="false"/>
          <w:i w:val="false"/>
          <w:iCs w:val="false"/>
          <w:color w:val="000000"/>
          <w:shd w:fill="auto" w:val="clear"/>
        </w:rPr>
        <w:t>As tabelas constantes nos anexos (Listas Referenciais) poderão ser revisadas, atualizadas e publicadas pela Administração a qualquer tempo, por critérios de conveniência e oportunidade, respeitado o interregno mínimo de 1 (um) ano e a legislação vigente, até o fim da vigência do presente edital.</w:t>
      </w:r>
    </w:p>
    <w:p>
      <w:pPr>
        <w:pStyle w:val="Nvel2-Opcional"/>
        <w:numPr>
          <w:ilvl w:val="3"/>
          <w:numId w:val="1"/>
        </w:numPr>
        <w:spacing w:lineRule="auto" w:line="276" w:before="119" w:after="119"/>
        <w:ind w:hanging="0" w:start="0" w:end="0"/>
        <w:rPr>
          <w:rFonts w:ascii="Times New Roman" w:hAnsi="Times New Roman"/>
          <w:b w:val="false"/>
          <w:bCs w:val="false"/>
          <w:i w:val="false"/>
          <w:i w:val="false"/>
          <w:iCs w:val="false"/>
          <w:color w:val="000000"/>
          <w:shd w:fill="auto" w:val="clear"/>
        </w:rPr>
      </w:pPr>
      <w:r>
        <w:rPr>
          <w:rFonts w:ascii="Times New Roman" w:hAnsi="Times New Roman"/>
          <w:b w:val="false"/>
          <w:bCs w:val="false"/>
          <w:i w:val="false"/>
          <w:iCs w:val="false"/>
          <w:color w:val="000000"/>
          <w:shd w:fill="auto" w:val="clear"/>
        </w:rPr>
        <w:t>Os valores dos itens relacionados às taxas, diárias, materiais, dietas e suplementos, pacotes de prestação de serviços, assistência domiciliar, especialidades não médicas, procedimentos odontológicos e consultas poderão ser atualizados mediante publicação de nova tabela própria, tendo como parâmetro a variação do IPCA ou parâmetros de mercado, observada a Instrução Normativa SEGES/ME nº 65/2021.</w:t>
      </w:r>
    </w:p>
    <w:p>
      <w:pPr>
        <w:pStyle w:val="Nvel2-Opcional"/>
        <w:numPr>
          <w:ilvl w:val="3"/>
          <w:numId w:val="1"/>
        </w:numPr>
        <w:spacing w:lineRule="auto" w:line="276" w:before="119" w:after="119"/>
        <w:ind w:hanging="0" w:start="0" w:end="0"/>
        <w:rPr>
          <w:rFonts w:ascii="Times New Roman" w:hAnsi="Times New Roman"/>
          <w:b w:val="false"/>
          <w:bCs w:val="false"/>
          <w:i w:val="false"/>
          <w:i w:val="false"/>
          <w:iCs w:val="false"/>
          <w:color w:val="000000"/>
          <w:shd w:fill="auto" w:val="clear"/>
        </w:rPr>
      </w:pPr>
      <w:r>
        <w:rPr>
          <w:rFonts w:ascii="Times New Roman" w:hAnsi="Times New Roman"/>
          <w:b w:val="false"/>
          <w:bCs w:val="false"/>
          <w:i w:val="false"/>
          <w:iCs w:val="false"/>
          <w:color w:val="000000"/>
          <w:shd w:fill="auto" w:val="clear"/>
        </w:rPr>
        <w:t>A atualização de iniciativa da Administração poderá refletir diminuição dos valores anteriormente fixados, caso pesquisa de preços local demonstre que os valores de mercado praticados são inferiores aos estabelecidos nas listas referenciais vigentes.</w:t>
      </w:r>
    </w:p>
    <w:p>
      <w:pPr>
        <w:pStyle w:val="Nvel2-Opcional"/>
        <w:numPr>
          <w:ilvl w:val="3"/>
          <w:numId w:val="1"/>
        </w:numPr>
        <w:spacing w:lineRule="auto" w:line="276" w:before="119" w:after="119"/>
        <w:ind w:hanging="0" w:start="0" w:end="0"/>
        <w:rPr>
          <w:rFonts w:ascii="Times New Roman" w:hAnsi="Times New Roman"/>
          <w:b w:val="false"/>
          <w:bCs w:val="false"/>
          <w:i w:val="false"/>
          <w:i w:val="false"/>
          <w:iCs w:val="false"/>
          <w:color w:val="000000"/>
          <w:shd w:fill="auto" w:val="clear"/>
        </w:rPr>
      </w:pPr>
      <w:r>
        <w:rPr>
          <w:rFonts w:ascii="Times New Roman" w:hAnsi="Times New Roman"/>
          <w:b w:val="false"/>
          <w:bCs w:val="false"/>
          <w:i w:val="false"/>
          <w:iCs w:val="false"/>
          <w:color w:val="000000"/>
          <w:shd w:fill="auto" w:val="clear"/>
        </w:rPr>
        <w:t>Os valores das listas referenciais modificadas serão aplicados aos Termos de Credenciamento no prazo de 30 (trinta) dias após a publicação da nova tabela, independentemente de apostilamento, para fins de parametrização no sistema de encaminhamento, salvo se a publicação determinar data diversa.</w:t>
      </w:r>
    </w:p>
    <w:p>
      <w:pPr>
        <w:pStyle w:val="Nvel2-Opcional"/>
        <w:numPr>
          <w:ilvl w:val="4"/>
          <w:numId w:val="1"/>
        </w:numPr>
        <w:spacing w:lineRule="auto" w:line="276" w:before="119" w:after="119"/>
        <w:ind w:hanging="0" w:start="0" w:end="0"/>
        <w:rPr>
          <w:rFonts w:ascii="Times New Roman" w:hAnsi="Times New Roman"/>
          <w:b w:val="false"/>
          <w:bCs w:val="false"/>
          <w:i w:val="false"/>
          <w:i w:val="false"/>
          <w:iCs w:val="false"/>
          <w:color w:val="000000"/>
          <w:shd w:fill="auto" w:val="clear"/>
        </w:rPr>
      </w:pPr>
      <w:r>
        <w:rPr>
          <w:rFonts w:ascii="Times New Roman" w:hAnsi="Times New Roman"/>
          <w:b w:val="false"/>
          <w:bCs w:val="false"/>
          <w:i w:val="false"/>
          <w:iCs w:val="false"/>
          <w:color w:val="000000"/>
          <w:shd w:fill="auto" w:val="clear"/>
        </w:rPr>
        <w:t>Após o início da aplicação dos novos valores, as guias emitidas anteriormente ao prazo do item 23.1.1.3 e ainda não entregues à Seção de Auditoria do HMR deverão ser apresentadas em faturas separadas, sendo auditadas com base nos valores vigentes na data de sua emissão.</w:t>
      </w:r>
    </w:p>
    <w:p>
      <w:pPr>
        <w:pStyle w:val="Nvel2-Opcional"/>
        <w:numPr>
          <w:ilvl w:val="1"/>
          <w:numId w:val="1"/>
        </w:numPr>
        <w:spacing w:lineRule="auto" w:line="276" w:before="119" w:after="119"/>
        <w:ind w:hanging="0" w:start="0" w:end="0"/>
        <w:rPr>
          <w:rFonts w:ascii="Times New Roman" w:hAnsi="Times New Roman"/>
          <w:b w:val="false"/>
          <w:bCs w:val="false"/>
          <w:i w:val="false"/>
          <w:i w:val="false"/>
          <w:iCs w:val="false"/>
          <w:color w:val="000000"/>
          <w:shd w:fill="auto" w:val="clear"/>
        </w:rPr>
      </w:pPr>
      <w:r>
        <w:rPr>
          <w:rFonts w:ascii="Times New Roman" w:hAnsi="Times New Roman"/>
          <w:b w:val="false"/>
          <w:bCs w:val="false"/>
          <w:i w:val="false"/>
          <w:iCs w:val="false"/>
          <w:color w:val="000000"/>
          <w:shd w:fill="auto" w:val="clear"/>
        </w:rPr>
        <w:t>Após o interregno de 1 (um) ano da publicação do edital ou do último reajuste geral, o CREDENCIADO poderá solicitar a análise de reajuste de seus preços pelo IPCA acumulado dos 12 (doze) meses anteriores ao pedido.</w:t>
      </w:r>
    </w:p>
    <w:p>
      <w:pPr>
        <w:pStyle w:val="Nvel2-Opcional"/>
        <w:numPr>
          <w:ilvl w:val="2"/>
          <w:numId w:val="1"/>
        </w:numPr>
        <w:spacing w:lineRule="auto" w:line="276" w:before="119" w:after="119"/>
        <w:ind w:hanging="0" w:start="0" w:end="0"/>
        <w:rPr>
          <w:i w:val="false"/>
          <w:i w:val="false"/>
          <w:iCs w:val="false"/>
          <w:shd w:fill="auto" w:val="clear"/>
        </w:rPr>
      </w:pPr>
      <w:r>
        <w:rPr>
          <w:rFonts w:ascii="Times New Roman" w:hAnsi="Times New Roman"/>
          <w:b w:val="false"/>
          <w:bCs w:val="false"/>
          <w:i w:val="false"/>
          <w:iCs w:val="false"/>
          <w:color w:val="000000"/>
          <w:shd w:fill="auto" w:val="clear"/>
        </w:rPr>
        <w:t>O deferimento do pedido de reajuste do CREDENCIADO ficará estritamente condicionado à prévia aprovação da Diretoria de Planejamento e Gestão Orçamentária (DPGO) e à posterior publicação oficial das listas referenciais atualizadas.</w:t>
      </w:r>
    </w:p>
    <w:p>
      <w:pPr>
        <w:pStyle w:val="Nvel2-Opcional"/>
        <w:numPr>
          <w:ilvl w:val="2"/>
          <w:numId w:val="1"/>
        </w:numPr>
        <w:spacing w:lineRule="auto" w:line="276" w:before="119" w:after="119"/>
        <w:ind w:hanging="0" w:start="0" w:end="0"/>
        <w:rPr>
          <w:rFonts w:ascii="Times New Roman" w:hAnsi="Times New Roman"/>
          <w:b w:val="false"/>
          <w:bCs w:val="false"/>
          <w:i w:val="false"/>
          <w:i w:val="false"/>
          <w:iCs w:val="false"/>
          <w:color w:val="000000"/>
          <w:shd w:fill="auto" w:val="clear"/>
        </w:rPr>
      </w:pPr>
      <w:r>
        <w:rPr>
          <w:rFonts w:ascii="Times New Roman" w:hAnsi="Times New Roman"/>
          <w:b w:val="false"/>
          <w:bCs w:val="false"/>
          <w:i w:val="false"/>
          <w:iCs w:val="false"/>
          <w:color w:val="000000"/>
          <w:shd w:fill="auto" w:val="clear"/>
        </w:rPr>
        <w:t>O reajuste pelo IPCA aplica-se exclusivamente aos valores das listas referenciais próprias da Administração que não estejam atrelados às tabelas CBHPM, BRASÍNDICE ou SIMPRO.</w:t>
      </w:r>
    </w:p>
    <w:p>
      <w:pPr>
        <w:pStyle w:val="Nvel2-Opcional"/>
        <w:numPr>
          <w:ilvl w:val="2"/>
          <w:numId w:val="1"/>
        </w:numPr>
        <w:spacing w:lineRule="auto" w:line="276" w:before="119" w:after="119"/>
        <w:ind w:hanging="0" w:start="0" w:end="0"/>
        <w:rPr>
          <w:rFonts w:ascii="Times New Roman" w:hAnsi="Times New Roman" w:eastAsia="Arial" w:cs="Arial"/>
          <w:b w:val="false"/>
          <w:bCs w:val="false"/>
          <w:i w:val="false"/>
          <w:i w:val="false"/>
          <w:iCs w:val="false"/>
          <w:color w:val="000000"/>
          <w:kern w:val="0"/>
          <w:sz w:val="20"/>
          <w:szCs w:val="20"/>
          <w:shd w:fill="auto" w:val="clear"/>
          <w:lang w:val="pt-BR" w:eastAsia="pt-BR" w:bidi="ar-SA"/>
        </w:rPr>
      </w:pPr>
      <w:r>
        <w:rPr>
          <w:rFonts w:eastAsia="Arial" w:cs="Arial" w:ascii="Times New Roman" w:hAnsi="Times New Roman"/>
          <w:b w:val="false"/>
          <w:bCs w:val="false"/>
          <w:i w:val="false"/>
          <w:iCs w:val="false"/>
          <w:color w:val="000000"/>
          <w:kern w:val="0"/>
          <w:sz w:val="20"/>
          <w:szCs w:val="20"/>
          <w:shd w:fill="auto" w:val="clear"/>
          <w:lang w:val="pt-BR" w:eastAsia="pt-BR" w:bidi="ar-SA"/>
        </w:rPr>
        <w:t>Nos reajustes subsequentes ao primeiro, o interregno mínimo de 1 (um) ano será contado a partir do início dos efeitos financeiros do último reajuste concedido.</w:t>
      </w:r>
    </w:p>
    <w:p>
      <w:pPr>
        <w:pStyle w:val="Nvel2-Opcional"/>
        <w:numPr>
          <w:ilvl w:val="2"/>
          <w:numId w:val="1"/>
        </w:numPr>
        <w:spacing w:lineRule="auto" w:line="276" w:before="119" w:after="119"/>
        <w:ind w:hanging="0" w:start="0" w:end="0"/>
        <w:rPr>
          <w:rFonts w:ascii="Times New Roman" w:hAnsi="Times New Roman" w:eastAsia="Arial" w:cs="Arial"/>
          <w:b w:val="false"/>
          <w:bCs w:val="false"/>
          <w:i w:val="false"/>
          <w:i w:val="false"/>
          <w:iCs w:val="false"/>
          <w:color w:val="000000"/>
          <w:kern w:val="0"/>
          <w:sz w:val="20"/>
          <w:szCs w:val="20"/>
          <w:shd w:fill="auto" w:val="clear"/>
          <w:lang w:val="pt-BR" w:eastAsia="pt-BR" w:bidi="ar-SA"/>
        </w:rPr>
      </w:pPr>
      <w:r>
        <w:rPr>
          <w:rFonts w:eastAsia="Arial" w:cs="Arial" w:ascii="Times New Roman" w:hAnsi="Times New Roman"/>
          <w:b w:val="false"/>
          <w:bCs w:val="false"/>
          <w:i w:val="false"/>
          <w:iCs w:val="false"/>
          <w:color w:val="000000"/>
          <w:kern w:val="0"/>
          <w:sz w:val="20"/>
          <w:szCs w:val="20"/>
          <w:shd w:fill="auto" w:val="clear"/>
          <w:lang w:val="pt-BR" w:eastAsia="pt-BR" w:bidi="ar-SA"/>
        </w:rPr>
        <w:t>No caso de atraso ou não divulgação do índice de reajustamento, a Administração utilizará para a análise de concessão a última variação conhecida.</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b w:val="false"/>
          <w:bCs w:val="false"/>
          <w:color w:val="000000"/>
          <w:sz w:val="20"/>
          <w:shd w:fill="auto" w:val="clear"/>
          <w:lang w:eastAsia="pt-BR"/>
        </w:rPr>
      </w:pPr>
      <w:r>
        <w:rPr>
          <w:rFonts w:eastAsia="Arial" w:cs="Arial" w:ascii="Times New Roman" w:hAnsi="Times New Roman"/>
          <w:b w:val="false"/>
          <w:bCs w:val="false"/>
          <w:i w:val="false"/>
          <w:iCs w:val="false"/>
          <w:color w:val="000000"/>
          <w:kern w:val="0"/>
          <w:sz w:val="20"/>
          <w:szCs w:val="20"/>
          <w:shd w:fill="auto" w:val="clear"/>
          <w:lang w:val="pt-BR" w:eastAsia="pt-BR" w:bidi="ar-SA"/>
        </w:rPr>
        <w:t>Caso o índice estabelecido venha a ser extinto, adotar-se-á o índice substituto determinado pela legislação em vigor ou, na ausência desta, nova taxa oficial eleita pelas partes por meio de termo aditivo.</w:t>
      </w:r>
    </w:p>
    <w:p>
      <w:pPr>
        <w:pStyle w:val="ListParagraph"/>
        <w:widowControl w:val="false"/>
        <w:numPr>
          <w:ilvl w:val="0"/>
          <w:numId w:val="0"/>
        </w:numPr>
        <w:spacing w:before="0" w:after="113"/>
        <w:ind w:hanging="0" w:start="0" w:end="0"/>
        <w:contextualSpacing w:val="false"/>
        <w:jc w:val="both"/>
        <w:rPr>
          <w:rFonts w:eastAsia="Calibri" w:cs="Tahoma"/>
          <w:b/>
          <w:bCs w:val="false"/>
          <w:szCs w:val="20"/>
          <w:u w:val="none"/>
          <w:shd w:fill="auto" w:val="clear"/>
          <w:lang w:eastAsia="pt-BR"/>
        </w:rPr>
      </w:pPr>
      <w:r>
        <w:rPr>
          <w:rFonts w:eastAsia="Calibri" w:cs="Tahoma" w:ascii="Times New Roman" w:hAnsi="Times New Roman"/>
          <w:b/>
          <w:bCs w:val="false"/>
          <w:color w:val="000000"/>
          <w:sz w:val="20"/>
          <w:szCs w:val="20"/>
          <w:u w:val="none"/>
          <w:shd w:fill="auto" w:val="clear"/>
          <w:lang w:eastAsia="pt-BR"/>
        </w:rPr>
      </w:r>
    </w:p>
    <w:p>
      <w:pPr>
        <w:pStyle w:val="ListParagraph"/>
        <w:widowControl w:val="false"/>
        <w:numPr>
          <w:ilvl w:val="0"/>
          <w:numId w:val="0"/>
        </w:numPr>
        <w:spacing w:before="0" w:after="113"/>
        <w:ind w:hanging="0" w:start="0" w:end="0"/>
        <w:contextualSpacing w:val="false"/>
        <w:jc w:val="both"/>
        <w:rPr>
          <w:rFonts w:ascii="Times New Roman" w:hAnsi="Times New Roman" w:eastAsia="Calibri" w:cs="Tahoma"/>
          <w:b/>
          <w:bCs w:val="false"/>
          <w:color w:val="auto"/>
          <w:sz w:val="20"/>
          <w:szCs w:val="20"/>
          <w:u w:val="none"/>
          <w:shd w:fill="auto" w:val="clear"/>
          <w:lang w:eastAsia="pt-BR"/>
        </w:rPr>
      </w:pPr>
      <w:r>
        <w:rPr>
          <w:rFonts w:eastAsia="Calibri" w:cs="Tahoma" w:ascii="Times New Roman" w:hAnsi="Times New Roman"/>
          <w:b/>
          <w:bCs w:val="false"/>
          <w:color w:val="000000"/>
          <w:sz w:val="20"/>
          <w:szCs w:val="20"/>
          <w:u w:val="none"/>
          <w:shd w:fill="auto" w:val="clear"/>
          <w:lang w:eastAsia="pt-BR"/>
        </w:rPr>
        <w:t>CLÁUSULA SÉTIMA – Da vigência.</w:t>
      </w:r>
    </w:p>
    <w:p>
      <w:pPr>
        <w:pStyle w:val="ListParagraph"/>
        <w:widowControl w:val="false"/>
        <w:numPr>
          <w:ilvl w:val="0"/>
          <w:numId w:val="1"/>
        </w:numPr>
        <w:spacing w:before="0" w:after="113"/>
        <w:ind w:hanging="0" w:start="0" w:end="0"/>
        <w:contextualSpacing w:val="false"/>
        <w:jc w:val="both"/>
        <w:rPr>
          <w:rFonts w:ascii="Times New Roman" w:hAnsi="Times New Roman"/>
          <w:b/>
          <w:color w:val="auto"/>
          <w:sz w:val="20"/>
        </w:rPr>
      </w:pPr>
      <w:r>
        <w:rPr>
          <w:rFonts w:eastAsia="Calibri" w:cs="Tahoma" w:ascii="Times New Roman" w:hAnsi="Times New Roman"/>
          <w:b w:val="false"/>
          <w:bCs w:val="false"/>
          <w:color w:val="000000"/>
          <w:sz w:val="20"/>
          <w:lang w:eastAsia="pt-BR"/>
        </w:rPr>
        <w:t xml:space="preserve">O presente Termo de Credenciamento terá vigência de </w:t>
      </w:r>
      <w:r>
        <w:rPr>
          <w:rStyle w:val="Strong"/>
          <w:rFonts w:eastAsia="Calibri" w:cs="Tahoma" w:ascii="Times New Roman" w:hAnsi="Times New Roman"/>
          <w:b w:val="false"/>
          <w:bCs w:val="false"/>
          <w:color w:val="000000"/>
          <w:sz w:val="20"/>
          <w:lang w:eastAsia="pt-BR"/>
        </w:rPr>
        <w:t>05 (cinco) anos</w:t>
      </w:r>
      <w:r>
        <w:rPr>
          <w:rFonts w:eastAsia="Calibri" w:cs="Tahoma" w:ascii="Times New Roman" w:hAnsi="Times New Roman"/>
          <w:b w:val="false"/>
          <w:bCs w:val="false"/>
          <w:color w:val="000000"/>
          <w:sz w:val="20"/>
          <w:lang w:eastAsia="pt-BR"/>
        </w:rPr>
        <w:t>, contados da data de sua assinatura ou de outra data expressamente indicada neste instrumento, podendo ser prorrogado sucessivamente, observado o limite máximo de 10 (dez) anos, desde que demonstrada a vantagem para a Administração, mantidas as condições de habilitação do CREDENCIADO e atendidos os requisitos previstos na Lei nº 14.133, de 1º de abril de 2021.</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prorrogação da vigência não constitui direito subjetivo do CREDENCIADO, ficando condicionada ao interesse da Administração, à disponibilidade orçamentária, à regularidade da execução contratual, à manutenção das condições de habilitação e à observância da legislação aplicável.</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Durante toda a vigência deste Termo de Credenciamento, o CREDENCIADO deverá manter todas as condições de habilitação, qualificação técnica, regularidade fiscal, trabalhista, previdenciária e sanitária exigidas no Edital de Credenciamento, comunicando imediatamente à CREDENCIANTE qualquer alteração que possa comprometer sua capacidade de execução do objeto.</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extinção da vigência deste Termo de Credenciamento não exime o CREDENCIADO do cumprimento das obrigações decorrentes dos serviços regularmente executados durante sua vigência, nem afasta as responsabilidades civis, administrativas, éticas e legais pelos atos praticados.</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 xml:space="preserve">A eventual prorrogação da vigência deste Termo de Credenciamento será formalizada mediante termo aditivo, observadas as disposições da Lei nº 14.133/2021, do Edital de Credenciamento e do Termo de Referência. </w:t>
      </w:r>
    </w:p>
    <w:p>
      <w:pPr>
        <w:pStyle w:val="ListParagraph"/>
        <w:widowControl w:val="false"/>
        <w:numPr>
          <w:ilvl w:val="0"/>
          <w:numId w:val="0"/>
        </w:numPr>
        <w:spacing w:before="0" w:after="113"/>
        <w:ind w:hanging="0" w:start="0" w:end="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spacing w:before="0" w:after="113"/>
        <w:ind w:hanging="0" w:start="0" w:end="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OITAVA – Da dotação orçamentária.</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As despesas decorrentes da execução deste Termo de Credenciamento correrão à conta dos recursos consignados no orçamento da União, destinados ao Ministério da Defesa – Exército Brasileiro – Hospital Militar de Resende, observadas as dotações orçamentárias vigentes e as disponibilidades financeiras.</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As despesas serão custeadas por recursos do Tesouro Nacional, do Fundo do Exército ou de outras fontes legalmente previstas, conforme a natureza da despesa e a disponibilidade orçamentária.</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cada exercício financeiro, as despesas correrão à conta das dotações orçamentárias próprias, consignadas nos respectivos orçamentos, podendo ser emitidos os correspondentes empenhos, observada a legislação orçamentária e financeira vigente.</w:t>
      </w:r>
    </w:p>
    <w:p>
      <w:pPr>
        <w:pStyle w:val="ListParagraph"/>
        <w:widowControl w:val="false"/>
        <w:numPr>
          <w:ilvl w:val="0"/>
          <w:numId w:val="1"/>
        </w:numPr>
        <w:spacing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celebração e a execução deste Termo de Credenciamento ficam condicionadas à existência de disponibilidade orçamentária e financeira, nos termos da legislação aplicável.</w:t>
      </w:r>
    </w:p>
    <w:p>
      <w:pPr>
        <w:pStyle w:val="ListParagraph"/>
        <w:widowControl w:val="false"/>
        <w:numPr>
          <w:ilvl w:val="0"/>
          <w:numId w:val="0"/>
        </w:numPr>
        <w:spacing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r>
    </w:p>
    <w:p>
      <w:pPr>
        <w:pStyle w:val="ListParagraph"/>
        <w:widowControl w:val="false"/>
        <w:numPr>
          <w:ilvl w:val="0"/>
          <w:numId w:val="0"/>
        </w:numPr>
        <w:spacing w:before="0" w:after="113"/>
        <w:ind w:hanging="0" w:start="0" w:end="0"/>
        <w:contextualSpacing w:val="false"/>
        <w:jc w:val="both"/>
        <w:rPr/>
      </w:pPr>
      <w:r>
        <w:rPr>
          <w:rFonts w:ascii="Times New Roman" w:hAnsi="Times New Roman"/>
          <w:b/>
          <w:color w:val="000000"/>
          <w:sz w:val="20"/>
          <w:szCs w:val="20"/>
          <w:u w:val="none"/>
          <w:shd w:fill="auto" w:val="clear"/>
        </w:rPr>
        <w:t>CLÁUSULA NONA – Da responsabilidade civil</w:t>
      </w:r>
      <w:r>
        <w:rPr>
          <w:rStyle w:val="Normaltextrun"/>
          <w:color w:val="000000"/>
        </w:rPr>
        <w:t>.</w:t>
      </w:r>
    </w:p>
    <w:p>
      <w:pPr>
        <w:pStyle w:val="ListParagraph"/>
        <w:widowControl w:val="false"/>
        <w:numPr>
          <w:ilvl w:val="0"/>
          <w:numId w:val="1"/>
        </w:numPr>
        <w:bidi w:val="0"/>
        <w:spacing w:lineRule="auto" w:line="276" w:before="0" w:after="113"/>
        <w:ind w:hanging="0" w:start="0" w:end="0"/>
        <w:contextualSpacing w:val="false"/>
        <w:jc w:val="both"/>
        <w:rPr/>
      </w:pPr>
      <w:r>
        <w:rPr>
          <w:rStyle w:val="Normaltextrun"/>
          <w:rFonts w:eastAsia="Calibri" w:cs="Tahoma" w:ascii="Times New Roman" w:hAnsi="Times New Roman"/>
          <w:b w:val="false"/>
          <w:bCs w:val="false"/>
          <w:color w:val="auto"/>
          <w:sz w:val="20"/>
          <w:szCs w:val="22"/>
          <w:lang w:val="pt-BR" w:eastAsia="pt-BR" w:bidi="ar-SA"/>
        </w:rPr>
        <w:t>O CREDENCIADO responderá integralmente pelos danos materiais, morais e patrimoniais causados à CREDENCIANTE, aos beneficiários do SAMMED/FuSEx/PASS ou a terceiros, decorrentes de ação ou omissão, dolo ou culpa, imperícia, imprudência ou negligência de seus dirigentes, empregados, prepostos, profissionais de saúde, contratados ou subcontratados, durante a execução dos serviços objeto deste Termo de Credenciamento.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A responsabilidade do CREDENCIADO compreende, dentre outras, a adequada prestação da assistência à saúde, a qualidade técnica dos serviços executados, a observância das normas éticas, sanitárias, de segurança do paciente e de proteção de dados pessoais, bem como o cumprimento das obrigações previstas neste Termo de Credenciamento, no Edital, no Termo de Referência e na legislação aplicável.</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 CREDENCIADO responderá exclusivamente pelos atos praticados por seus profissionais, empregados, prepostos, cooperados, contratados ou subcontratados, não se estabelecendo qualquer vínculo empregatício, funcional ou previdenciário entre estes e a CREDENCIANTE.</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 xml:space="preserve"> </w:t>
      </w:r>
      <w:r>
        <w:rPr>
          <w:rFonts w:eastAsia="Calibri" w:cs="Tahoma" w:ascii="Times New Roman" w:hAnsi="Times New Roman"/>
          <w:b w:val="false"/>
          <w:bCs w:val="false"/>
          <w:color w:val="auto"/>
          <w:sz w:val="20"/>
          <w:szCs w:val="22"/>
          <w:lang w:val="pt-BR" w:eastAsia="pt-BR" w:bidi="ar-SA"/>
        </w:rPr>
        <w:t>A fiscalização, a auditoria, a autorização de procedimentos, a conferência de contas, a realização de glosas, o pagamento pelos serviços prestados ou qualquer outro ato praticado pela CREDENCIANTE não excluem nem reduzem a responsabilidade civil, técnica, ética, administrativa ou penal do CREDENCIADO pela execução dos serviços.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 CREDENCIADO obriga-se a ressarcir a CREDENCIANTE pelos prejuízos comprovadamente decorrentes de atos praticados em desconformidade com este Termo de Credenciamento, com o Edital, com o Termo de Referência ou com a legislação vigente, sem prejuízo da aplicação das sanções administrativas cabíveis.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 xml:space="preserve">O CREDENCIADO manterá, durante toda a vigência deste Termo de Credenciamento, as condições técnicas, operacionais e legais necessárias à adequada prestação dos serviços, assumindo integral responsabilidade pelos riscos inerentes à atividade assistencial desenvolvida. </w:t>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bCs/>
          <w:color w:val="auto"/>
          <w:sz w:val="20"/>
          <w:szCs w:val="22"/>
          <w:lang w:val="pt-BR" w:eastAsia="pt-BR" w:bidi="ar-SA"/>
        </w:rPr>
        <w:t>CLAUSULA</w:t>
      </w:r>
      <w:r>
        <w:rPr>
          <w:rFonts w:eastAsia="Calibri" w:cs="Tahoma" w:ascii="Times New Roman" w:hAnsi="Times New Roman"/>
          <w:b w:val="false"/>
          <w:bCs w:val="false"/>
          <w:color w:val="auto"/>
          <w:sz w:val="20"/>
          <w:szCs w:val="22"/>
          <w:lang w:val="pt-BR" w:eastAsia="pt-BR" w:bidi="ar-SA"/>
        </w:rPr>
        <w:t xml:space="preserve">  </w:t>
      </w:r>
      <w:r>
        <w:rPr>
          <w:rFonts w:eastAsia="Calibri" w:cs="Tahoma" w:ascii="Times New Roman" w:hAnsi="Times New Roman"/>
          <w:b/>
          <w:bCs w:val="false"/>
          <w:color w:val="000000"/>
          <w:sz w:val="20"/>
          <w:szCs w:val="20"/>
          <w:u w:val="none"/>
          <w:shd w:fill="auto" w:val="clear"/>
          <w:lang w:val="pt-BR" w:eastAsia="pt-BR" w:bidi="ar-SA"/>
        </w:rPr>
        <w:t>DÉCIMA- das sanções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szCs w:val="22"/>
          <w:u w:val="none"/>
          <w:shd w:fill="auto" w:val="clear"/>
          <w:lang w:val="pt-BR" w:eastAsia="pt-BR" w:bidi="ar-SA"/>
        </w:rPr>
      </w:pPr>
      <w:r>
        <w:rPr>
          <w:rFonts w:eastAsia="Calibri" w:cs="Tahoma" w:ascii="Times New Roman" w:hAnsi="Times New Roman"/>
          <w:b w:val="false"/>
          <w:bCs w:val="false"/>
          <w:color w:val="000000"/>
          <w:sz w:val="20"/>
          <w:szCs w:val="22"/>
          <w:u w:val="none"/>
          <w:shd w:fill="auto" w:val="clear"/>
          <w:lang w:val="pt-BR" w:eastAsia="pt-BR" w:bidi="ar-SA"/>
        </w:rPr>
        <w:t>O descumprimento total ou parcial das obrigações previstas neste Termo de Credenciamento, no Edital de Credenciamento, no Termo de Referência e na legislação aplicável sujeitará o CREDENCIADO às sanções administrativas previstas na Lei nº 14.133, de 1º de abril de 2021, assegurados o contraditório e a ampla defesa.</w:t>
      </w:r>
    </w:p>
    <w:p>
      <w:pPr>
        <w:pStyle w:val="BodyText"/>
        <w:widowControl w:val="false"/>
        <w:numPr>
          <w:ilvl w:val="0"/>
          <w:numId w:val="1"/>
        </w:numPr>
        <w:bidi w:val="0"/>
        <w:spacing w:lineRule="auto" w:line="276" w:before="0" w:after="113"/>
        <w:ind w:hanging="0" w:start="0" w:end="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Conforme a natureza e a gravidade da infração, poderão ser aplicadas ao CREDENCIADO, isolada ou cumulativamente, as seguintes sanções:</w:t>
      </w:r>
    </w:p>
    <w:p>
      <w:pPr>
        <w:pStyle w:val="BodyText"/>
        <w:widowControl w:val="false"/>
        <w:numPr>
          <w:ilvl w:val="0"/>
          <w:numId w:val="0"/>
        </w:numPr>
        <w:spacing w:lineRule="auto" w:line="276" w:before="0" w:after="113"/>
        <w:ind w:hanging="0" w:start="0"/>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I – advertência;</w:t>
      </w:r>
    </w:p>
    <w:p>
      <w:pPr>
        <w:pStyle w:val="BodyText"/>
        <w:widowControl w:val="false"/>
        <w:numPr>
          <w:ilvl w:val="0"/>
          <w:numId w:val="0"/>
        </w:numPr>
        <w:spacing w:lineRule="auto" w:line="276" w:before="0" w:after="113"/>
        <w:ind w:hanging="0" w:start="0"/>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II – multa, na forma prevista no Edital de Credenciamento;</w:t>
      </w:r>
    </w:p>
    <w:p>
      <w:pPr>
        <w:pStyle w:val="BodyText"/>
        <w:widowControl w:val="false"/>
        <w:numPr>
          <w:ilvl w:val="0"/>
          <w:numId w:val="0"/>
        </w:numPr>
        <w:spacing w:lineRule="auto" w:line="276" w:before="0" w:after="113"/>
        <w:ind w:hanging="0" w:start="0"/>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III – impedimento de licitar e contratar com a Administração Pública, pelo prazo estabelecido na legislação; e</w:t>
      </w:r>
    </w:p>
    <w:p>
      <w:pPr>
        <w:pStyle w:val="BodyText"/>
        <w:widowControl w:val="false"/>
        <w:numPr>
          <w:ilvl w:val="0"/>
          <w:numId w:val="0"/>
        </w:numPr>
        <w:spacing w:lineRule="auto" w:line="276" w:before="0" w:after="113"/>
        <w:ind w:hanging="0" w:start="0"/>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IV – declaração de inidoneidade para licitar ou contratar com a Administração Pública, nos casos e condições previstos na Lei nº 14.133, de 2021.</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szCs w:val="22"/>
          <w:u w:val="none"/>
          <w:shd w:fill="auto" w:val="clear"/>
          <w:lang w:val="pt-BR" w:eastAsia="pt-BR" w:bidi="ar-SA"/>
        </w:rPr>
      </w:pPr>
      <w:r>
        <w:rPr>
          <w:rFonts w:eastAsia="Calibri" w:cs="Tahoma" w:ascii="Times New Roman" w:hAnsi="Times New Roman"/>
          <w:b w:val="false"/>
          <w:bCs w:val="false"/>
          <w:color w:val="000000"/>
          <w:sz w:val="20"/>
          <w:szCs w:val="22"/>
          <w:u w:val="none"/>
          <w:shd w:fill="auto" w:val="clear"/>
          <w:lang w:val="pt-BR" w:eastAsia="pt-BR" w:bidi="ar-SA"/>
        </w:rPr>
        <w:t>A aplicação das sanções previstas nesta cláusula não exclui a adoção das demais medidas administrativas e contratuais cabíveis, inclusive glosas, suspensão de encaminhamentos, rescisão do Termo de Credenciamento e responsabilização civil ou penal, quando couber.</w:t>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PRIMEIRA- da rescisão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Os Termos de Credenciamento poderão ser rescindidos nos casos de inexecução total ou parcial de suas cláusulas, assegurados o contraditório e a ampla defesa, mediante a incidência dos motivos previstos no art. 137 da Lei nº 14.133/2021, conforme as seguintes modalidades:</w:t>
      </w:r>
    </w:p>
    <w:p>
      <w:pPr>
        <w:pStyle w:val="Nvel02"/>
        <w:numPr>
          <w:ilvl w:val="2"/>
          <w:numId w:val="1"/>
        </w:numPr>
        <w:spacing w:lineRule="auto" w:line="276" w:before="119" w:after="119"/>
        <w:ind w:hanging="0" w:start="0" w:end="0"/>
        <w:rPr>
          <w:rFonts w:ascii="Times New Roman" w:hAnsi="Times New Roman"/>
        </w:rPr>
      </w:pPr>
      <w:r>
        <w:rPr>
          <w:rFonts w:eastAsia="Calibri" w:cs="Tahoma" w:ascii="Times New Roman" w:hAnsi="Times New Roman"/>
          <w:b w:val="false"/>
          <w:bCs w:val="false"/>
          <w:color w:val="auto"/>
          <w:sz w:val="20"/>
          <w:szCs w:val="22"/>
          <w:lang w:val="pt-BR" w:eastAsia="pt-BR" w:bidi="ar-SA"/>
        </w:rPr>
        <w:t>Unilateralmente</w:t>
      </w:r>
      <w:r>
        <w:rPr>
          <w:rFonts w:eastAsia="Calibri" w:cs="Tahoma" w:ascii="Times New Roman" w:hAnsi="Times New Roman"/>
          <w:b w:val="false"/>
          <w:bCs w:val="false"/>
          <w:color w:val="auto"/>
          <w:sz w:val="20"/>
          <w:szCs w:val="22"/>
          <w:lang w:val="pt-BR" w:eastAsia="pt-BR" w:bidi="ar-SA"/>
        </w:rPr>
        <w:t>, por ato motivado da Administração Pública Federal, nas seguintes hipóteses:</w:t>
      </w:r>
    </w:p>
    <w:p>
      <w:pPr>
        <w:pStyle w:val="Nvel02"/>
        <w:widowControl/>
        <w:numPr>
          <w:ilvl w:val="2"/>
          <w:numId w:val="1"/>
        </w:numPr>
        <w:spacing w:lineRule="auto" w:line="276" w:before="119" w:after="119"/>
        <w:ind w:hanging="0" w:start="0" w:end="0"/>
        <w:jc w:val="both"/>
        <w:rPr>
          <w:rFonts w:ascii="Times New Roman" w:hAnsi="Times New Roman"/>
        </w:rPr>
      </w:pPr>
      <w:r>
        <w:rPr>
          <w:rFonts w:ascii="Times New Roman" w:hAnsi="Times New Roman"/>
        </w:rPr>
        <w:t>n</w:t>
      </w:r>
      <w:r>
        <w:rPr>
          <w:rFonts w:eastAsia="Calibri" w:cs="Tahoma" w:ascii="Times New Roman" w:hAnsi="Times New Roman"/>
          <w:b w:val="false"/>
          <w:bCs w:val="false"/>
          <w:i w:val="false"/>
          <w:iCs/>
          <w:color w:val="auto"/>
          <w:sz w:val="20"/>
          <w:szCs w:val="22"/>
          <w:lang w:val="pt-BR" w:eastAsia="pt-BR" w:bidi="ar-SA"/>
        </w:rPr>
        <w:t>ão cumprimento ou cumprimento irregular de normas editalícias, de cláusulas contratuais, de especificações técnicas ou de prazos;</w:t>
      </w:r>
    </w:p>
    <w:p>
      <w:pPr>
        <w:pStyle w:val="Nvel02"/>
        <w:numPr>
          <w:ilvl w:val="3"/>
          <w:numId w:val="1"/>
        </w:numPr>
        <w:spacing w:lineRule="auto" w:line="276" w:before="119" w:after="119"/>
        <w:ind w:hanging="0" w:start="0" w:end="0"/>
        <w:rPr>
          <w:rFonts w:ascii="Times New Roman" w:hAnsi="Times New Roman"/>
        </w:rPr>
      </w:pPr>
      <w:r>
        <w:rPr>
          <w:rFonts w:ascii="Times New Roman" w:hAnsi="Times New Roman"/>
        </w:rPr>
        <w:t>i</w:t>
      </w:r>
      <w:r>
        <w:rPr>
          <w:rFonts w:eastAsia="Calibri" w:cs="Tahoma" w:ascii="Times New Roman" w:hAnsi="Times New Roman"/>
          <w:b w:val="false"/>
          <w:bCs w:val="false"/>
          <w:i w:val="false"/>
          <w:iCs/>
          <w:color w:val="auto"/>
          <w:sz w:val="20"/>
          <w:szCs w:val="22"/>
          <w:lang w:val="pt-BR" w:eastAsia="pt-BR" w:bidi="ar-SA"/>
        </w:rPr>
        <w:t>nterrupção da prestação dos serviços de saúde por parte do CREDENCIADO, sem justa causa e sem prévia comunicação formal ao CREDENCIANTE;</w:t>
      </w:r>
    </w:p>
    <w:p>
      <w:pPr>
        <w:pStyle w:val="Nvel02"/>
        <w:numPr>
          <w:ilvl w:val="3"/>
          <w:numId w:val="1"/>
        </w:numPr>
        <w:spacing w:lineRule="auto" w:line="276" w:before="119" w:after="119"/>
        <w:ind w:hanging="0" w:start="0" w:end="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esatendimento das determinações regulares emitidas pela autoridade designada para acompanhar e fiscalizar a execução, ou por autoridade superior;</w:t>
      </w:r>
    </w:p>
    <w:p>
      <w:pPr>
        <w:pStyle w:val="Nvel02"/>
        <w:numPr>
          <w:ilvl w:val="3"/>
          <w:numId w:val="1"/>
        </w:numPr>
        <w:spacing w:lineRule="auto" w:line="276" w:before="119" w:after="119"/>
        <w:ind w:hanging="0" w:start="0" w:end="0"/>
        <w:rPr>
          <w:rFonts w:ascii="Times New Roman" w:hAnsi="Times New Roman"/>
        </w:rPr>
      </w:pPr>
      <w:r>
        <w:rPr>
          <w:rFonts w:ascii="Times New Roman" w:hAnsi="Times New Roman"/>
        </w:rPr>
        <w:t>a</w:t>
      </w:r>
      <w:r>
        <w:rPr>
          <w:rFonts w:eastAsia="Calibri" w:cs="Tahoma" w:ascii="Times New Roman" w:hAnsi="Times New Roman"/>
          <w:b w:val="false"/>
          <w:bCs w:val="false"/>
          <w:i w:val="false"/>
          <w:iCs/>
          <w:color w:val="auto"/>
          <w:sz w:val="20"/>
          <w:szCs w:val="22"/>
          <w:lang w:val="pt-BR" w:eastAsia="pt-BR" w:bidi="ar-SA"/>
        </w:rPr>
        <w:t>ssociação do CREDENCIADO com outrem, cessão ou transferência, total ou parcial, bem como fusão, cisão ou incorporação não admitidas neste Edital e no instrumento contratual;</w:t>
      </w:r>
    </w:p>
    <w:p>
      <w:pPr>
        <w:pStyle w:val="Nvel02"/>
        <w:numPr>
          <w:ilvl w:val="3"/>
          <w:numId w:val="1"/>
        </w:numPr>
        <w:spacing w:lineRule="auto" w:line="276" w:before="119" w:after="119"/>
        <w:ind w:hanging="0" w:start="0" w:end="0"/>
        <w:rPr>
          <w:rFonts w:ascii="Times New Roman" w:hAnsi="Times New Roman"/>
        </w:rPr>
      </w:pPr>
      <w:r>
        <w:rPr>
          <w:rFonts w:ascii="Times New Roman" w:hAnsi="Times New Roman"/>
        </w:rPr>
        <w:t>a</w:t>
      </w:r>
      <w:r>
        <w:rPr>
          <w:rFonts w:eastAsia="Calibri" w:cs="Tahoma" w:ascii="Times New Roman" w:hAnsi="Times New Roman"/>
          <w:b w:val="false"/>
          <w:bCs w:val="false"/>
          <w:i w:val="false"/>
          <w:iCs/>
          <w:color w:val="auto"/>
          <w:sz w:val="20"/>
          <w:szCs w:val="22"/>
          <w:lang w:val="pt-BR" w:eastAsia="pt-BR" w:bidi="ar-SA"/>
        </w:rPr>
        <w:t>lteração social ou modificação da finalidade ou da estrutura da empresa que restrinja sua capacidade de cumprir as obrigações assumidas;</w:t>
      </w:r>
    </w:p>
    <w:p>
      <w:pPr>
        <w:pStyle w:val="Nvel02"/>
        <w:numPr>
          <w:ilvl w:val="3"/>
          <w:numId w:val="1"/>
        </w:numPr>
        <w:spacing w:lineRule="auto" w:line="276" w:before="119" w:after="119"/>
        <w:ind w:hanging="0" w:start="0" w:end="0"/>
        <w:rPr>
          <w:rFonts w:ascii="Times New Roman" w:hAnsi="Times New Roman"/>
        </w:rPr>
      </w:pPr>
      <w:r>
        <w:rPr>
          <w:rFonts w:ascii="Times New Roman" w:hAnsi="Times New Roman"/>
        </w:rPr>
        <w:t>c</w:t>
      </w:r>
      <w:r>
        <w:rPr>
          <w:rFonts w:eastAsia="Calibri" w:cs="Tahoma" w:ascii="Times New Roman" w:hAnsi="Times New Roman"/>
          <w:b w:val="false"/>
          <w:bCs w:val="false"/>
          <w:i w:val="false"/>
          <w:iCs/>
          <w:color w:val="auto"/>
          <w:sz w:val="20"/>
          <w:szCs w:val="22"/>
          <w:lang w:val="pt-BR" w:eastAsia="pt-BR" w:bidi="ar-SA"/>
        </w:rPr>
        <w:t>ometimento reiterado de faltas na execução dos serviços, anotadas na forma do § 1º do art. 117 da Lei nº 14.133/2021;</w:t>
      </w:r>
    </w:p>
    <w:p>
      <w:pPr>
        <w:pStyle w:val="Nvel02"/>
        <w:numPr>
          <w:ilvl w:val="3"/>
          <w:numId w:val="1"/>
        </w:numPr>
        <w:spacing w:lineRule="auto" w:line="276" w:before="119" w:after="119"/>
        <w:ind w:hanging="0" w:start="0" w:end="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ecretação de falência, instauração de insolvência civil, dissolução da sociedade ou falecimento do CREDENCIADO;</w:t>
      </w:r>
    </w:p>
    <w:p>
      <w:pPr>
        <w:pStyle w:val="Nvel02"/>
        <w:numPr>
          <w:ilvl w:val="3"/>
          <w:numId w:val="1"/>
        </w:numPr>
        <w:spacing w:lineRule="auto" w:line="276" w:before="119" w:after="119"/>
        <w:ind w:hanging="0" w:start="0" w:end="0"/>
        <w:rPr>
          <w:rFonts w:ascii="Times New Roman" w:hAnsi="Times New Roman"/>
        </w:rPr>
      </w:pPr>
      <w:r>
        <w:rPr>
          <w:rFonts w:ascii="Times New Roman" w:hAnsi="Times New Roman"/>
        </w:rPr>
        <w:t>r</w:t>
      </w:r>
      <w:r>
        <w:rPr>
          <w:rFonts w:eastAsia="Calibri" w:cs="Tahoma" w:ascii="Times New Roman" w:hAnsi="Times New Roman"/>
          <w:b w:val="false"/>
          <w:bCs w:val="false"/>
          <w:i w:val="false"/>
          <w:iCs/>
          <w:color w:val="auto"/>
          <w:sz w:val="20"/>
          <w:szCs w:val="22"/>
          <w:lang w:val="pt-BR" w:eastAsia="pt-BR" w:bidi="ar-SA"/>
        </w:rPr>
        <w:t>azões de interesse público, de alta relevância e amplo conhecimento, justificadas e determinadas pela máxima autoridade da esfera administrativa a que está subordinado o CREDENCIANTE, exaradas no respectivo processo administrativo;</w:t>
      </w:r>
    </w:p>
    <w:p>
      <w:pPr>
        <w:pStyle w:val="Nvel02"/>
        <w:numPr>
          <w:ilvl w:val="3"/>
          <w:numId w:val="1"/>
        </w:numPr>
        <w:spacing w:lineRule="auto" w:line="276" w:before="119" w:after="119"/>
        <w:ind w:hanging="0" w:start="0" w:end="0"/>
        <w:rPr>
          <w:rFonts w:ascii="Times New Roman" w:hAnsi="Times New Roman" w:eastAsia="Calibri" w:cs="Tahoma"/>
          <w:b w:val="false"/>
          <w:bCs w:val="false"/>
          <w:i w:val="false"/>
          <w:i w:val="false"/>
          <w:iCs/>
          <w:color w:val="auto"/>
          <w:sz w:val="20"/>
          <w:szCs w:val="22"/>
          <w:lang w:val="pt-BR" w:eastAsia="pt-BR" w:bidi="ar-SA"/>
        </w:rPr>
      </w:pPr>
      <w:r>
        <w:rPr>
          <w:rFonts w:ascii="Times New Roman" w:hAnsi="Times New Roman"/>
        </w:rPr>
        <w:t>o</w:t>
      </w:r>
      <w:r>
        <w:rPr>
          <w:rFonts w:eastAsia="Calibri" w:cs="Tahoma" w:ascii="Times New Roman" w:hAnsi="Times New Roman"/>
          <w:b w:val="false"/>
          <w:bCs w:val="false"/>
          <w:i w:val="false"/>
          <w:iCs/>
          <w:color w:val="auto"/>
          <w:sz w:val="20"/>
          <w:szCs w:val="22"/>
          <w:lang w:val="pt-BR" w:eastAsia="pt-BR" w:bidi="ar-SA"/>
        </w:rPr>
        <w:t>corrência de caso fortuito ou de força maior, regularmente comprovada, que seja impeditiva da execução do objeto;</w:t>
      </w:r>
    </w:p>
    <w:p>
      <w:pPr>
        <w:pStyle w:val="Nvel02"/>
        <w:numPr>
          <w:ilvl w:val="3"/>
          <w:numId w:val="1"/>
        </w:numPr>
        <w:spacing w:lineRule="auto" w:line="276" w:before="119" w:after="119"/>
        <w:ind w:hanging="0" w:start="0" w:end="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escumprimento do disposto no inciso VI do art. 68 da Lei nº 14.133/2021 (proibição de trabalho noturno, perigoso ou insalubre a menores de dezoito anos e de qualquer trabalho a menores de dezesseis anos), sem prejuízo das sanções penais cabíveis.</w:t>
      </w:r>
    </w:p>
    <w:p>
      <w:pPr>
        <w:pStyle w:val="Nvel02"/>
        <w:numPr>
          <w:ilvl w:val="2"/>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or acordo entre as partes (Amigável), reduzida a termo no procedimento de credenciamento, desde que não cause prejuízo à assistência à saúde dos beneficiários do FuSEx/SAMMED/PASS, devendo o CREDENCIADO formalizar a solicitação com antecedência mínima de 30 (trinta) dias.</w:t>
      </w:r>
    </w:p>
    <w:p>
      <w:pPr>
        <w:pStyle w:val="Nvel02"/>
        <w:numPr>
          <w:ilvl w:val="3"/>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 xml:space="preserve">O </w:t>
      </w:r>
      <w:r>
        <w:rPr>
          <w:rFonts w:eastAsia="Calibri" w:cs="Tahoma" w:ascii="Times New Roman" w:hAnsi="Times New Roman"/>
          <w:b w:val="false"/>
          <w:bCs w:val="false"/>
          <w:i w:val="false"/>
          <w:iCs/>
          <w:color w:val="auto"/>
          <w:sz w:val="20"/>
          <w:szCs w:val="22"/>
          <w:lang w:val="pt-BR" w:eastAsia="pt-BR" w:bidi="ar-SA"/>
        </w:rPr>
        <w:t>CREDENCIADO que estiver respondendo a processo administrativo de apuração de irregularidades ou falhas na prestação de seus serviços não poderá solicitar a rescisão amigável até a conclusão definitiva do referido processo.</w:t>
      </w:r>
    </w:p>
    <w:p>
      <w:pPr>
        <w:pStyle w:val="Nvel02"/>
        <w:numPr>
          <w:ilvl w:val="2"/>
          <w:numId w:val="1"/>
        </w:numPr>
        <w:spacing w:lineRule="auto" w:line="276" w:before="119" w:after="119"/>
        <w:ind w:hanging="0" w:start="0" w:end="0"/>
        <w:rPr>
          <w:rFonts w:ascii="Times New Roman" w:hAnsi="Times New Roman"/>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or iniciativa do CREDENCIADO, mediante notificação formalizada à Administração ou por via judicial, nas hipóteses previstas no art. 138, inciso III, da Lei nº 14.133/2021:</w:t>
      </w:r>
    </w:p>
    <w:p>
      <w:pPr>
        <w:pStyle w:val="Nvel02"/>
        <w:numPr>
          <w:ilvl w:val="3"/>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s</w:t>
      </w:r>
      <w:r>
        <w:rPr>
          <w:rFonts w:eastAsia="Calibri" w:cs="Tahoma" w:ascii="Times New Roman" w:hAnsi="Times New Roman"/>
          <w:b w:val="false"/>
          <w:bCs w:val="false"/>
          <w:i w:val="false"/>
          <w:iCs/>
          <w:color w:val="auto"/>
          <w:sz w:val="20"/>
          <w:szCs w:val="22"/>
          <w:lang w:val="pt-BR" w:eastAsia="pt-BR" w:bidi="ar-SA"/>
        </w:rPr>
        <w:t>uspensão da execução dos serviços, por ordem escrita da Administração, por prazo superior a 120 (cento e vinte) dias, salvo em caso de calamidade pública, grave perturbação da ordem interna ou guerra;</w:t>
      </w:r>
    </w:p>
    <w:p>
      <w:pPr>
        <w:pStyle w:val="Nvel02"/>
        <w:numPr>
          <w:ilvl w:val="3"/>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at</w:t>
      </w:r>
      <w:r>
        <w:rPr>
          <w:rFonts w:eastAsia="Calibri" w:cs="Tahoma" w:ascii="Times New Roman" w:hAnsi="Times New Roman"/>
          <w:b w:val="false"/>
          <w:bCs w:val="false"/>
          <w:i w:val="false"/>
          <w:iCs/>
          <w:color w:val="auto"/>
          <w:sz w:val="20"/>
          <w:szCs w:val="22"/>
          <w:lang w:val="pt-BR" w:eastAsia="pt-BR" w:bidi="ar-SA"/>
        </w:rPr>
        <w:t>raso superior a 2 (dois) meses, contados da emissão e regular liquidação da Nota Fiscal ou Recibo de Pagamento de Autônomo (RPA), dos pagamentos devidos pela Administração Pública Federal decorrentes de serviços efetivamente prestados, salvo em caso de calamidade pública, grave perturbação da ordem interna ou guerra, assegurado ao CREDENCIADO o direito de optar pela suspensão do cumprimento de suas obrigações até que a situação seja normalizada.</w:t>
      </w:r>
    </w:p>
    <w:p>
      <w:pPr>
        <w:pStyle w:val="Nvel02"/>
        <w:widowControl/>
        <w:numPr>
          <w:ilvl w:val="2"/>
          <w:numId w:val="1"/>
        </w:numPr>
        <w:spacing w:lineRule="auto" w:line="276" w:before="119" w:after="119"/>
        <w:ind w:hanging="0" w:start="0" w:end="0"/>
        <w:jc w:val="both"/>
        <w:rPr>
          <w:rFonts w:ascii="Times New Roman" w:hAnsi="Times New Roman"/>
          <w:b w:val="false"/>
          <w:bCs w:val="false"/>
        </w:rPr>
      </w:pPr>
      <w:r>
        <w:rPr>
          <w:rFonts w:eastAsia="Calibri" w:cs="Tahoma" w:ascii="Times New Roman" w:hAnsi="Times New Roman"/>
          <w:b w:val="false"/>
          <w:bCs w:val="false"/>
          <w:sz w:val="20"/>
          <w:szCs w:val="22"/>
          <w:lang w:val="pt-BR" w:eastAsia="pt-BR" w:bidi="ar-SA"/>
        </w:rPr>
        <w:t>Cas</w:t>
      </w:r>
      <w:r>
        <w:rPr>
          <w:rFonts w:eastAsia="Calibri" w:cs="Tahoma" w:ascii="Times New Roman" w:hAnsi="Times New Roman"/>
          <w:b w:val="false"/>
          <w:bCs w:val="false"/>
          <w:i w:val="false"/>
          <w:iCs/>
          <w:color w:val="auto"/>
          <w:sz w:val="20"/>
          <w:szCs w:val="22"/>
          <w:lang w:val="pt-BR" w:eastAsia="pt-BR" w:bidi="ar-SA"/>
        </w:rPr>
        <w:t>o o CREDENCIADO não concorde com os novos preços resultantes do reajuste geral anual das listas referenciais, poderá solicitar o seu descredenciamento a qualquer momento, observada a antecedência mínima de 30 (trinta) dias, de modo a não interromper abruptamente o atendimento aos beneficiários do FuSEx/SAMMED/PASS.</w:t>
      </w:r>
    </w:p>
    <w:p>
      <w:pPr>
        <w:pStyle w:val="Nvel02"/>
        <w:numPr>
          <w:ilvl w:val="1"/>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 xml:space="preserve">A </w:t>
      </w:r>
      <w:r>
        <w:rPr>
          <w:rFonts w:eastAsia="Calibri" w:cs="Tahoma" w:ascii="Times New Roman" w:hAnsi="Times New Roman"/>
          <w:b w:val="false"/>
          <w:bCs w:val="false"/>
          <w:i w:val="false"/>
          <w:iCs/>
          <w:color w:val="auto"/>
          <w:sz w:val="20"/>
          <w:szCs w:val="22"/>
          <w:lang w:val="pt-BR" w:eastAsia="pt-BR" w:bidi="ar-SA"/>
        </w:rPr>
        <w:t>rescisão administrativa ou amigável deverá ser precedida de autorização escrita e fundamentada da autoridade competente, observado o devido processo legal.</w:t>
      </w:r>
    </w:p>
    <w:p>
      <w:pPr>
        <w:pStyle w:val="Nvel02"/>
        <w:numPr>
          <w:ilvl w:val="1"/>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 xml:space="preserve">O </w:t>
      </w:r>
      <w:r>
        <w:rPr>
          <w:rFonts w:eastAsia="Calibri" w:cs="Tahoma" w:ascii="Times New Roman" w:hAnsi="Times New Roman"/>
          <w:b w:val="false"/>
          <w:bCs w:val="false"/>
          <w:i w:val="false"/>
          <w:iCs/>
          <w:color w:val="auto"/>
          <w:sz w:val="20"/>
          <w:szCs w:val="22"/>
          <w:lang w:val="pt-BR" w:eastAsia="pt-BR" w:bidi="ar-SA"/>
        </w:rPr>
        <w:t>Hospital Militar de Resende poderá, no curso do processo de apuração das hipóteses de rescisão unilateral, suspender temporariamente o encaminhamento de novos pacientes ou a execução dos serviços, como medida cautelar de proteção aos usuários.</w:t>
      </w:r>
    </w:p>
    <w:p>
      <w:pPr>
        <w:pStyle w:val="Nvel02"/>
        <w:numPr>
          <w:ilvl w:val="1"/>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Q</w:t>
      </w:r>
      <w:r>
        <w:rPr>
          <w:rFonts w:eastAsia="Calibri" w:cs="Tahoma" w:ascii="Times New Roman" w:hAnsi="Times New Roman"/>
          <w:b w:val="false"/>
          <w:bCs w:val="false"/>
          <w:i w:val="false"/>
          <w:iCs/>
          <w:color w:val="auto"/>
          <w:sz w:val="20"/>
          <w:szCs w:val="22"/>
          <w:lang w:val="pt-BR" w:eastAsia="pt-BR" w:bidi="ar-SA"/>
        </w:rPr>
        <w:t xml:space="preserve">uando a rescisão ocorrer sem culpa do CREDENCIADO, com base nos subitens </w:t>
      </w:r>
      <w:r>
        <w:rPr>
          <w:rFonts w:eastAsia="Calibri" w:cs="Tahoma" w:ascii="Times New Roman" w:hAnsi="Times New Roman"/>
          <w:b w:val="false"/>
          <w:bCs w:val="false"/>
          <w:i w:val="false"/>
          <w:iCs/>
          <w:color w:val="auto"/>
          <w:sz w:val="20"/>
          <w:szCs w:val="22"/>
          <w:lang w:val="pt-BR" w:eastAsia="pt-BR" w:bidi="ar-SA"/>
        </w:rPr>
        <w:t>41</w:t>
      </w:r>
      <w:r>
        <w:rPr>
          <w:rFonts w:eastAsia="Calibri" w:cs="Tahoma" w:ascii="Times New Roman" w:hAnsi="Times New Roman"/>
          <w:b w:val="false"/>
          <w:bCs w:val="false"/>
          <w:i w:val="false"/>
          <w:iCs/>
          <w:color w:val="auto"/>
          <w:sz w:val="20"/>
          <w:szCs w:val="22"/>
          <w:lang w:val="pt-BR" w:eastAsia="pt-BR" w:bidi="ar-SA"/>
        </w:rPr>
        <w:t>.1.</w:t>
      </w:r>
      <w:r>
        <w:rPr>
          <w:rFonts w:eastAsia="Calibri" w:cs="Tahoma" w:ascii="Times New Roman" w:hAnsi="Times New Roman"/>
          <w:b w:val="false"/>
          <w:bCs w:val="false"/>
          <w:i w:val="false"/>
          <w:iCs/>
          <w:color w:val="auto"/>
          <w:sz w:val="20"/>
          <w:szCs w:val="22"/>
          <w:lang w:val="pt-BR" w:eastAsia="pt-BR" w:bidi="ar-SA"/>
        </w:rPr>
        <w:t>2</w:t>
      </w:r>
      <w:r>
        <w:rPr>
          <w:rFonts w:eastAsia="Calibri" w:cs="Tahoma" w:ascii="Times New Roman" w:hAnsi="Times New Roman"/>
          <w:b w:val="false"/>
          <w:bCs w:val="false"/>
          <w:i w:val="false"/>
          <w:iCs/>
          <w:color w:val="auto"/>
          <w:sz w:val="20"/>
          <w:szCs w:val="22"/>
          <w:lang w:val="pt-BR" w:eastAsia="pt-BR" w:bidi="ar-SA"/>
        </w:rPr>
        <w:t>.</w:t>
      </w:r>
      <w:r>
        <w:rPr>
          <w:rFonts w:eastAsia="Calibri" w:cs="Tahoma" w:ascii="Times New Roman" w:hAnsi="Times New Roman"/>
          <w:b w:val="false"/>
          <w:bCs w:val="false"/>
          <w:i w:val="false"/>
          <w:iCs/>
          <w:color w:val="auto"/>
          <w:sz w:val="20"/>
          <w:szCs w:val="22"/>
          <w:lang w:val="pt-BR" w:eastAsia="pt-BR" w:bidi="ar-SA"/>
        </w:rPr>
        <w:t>7</w:t>
      </w:r>
      <w:r>
        <w:rPr>
          <w:rFonts w:eastAsia="Calibri" w:cs="Tahoma" w:ascii="Times New Roman" w:hAnsi="Times New Roman"/>
          <w:b w:val="false"/>
          <w:bCs w:val="false"/>
          <w:i w:val="false"/>
          <w:iCs/>
          <w:color w:val="auto"/>
          <w:sz w:val="20"/>
          <w:szCs w:val="22"/>
          <w:lang w:val="pt-BR" w:eastAsia="pt-BR" w:bidi="ar-SA"/>
        </w:rPr>
        <w:t xml:space="preserve"> (interesse público), </w:t>
      </w:r>
      <w:r>
        <w:rPr>
          <w:rFonts w:eastAsia="Calibri" w:cs="Tahoma" w:ascii="Times New Roman" w:hAnsi="Times New Roman"/>
          <w:b w:val="false"/>
          <w:bCs w:val="false"/>
          <w:i w:val="false"/>
          <w:iCs/>
          <w:color w:val="auto"/>
          <w:sz w:val="20"/>
          <w:szCs w:val="22"/>
          <w:lang w:val="pt-BR" w:eastAsia="pt-BR" w:bidi="ar-SA"/>
        </w:rPr>
        <w:t>41</w:t>
      </w:r>
      <w:r>
        <w:rPr>
          <w:rFonts w:eastAsia="Calibri" w:cs="Tahoma" w:ascii="Times New Roman" w:hAnsi="Times New Roman"/>
          <w:b w:val="false"/>
          <w:bCs w:val="false"/>
          <w:i w:val="false"/>
          <w:iCs/>
          <w:color w:val="auto"/>
          <w:sz w:val="20"/>
          <w:szCs w:val="22"/>
          <w:lang w:val="pt-BR" w:eastAsia="pt-BR" w:bidi="ar-SA"/>
        </w:rPr>
        <w:t>.1.</w:t>
      </w:r>
      <w:r>
        <w:rPr>
          <w:rFonts w:eastAsia="Calibri" w:cs="Tahoma" w:ascii="Times New Roman" w:hAnsi="Times New Roman"/>
          <w:b w:val="false"/>
          <w:bCs w:val="false"/>
          <w:i w:val="false"/>
          <w:iCs/>
          <w:color w:val="auto"/>
          <w:sz w:val="20"/>
          <w:szCs w:val="22"/>
          <w:lang w:val="pt-BR" w:eastAsia="pt-BR" w:bidi="ar-SA"/>
        </w:rPr>
        <w:t>2</w:t>
      </w:r>
      <w:r>
        <w:rPr>
          <w:rFonts w:eastAsia="Calibri" w:cs="Tahoma" w:ascii="Times New Roman" w:hAnsi="Times New Roman"/>
          <w:b w:val="false"/>
          <w:bCs w:val="false"/>
          <w:i w:val="false"/>
          <w:iCs/>
          <w:color w:val="auto"/>
          <w:sz w:val="20"/>
          <w:szCs w:val="22"/>
          <w:lang w:val="pt-BR" w:eastAsia="pt-BR" w:bidi="ar-SA"/>
        </w:rPr>
        <w:t>.</w:t>
      </w:r>
      <w:r>
        <w:rPr>
          <w:rFonts w:eastAsia="Calibri" w:cs="Tahoma" w:ascii="Times New Roman" w:hAnsi="Times New Roman"/>
          <w:b w:val="false"/>
          <w:bCs w:val="false"/>
          <w:i w:val="false"/>
          <w:iCs/>
          <w:color w:val="auto"/>
          <w:sz w:val="20"/>
          <w:szCs w:val="22"/>
          <w:lang w:val="pt-BR" w:eastAsia="pt-BR" w:bidi="ar-SA"/>
        </w:rPr>
        <w:t>8</w:t>
      </w:r>
      <w:r>
        <w:rPr>
          <w:rFonts w:eastAsia="Calibri" w:cs="Tahoma" w:ascii="Times New Roman" w:hAnsi="Times New Roman"/>
          <w:b w:val="false"/>
          <w:bCs w:val="false"/>
          <w:i w:val="false"/>
          <w:iCs/>
          <w:color w:val="auto"/>
          <w:sz w:val="20"/>
          <w:szCs w:val="22"/>
          <w:lang w:val="pt-BR" w:eastAsia="pt-BR" w:bidi="ar-SA"/>
        </w:rPr>
        <w:t xml:space="preserve"> (caso fortuito/força maior) ou </w:t>
      </w:r>
      <w:r>
        <w:rPr>
          <w:rFonts w:eastAsia="Calibri" w:cs="Tahoma" w:ascii="Times New Roman" w:hAnsi="Times New Roman"/>
          <w:b w:val="false"/>
          <w:bCs w:val="false"/>
          <w:i w:val="false"/>
          <w:iCs/>
          <w:color w:val="auto"/>
          <w:sz w:val="20"/>
          <w:szCs w:val="22"/>
          <w:lang w:val="pt-BR" w:eastAsia="pt-BR" w:bidi="ar-SA"/>
        </w:rPr>
        <w:t>41</w:t>
      </w:r>
      <w:r>
        <w:rPr>
          <w:rFonts w:eastAsia="Calibri" w:cs="Tahoma" w:ascii="Times New Roman" w:hAnsi="Times New Roman"/>
          <w:b w:val="false"/>
          <w:bCs w:val="false"/>
          <w:i w:val="false"/>
          <w:iCs/>
          <w:color w:val="auto"/>
          <w:sz w:val="20"/>
          <w:szCs w:val="22"/>
          <w:lang w:val="pt-BR" w:eastAsia="pt-BR" w:bidi="ar-SA"/>
        </w:rPr>
        <w:t>.1.</w:t>
      </w:r>
      <w:r>
        <w:rPr>
          <w:rFonts w:eastAsia="Calibri" w:cs="Tahoma" w:ascii="Times New Roman" w:hAnsi="Times New Roman"/>
          <w:b w:val="false"/>
          <w:bCs w:val="false"/>
          <w:i w:val="false"/>
          <w:iCs/>
          <w:color w:val="auto"/>
          <w:sz w:val="20"/>
          <w:szCs w:val="22"/>
          <w:lang w:val="pt-BR" w:eastAsia="pt-BR" w:bidi="ar-SA"/>
        </w:rPr>
        <w:t>4</w:t>
      </w:r>
      <w:r>
        <w:rPr>
          <w:rFonts w:eastAsia="Calibri" w:cs="Tahoma" w:ascii="Times New Roman" w:hAnsi="Times New Roman"/>
          <w:b w:val="false"/>
          <w:bCs w:val="false"/>
          <w:i w:val="false"/>
          <w:iCs/>
          <w:color w:val="auto"/>
          <w:sz w:val="20"/>
          <w:szCs w:val="22"/>
          <w:lang w:val="pt-BR" w:eastAsia="pt-BR" w:bidi="ar-SA"/>
        </w:rPr>
        <w:t xml:space="preserve"> (falta da Administração), será este ressarcido dos prejuízos regularmente comprovados, tendo direito a:</w:t>
      </w:r>
    </w:p>
    <w:p>
      <w:pPr>
        <w:pStyle w:val="Nvel02"/>
        <w:numPr>
          <w:ilvl w:val="2"/>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pa</w:t>
      </w:r>
      <w:r>
        <w:rPr>
          <w:rFonts w:eastAsia="Calibri" w:cs="Tahoma" w:ascii="Times New Roman" w:hAnsi="Times New Roman"/>
          <w:b w:val="false"/>
          <w:bCs w:val="false"/>
          <w:i w:val="false"/>
          <w:iCs/>
          <w:color w:val="auto"/>
          <w:sz w:val="20"/>
          <w:szCs w:val="22"/>
          <w:lang w:val="pt-BR" w:eastAsia="pt-BR" w:bidi="ar-SA"/>
        </w:rPr>
        <w:t>gamentos devidos pelos serviços efetivamente executados e auditados até a data da rescisão;</w:t>
      </w:r>
    </w:p>
    <w:p>
      <w:pPr>
        <w:pStyle w:val="Nvel02"/>
        <w:numPr>
          <w:ilvl w:val="2"/>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agamento do custo de desmobilização, se devidamente comprovado e aplicável à natureza do serviço.</w:t>
      </w:r>
    </w:p>
    <w:p>
      <w:pPr>
        <w:pStyle w:val="Nvel02"/>
        <w:numPr>
          <w:ilvl w:val="1"/>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A</w:t>
      </w:r>
      <w:r>
        <w:rPr>
          <w:rFonts w:eastAsia="Calibri" w:cs="Tahoma" w:ascii="Times New Roman" w:hAnsi="Times New Roman"/>
          <w:b w:val="false"/>
          <w:bCs w:val="false"/>
          <w:i w:val="false"/>
          <w:iCs/>
          <w:color w:val="auto"/>
          <w:sz w:val="20"/>
          <w:szCs w:val="22"/>
          <w:lang w:val="pt-BR" w:eastAsia="pt-BR" w:bidi="ar-SA"/>
        </w:rPr>
        <w:t xml:space="preserve"> rescisão unilateral por ato da Administração acarreta as seguintes consequências, sem prejuízo das sanções previstas neste Edital:</w:t>
      </w:r>
    </w:p>
    <w:p>
      <w:pPr>
        <w:pStyle w:val="Nvel02"/>
        <w:widowControl/>
        <w:numPr>
          <w:ilvl w:val="2"/>
          <w:numId w:val="1"/>
        </w:numPr>
        <w:spacing w:lineRule="auto" w:line="276" w:before="119" w:after="119"/>
        <w:ind w:hanging="0" w:start="0" w:end="0"/>
        <w:jc w:val="both"/>
        <w:rPr>
          <w:rFonts w:ascii="Times New Roman" w:hAnsi="Times New Roman"/>
          <w:b w:val="false"/>
          <w:bCs w:val="false"/>
        </w:rPr>
      </w:pPr>
      <w:r>
        <w:rPr>
          <w:rFonts w:eastAsia="Calibri" w:cs="Tahoma" w:ascii="Times New Roman" w:hAnsi="Times New Roman"/>
          <w:b w:val="false"/>
          <w:bCs w:val="false"/>
          <w:sz w:val="20"/>
          <w:szCs w:val="22"/>
          <w:lang w:val="pt-BR" w:eastAsia="pt-BR" w:bidi="ar-SA"/>
        </w:rPr>
        <w:t>e</w:t>
      </w:r>
      <w:r>
        <w:rPr>
          <w:rFonts w:eastAsia="Calibri" w:cs="Tahoma" w:ascii="Times New Roman" w:hAnsi="Times New Roman"/>
          <w:b w:val="false"/>
          <w:bCs w:val="false"/>
          <w:i w:val="false"/>
          <w:iCs/>
          <w:color w:val="auto"/>
          <w:sz w:val="20"/>
          <w:szCs w:val="22"/>
          <w:lang w:val="pt-BR" w:eastAsia="pt-BR" w:bidi="ar-SA"/>
        </w:rPr>
        <w:t>xecução da garantia contratual (se houver), para ressarcimento dos prejuízos causados e quitação de multas aplicadas;</w:t>
      </w:r>
    </w:p>
    <w:p>
      <w:pPr>
        <w:pStyle w:val="Nvel02"/>
        <w:numPr>
          <w:ilvl w:val="2"/>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r</w:t>
      </w:r>
      <w:r>
        <w:rPr>
          <w:rFonts w:eastAsia="Calibri" w:cs="Tahoma" w:ascii="Times New Roman" w:hAnsi="Times New Roman"/>
          <w:b w:val="false"/>
          <w:bCs w:val="false"/>
          <w:i w:val="false"/>
          <w:iCs/>
          <w:color w:val="auto"/>
          <w:sz w:val="20"/>
          <w:szCs w:val="22"/>
          <w:lang w:val="pt-BR" w:eastAsia="pt-BR" w:bidi="ar-SA"/>
        </w:rPr>
        <w:t>etenção dos créditos decorrentes da produção mensal de guias até o limite dos prejuízos quantificados e causados à Administração.</w:t>
      </w:r>
    </w:p>
    <w:p>
      <w:pPr>
        <w:pStyle w:val="Nvel02"/>
        <w:numPr>
          <w:ilvl w:val="1"/>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 xml:space="preserve">É </w:t>
      </w:r>
      <w:r>
        <w:rPr>
          <w:rFonts w:eastAsia="Calibri" w:cs="Tahoma" w:ascii="Times New Roman" w:hAnsi="Times New Roman"/>
          <w:b w:val="false"/>
          <w:bCs w:val="false"/>
          <w:i w:val="false"/>
          <w:iCs/>
          <w:color w:val="auto"/>
          <w:sz w:val="20"/>
          <w:szCs w:val="22"/>
          <w:lang w:val="pt-BR" w:eastAsia="pt-BR" w:bidi="ar-SA"/>
        </w:rPr>
        <w:t>permitido à Administração Pública Federal, no caso de recuperação judicial do CREDENCIADO, manter o ajuste se demonstrada a viabilidade da continuidade da prestação dos serviços de saúde.</w:t>
      </w:r>
    </w:p>
    <w:p>
      <w:pPr>
        <w:pStyle w:val="Nvel02"/>
        <w:numPr>
          <w:ilvl w:val="1"/>
          <w:numId w:val="1"/>
        </w:numPr>
        <w:spacing w:lineRule="auto" w:line="276" w:before="119" w:after="119"/>
        <w:ind w:hanging="0" w:start="0" w:end="0"/>
        <w:rPr>
          <w:rFonts w:ascii="Times New Roman" w:hAnsi="Times New Roman"/>
          <w:b w:val="false"/>
          <w:bCs w:val="false"/>
        </w:rPr>
      </w:pPr>
      <w:r>
        <w:rPr>
          <w:rFonts w:ascii="Times New Roman" w:hAnsi="Times New Roman"/>
          <w:b w:val="false"/>
          <w:bCs w:val="false"/>
        </w:rPr>
        <w:t>E</w:t>
      </w:r>
      <w:r>
        <w:rPr>
          <w:rFonts w:eastAsia="Calibri" w:cs="Tahoma" w:ascii="Times New Roman" w:hAnsi="Times New Roman"/>
          <w:b w:val="false"/>
          <w:bCs w:val="false"/>
          <w:i w:val="false"/>
          <w:iCs/>
          <w:color w:val="auto"/>
          <w:sz w:val="20"/>
          <w:szCs w:val="22"/>
          <w:lang w:val="pt-BR" w:eastAsia="pt-BR" w:bidi="ar-SA"/>
        </w:rPr>
        <w:t>m caso de rescisão ou descredenciamento, o CREDENCIADO obriga-se a manter a continuidade dos tratamentos em curso de pacientes internados que não possam ser removidos para outra unidade hospitalar devido ao risco de agravamento do estado de saúde, bem como de pacientes em tratamento oncológico, hemodiálise ou terapias de alta complexidade iniciadas, até a efetiva alta médica ou transferência segura coordenada pelo CREDENCIANTE.</w:t>
      </w:r>
    </w:p>
    <w:p>
      <w:pPr>
        <w:pStyle w:val="Nvel02"/>
        <w:numPr>
          <w:ilvl w:val="0"/>
          <w:numId w:val="1"/>
        </w:numPr>
        <w:spacing w:lineRule="auto" w:line="276" w:before="119" w:after="119"/>
        <w:ind w:hanging="0" w:start="0" w:end="0"/>
        <w:rPr>
          <w:rFonts w:ascii="Times New Roman" w:hAnsi="Times New Roman" w:eastAsia="Calibri" w:cs="Tahoma"/>
          <w:b w:val="false"/>
          <w:bCs w:val="false"/>
          <w:sz w:val="20"/>
          <w:szCs w:val="22"/>
          <w:lang w:val="pt-BR" w:eastAsia="pt-BR" w:bidi="ar-SA"/>
        </w:rPr>
      </w:pPr>
      <w:r>
        <w:rPr>
          <w:rFonts w:eastAsia="Calibri" w:cs="Tahoma" w:ascii="Times New Roman" w:hAnsi="Times New Roman"/>
          <w:b w:val="false"/>
          <w:bCs w:val="false"/>
          <w:sz w:val="20"/>
          <w:szCs w:val="22"/>
          <w:lang w:val="pt-BR" w:eastAsia="pt-BR" w:bidi="ar-SA"/>
        </w:rPr>
        <w:t>A rescisão não eximirá o CREDENCIADO das garantias técnicas assumidas em relação aos atos médicos e serviços executados, bem como de outras responsabilidades civis e penais que legalmente lhe possam ser imputadas.</w:t>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 xml:space="preserve">CLÁUSULA DÉCIMA </w:t>
      </w:r>
      <w:r>
        <w:rPr>
          <w:rFonts w:ascii="Times New Roman" w:hAnsi="Times New Roman"/>
          <w:b/>
          <w:color w:val="000000"/>
          <w:sz w:val="20"/>
          <w:szCs w:val="20"/>
          <w:u w:val="none"/>
          <w:shd w:fill="auto" w:val="clear"/>
        </w:rPr>
        <w:t>SEGUNDA</w:t>
      </w:r>
      <w:r>
        <w:rPr>
          <w:rFonts w:ascii="Times New Roman" w:hAnsi="Times New Roman"/>
          <w:b/>
          <w:color w:val="000000"/>
          <w:sz w:val="20"/>
          <w:szCs w:val="20"/>
          <w:u w:val="none"/>
          <w:shd w:fill="auto" w:val="clear"/>
        </w:rPr>
        <w:t xml:space="preserve"> – Das obrigações do credenciante.</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Cumprir e fazer cumprir as disposições deste Termo de Credenciamento, do Edital de Credenciamento, do Termo de Referência e da legislação aplicável.</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Encaminhar ao CREDENCIADO os beneficiários regularmente habilitados ao atendimento, observadas as regras de distribuição da demanda, a disponibilidade assistencial, a livre escolha do beneficiário, quando aplicável, e os critérios estabelecidos no Edital e no Termo de Referência.</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Emitir as Guias de Encaminhamento, autorizações e demais documentos necessários à prestação dos serviços, observadas as hipóteses previstas no Edital e no Termo de Referência.</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Exercer o acompanhamento, a fiscalização e a auditoria da execução contratual, por meio dos agentes formalmente designados, sem prejuízo da responsabilidade exclusiva do CREDENCIADO pela execução dos serviços.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Efetuar o pagamento dos serviços regularmente executados, auditados e atestados, na forma, nos prazos e nas condições estabelecidos neste Termo de Credenciamento, no Edital e no Termo de Referência.</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Comunicar ao CREDENCIADO as ocorrências verificadas durante a execução contratual que exijam providências corretivas, concedendo prazo para manifestação ou regularização, quando cabível.</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Aplicar, quando cabíveis, as glosas, notificações, sanções administrativas e demais medidas previstas neste Termo de Credenciamento, no Edital, no Termo de Referência e na legislação vigente, assegurados o contraditório e a ampla defesa, quando exigidos.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Disponibilizar ao CREDENCIADO as normas, instruções, listas referenciais, tabelas de remuneração, formulários e demais documentos necessários à adequada execução dos serviços.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Promover a atualização das listas referenciais, critérios de remuneração e demais instrumentos técnicos, na forma prevista no Edital e no Termo de Referência.</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 xml:space="preserve"> </w:t>
      </w:r>
      <w:r>
        <w:rPr>
          <w:rFonts w:eastAsia="Calibri" w:cs="Tahoma" w:ascii="Times New Roman" w:hAnsi="Times New Roman"/>
          <w:color w:val="auto"/>
          <w:sz w:val="20"/>
          <w:lang w:eastAsia="pt-BR"/>
        </w:rPr>
        <w:t>Adotar as medidas necessárias para assegurar a continuidade da assistência aos beneficiários, sempre que ocorrer interrupção ou risco de descontinuidade da prestação dos serviços.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Zelar pela observância dos princípios da legalidade, impessoalidade, moralidade, publicidade, eficiência, economicidade e transparência na gestão deste Termo de Credenciamento.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 xml:space="preserve">A CREDENCIANTE não se obriga a encaminhar quantidade mínima de beneficiários, procedimentos ou faturamento ao CREDENCIADO, observando-se a distribuição da demanda na forma prevista no Edital e no Termo de Referência. </w:t>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 xml:space="preserve">CLÁUSULA DÉCIMA </w:t>
      </w:r>
      <w:r>
        <w:rPr>
          <w:rFonts w:ascii="Times New Roman" w:hAnsi="Times New Roman"/>
          <w:b/>
          <w:color w:val="000000"/>
          <w:sz w:val="20"/>
          <w:szCs w:val="20"/>
          <w:u w:val="none"/>
          <w:shd w:fill="auto" w:val="clear"/>
        </w:rPr>
        <w:t>TERCEIRA</w:t>
      </w:r>
      <w:r>
        <w:rPr>
          <w:rFonts w:ascii="Times New Roman" w:hAnsi="Times New Roman"/>
          <w:b/>
          <w:color w:val="000000"/>
          <w:sz w:val="20"/>
          <w:szCs w:val="20"/>
          <w:u w:val="none"/>
          <w:shd w:fill="auto" w:val="clear"/>
        </w:rPr>
        <w:t xml:space="preserve"> – Das obrigações do credenciado.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Constituem obrigações do CREDENCIADO, sem prejuízo das demais previstas neste Termo de Credenciamento, no Edital, no Termo de Referência e na legislação aplicável:</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Executar os serviços objeto deste Termo de Credenciamento com observância da legislação vigente, das normas técnicas, éticas, sanitárias e assistenciais aplicáveis, mantendo padrão adequado de qualidade, segurança, eficiência e continuidade da assistência.</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durante toda a vigência deste Termo de Credenciamento, as condições de habilitação, qualificação técnica, regularidade fiscal, trabalhista, previdenciária, sanitária e demais requisitos exigidos para o credenciamento.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Disponibilizar instalações físicas, equipamentos, materiais, medicamentos, recursos tecnológicos e equipe multiprofissional compatíveis com os serviços contratados, responsabilizando-se integralmente pela qualidade da assistência prestada.</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Prestar atendimento aos beneficiários do SAMMED/FuSEx/PASS nas condições estabelecidas neste Termo de Credenciamento, no Edital e no Termo de Referência, observando os critérios de encaminhamento, autorização, cobertura assistencial e classificação de risco, quando aplicáveis.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responsável técnico regularmente habilitado perante o respectivo Conselho Profissional, respondendo integralmente pelos atos praticados por seus dirigentes, empregados, profissionais, cooperados, prepostos e demais pessoas envolvidas na execução dos serviços.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Comunicar imediatamente à CREDENCIANTE qualquer fato que possa comprometer a continuidade da assistência, a regular execução contratual ou a manutenção das condições de habilitação, inclusive suspensão de atividades, perda de licenças, interdições, paralisações ou outras situações relevantes.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Apresentar as faturas, documentos, relatórios, prontuários, laudos e demais informações necessárias ao faturamento, à auditoria e à fiscalização contratual, observando os prazos e requisitos estabelecidos no Edital e no Termo de Referência.</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Permitir o acesso dos representantes da CREDENCIANTE, dos fiscais do contrato, da auditoria e dos demais órgãos de controle às dependências relacionadas à execução dos serviços, fornecendo todas as informações e documentos necessários ao exercício de suas atribuições, observado o sigilo profissional e a legislação aplicável.</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Observar as normas de segurança do paciente, controle de infecção, gerenciamento de riscos assistenciais, proteção radiológica, processamento de produtos para saúde, gerenciamento de resíduos dos serviços de saúde e demais normas sanitárias aplicáveis.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absoluto sigilo sobre as informações clínicas, administrativas e pessoais dos beneficiários, observando a Lei Geral de Proteção de Dados Pessoais (LGPD), o Código de Ética Profissional e a legislação vigente.</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Responder integralmente pelos danos decorrentes da execução dos serviços, na forma prevista neste Termo de Credenciamento e na legislação aplicável.</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Não exigir dos beneficiários qualquer pagamento, caução, garantia, complementação de valores ou cobrança adicional relativa aos serviços cobertos pelo SAMMED/FuSEx/PASS, ressalvadas as hipóteses expressamente previstas no Edital e na legislação aplicável.</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Cumprir as determinações expedidas pela CREDENCIANTE relacionadas à execução contratual, à auditoria, à fiscalização e à gestão do contrato, desde que compatíveis com a legislação vigente.</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Atender às solicitações de esclarecimentos, diligências e apresentação de documentos formuladas pela CREDENCIANTE dentro dos prazos estabelecidos.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Observar integralmente as disposições constantes do Edital de Credenciamento, do Termo de Referência, de seus Anexos e das demais normas aplicáveis ao Sistema de Saúde do Exército Brasileiro.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 xml:space="preserve">O CREDENCIADO declara ter pleno conhecimento das disposições constantes do Edital de Credenciamento, do Termo de Referência e de seus Anexos, comprometendo-se a cumpri-las integralmente durante toda a vigência deste Termo de Credenciamento. </w:t>
      </w:r>
    </w:p>
    <w:p>
      <w:pPr>
        <w:pStyle w:val="BodyText"/>
        <w:widowControl w:val="false"/>
        <w:numPr>
          <w:ilvl w:val="0"/>
          <w:numId w:val="1"/>
        </w:numPr>
        <w:bidi w:val="0"/>
        <w:spacing w:lineRule="auto" w:line="276" w:before="0" w:after="113"/>
        <w:ind w:hanging="0" w:start="0" w:end="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As partes comprometem-se a observar integralmente as disposições da Lei nº 13.709, de 14 de agosto de 2018 (Lei Geral de Proteção de Dados Pessoais – LGPD), adotando as medidas técnicas, administrativas e organizacionais necessárias à proteção dos dados pessoais e dos dados pessoais sensíveis tratados em razão da execução deste Termo de Credenciamento.</w:t>
      </w:r>
    </w:p>
    <w:p>
      <w:pPr>
        <w:pStyle w:val="BodyText"/>
        <w:widowControl w:val="false"/>
        <w:numPr>
          <w:ilvl w:val="0"/>
          <w:numId w:val="1"/>
        </w:numPr>
        <w:bidi w:val="0"/>
        <w:spacing w:lineRule="auto" w:line="276" w:before="0" w:after="113"/>
        <w:ind w:hanging="0" w:start="0" w:end="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O CREDENCIADO utilizará os dados pessoais dos beneficiários, de seus representantes legais e demais envolvidos exclusivamente para a execução dos serviços objeto deste Termo de Credenciamento, sendo vedada sua utilização para finalidade diversa daquelas previstas na legislação, neste instrumento, no Edital de Credenciamento e no Termo de Referência.</w:t>
      </w:r>
    </w:p>
    <w:p>
      <w:pPr>
        <w:pStyle w:val="BodyText"/>
        <w:widowControl w:val="false"/>
        <w:numPr>
          <w:ilvl w:val="0"/>
          <w:numId w:val="1"/>
        </w:numPr>
        <w:bidi w:val="0"/>
        <w:spacing w:lineRule="auto" w:line="276" w:before="0" w:after="113"/>
        <w:ind w:hanging="0" w:start="0" w:end="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O CREDENCIADO compromete-se a garantir a confidencialidade, a integridade, a disponibilidade e a segurança das informações e documentos sob sua guarda, adotando controles compatíveis com a natureza dos dados tratados e restringindo o acesso apenas aos profissionais que necessitem conhecê-los para a execução dos serviços.</w:t>
      </w:r>
    </w:p>
    <w:p>
      <w:pPr>
        <w:pStyle w:val="BodyText"/>
        <w:widowControl w:val="false"/>
        <w:numPr>
          <w:ilvl w:val="0"/>
          <w:numId w:val="1"/>
        </w:numPr>
        <w:bidi w:val="0"/>
        <w:spacing w:lineRule="auto" w:line="276" w:before="0" w:after="113"/>
        <w:ind w:hanging="0" w:start="0" w:end="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O compartilhamento, a divulgação ou o tratamento de dados pessoais somente poderá ocorrer nas hipóteses autorizadas pela legislação aplicável ou mediante solicitação da CREDENCIANTE, quando necessário à execução contratual, à auditoria, à fiscalização, ao cumprimento de obrigação legal ou regulatória ou ao exercício regular de direitos.</w:t>
      </w:r>
    </w:p>
    <w:p>
      <w:pPr>
        <w:pStyle w:val="BodyText"/>
        <w:widowControl w:val="false"/>
        <w:numPr>
          <w:ilvl w:val="0"/>
          <w:numId w:val="1"/>
        </w:numPr>
        <w:bidi w:val="0"/>
        <w:spacing w:lineRule="auto" w:line="276" w:before="0" w:after="113"/>
        <w:ind w:hanging="0" w:start="0" w:end="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O CREDENCIADO comunicará imediatamente à CREDENCIANTE qualquer incidente de segurança que possa acarretar risco ou dano relevante aos dados pessoais tratados em decorrência da execução deste Termo de Credenciamento, adotando prontamente as medidas necessárias para sua contenção, mitigação e apuração.</w:t>
      </w:r>
    </w:p>
    <w:p>
      <w:pPr>
        <w:pStyle w:val="BodyText"/>
        <w:widowControl w:val="false"/>
        <w:numPr>
          <w:ilvl w:val="0"/>
          <w:numId w:val="1"/>
        </w:numPr>
        <w:bidi w:val="0"/>
        <w:spacing w:lineRule="auto" w:line="276" w:before="0" w:after="113"/>
        <w:ind w:hanging="0" w:start="0" w:end="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O término da vigência deste Termo de Credenciamento não afasta o dever de sigilo e de proteção dos dados pessoais obtidos durante sua execução, permanecendo o CREDENCIADO responsável pelo tratamento das informações na forma da legislação aplicável.</w:t>
      </w:r>
    </w:p>
    <w:p>
      <w:pPr>
        <w:pStyle w:val="BodyText"/>
        <w:widowControl w:val="false"/>
        <w:numPr>
          <w:ilvl w:val="0"/>
          <w:numId w:val="1"/>
        </w:numPr>
        <w:bidi w:val="0"/>
        <w:spacing w:lineRule="auto" w:line="276" w:before="0" w:after="113"/>
        <w:ind w:hanging="0" w:start="0" w:end="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t xml:space="preserve">O descumprimento das obrigações previstas nesta cláusula sujeitará o CREDENCIADO às sanções administrativas, civis e contratuais cabíveis, sem prejuízo da responsabilização prevista na Lei nº 13.709, de 14 de agosto de 2018, e na demais legislação aplicável. </w:t>
      </w:r>
    </w:p>
    <w:p>
      <w:pPr>
        <w:pStyle w:val="BodyText"/>
        <w:widowControl w:val="false"/>
        <w:numPr>
          <w:ilvl w:val="0"/>
          <w:numId w:val="0"/>
        </w:numPr>
        <w:bidi w:val="0"/>
        <w:spacing w:lineRule="auto" w:line="276" w:before="0" w:after="113"/>
        <w:ind w:hanging="0" w:start="0" w:end="0"/>
        <w:jc w:val="both"/>
        <w:rPr>
          <w:rFonts w:ascii="Times New Roman" w:hAnsi="Times New Roman" w:eastAsia="Calibri" w:cs="Tahoma"/>
          <w:color w:val="auto"/>
          <w:sz w:val="20"/>
          <w:szCs w:val="22"/>
          <w:lang w:eastAsia="pt-BR"/>
        </w:rPr>
      </w:pPr>
      <w:r>
        <w:rPr>
          <w:rFonts w:eastAsia="Calibri" w:cs="Tahoma" w:ascii="Times New Roman" w:hAnsi="Times New Roman"/>
          <w:color w:val="auto"/>
          <w:sz w:val="20"/>
          <w:szCs w:val="22"/>
          <w:lang w:eastAsia="pt-BR"/>
        </w:rPr>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 xml:space="preserve">CLÁUSULA DÉCIMA </w:t>
      </w:r>
      <w:r>
        <w:rPr>
          <w:rFonts w:ascii="Times New Roman" w:hAnsi="Times New Roman"/>
          <w:b/>
          <w:color w:val="000000"/>
          <w:sz w:val="20"/>
          <w:szCs w:val="20"/>
          <w:u w:val="none"/>
          <w:shd w:fill="auto" w:val="clear"/>
        </w:rPr>
        <w:t>QUARTA</w:t>
      </w:r>
      <w:r>
        <w:rPr>
          <w:rFonts w:ascii="Times New Roman" w:hAnsi="Times New Roman"/>
          <w:b/>
          <w:color w:val="000000"/>
          <w:sz w:val="20"/>
          <w:szCs w:val="20"/>
          <w:u w:val="none"/>
          <w:shd w:fill="auto" w:val="clear"/>
        </w:rPr>
        <w:t xml:space="preserve"> – Das acomodações para internação.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Os padrões de acomodações hospitalares para os beneficiários do SAMMED/FuSEx e seus dependentes serão, de acordo com a disponibilidade, os seguintes:</w:t>
      </w:r>
    </w:p>
    <w:p>
      <w:pPr>
        <w:pStyle w:val="ListParagraph"/>
        <w:widowControl w:val="false"/>
        <w:numPr>
          <w:ilvl w:val="1"/>
          <w:numId w:val="1"/>
        </w:numPr>
        <w:spacing w:before="0" w:after="113"/>
        <w:ind w:hanging="0" w:start="680"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Para oficiais e seus dependentes:</w:t>
      </w:r>
    </w:p>
    <w:p>
      <w:pPr>
        <w:pStyle w:val="ListParagraph"/>
        <w:widowControl w:val="false"/>
        <w:numPr>
          <w:ilvl w:val="2"/>
          <w:numId w:val="1"/>
        </w:numPr>
        <w:spacing w:before="0" w:after="113"/>
        <w:ind w:hanging="0" w:start="1418"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Quartos privativos; e</w:t>
      </w:r>
    </w:p>
    <w:p>
      <w:pPr>
        <w:pStyle w:val="ListParagraph"/>
        <w:widowControl w:val="false"/>
        <w:numPr>
          <w:ilvl w:val="2"/>
          <w:numId w:val="1"/>
        </w:numPr>
        <w:spacing w:before="0" w:after="113"/>
        <w:ind w:hanging="0" w:start="1418"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Quartos semiprivativos.</w:t>
      </w:r>
    </w:p>
    <w:p>
      <w:pPr>
        <w:pStyle w:val="ListParagraph"/>
        <w:widowControl w:val="false"/>
        <w:numPr>
          <w:ilvl w:val="1"/>
          <w:numId w:val="1"/>
        </w:numPr>
        <w:spacing w:before="0" w:after="113"/>
        <w:ind w:hanging="0" w:start="680"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Para subtenentes e sargentos e seus dependentes:</w:t>
      </w:r>
    </w:p>
    <w:p>
      <w:pPr>
        <w:pStyle w:val="ListParagraph"/>
        <w:widowControl w:val="false"/>
        <w:numPr>
          <w:ilvl w:val="2"/>
          <w:numId w:val="1"/>
        </w:numPr>
        <w:spacing w:before="0" w:after="113"/>
        <w:ind w:hanging="0" w:start="1418"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Quartos privativos; e</w:t>
      </w:r>
    </w:p>
    <w:p>
      <w:pPr>
        <w:pStyle w:val="ListParagraph"/>
        <w:widowControl w:val="false"/>
        <w:numPr>
          <w:ilvl w:val="2"/>
          <w:numId w:val="1"/>
        </w:numPr>
        <w:spacing w:before="0" w:after="113"/>
        <w:ind w:hanging="0" w:start="1418"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Quartos semiprivativos.</w:t>
      </w:r>
    </w:p>
    <w:p>
      <w:pPr>
        <w:pStyle w:val="ListParagraph"/>
        <w:widowControl w:val="false"/>
        <w:numPr>
          <w:ilvl w:val="1"/>
          <w:numId w:val="1"/>
        </w:numPr>
        <w:spacing w:before="0" w:after="113"/>
        <w:ind w:hanging="0" w:start="680"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Para cabos, taifeiros e soldados:</w:t>
      </w:r>
    </w:p>
    <w:p>
      <w:pPr>
        <w:pStyle w:val="ListParagraph"/>
        <w:widowControl w:val="false"/>
        <w:numPr>
          <w:ilvl w:val="2"/>
          <w:numId w:val="1"/>
        </w:numPr>
        <w:spacing w:before="0" w:after="113"/>
        <w:ind w:hanging="0" w:start="1418"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Enfermarias de até três leitos; e</w:t>
      </w:r>
    </w:p>
    <w:p>
      <w:pPr>
        <w:pStyle w:val="ListParagraph"/>
        <w:widowControl w:val="false"/>
        <w:numPr>
          <w:ilvl w:val="2"/>
          <w:numId w:val="1"/>
        </w:numPr>
        <w:spacing w:before="0" w:after="113"/>
        <w:ind w:hanging="0" w:start="1418"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Enfermarias gerais.</w:t>
      </w:r>
    </w:p>
    <w:p>
      <w:pPr>
        <w:pStyle w:val="ListParagraph"/>
        <w:widowControl w:val="false"/>
        <w:numPr>
          <w:ilvl w:val="1"/>
          <w:numId w:val="1"/>
        </w:numPr>
        <w:spacing w:before="0" w:after="113"/>
        <w:ind w:hanging="0" w:start="680"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Os dependentes de cabos, soldados e taifeiros terão direito a:</w:t>
      </w:r>
    </w:p>
    <w:p>
      <w:pPr>
        <w:pStyle w:val="ListParagraph"/>
        <w:widowControl w:val="false"/>
        <w:numPr>
          <w:ilvl w:val="2"/>
          <w:numId w:val="1"/>
        </w:numPr>
        <w:spacing w:before="0" w:after="113"/>
        <w:ind w:hanging="0" w:start="1418"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Quartos semiprivativos; e</w:t>
      </w:r>
    </w:p>
    <w:p>
      <w:pPr>
        <w:pStyle w:val="ListParagraph"/>
        <w:widowControl w:val="false"/>
        <w:numPr>
          <w:ilvl w:val="2"/>
          <w:numId w:val="1"/>
        </w:numPr>
        <w:spacing w:before="0" w:after="113"/>
        <w:ind w:hanging="0" w:start="1418"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Enfermaria de até seis leitos.</w:t>
      </w:r>
    </w:p>
    <w:p>
      <w:pPr>
        <w:pStyle w:val="ListParagraph"/>
        <w:widowControl w:val="false"/>
        <w:numPr>
          <w:ilvl w:val="1"/>
          <w:numId w:val="1"/>
        </w:numPr>
        <w:spacing w:before="0" w:after="113"/>
        <w:ind w:hanging="0" w:start="680"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O padrão das acomodações para hospitalização a que os beneficiários da PASS fazem jus é definido pela correlação estabelecida na Portaria Ministerial nº 396, de 2008.</w:t>
      </w:r>
    </w:p>
    <w:p>
      <w:pPr>
        <w:pStyle w:val="ListParagraph"/>
        <w:widowControl w:val="false"/>
        <w:numPr>
          <w:ilvl w:val="0"/>
          <w:numId w:val="1"/>
        </w:numPr>
        <w:spacing w:before="0" w:after="113"/>
        <w:ind w:hanging="0" w:start="0"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t>No caso de indisponibilidade de acomodação compatível com os padrões a que tem direito o beneficiário do FuSEx/SAMMED/PASS, a OCS obrigar-se-á a instalá-lo em uma acomodação de padrão superior, sem ônus para o beneficiário ou para o FuSEx/SAMMED/PASS.</w:t>
      </w:r>
    </w:p>
    <w:p>
      <w:pPr>
        <w:pStyle w:val="ListParagraph"/>
        <w:widowControl w:val="false"/>
        <w:numPr>
          <w:ilvl w:val="0"/>
          <w:numId w:val="1"/>
        </w:numPr>
        <w:spacing w:before="0" w:after="113"/>
        <w:ind w:hanging="0" w:start="0" w:end="0"/>
        <w:contextualSpacing w:val="false"/>
        <w:jc w:val="both"/>
        <w:rPr>
          <w:rFonts w:ascii="Times New Roman" w:hAnsi="Times New Roman"/>
          <w:color w:val="auto"/>
          <w:sz w:val="20"/>
          <w:szCs w:val="20"/>
          <w:u w:val="none"/>
          <w:shd w:fill="auto" w:val="clear"/>
        </w:rPr>
      </w:pPr>
      <w:r>
        <w:rPr>
          <w:rFonts w:cs="Arial" w:ascii="Times New Roman" w:hAnsi="Times New Roman"/>
          <w:color w:val="000000"/>
          <w:sz w:val="20"/>
          <w:szCs w:val="20"/>
          <w:u w:val="none"/>
          <w:shd w:fill="auto" w:val="clear"/>
        </w:rPr>
        <w:t xml:space="preserve">É </w:t>
      </w:r>
      <w:r>
        <w:rPr>
          <w:rFonts w:cs="Times New Roman" w:ascii="Times New Roman" w:hAnsi="Times New Roman"/>
          <w:color w:val="000000"/>
          <w:sz w:val="20"/>
          <w:szCs w:val="20"/>
          <w:u w:val="none"/>
          <w:shd w:fill="auto" w:val="clear"/>
        </w:rPr>
        <w:t>reservado aos beneficiários do FuSEx/SAMMED/PASS o direito de optar por melhoria de padrão de acomodação hospitalar para si ou para seus dependentes. Neste caso, as diferenças de honorários médicos e de despesas hospitalares referentes a esta opção serão pagas integral e diretamente pelo beneficiário ao CREDENCIADO.</w:t>
      </w:r>
    </w:p>
    <w:p>
      <w:pPr>
        <w:pStyle w:val="ListParagraph"/>
        <w:widowControl w:val="false"/>
        <w:numPr>
          <w:ilvl w:val="1"/>
          <w:numId w:val="1"/>
        </w:numPr>
        <w:bidi w:val="0"/>
        <w:spacing w:lineRule="auto" w:line="276" w:before="0" w:after="113"/>
        <w:ind w:hanging="0" w:start="680" w:end="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No caso de haver a opção pela melhoria do padrão de acomodação hospitalar, deverá ser assinado, entre o beneficiário, ou servidor civil, e o CREDENCIADO, um TERMO DE AJUSTE PRÉVIO, conforme Anexo I a este termo de credenciamento;</w:t>
      </w:r>
    </w:p>
    <w:p>
      <w:pPr>
        <w:pStyle w:val="ListParagraph"/>
        <w:widowControl w:val="false"/>
        <w:numPr>
          <w:ilvl w:val="1"/>
          <w:numId w:val="1"/>
        </w:numPr>
        <w:bidi w:val="0"/>
        <w:spacing w:lineRule="auto" w:line="276" w:before="0" w:after="113"/>
        <w:ind w:hanging="0" w:start="680" w:end="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A opção feita pelo beneficiário, ou servidor civil, da melhoria do padrão de acomodação, por meio do Termo de Ajuste Prévio, deverá constar da fatura apresentada pelo CREDENCIADO;</w:t>
      </w:r>
    </w:p>
    <w:p>
      <w:pPr>
        <w:pStyle w:val="ListParagraph"/>
        <w:widowControl w:val="false"/>
        <w:numPr>
          <w:ilvl w:val="1"/>
          <w:numId w:val="1"/>
        </w:numPr>
        <w:bidi w:val="0"/>
        <w:spacing w:lineRule="auto" w:line="276" w:before="0" w:after="113"/>
        <w:ind w:hanging="0" w:start="680" w:end="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 xml:space="preserve">O cálculo da diferença de valor do padrão de acomodação hospitalar, livremente escolhida pelo beneficiário ou seu responsável, ou pelo servidor civil, terá como base os valores constantes da </w:t>
      </w:r>
      <w:r>
        <w:rPr>
          <w:rFonts w:ascii="Times New Roman" w:hAnsi="Times New Roman"/>
          <w:color w:val="000000"/>
          <w:sz w:val="20"/>
          <w:szCs w:val="20"/>
          <w:u w:val="none"/>
          <w:shd w:fill="auto" w:val="clear"/>
        </w:rPr>
        <w:t>Lista Referencial de Procedimentos Hospitalares do FuSEx do HOSPITAL MILITAR DE RESENDE para termos de credenciamento - Anexo N do edital</w:t>
      </w:r>
      <w:r>
        <w:rPr>
          <w:rFonts w:cs="Times New Roman" w:ascii="Times New Roman" w:hAnsi="Times New Roman"/>
          <w:color w:val="000000"/>
          <w:sz w:val="20"/>
          <w:szCs w:val="20"/>
          <w:u w:val="none"/>
          <w:shd w:fill="auto" w:val="clear"/>
        </w:rPr>
        <w:t xml:space="preserve">, previamente ajustados neste </w:t>
      </w:r>
      <w:r>
        <w:rPr>
          <w:rFonts w:cs="Times New Roman" w:ascii="Times New Roman" w:hAnsi="Times New Roman"/>
          <w:color w:val="000000"/>
          <w:sz w:val="20"/>
          <w:szCs w:val="20"/>
          <w:u w:val="none"/>
          <w:shd w:fill="auto" w:val="clear"/>
        </w:rPr>
        <w:t>termo de credenciamento</w:t>
      </w:r>
      <w:r>
        <w:rPr>
          <w:rFonts w:cs="Times New Roman" w:ascii="Times New Roman" w:hAnsi="Times New Roman"/>
          <w:color w:val="000000"/>
          <w:sz w:val="20"/>
          <w:szCs w:val="20"/>
          <w:u w:val="none"/>
          <w:shd w:fill="auto" w:val="clear"/>
        </w:rPr>
        <w:t>, considerada a dedução do valor da diária coberta pelo CREDENCIANTE; e</w:t>
      </w:r>
    </w:p>
    <w:p>
      <w:pPr>
        <w:pStyle w:val="ListParagraph"/>
        <w:widowControl w:val="false"/>
        <w:numPr>
          <w:ilvl w:val="1"/>
          <w:numId w:val="1"/>
        </w:numPr>
        <w:bidi w:val="0"/>
        <w:spacing w:lineRule="auto" w:line="276" w:before="0" w:after="113"/>
        <w:ind w:hanging="0" w:start="680" w:end="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A complementação de honorários profissionais do médico assistente será cobrada diretamente do beneficiário, ou do Servidor Civil, pelo CREDENCIADO, conforme os</w:t>
      </w:r>
      <w:r>
        <w:rPr>
          <w:rFonts w:cs="Times New Roman" w:ascii="Times New Roman" w:hAnsi="Times New Roman"/>
          <w:color w:val="000000"/>
          <w:sz w:val="20"/>
          <w:szCs w:val="20"/>
          <w:u w:val="none"/>
          <w:shd w:fill="auto" w:val="clear"/>
          <w:lang w:val="pt-BR"/>
        </w:rPr>
        <w:t xml:space="preserve"> valores para os portes dos procedimentos médicos, prescritos no item 8 do edital de credenciamento</w:t>
      </w:r>
      <w:r>
        <w:rPr>
          <w:rFonts w:cs="Times New Roman" w:ascii="Times New Roman" w:hAnsi="Times New Roman"/>
          <w:color w:val="000000"/>
          <w:sz w:val="20"/>
          <w:szCs w:val="20"/>
          <w:u w:val="none"/>
          <w:shd w:fill="auto" w:val="clear"/>
        </w:rPr>
        <w:t>.</w:t>
      </w:r>
    </w:p>
    <w:p>
      <w:pPr>
        <w:pStyle w:val="ListParagraph"/>
        <w:widowControl w:val="false"/>
        <w:numPr>
          <w:ilvl w:val="0"/>
          <w:numId w:val="1"/>
        </w:numPr>
        <w:spacing w:before="0" w:after="113"/>
        <w:ind w:hanging="0" w:start="0" w:end="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Será também reconhecido como modalidade ·de acomodação para as internações dos pacientes o serviço de “Hospital-Dia”, sendo coberto para todos os beneficiários deste Termo de Credenciamento.</w:t>
      </w:r>
    </w:p>
    <w:p>
      <w:pPr>
        <w:pStyle w:val="ListParagraph"/>
        <w:widowControl w:val="false"/>
        <w:numPr>
          <w:ilvl w:val="0"/>
          <w:numId w:val="0"/>
        </w:numPr>
        <w:spacing w:before="0" w:after="113"/>
        <w:ind w:hanging="0" w:start="0" w:end="0"/>
        <w:contextualSpacing w:val="false"/>
        <w:jc w:val="both"/>
        <w:rPr>
          <w:rFonts w:ascii="Times New Roman" w:hAnsi="Times New Roman" w:cs="Times New Roman"/>
          <w:color w:val="000000"/>
          <w:sz w:val="20"/>
          <w:szCs w:val="20"/>
          <w:u w:val="none"/>
          <w:shd w:fill="auto" w:val="clear"/>
        </w:rPr>
      </w:pPr>
      <w:r>
        <w:rPr>
          <w:rFonts w:cs="Times New Roman" w:ascii="Times New Roman" w:hAnsi="Times New Roman"/>
          <w:color w:val="000000"/>
          <w:sz w:val="20"/>
          <w:szCs w:val="20"/>
          <w:u w:val="none"/>
          <w:shd w:fill="auto" w:val="clear"/>
        </w:rPr>
      </w:r>
    </w:p>
    <w:p>
      <w:pPr>
        <w:pStyle w:val="Normal"/>
        <w:widowControl w:val="false"/>
        <w:spacing w:before="0" w:after="113"/>
        <w:jc w:val="both"/>
        <w:rPr>
          <w:rFonts w:ascii="Times New Roman" w:hAnsi="Times New Roman"/>
          <w:b/>
          <w:color w:val="000000"/>
          <w:sz w:val="20"/>
          <w:szCs w:val="20"/>
          <w:u w:val="none"/>
          <w:shd w:fill="auto" w:val="clear"/>
        </w:rPr>
      </w:pPr>
      <w:r>
        <w:rPr>
          <w:rFonts w:ascii="Times New Roman" w:hAnsi="Times New Roman"/>
          <w:b/>
          <w:color w:val="000000"/>
          <w:sz w:val="20"/>
          <w:szCs w:val="20"/>
          <w:u w:val="none"/>
          <w:shd w:fill="auto" w:val="clear"/>
        </w:rPr>
        <w:t>CLÁUS</w:t>
      </w:r>
      <w:r>
        <w:rPr>
          <w:rFonts w:ascii="Times New Roman" w:hAnsi="Times New Roman"/>
          <w:b/>
          <w:color w:val="000000"/>
          <w:sz w:val="20"/>
          <w:szCs w:val="20"/>
          <w:u w:val="none"/>
          <w:shd w:fill="FFFFFF" w:val="clear"/>
        </w:rPr>
        <w:t xml:space="preserve">ULA DÉCIMA </w:t>
      </w:r>
      <w:r>
        <w:rPr>
          <w:rFonts w:ascii="Times New Roman" w:hAnsi="Times New Roman"/>
          <w:b/>
          <w:color w:val="000000"/>
          <w:sz w:val="20"/>
          <w:szCs w:val="20"/>
          <w:u w:val="none"/>
          <w:shd w:fill="FFFFFF" w:val="clear"/>
        </w:rPr>
        <w:t>QUINTA</w:t>
      </w:r>
      <w:r>
        <w:rPr>
          <w:rFonts w:ascii="Times New Roman" w:hAnsi="Times New Roman"/>
          <w:b/>
          <w:color w:val="000000"/>
          <w:sz w:val="20"/>
          <w:szCs w:val="20"/>
          <w:u w:val="none"/>
          <w:shd w:fill="FFFFFF" w:val="clear"/>
        </w:rPr>
        <w:t xml:space="preserve"> – Da negação de remuneração a militares e servidores civis.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É vedado ao CREDENCIADO remunerar, conceder honorários, gratificações, comissões, vantagens pecuniárias ou qualquer outra forma de contraprestação financeira a militares ou servidores civis do Exército Brasileiro, ativos, em razão da execução dos serviços objeto deste Termo de Credenciamento, ressalvadas as hipóteses legalmente autorizadas.</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É igualmente vedado ao CREDENCIADO exigir, solicitar ou receber dos beneficiários do SAMMED/FuSEx/PASS qualquer pagamento, caução, depósito, garantia, complementação de honorários ou valores adicionais relativos aos serviços cobertos por este Termo de Credenciamento, ressalvadas as hipóteses expressamente previstas no Edital de Credenciamento e na legislação vigente.</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descumprimento do disposto nesta cláusula sujeitará o CREDENCIADO às medidas administrativas, contratuais e legais cabíveis, sem prejuízo da obrigação de restituir os valores eventualmente cobrados ou pagos de forma indevida e da aplicação das sanções previstas no Edital de Credenciamento, neste Termo de Credenciamento e na legislação aplicável.</w:t>
      </w:r>
    </w:p>
    <w:p>
      <w:pPr>
        <w:pStyle w:val="ListParagraph"/>
        <w:widowControl w:val="false"/>
        <w:numPr>
          <w:ilvl w:val="0"/>
          <w:numId w:val="0"/>
        </w:numPr>
        <w:bidi w:val="0"/>
        <w:spacing w:lineRule="auto" w:line="276" w:before="0" w:after="113"/>
        <w:ind w:hanging="0" w:start="0" w:end="0"/>
        <w:contextualSpacing w:val="false"/>
        <w:jc w:val="both"/>
        <w:rPr/>
      </w:pPr>
      <w:r>
        <w:rPr>
          <w:rFonts w:ascii="Times New Roman" w:hAnsi="Times New Roman"/>
          <w:b/>
          <w:color w:val="000000"/>
          <w:sz w:val="20"/>
          <w:szCs w:val="20"/>
          <w:u w:val="none"/>
          <w:shd w:fill="auto" w:val="clear"/>
        </w:rPr>
        <w:t xml:space="preserve">CLÁUSULA DÉCIMA </w:t>
      </w:r>
      <w:r>
        <w:rPr>
          <w:rFonts w:ascii="Times New Roman" w:hAnsi="Times New Roman"/>
          <w:b/>
          <w:color w:val="000000"/>
          <w:sz w:val="20"/>
          <w:szCs w:val="20"/>
          <w:u w:val="none"/>
          <w:shd w:fill="auto" w:val="clear"/>
        </w:rPr>
        <w:t>SEXTA</w:t>
      </w:r>
      <w:r>
        <w:rPr>
          <w:rFonts w:ascii="Times New Roman" w:hAnsi="Times New Roman"/>
          <w:b/>
          <w:color w:val="000000"/>
          <w:sz w:val="20"/>
          <w:szCs w:val="20"/>
          <w:u w:val="none"/>
          <w:shd w:fill="auto" w:val="clear"/>
        </w:rPr>
        <w:t xml:space="preserve"> – Da subcontratação.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É vedada a subcontratação da execução da atividade assistencial principal objeto deste Termo de Credenciamento, salvo nas hipóteses expressamente previstas no Edital de Credenciamento, no Termo de Referência ou previamente autorizadas pela CREDENCIANTE, quando tecnicamente justificadas e sem prejuízo da qualidade da assistência prestada.</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Poderá ser admitida a subcontratação de atividades acessórias, complementares ou de apoio operacional, desde que: não impliquem transferência da responsabilidade técnica pela execução dos serviços contratados; não comprometam a qualidade, a continuidade ou a segurança da assistência prestada; sejam previamente comunicadas e, quando exigido, autorizadas pela CREDENCIANTE e atendam às disposições do Edital, do Termo de Referência e da legislação aplicável.</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A eventual autorização para subcontratação não transfere nem reduz a responsabilidade do CREDENCIADO perante a CREDENCIANTE, permanecendo este integralmente responsável pela execução dos serviços, pela qualidade da assistência prestada, pelos atos praticados pelos subcontratados e pelo cumprimento de todas as obrigações previstas neste Termo de Credenciamento.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subcontratação realizada em desacordo com as disposições desta cláusula ou do Edital de Credenciamento constituirá infração contratual, sujeitando o CREDENCIADO às medidas administrativas, contratuais e sancionatórias cabíveis.</w:t>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 xml:space="preserve">CLÁUSULA DÉCIMA </w:t>
      </w:r>
      <w:r>
        <w:rPr>
          <w:rFonts w:ascii="Times New Roman" w:hAnsi="Times New Roman"/>
          <w:b/>
          <w:color w:val="000000"/>
          <w:sz w:val="20"/>
          <w:szCs w:val="20"/>
          <w:u w:val="none"/>
          <w:shd w:fill="auto" w:val="clear"/>
        </w:rPr>
        <w:t>SÉTIMA</w:t>
      </w:r>
      <w:r>
        <w:rPr>
          <w:rFonts w:ascii="Times New Roman" w:hAnsi="Times New Roman"/>
          <w:b/>
          <w:color w:val="000000"/>
          <w:sz w:val="20"/>
          <w:szCs w:val="20"/>
          <w:u w:val="none"/>
          <w:shd w:fill="auto" w:val="clear"/>
        </w:rPr>
        <w:t xml:space="preserve"> – Do valor do termo de credenciamento.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color w:val="auto"/>
          <w:sz w:val="20"/>
          <w:szCs w:val="20"/>
          <w:u w:val="none"/>
          <w:shd w:fill="auto" w:val="clear"/>
        </w:rPr>
      </w:pPr>
      <w:bookmarkStart w:id="0" w:name="__DdeLink__3273_821067939"/>
      <w:r>
        <w:rPr>
          <w:rFonts w:cs="Times New Roman" w:ascii="Times New Roman" w:hAnsi="Times New Roman"/>
          <w:color w:val="000000"/>
          <w:sz w:val="20"/>
          <w:szCs w:val="20"/>
          <w:u w:val="none"/>
          <w:shd w:fill="auto" w:val="clear"/>
        </w:rPr>
        <w:t xml:space="preserve">O valor global estimado para fazer face às despesas relativas ao objeto deste termo de credenciamento, </w:t>
      </w:r>
      <w:r>
        <w:rPr>
          <w:rFonts w:cs="Times New Roman" w:ascii="Times New Roman" w:hAnsi="Times New Roman"/>
          <w:color w:val="000000"/>
          <w:sz w:val="20"/>
          <w:szCs w:val="20"/>
          <w:u w:val="none"/>
          <w:shd w:fill="auto" w:val="clear"/>
          <w:lang w:val="pt-BR"/>
        </w:rPr>
        <w:t>abrangendo sua vigência mais as prorrogações máximas, se for o caso, terá como base o levantamento estimativo dos encaminhamentos que foram realizados no ano anterior pelo HOSPITAL MILITAR DE RESENDE:</w:t>
      </w:r>
      <w:bookmarkEnd w:id="0"/>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O valor estimado deste termo de credenciamento deverá ser tratado apenas como dado estatístico, fruto da evolução da despesa no período citado, bem como forma de determinar a base de cálculo para aplicação de penalidades previstas neste termo de credenciamento;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 xml:space="preserve">O valor estimado deste termo de credenciamento não poderá servir de base rígida para a apresentação da Nota Fiscal/Fatura Mensal, já que o total de gastos do mês dependerá dos atendimentos e serviços prestados no respectivo período, em consonância com o regime de empreitada por preço unitário; </w:t>
      </w:r>
      <w:r>
        <w:rPr>
          <w:rFonts w:cs="Times New Roman" w:ascii="Times New Roman" w:hAnsi="Times New Roman"/>
          <w:color w:val="000000"/>
          <w:sz w:val="20"/>
          <w:szCs w:val="20"/>
          <w:u w:val="none"/>
          <w:shd w:fill="auto" w:val="clear"/>
        </w:rPr>
        <w:t>e</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 xml:space="preserve">O CREDENCIADO aquiesce, desde já, a redução do valor do Termo de Credenciamento a monta realmente executada, ainda que </w:t>
      </w:r>
      <w:r>
        <w:rPr>
          <w:rFonts w:ascii="Times New Roman" w:hAnsi="Times New Roman"/>
          <w:color w:val="000000"/>
          <w:sz w:val="20"/>
          <w:szCs w:val="20"/>
          <w:u w:val="none"/>
          <w:shd w:fill="auto" w:val="clear"/>
        </w:rPr>
        <w:t xml:space="preserve">acarrete redução, para além do limite permitido no art. 125, da Lei nº 14.133/21, </w:t>
      </w:r>
      <w:r>
        <w:rPr>
          <w:rFonts w:cs="Times New Roman" w:ascii="Times New Roman" w:hAnsi="Times New Roman"/>
          <w:color w:val="000000"/>
          <w:sz w:val="20"/>
          <w:szCs w:val="20"/>
          <w:u w:val="none"/>
          <w:shd w:fill="auto" w:val="clear"/>
        </w:rPr>
        <w:t>observado que inexistirá expectativa de direito quanto ao valor estimado.</w:t>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r>
    </w:p>
    <w:p>
      <w:pPr>
        <w:pStyle w:val="ListParagraph"/>
        <w:widowControl w:val="false"/>
        <w:numPr>
          <w:ilvl w:val="0"/>
          <w:numId w:val="0"/>
        </w:numPr>
        <w:bidi w:val="0"/>
        <w:spacing w:lineRule="auto" w:line="276" w:before="0" w:after="113"/>
        <w:ind w:hanging="0" w:start="0" w:end="0"/>
        <w:contextualSpacing w:val="false"/>
        <w:jc w:val="both"/>
        <w:rPr>
          <w:rFonts w:ascii="Times New Roman" w:hAnsi="Times New Roman"/>
          <w:b/>
          <w:bCs/>
          <w:color w:val="auto"/>
          <w:sz w:val="20"/>
          <w:szCs w:val="20"/>
          <w:u w:val="none"/>
          <w:shd w:fill="auto" w:val="clear"/>
        </w:rPr>
      </w:pPr>
      <w:r>
        <w:rPr>
          <w:rFonts w:cs="Times New Roman" w:ascii="Times New Roman" w:hAnsi="Times New Roman"/>
          <w:b/>
          <w:bCs/>
          <w:color w:val="000000"/>
          <w:sz w:val="20"/>
          <w:szCs w:val="20"/>
          <w:u w:val="none"/>
          <w:shd w:fill="auto" w:val="clear"/>
        </w:rPr>
        <w:t>CL</w:t>
      </w:r>
      <w:r>
        <w:rPr>
          <w:rFonts w:ascii="Times New Roman" w:hAnsi="Times New Roman"/>
          <w:b/>
          <w:bCs/>
          <w:color w:val="000000"/>
          <w:sz w:val="20"/>
          <w:szCs w:val="20"/>
          <w:u w:val="none"/>
          <w:shd w:fill="auto" w:val="clear"/>
        </w:rPr>
        <w:t xml:space="preserve">ÁUSULA DÉCIMA </w:t>
      </w:r>
      <w:r>
        <w:rPr>
          <w:rFonts w:ascii="Times New Roman" w:hAnsi="Times New Roman"/>
          <w:b/>
          <w:bCs/>
          <w:color w:val="000000"/>
          <w:sz w:val="20"/>
          <w:szCs w:val="20"/>
          <w:u w:val="none"/>
          <w:shd w:fill="auto" w:val="clear"/>
        </w:rPr>
        <w:t>OITAVA</w:t>
      </w:r>
      <w:r>
        <w:rPr>
          <w:rFonts w:ascii="Times New Roman" w:hAnsi="Times New Roman"/>
          <w:b/>
          <w:bCs/>
          <w:color w:val="000000"/>
          <w:sz w:val="20"/>
          <w:szCs w:val="20"/>
          <w:u w:val="none"/>
          <w:shd w:fill="auto" w:val="clear"/>
        </w:rPr>
        <w:t xml:space="preserve"> – Do foro.</w:t>
      </w:r>
    </w:p>
    <w:p>
      <w:pPr>
        <w:pStyle w:val="ListParagraph"/>
        <w:widowControl w:val="false"/>
        <w:numPr>
          <w:ilvl w:val="0"/>
          <w:numId w:val="1"/>
        </w:numPr>
        <w:bidi w:val="0"/>
        <w:spacing w:lineRule="auto" w:line="276" w:before="0" w:after="113"/>
        <w:ind w:hanging="0" w:start="0" w:end="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foro para dirimir questões relativas ao presente Edital será o de Resende-RJ, com exclusão de qualquer outro, por mais privilegiado que seja.</w:t>
      </w:r>
    </w:p>
    <w:p>
      <w:pPr>
        <w:pStyle w:val="ListParagraph"/>
        <w:widowControl w:val="false"/>
        <w:numPr>
          <w:ilvl w:val="0"/>
          <w:numId w:val="1"/>
        </w:numPr>
        <w:bidi w:val="0"/>
        <w:spacing w:lineRule="auto" w:line="276" w:before="0" w:after="113"/>
        <w:ind w:star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E, por estarem justos e contratados, preparam o presente Termo de Credenciamento, em 2 (duas)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pPr>
        <w:pStyle w:val="ListParagraph"/>
        <w:widowControl w:val="false"/>
        <w:numPr>
          <w:ilvl w:val="0"/>
          <w:numId w:val="0"/>
        </w:numPr>
        <w:bidi w:val="0"/>
        <w:spacing w:lineRule="auto" w:line="276" w:before="0" w:after="113"/>
        <w:ind w:hanging="0" w:star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r>
    </w:p>
    <w:p>
      <w:pPr>
        <w:pStyle w:val="ListParagraph"/>
        <w:widowControl w:val="false"/>
        <w:numPr>
          <w:ilvl w:val="0"/>
          <w:numId w:val="0"/>
        </w:numPr>
        <w:spacing w:before="120" w:after="120"/>
        <w:ind w:hanging="0" w:start="0" w:end="0"/>
        <w:contextualSpacing w:val="false"/>
        <w:jc w:val="center"/>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t>Resende</w:t>
      </w:r>
      <w:r>
        <w:rPr>
          <w:rFonts w:cs="Times New Roman" w:ascii="Times New Roman" w:hAnsi="Times New Roman"/>
          <w:color w:val="000000"/>
          <w:sz w:val="20"/>
          <w:szCs w:val="20"/>
          <w:u w:val="none"/>
          <w:shd w:fill="auto" w:val="clear"/>
          <w:lang w:val="pt-BR"/>
        </w:rPr>
        <w:t xml:space="preserve">, </w:t>
      </w:r>
      <w:r>
        <w:rPr>
          <w:rFonts w:cs="Times New Roman" w:ascii="Times New Roman" w:hAnsi="Times New Roman"/>
          <w:color w:val="000000"/>
          <w:sz w:val="20"/>
          <w:szCs w:val="20"/>
          <w:u w:val="none"/>
          <w:shd w:fill="auto" w:val="clear"/>
          <w:lang w:val="pt-BR"/>
        </w:rPr>
        <w:t>RJ</w:t>
      </w:r>
      <w:r>
        <w:rPr>
          <w:rFonts w:cs="Times New Roman" w:ascii="Times New Roman" w:hAnsi="Times New Roman"/>
          <w:color w:val="000000"/>
          <w:sz w:val="20"/>
          <w:szCs w:val="20"/>
          <w:u w:val="none"/>
          <w:shd w:fill="auto" w:val="clear"/>
          <w:lang w:val="pt-BR"/>
        </w:rPr>
        <w:t xml:space="preserve">, ___ de __________ de </w:t>
      </w:r>
      <w:r>
        <w:rPr>
          <w:rFonts w:cs="Times New Roman" w:ascii="Times New Roman" w:hAnsi="Times New Roman"/>
          <w:color w:val="000000"/>
          <w:sz w:val="20"/>
          <w:szCs w:val="20"/>
          <w:u w:val="none"/>
          <w:shd w:fill="auto" w:val="clear"/>
          <w:lang w:val="pt-BR"/>
        </w:rPr>
        <w:t>202</w:t>
      </w:r>
      <w:r>
        <w:rPr>
          <w:rFonts w:cs="Times New Roman" w:ascii="Times New Roman" w:hAnsi="Times New Roman"/>
          <w:color w:val="000000"/>
          <w:sz w:val="20"/>
          <w:szCs w:val="20"/>
          <w:u w:val="none"/>
          <w:shd w:fill="auto" w:val="clear"/>
          <w:lang w:val="pt-BR"/>
        </w:rPr>
        <w:t>6</w:t>
      </w:r>
      <w:r>
        <w:rPr>
          <w:rFonts w:cs="Times New Roman" w:ascii="Times New Roman" w:hAnsi="Times New Roman"/>
          <w:color w:val="000000"/>
          <w:sz w:val="20"/>
          <w:szCs w:val="20"/>
          <w:u w:val="none"/>
          <w:shd w:fill="auto" w:val="clear"/>
          <w:lang w:val="pt-BR"/>
        </w:rPr>
        <w:t>.</w:t>
      </w:r>
    </w:p>
    <w:p>
      <w:pPr>
        <w:pStyle w:val="Normal"/>
        <w:widowControl w:val="false"/>
        <w:tabs>
          <w:tab w:val="clear" w:pos="680"/>
          <w:tab w:val="left" w:pos="9287" w:leader="none"/>
        </w:tabs>
        <w:bidi w:val="0"/>
        <w:spacing w:lineRule="auto" w:line="240" w:before="0" w:after="0"/>
        <w:ind w:hanging="0" w:start="0" w:end="0"/>
        <w:jc w:val="center"/>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tabs>
          <w:tab w:val="clear" w:pos="680"/>
          <w:tab w:val="left" w:pos="9287" w:leader="none"/>
        </w:tabs>
        <w:spacing w:lineRule="auto" w:line="240" w:before="0" w:after="0"/>
        <w:ind w:hanging="0" w:start="3487" w:end="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29" w:before="0" w:after="0"/>
        <w:ind w:hanging="0" w:start="0" w:end="840"/>
        <w:rPr>
          <w:rFonts w:ascii="Times New Roman" w:hAnsi="Times New Roman" w:cs="Times New Roman"/>
          <w:b/>
          <w:color w:val="auto"/>
          <w:sz w:val="20"/>
          <w:szCs w:val="20"/>
          <w:u w:val="none"/>
          <w:shd w:fill="auto" w:val="clear"/>
        </w:rPr>
      </w:pPr>
      <w:r>
        <w:rPr>
          <w:rFonts w:cs="Times New Roman" w:ascii="Times New Roman" w:hAnsi="Times New Roman"/>
          <w:b/>
          <w:color w:val="000000"/>
          <w:sz w:val="20"/>
          <w:szCs w:val="20"/>
          <w:u w:val="none"/>
          <w:shd w:fill="auto" w:val="clear"/>
        </w:rPr>
        <w:t>CREDENCIANTE:</w:t>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tbl>
      <w:tblPr>
        <w:tblW w:w="8388" w:type="dxa"/>
        <w:jc w:val="start"/>
        <w:tblInd w:w="566" w:type="dxa"/>
        <w:tblLayout w:type="fixed"/>
        <w:tblCellMar>
          <w:top w:w="0" w:type="dxa"/>
          <w:start w:w="0" w:type="dxa"/>
          <w:bottom w:w="0" w:type="dxa"/>
          <w:end w:w="0" w:type="dxa"/>
        </w:tblCellMar>
      </w:tblPr>
      <w:tblGrid>
        <w:gridCol w:w="8388"/>
      </w:tblGrid>
      <w:tr>
        <w:trPr>
          <w:trHeight w:val="233" w:hRule="atLeast"/>
        </w:trPr>
        <w:tc>
          <w:tcPr>
            <w:tcW w:w="8388" w:type="dxa"/>
            <w:tcBorders/>
            <w:shd w:fill="FFFFFF" w:val="clear"/>
            <w:vAlign w:val="bottom"/>
          </w:tcPr>
          <w:p>
            <w:pPr>
              <w:pStyle w:val="Normal"/>
              <w:widowControl w:val="false"/>
              <w:suppressAutoHyphens w:val="true"/>
              <w:autoSpaceDE w:val="false"/>
              <w:bidi w:val="0"/>
              <w:spacing w:lineRule="auto" w:line="276" w:before="0" w:after="0"/>
              <w:ind w:hanging="0" w:start="-794" w:end="0"/>
              <w:jc w:val="center"/>
              <w:rPr>
                <w:rFonts w:ascii="Times New Roman" w:hAnsi="Times New Roman" w:cs="Times New Roman"/>
                <w:b/>
                <w:bCs/>
                <w:color w:val="auto"/>
                <w:w w:val="99"/>
                <w:sz w:val="20"/>
                <w:szCs w:val="20"/>
                <w:lang w:val="pt-BR"/>
              </w:rPr>
            </w:pPr>
            <w:r>
              <w:rPr>
                <w:rFonts w:cs="Times New Roman" w:ascii="Times New Roman" w:hAnsi="Times New Roman"/>
                <w:b/>
                <w:bCs/>
                <w:color w:val="auto"/>
                <w:w w:val="99"/>
                <w:sz w:val="20"/>
                <w:szCs w:val="20"/>
                <w:lang w:val="pt-BR"/>
              </w:rPr>
              <w:t>RENATA CRISTINA DE ALMEIDA MARTINS SCHMIDT</w:t>
            </w:r>
          </w:p>
        </w:tc>
      </w:tr>
      <w:tr>
        <w:trPr>
          <w:trHeight w:val="226" w:hRule="atLeast"/>
        </w:trPr>
        <w:tc>
          <w:tcPr>
            <w:tcW w:w="8388" w:type="dxa"/>
            <w:tcBorders/>
            <w:shd w:fill="FFFFFF" w:val="clear"/>
            <w:vAlign w:val="bottom"/>
          </w:tcPr>
          <w:p>
            <w:pPr>
              <w:pStyle w:val="Normal"/>
              <w:widowControl w:val="false"/>
              <w:autoSpaceDE w:val="false"/>
              <w:spacing w:lineRule="auto" w:line="276" w:before="0" w:after="0"/>
              <w:ind w:hanging="0" w:start="0" w:end="840"/>
              <w:jc w:val="center"/>
              <w:rPr>
                <w:rFonts w:ascii="Times New Roman" w:hAnsi="Times New Roman" w:cs="Times New Roman"/>
                <w:sz w:val="20"/>
                <w:szCs w:val="20"/>
                <w:lang w:val="pt-BR"/>
              </w:rPr>
            </w:pPr>
            <w:r>
              <w:rPr>
                <w:rFonts w:cs="Times New Roman" w:ascii="Times New Roman" w:hAnsi="Times New Roman"/>
                <w:sz w:val="20"/>
                <w:szCs w:val="20"/>
                <w:lang w:val="pt-BR"/>
              </w:rPr>
              <w:t>Ordenador</w:t>
            </w:r>
            <w:r>
              <w:rPr>
                <w:rFonts w:cs="Times New Roman" w:ascii="Times New Roman" w:hAnsi="Times New Roman"/>
                <w:sz w:val="20"/>
                <w:szCs w:val="20"/>
                <w:lang w:val="pt-BR"/>
              </w:rPr>
              <w:t>a</w:t>
            </w:r>
            <w:r>
              <w:rPr>
                <w:rFonts w:cs="Times New Roman" w:ascii="Times New Roman" w:hAnsi="Times New Roman"/>
                <w:sz w:val="20"/>
                <w:szCs w:val="20"/>
                <w:lang w:val="pt-BR"/>
              </w:rPr>
              <w:t xml:space="preserve"> de Despesas do H Mil Resende</w:t>
            </w:r>
          </w:p>
        </w:tc>
      </w:tr>
      <w:tr>
        <w:trPr>
          <w:trHeight w:val="226" w:hRule="atLeast"/>
        </w:trPr>
        <w:tc>
          <w:tcPr>
            <w:tcW w:w="8388" w:type="dxa"/>
            <w:tcBorders/>
            <w:shd w:fill="FFFFFF" w:val="clear"/>
            <w:vAlign w:val="bottom"/>
          </w:tcPr>
          <w:p>
            <w:pPr>
              <w:pStyle w:val="Normal"/>
              <w:widowControl w:val="false"/>
              <w:autoSpaceDE w:val="false"/>
              <w:spacing w:lineRule="auto" w:line="276" w:before="0" w:after="0"/>
              <w:ind w:hanging="0" w:start="0" w:end="840"/>
              <w:jc w:val="center"/>
              <w:rPr>
                <w:rFonts w:ascii="Times New Roman" w:hAnsi="Times New Roman" w:cs="Times New Roman"/>
                <w:sz w:val="20"/>
                <w:szCs w:val="20"/>
                <w:lang w:val="pt-BR"/>
              </w:rPr>
            </w:pPr>
            <w:r>
              <w:rPr>
                <w:rFonts w:cs="Times New Roman" w:ascii="Times New Roman" w:hAnsi="Times New Roman"/>
                <w:sz w:val="20"/>
                <w:szCs w:val="20"/>
                <w:lang w:val="pt-BR"/>
              </w:rPr>
              <w:t xml:space="preserve">Idt: </w:t>
            </w:r>
            <w:r>
              <w:rPr>
                <w:rFonts w:cs="Times New Roman" w:ascii="Times New Roman" w:hAnsi="Times New Roman"/>
                <w:sz w:val="20"/>
                <w:szCs w:val="20"/>
                <w:lang w:val="pt-BR"/>
              </w:rPr>
              <w:t>xxxxxxxxx</w:t>
            </w:r>
          </w:p>
        </w:tc>
      </w:tr>
      <w:tr>
        <w:trPr>
          <w:trHeight w:val="226" w:hRule="atLeast"/>
        </w:trPr>
        <w:tc>
          <w:tcPr>
            <w:tcW w:w="8388" w:type="dxa"/>
            <w:tcBorders/>
            <w:shd w:fill="FFFFFF" w:val="clear"/>
            <w:vAlign w:val="bottom"/>
          </w:tcPr>
          <w:p>
            <w:pPr>
              <w:pStyle w:val="Normal"/>
              <w:widowControl w:val="false"/>
              <w:autoSpaceDE w:val="false"/>
              <w:spacing w:lineRule="auto" w:line="276" w:before="0" w:after="0"/>
              <w:ind w:hanging="0" w:start="0" w:end="840"/>
              <w:jc w:val="center"/>
              <w:rPr>
                <w:rFonts w:ascii="Times New Roman" w:hAnsi="Times New Roman" w:cs="Times New Roman"/>
                <w:sz w:val="20"/>
                <w:szCs w:val="20"/>
                <w:lang w:val="pt-BR"/>
              </w:rPr>
            </w:pPr>
            <w:r>
              <w:rPr>
                <w:rFonts w:cs="Times New Roman" w:ascii="Times New Roman" w:hAnsi="Times New Roman"/>
                <w:sz w:val="20"/>
                <w:szCs w:val="20"/>
                <w:lang w:val="pt-BR"/>
              </w:rPr>
              <w:t xml:space="preserve">CPF: </w:t>
            </w:r>
            <w:r>
              <w:rPr>
                <w:rFonts w:cs="Times New Roman" w:ascii="Times New Roman" w:hAnsi="Times New Roman"/>
                <w:sz w:val="20"/>
                <w:szCs w:val="20"/>
                <w:lang w:val="pt-BR"/>
              </w:rPr>
              <w:t>xxxxxxxxx</w:t>
            </w:r>
          </w:p>
        </w:tc>
      </w:tr>
    </w:tbl>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t>CREDENCIADO:</w:t>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tbl>
      <w:tblPr>
        <w:tblW w:w="8359" w:type="dxa"/>
        <w:jc w:val="start"/>
        <w:tblInd w:w="572" w:type="dxa"/>
        <w:tblLayout w:type="fixed"/>
        <w:tblCellMar>
          <w:top w:w="0" w:type="dxa"/>
          <w:start w:w="0" w:type="dxa"/>
          <w:bottom w:w="0" w:type="dxa"/>
          <w:end w:w="0" w:type="dxa"/>
        </w:tblCellMar>
      </w:tblPr>
      <w:tblGrid>
        <w:gridCol w:w="8359"/>
      </w:tblGrid>
      <w:tr>
        <w:trPr>
          <w:trHeight w:val="233" w:hRule="atLeast"/>
        </w:trPr>
        <w:tc>
          <w:tcPr>
            <w:tcW w:w="8359" w:type="dxa"/>
            <w:tcBorders/>
            <w:shd w:fill="FFFFFF" w:val="clear"/>
            <w:vAlign w:val="bottom"/>
          </w:tcPr>
          <w:p>
            <w:pPr>
              <w:pStyle w:val="Normal"/>
              <w:widowControl w:val="false"/>
              <w:suppressAutoHyphens w:val="true"/>
              <w:autoSpaceDE w:val="false"/>
              <w:bidi w:val="0"/>
              <w:spacing w:lineRule="auto" w:line="276" w:before="0" w:after="0"/>
              <w:ind w:hanging="0" w:start="-794" w:end="0"/>
              <w:jc w:val="center"/>
              <w:rPr>
                <w:rFonts w:ascii="Times New Roman" w:hAnsi="Times New Roman" w:cs="Times New Roman"/>
                <w:b/>
                <w:bCs/>
                <w:color w:val="auto"/>
                <w:w w:val="99"/>
                <w:sz w:val="20"/>
                <w:szCs w:val="20"/>
                <w:lang w:val="pt-BR"/>
              </w:rPr>
            </w:pPr>
            <w:r>
              <w:rPr>
                <w:rFonts w:cs="Times New Roman" w:ascii="Times New Roman" w:hAnsi="Times New Roman"/>
                <w:b/>
                <w:bCs/>
                <w:color w:val="auto"/>
                <w:w w:val="99"/>
                <w:sz w:val="20"/>
                <w:szCs w:val="20"/>
                <w:lang w:val="pt-BR"/>
              </w:rPr>
              <w:t>XXXXXXXXXXXXX</w:t>
            </w:r>
          </w:p>
        </w:tc>
      </w:tr>
      <w:tr>
        <w:trPr>
          <w:trHeight w:val="226" w:hRule="atLeast"/>
        </w:trPr>
        <w:tc>
          <w:tcPr>
            <w:tcW w:w="8359" w:type="dxa"/>
            <w:tcBorders/>
            <w:shd w:fill="FFFFFF" w:val="clear"/>
            <w:vAlign w:val="bottom"/>
          </w:tcPr>
          <w:p>
            <w:pPr>
              <w:pStyle w:val="Normal"/>
              <w:widowControl w:val="false"/>
              <w:autoSpaceDE w:val="false"/>
              <w:spacing w:lineRule="auto" w:line="276" w:before="0" w:after="0"/>
              <w:ind w:hanging="0" w:start="0" w:end="840"/>
              <w:jc w:val="center"/>
              <w:rPr>
                <w:rFonts w:ascii="Times New Roman" w:hAnsi="Times New Roman" w:cs="Times New Roman"/>
                <w:sz w:val="20"/>
                <w:szCs w:val="20"/>
                <w:lang w:val="pt-BR"/>
              </w:rPr>
            </w:pPr>
            <w:r>
              <w:rPr>
                <w:rFonts w:cs="Times New Roman" w:ascii="Times New Roman" w:hAnsi="Times New Roman"/>
                <w:sz w:val="20"/>
                <w:szCs w:val="20"/>
                <w:lang w:val="pt-BR"/>
              </w:rPr>
              <w:t>Representante Legal</w:t>
            </w:r>
          </w:p>
        </w:tc>
      </w:tr>
      <w:tr>
        <w:trPr>
          <w:trHeight w:val="226" w:hRule="atLeast"/>
        </w:trPr>
        <w:tc>
          <w:tcPr>
            <w:tcW w:w="8359" w:type="dxa"/>
            <w:tcBorders/>
            <w:shd w:fill="FFFFFF" w:val="clear"/>
            <w:vAlign w:val="bottom"/>
          </w:tcPr>
          <w:p>
            <w:pPr>
              <w:pStyle w:val="Normal"/>
              <w:widowControl w:val="false"/>
              <w:autoSpaceDE w:val="false"/>
              <w:spacing w:lineRule="auto" w:line="276" w:before="0" w:after="0"/>
              <w:ind w:hanging="0" w:start="0" w:end="840"/>
              <w:jc w:val="center"/>
              <w:rPr>
                <w:rFonts w:ascii="Times New Roman" w:hAnsi="Times New Roman" w:cs="Times New Roman"/>
                <w:sz w:val="20"/>
                <w:szCs w:val="20"/>
                <w:lang w:val="pt-BR"/>
              </w:rPr>
            </w:pPr>
            <w:r>
              <w:rPr>
                <w:rFonts w:cs="Times New Roman" w:ascii="Times New Roman" w:hAnsi="Times New Roman"/>
                <w:sz w:val="20"/>
                <w:szCs w:val="20"/>
                <w:lang w:val="pt-BR"/>
              </w:rPr>
              <w:t>Idt:</w:t>
            </w:r>
          </w:p>
        </w:tc>
      </w:tr>
      <w:tr>
        <w:trPr>
          <w:trHeight w:val="226" w:hRule="atLeast"/>
        </w:trPr>
        <w:tc>
          <w:tcPr>
            <w:tcW w:w="8359" w:type="dxa"/>
            <w:tcBorders/>
            <w:shd w:fill="FFFFFF" w:val="clear"/>
            <w:vAlign w:val="bottom"/>
          </w:tcPr>
          <w:p>
            <w:pPr>
              <w:pStyle w:val="Normal"/>
              <w:widowControl w:val="false"/>
              <w:autoSpaceDE w:val="false"/>
              <w:spacing w:lineRule="auto" w:line="276" w:before="0" w:after="0"/>
              <w:ind w:hanging="0" w:start="0" w:end="840"/>
              <w:jc w:val="center"/>
              <w:rPr>
                <w:rFonts w:ascii="Times New Roman" w:hAnsi="Times New Roman" w:cs="Times New Roman"/>
                <w:sz w:val="20"/>
                <w:szCs w:val="20"/>
                <w:lang w:val="pt-BR"/>
              </w:rPr>
            </w:pPr>
            <w:r>
              <w:rPr>
                <w:rFonts w:cs="Times New Roman" w:ascii="Times New Roman" w:hAnsi="Times New Roman"/>
                <w:sz w:val="20"/>
                <w:szCs w:val="20"/>
                <w:lang w:val="pt-BR"/>
              </w:rPr>
              <w:t>CPF:</w:t>
            </w:r>
          </w:p>
        </w:tc>
      </w:tr>
    </w:tbl>
    <w:p>
      <w:pPr>
        <w:pStyle w:val="Normal"/>
        <w:widowControl w:val="false"/>
        <w:spacing w:lineRule="exact" w:line="200" w:before="0" w:after="0"/>
        <w:ind w:hanging="0" w:start="0" w:end="84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t>TESTEMUNHAS:</w:t>
      </w:r>
    </w:p>
    <w:p>
      <w:pPr>
        <w:pStyle w:val="Normal"/>
        <w:widowControl w:val="false"/>
        <w:spacing w:lineRule="auto" w:line="228" w:before="0" w:after="0"/>
        <w:ind w:hanging="0" w:start="7" w:end="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auto" w:line="228" w:before="0" w:after="0"/>
        <w:ind w:hanging="0" w:start="7" w:end="0"/>
        <w:rPr>
          <w:rFonts w:ascii="Times New Roman" w:hAnsi="Times New Roman" w:cs="Times New Roman"/>
          <w:b/>
          <w:strike w:val="false"/>
          <w:dstrike w:val="false"/>
          <w:color w:val="auto"/>
          <w:sz w:val="20"/>
          <w:szCs w:val="20"/>
          <w:u w:val="none"/>
          <w:shd w:fill="auto" w:val="clear"/>
          <w:lang w:val="pt-BR"/>
        </w:rPr>
      </w:pPr>
      <w:r>
        <w:rPr>
          <w:rFonts w:cs="Times New Roman" w:ascii="Times New Roman" w:hAnsi="Times New Roman"/>
          <w:b/>
          <w:strike w:val="false"/>
          <w:dstrike w:val="false"/>
          <w:color w:val="000000"/>
          <w:sz w:val="20"/>
          <w:szCs w:val="20"/>
          <w:u w:val="none"/>
          <w:shd w:fill="auto" w:val="clear"/>
          <w:lang w:val="pt-BR"/>
        </w:rPr>
      </w:r>
    </w:p>
    <w:tbl>
      <w:tblPr>
        <w:tblW w:w="8281" w:type="dxa"/>
        <w:jc w:val="start"/>
        <w:tblInd w:w="647" w:type="dxa"/>
        <w:tblLayout w:type="fixed"/>
        <w:tblCellMar>
          <w:top w:w="0" w:type="dxa"/>
          <w:start w:w="0" w:type="dxa"/>
          <w:bottom w:w="0" w:type="dxa"/>
          <w:end w:w="0" w:type="dxa"/>
        </w:tblCellMar>
      </w:tblPr>
      <w:tblGrid>
        <w:gridCol w:w="8281"/>
      </w:tblGrid>
      <w:tr>
        <w:trPr>
          <w:trHeight w:val="233" w:hRule="atLeast"/>
        </w:trPr>
        <w:tc>
          <w:tcPr>
            <w:tcW w:w="8281" w:type="dxa"/>
            <w:tcBorders/>
            <w:shd w:fill="FFFFFF" w:val="clear"/>
            <w:vAlign w:val="bottom"/>
          </w:tcPr>
          <w:p>
            <w:pPr>
              <w:pStyle w:val="Normal"/>
              <w:widowControl w:val="false"/>
              <w:bidi w:val="0"/>
              <w:spacing w:lineRule="exact" w:line="229" w:before="0" w:after="0"/>
              <w:ind w:hanging="0" w:start="0" w:end="850"/>
              <w:jc w:val="center"/>
              <w:rPr>
                <w:rFonts w:ascii="Times New Roman" w:hAnsi="Times New Roman" w:cs="Times New Roman"/>
                <w:b/>
                <w:bCs/>
                <w:strike w:val="false"/>
                <w:dstrike w:val="false"/>
                <w:color w:val="auto"/>
                <w:w w:val="99"/>
                <w:sz w:val="20"/>
                <w:szCs w:val="20"/>
                <w:u w:val="none"/>
                <w:shd w:fill="auto" w:val="clear"/>
                <w:lang w:val="pt-BR"/>
              </w:rPr>
            </w:pPr>
            <w:r>
              <w:rPr>
                <w:rFonts w:cs="Times New Roman" w:ascii="Times New Roman" w:hAnsi="Times New Roman"/>
                <w:b/>
                <w:bCs/>
                <w:strike w:val="false"/>
                <w:dstrike w:val="false"/>
                <w:color w:val="000000"/>
                <w:w w:val="99"/>
                <w:sz w:val="20"/>
                <w:szCs w:val="20"/>
                <w:u w:val="none"/>
                <w:shd w:fill="auto" w:val="clear"/>
                <w:lang w:val="pt-BR"/>
              </w:rPr>
              <w:t>xxxxxxxxxxxxxxxx</w:t>
            </w:r>
          </w:p>
        </w:tc>
      </w:tr>
      <w:tr>
        <w:trPr>
          <w:trHeight w:val="226" w:hRule="atLeast"/>
        </w:trPr>
        <w:tc>
          <w:tcPr>
            <w:tcW w:w="8281" w:type="dxa"/>
            <w:tcBorders/>
            <w:shd w:fill="FFFFFF" w:val="clear"/>
            <w:vAlign w:val="bottom"/>
          </w:tcPr>
          <w:p>
            <w:pPr>
              <w:pStyle w:val="Normal"/>
              <w:widowControl w:val="false"/>
              <w:spacing w:lineRule="exact" w:line="225" w:before="0" w:after="0"/>
              <w:ind w:hanging="0" w:start="0" w:end="840"/>
              <w:jc w:val="center"/>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lang w:val="pt-BR"/>
              </w:rPr>
              <w:t xml:space="preserve">Idt: </w:t>
            </w:r>
            <w:r>
              <w:rPr>
                <w:rFonts w:cs="Times New Roman" w:ascii="Times New Roman" w:hAnsi="Times New Roman"/>
                <w:strike w:val="false"/>
                <w:dstrike w:val="false"/>
                <w:color w:val="000000"/>
                <w:sz w:val="20"/>
                <w:szCs w:val="20"/>
                <w:u w:val="none"/>
                <w:shd w:fill="auto" w:val="clear"/>
                <w:lang w:val="pt-BR"/>
              </w:rPr>
              <w:t>xxxxxxxxxxx</w:t>
            </w:r>
          </w:p>
        </w:tc>
      </w:tr>
      <w:tr>
        <w:trPr>
          <w:trHeight w:val="226" w:hRule="atLeast"/>
        </w:trPr>
        <w:tc>
          <w:tcPr>
            <w:tcW w:w="8281" w:type="dxa"/>
            <w:tcBorders/>
            <w:shd w:fill="FFFFFF" w:val="clear"/>
            <w:vAlign w:val="bottom"/>
          </w:tcPr>
          <w:p>
            <w:pPr>
              <w:pStyle w:val="Normal"/>
              <w:widowControl w:val="false"/>
              <w:spacing w:lineRule="exact" w:line="225" w:before="0" w:after="0"/>
              <w:ind w:hanging="0" w:start="0" w:end="840"/>
              <w:jc w:val="center"/>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lang w:val="pt-BR"/>
              </w:rPr>
              <w:t xml:space="preserve">CPF: </w:t>
            </w:r>
            <w:r>
              <w:rPr>
                <w:rFonts w:cs="Times New Roman" w:ascii="Times New Roman" w:hAnsi="Times New Roman"/>
                <w:strike w:val="false"/>
                <w:dstrike w:val="false"/>
                <w:color w:val="000000"/>
                <w:sz w:val="20"/>
                <w:szCs w:val="20"/>
                <w:u w:val="none"/>
                <w:shd w:fill="auto" w:val="clear"/>
                <w:lang w:val="pt-BR"/>
              </w:rPr>
              <w:t>xxxxxxxxxxxxxxxxxx</w:t>
            </w:r>
          </w:p>
        </w:tc>
      </w:tr>
    </w:tbl>
    <w:p>
      <w:pPr>
        <w:pStyle w:val="Normal"/>
        <w:widowControl w:val="false"/>
        <w:spacing w:lineRule="auto" w:line="228" w:before="0" w:after="0"/>
        <w:ind w:hanging="0" w:start="7" w:end="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start="7" w:end="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start="7" w:end="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start="7" w:end="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start="7" w:end="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tbl>
      <w:tblPr>
        <w:tblW w:w="8222" w:type="dxa"/>
        <w:jc w:val="start"/>
        <w:tblInd w:w="694" w:type="dxa"/>
        <w:tblLayout w:type="fixed"/>
        <w:tblCellMar>
          <w:top w:w="0" w:type="dxa"/>
          <w:start w:w="0" w:type="dxa"/>
          <w:bottom w:w="0" w:type="dxa"/>
          <w:end w:w="0" w:type="dxa"/>
        </w:tblCellMar>
      </w:tblPr>
      <w:tblGrid>
        <w:gridCol w:w="8222"/>
      </w:tblGrid>
      <w:tr>
        <w:trPr>
          <w:trHeight w:val="233" w:hRule="atLeast"/>
        </w:trPr>
        <w:tc>
          <w:tcPr>
            <w:tcW w:w="8222" w:type="dxa"/>
            <w:tcBorders/>
            <w:shd w:fill="FFFFFF" w:val="clear"/>
            <w:vAlign w:val="bottom"/>
          </w:tcPr>
          <w:p>
            <w:pPr>
              <w:pStyle w:val="Standard"/>
              <w:widowControl w:val="false"/>
              <w:bidi w:val="0"/>
              <w:spacing w:lineRule="auto" w:line="228"/>
              <w:ind w:hanging="0" w:start="7" w:end="0"/>
              <w:jc w:val="center"/>
              <w:rPr>
                <w:rFonts w:ascii="Times New Roman" w:hAnsi="Times New Roman" w:eastAsia="Calibri" w:cs="Times New Roman"/>
                <w:b/>
                <w:bCs/>
                <w:color w:val="000000"/>
                <w:sz w:val="20"/>
                <w:szCs w:val="20"/>
                <w:lang w:eastAsia="pt-BR" w:bidi="ar-SA"/>
              </w:rPr>
            </w:pPr>
            <w:r>
              <w:rPr>
                <w:rFonts w:eastAsia="Calibri" w:cs="Times New Roman" w:ascii="Times New Roman" w:hAnsi="Times New Roman"/>
                <w:b/>
                <w:bCs/>
                <w:color w:val="000000"/>
                <w:sz w:val="20"/>
                <w:szCs w:val="20"/>
                <w:lang w:eastAsia="pt-BR" w:bidi="ar-SA"/>
              </w:rPr>
              <w:t>xxxxxxxxxxxxxxxxxx</w:t>
            </w:r>
          </w:p>
        </w:tc>
      </w:tr>
      <w:tr>
        <w:trPr>
          <w:trHeight w:val="226" w:hRule="atLeast"/>
        </w:trPr>
        <w:tc>
          <w:tcPr>
            <w:tcW w:w="8222" w:type="dxa"/>
            <w:tcBorders/>
            <w:shd w:fill="FFFFFF" w:val="clear"/>
            <w:vAlign w:val="bottom"/>
          </w:tcPr>
          <w:p>
            <w:pPr>
              <w:pStyle w:val="Standard"/>
              <w:widowControl w:val="false"/>
              <w:bidi w:val="0"/>
              <w:spacing w:lineRule="auto" w:line="228" w:before="0" w:after="0"/>
              <w:ind w:hanging="0" w:start="0" w:end="840"/>
              <w:jc w:val="center"/>
              <w:rPr>
                <w:rFonts w:ascii="Times New Roman" w:hAnsi="Times New Roman" w:eastAsia="Calibri" w:cs="Times New Roman"/>
                <w:b w:val="false"/>
                <w:bCs w:val="false"/>
                <w:strike w:val="false"/>
                <w:dstrike w:val="false"/>
                <w:color w:val="000000"/>
                <w:sz w:val="20"/>
                <w:szCs w:val="20"/>
                <w:u w:val="none"/>
                <w:shd w:fill="auto" w:val="clear"/>
                <w:lang w:val="pt-BR" w:eastAsia="pt-BR" w:bidi="ar-SA"/>
              </w:rPr>
            </w:pPr>
            <w:r>
              <w:rPr>
                <w:rFonts w:eastAsia="Calibri" w:cs="Times New Roman" w:ascii="Times New Roman" w:hAnsi="Times New Roman"/>
                <w:b w:val="false"/>
                <w:bCs w:val="false"/>
                <w:strike w:val="false"/>
                <w:dstrike w:val="false"/>
                <w:color w:val="000000"/>
                <w:sz w:val="20"/>
                <w:szCs w:val="20"/>
                <w:u w:val="none"/>
                <w:shd w:fill="auto" w:val="clear"/>
                <w:lang w:val="pt-BR" w:eastAsia="pt-BR" w:bidi="ar-SA"/>
              </w:rPr>
              <w:t xml:space="preserve">Idt: </w:t>
            </w:r>
            <w:r>
              <w:rPr>
                <w:rFonts w:eastAsia="Calibri" w:cs="Times New Roman" w:ascii="Times New Roman" w:hAnsi="Times New Roman"/>
                <w:b w:val="false"/>
                <w:bCs w:val="false"/>
                <w:strike w:val="false"/>
                <w:dstrike w:val="false"/>
                <w:color w:val="000000"/>
                <w:sz w:val="20"/>
                <w:szCs w:val="20"/>
                <w:u w:val="none"/>
                <w:shd w:fill="auto" w:val="clear"/>
                <w:lang w:val="pt-BR" w:eastAsia="pt-BR" w:bidi="ar-SA"/>
              </w:rPr>
              <w:t>xxxxxxxxxxxxxxxxx</w:t>
            </w:r>
          </w:p>
        </w:tc>
      </w:tr>
      <w:tr>
        <w:trPr>
          <w:trHeight w:val="226" w:hRule="atLeast"/>
        </w:trPr>
        <w:tc>
          <w:tcPr>
            <w:tcW w:w="8222" w:type="dxa"/>
            <w:tcBorders/>
            <w:shd w:fill="FFFFFF" w:val="clear"/>
            <w:vAlign w:val="bottom"/>
          </w:tcPr>
          <w:p>
            <w:pPr>
              <w:pStyle w:val="Standard"/>
              <w:widowControl w:val="false"/>
              <w:bidi w:val="0"/>
              <w:spacing w:lineRule="auto" w:line="228" w:before="0" w:after="0"/>
              <w:ind w:hanging="0" w:start="7" w:end="0"/>
              <w:jc w:val="center"/>
              <w:rPr>
                <w:rFonts w:ascii="Times New Roman" w:hAnsi="Times New Roman" w:eastAsia="Calibri" w:cs="Times New Roman"/>
                <w:b w:val="false"/>
                <w:bCs w:val="false"/>
                <w:strike w:val="false"/>
                <w:dstrike w:val="false"/>
                <w:color w:val="000000"/>
                <w:w w:val="99"/>
                <w:sz w:val="20"/>
                <w:szCs w:val="20"/>
                <w:u w:val="none"/>
                <w:shd w:fill="auto" w:val="clear"/>
                <w:lang w:val="pt-BR" w:eastAsia="pt-BR" w:bidi="ar-SA"/>
              </w:rPr>
            </w:pPr>
            <w:r>
              <w:rPr>
                <w:rFonts w:eastAsia="Calibri" w:cs="Times New Roman" w:ascii="Times New Roman" w:hAnsi="Times New Roman"/>
                <w:b w:val="false"/>
                <w:bCs w:val="false"/>
                <w:strike w:val="false"/>
                <w:dstrike w:val="false"/>
                <w:color w:val="000000"/>
                <w:w w:val="99"/>
                <w:sz w:val="20"/>
                <w:szCs w:val="20"/>
                <w:u w:val="none"/>
                <w:shd w:fill="auto" w:val="clear"/>
                <w:lang w:val="pt-BR" w:eastAsia="pt-BR" w:bidi="ar-SA"/>
              </w:rPr>
              <w:t xml:space="preserve">CPF: </w:t>
            </w:r>
            <w:r>
              <w:rPr>
                <w:rFonts w:eastAsia="Calibri" w:cs="Times New Roman" w:ascii="Times New Roman" w:hAnsi="Times New Roman"/>
                <w:b w:val="false"/>
                <w:bCs w:val="false"/>
                <w:strike w:val="false"/>
                <w:dstrike w:val="false"/>
                <w:color w:val="000000"/>
                <w:w w:val="99"/>
                <w:sz w:val="20"/>
                <w:szCs w:val="20"/>
                <w:u w:val="none"/>
                <w:shd w:fill="auto" w:val="clear"/>
                <w:lang w:val="pt-BR" w:eastAsia="pt-BR" w:bidi="ar-SA"/>
              </w:rPr>
              <w:t>xxxxxxxxxxxxxxxx</w:t>
            </w:r>
          </w:p>
        </w:tc>
      </w:tr>
    </w:tbl>
    <w:p>
      <w:pPr>
        <w:pStyle w:val="Normal"/>
        <w:widowControl w:val="false"/>
        <w:spacing w:lineRule="exact" w:line="200" w:before="0" w:after="0"/>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ListParagraph"/>
        <w:widowControl w:val="false"/>
        <w:spacing w:before="120" w:after="120"/>
        <w:ind w:hanging="0" w:start="0" w:end="0"/>
        <w:contextualSpacing w:val="false"/>
        <w:jc w:val="both"/>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spacing w:lineRule="exact" w:line="229" w:before="0" w:after="0"/>
        <w:ind w:hanging="0" w:start="0" w:end="840"/>
        <w:rPr>
          <w:rFonts w:ascii="Times New Roman" w:hAnsi="Times New Roman" w:cs="Times New Roman"/>
          <w:color w:val="auto"/>
          <w:sz w:val="20"/>
          <w:szCs w:val="20"/>
        </w:rPr>
      </w:pPr>
      <w:r>
        <w:rPr>
          <w:rFonts w:cs="Times New Roman" w:ascii="Times New Roman" w:hAnsi="Times New Roman"/>
          <w:color w:val="auto"/>
          <w:sz w:val="20"/>
          <w:szCs w:val="20"/>
        </w:rPr>
      </w:r>
      <w:r>
        <w:br w:type="page"/>
      </w:r>
    </w:p>
    <w:p>
      <w:pPr>
        <w:pStyle w:val="BodyText"/>
        <w:spacing w:lineRule="atLeast" w:line="363" w:before="0" w:after="0"/>
        <w:ind w:hanging="0" w:start="0" w:end="0"/>
        <w:jc w:val="center"/>
        <w:rPr>
          <w:b/>
          <w:bCs/>
          <w:color w:val="auto"/>
          <w:sz w:val="20"/>
        </w:rPr>
      </w:pPr>
      <w:r>
        <w:rPr>
          <w:b/>
          <w:bCs/>
          <w:color w:val="auto"/>
          <w:sz w:val="20"/>
        </w:rPr>
        <w:t xml:space="preserve">ANEXO </w:t>
      </w:r>
      <w:r>
        <w:rPr>
          <w:b/>
          <w:bCs/>
          <w:color w:val="auto"/>
          <w:sz w:val="20"/>
        </w:rPr>
        <w:t xml:space="preserve">A - </w:t>
      </w:r>
      <w:r>
        <w:rPr>
          <w:b/>
          <w:bCs/>
          <w:color w:val="auto"/>
          <w:sz w:val="20"/>
        </w:rPr>
        <w:t xml:space="preserve">I ao Termo de Credenciamento para </w:t>
      </w:r>
      <w:r>
        <w:rPr>
          <w:b/>
          <w:bCs/>
          <w:color w:val="auto"/>
          <w:sz w:val="20"/>
        </w:rPr>
        <w:t>Hospitais e Maternidades</w:t>
      </w:r>
    </w:p>
    <w:p>
      <w:pPr>
        <w:pStyle w:val="Normal"/>
        <w:spacing w:before="120" w:after="120"/>
        <w:jc w:val="center"/>
        <w:rPr>
          <w:rFonts w:ascii="Times New Roman" w:hAnsi="Times New Roman" w:cs="Times New Roman"/>
          <w:color w:val="auto"/>
          <w:sz w:val="20"/>
          <w:szCs w:val="20"/>
        </w:rPr>
      </w:pPr>
      <w:r>
        <w:rPr>
          <w:rFonts w:cs="Times New Roman" w:ascii="Times New Roman" w:hAnsi="Times New Roman"/>
          <w:color w:val="auto"/>
          <w:sz w:val="20"/>
          <w:szCs w:val="20"/>
        </w:rPr>
        <w:drawing>
          <wp:anchor behindDoc="0" distT="0" distB="0" distL="0" distR="0" simplePos="0" locked="0" layoutInCell="0" allowOverlap="1" relativeHeight="3">
            <wp:simplePos x="0" y="0"/>
            <wp:positionH relativeFrom="column">
              <wp:posOffset>2741930</wp:posOffset>
            </wp:positionH>
            <wp:positionV relativeFrom="paragraph">
              <wp:posOffset>24765</wp:posOffset>
            </wp:positionV>
            <wp:extent cx="809625" cy="905510"/>
            <wp:effectExtent l="0" t="0" r="0" b="0"/>
            <wp:wrapSquare wrapText="largest"/>
            <wp:docPr id="2" name="Imagem 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 title=""/>
                    <pic:cNvPicPr>
                      <a:picLocks noChangeAspect="1" noChangeArrowheads="1"/>
                    </pic:cNvPicPr>
                  </pic:nvPicPr>
                  <pic:blipFill>
                    <a:blip r:embed="rId3">
                      <a:grayscl/>
                    </a:blip>
                    <a:srcRect l="-56" t="-51" r="-56" b="-51"/>
                    <a:stretch>
                      <a:fillRect/>
                    </a:stretch>
                  </pic:blipFill>
                  <pic:spPr bwMode="auto">
                    <a:xfrm>
                      <a:off x="0" y="0"/>
                      <a:ext cx="809625" cy="905510"/>
                    </a:xfrm>
                    <a:prstGeom prst="rect">
                      <a:avLst/>
                    </a:prstGeom>
                  </pic:spPr>
                </pic:pic>
              </a:graphicData>
            </a:graphic>
          </wp:anchor>
        </w:drawing>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MINISTÉRIO DA DEFESA</w:t>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EXÉRCITO BRASILEIRO</w:t>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HOSPITAL MILITAR DE RESENDE</w:t>
      </w:r>
    </w:p>
    <w:p>
      <w:pPr>
        <w:pStyle w:val="Normal"/>
        <w:spacing w:before="120" w:after="120"/>
        <w:jc w:val="center"/>
        <w:rPr>
          <w:rFonts w:ascii="Times New Roman" w:hAnsi="Times New Roman" w:cs="Times New Roman"/>
          <w:bCs/>
          <w:color w:val="auto"/>
          <w:sz w:val="20"/>
          <w:szCs w:val="20"/>
        </w:rPr>
      </w:pPr>
      <w:r>
        <w:rPr>
          <w:rFonts w:cs="Times New Roman" w:ascii="Times New Roman" w:hAnsi="Times New Roman"/>
          <w:bCs/>
          <w:color w:val="auto"/>
          <w:sz w:val="20"/>
          <w:szCs w:val="20"/>
        </w:rPr>
      </w:r>
    </w:p>
    <w:p>
      <w:pPr>
        <w:pStyle w:val="Heading5"/>
        <w:spacing w:lineRule="auto" w:line="276" w:before="120" w:after="120"/>
        <w:ind w:hanging="0" w:start="0" w:end="0"/>
        <w:rPr>
          <w:bCs/>
          <w:color w:val="auto"/>
          <w:sz w:val="20"/>
        </w:rPr>
      </w:pPr>
      <w:r>
        <w:rPr>
          <w:bCs/>
          <w:color w:val="auto"/>
          <w:sz w:val="20"/>
        </w:rPr>
        <w:t>PEDIDO DE INTERNAÇÃO</w:t>
      </w:r>
    </w:p>
    <w:p>
      <w:pPr>
        <w:pStyle w:val="Normal"/>
        <w:spacing w:before="120" w:after="120"/>
        <w:jc w:val="center"/>
        <w:rPr>
          <w:rFonts w:ascii="Times New Roman" w:hAnsi="Times New Roman" w:cs="Times New Roman"/>
          <w:b/>
          <w:bCs/>
          <w:color w:val="auto"/>
          <w:sz w:val="20"/>
          <w:szCs w:val="20"/>
        </w:rPr>
      </w:pPr>
      <w:r>
        <w:rPr>
          <w:rFonts w:cs="Times New Roman" w:ascii="Times New Roman" w:hAnsi="Times New Roman"/>
          <w:b/>
          <w:bCs/>
          <w:color w:val="auto"/>
          <w:sz w:val="20"/>
          <w:szCs w:val="20"/>
        </w:rPr>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Solicito ao Fundo de Saúde do Exército (FuSEx) autorização para tratamento do (a) paciente:</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 xml:space="preserve">Beneficiário: ___________________________________________________________________________________, </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PREC CP ou matrícula ______________________________________, no(a)  Hospital ou  Clínica:</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Nome da Instituição: _____________________________________________________________________________.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Com Diagnóstico de: ___________________________________________________ CID: 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Cujos principais sinais e sintomas são: 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________________________________________________________________________________________________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Justificativa para internação: ________________________________________________________________________</w:t>
      </w:r>
      <w:bookmarkStart w:id="1" w:name="_GoBack1"/>
      <w:bookmarkEnd w:id="1"/>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________________________________________________________________________________________________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Caráter da Internação:  Eletiva  Urgência/Emergência</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Tipo de tratamento:  Clínico  Cirúrgico</w:t>
      </w:r>
    </w:p>
    <w:tbl>
      <w:tblPr>
        <w:tblW w:w="8499" w:type="dxa"/>
        <w:jc w:val="start"/>
        <w:tblInd w:w="285" w:type="dxa"/>
        <w:tblLayout w:type="fixed"/>
        <w:tblCellMar>
          <w:top w:w="60" w:type="dxa"/>
          <w:start w:w="0" w:type="dxa"/>
          <w:bottom w:w="60" w:type="dxa"/>
          <w:end w:w="60" w:type="dxa"/>
        </w:tblCellMar>
      </w:tblPr>
      <w:tblGrid>
        <w:gridCol w:w="5092"/>
        <w:gridCol w:w="1562"/>
        <w:gridCol w:w="1845"/>
      </w:tblGrid>
      <w:tr>
        <w:trPr>
          <w:tblHeader w:val="true"/>
        </w:trPr>
        <w:tc>
          <w:tcPr>
            <w:tcW w:w="5092" w:type="dxa"/>
            <w:tcBorders>
              <w:top w:val="double" w:sz="2" w:space="0" w:color="000001"/>
              <w:start w:val="double" w:sz="2" w:space="0" w:color="000001"/>
              <w:bottom w:val="double" w:sz="2" w:space="0" w:color="000001"/>
            </w:tcBorders>
            <w:shd w:fill="FFFFFF" w:val="clear"/>
          </w:tcPr>
          <w:p>
            <w:pPr>
              <w:pStyle w:val="Normal"/>
              <w:snapToGrid w:val="false"/>
              <w:spacing w:before="0" w:after="0"/>
              <w:jc w:val="center"/>
              <w:rPr>
                <w:rFonts w:ascii="Times New Roman" w:hAnsi="Times New Roman" w:cs="Times New Roman"/>
                <w:bCs/>
                <w:color w:val="auto"/>
                <w:sz w:val="20"/>
                <w:szCs w:val="20"/>
              </w:rPr>
            </w:pPr>
            <w:r>
              <w:rPr>
                <w:rFonts w:cs="Times New Roman" w:ascii="Times New Roman" w:hAnsi="Times New Roman"/>
                <w:bCs/>
                <w:color w:val="auto"/>
                <w:sz w:val="20"/>
                <w:szCs w:val="20"/>
              </w:rPr>
              <w:t>Descrição dos Procedimentos (tratamento)</w:t>
            </w:r>
          </w:p>
        </w:tc>
        <w:tc>
          <w:tcPr>
            <w:tcW w:w="1562" w:type="dxa"/>
            <w:tcBorders>
              <w:top w:val="double" w:sz="2" w:space="0" w:color="000001"/>
              <w:start w:val="double" w:sz="2" w:space="0" w:color="000001"/>
              <w:bottom w:val="double" w:sz="2" w:space="0" w:color="000001"/>
            </w:tcBorders>
            <w:shd w:fill="FFFFFF" w:val="clear"/>
          </w:tcPr>
          <w:p>
            <w:pPr>
              <w:pStyle w:val="Normal"/>
              <w:snapToGrid w:val="false"/>
              <w:spacing w:before="0" w:after="0"/>
              <w:jc w:val="center"/>
              <w:rPr>
                <w:rFonts w:ascii="Times New Roman" w:hAnsi="Times New Roman" w:cs="Times New Roman"/>
                <w:bCs/>
                <w:color w:val="auto"/>
                <w:sz w:val="20"/>
                <w:szCs w:val="20"/>
              </w:rPr>
            </w:pPr>
            <w:r>
              <w:rPr>
                <w:rFonts w:cs="Times New Roman" w:ascii="Times New Roman" w:hAnsi="Times New Roman"/>
                <w:bCs/>
                <w:color w:val="auto"/>
                <w:sz w:val="20"/>
                <w:szCs w:val="20"/>
              </w:rPr>
              <w:t>Quantidade</w:t>
            </w:r>
          </w:p>
        </w:tc>
        <w:tc>
          <w:tcPr>
            <w:tcW w:w="1845" w:type="dxa"/>
            <w:tcBorders>
              <w:top w:val="double" w:sz="2" w:space="0" w:color="000001"/>
              <w:start w:val="double" w:sz="2" w:space="0" w:color="000001"/>
              <w:bottom w:val="double" w:sz="2" w:space="0" w:color="000001"/>
              <w:end w:val="double" w:sz="2" w:space="0" w:color="000001"/>
            </w:tcBorders>
            <w:shd w:fill="FFFFFF" w:val="clear"/>
          </w:tcPr>
          <w:p>
            <w:pPr>
              <w:pStyle w:val="Normal"/>
              <w:snapToGrid w:val="false"/>
              <w:spacing w:before="0" w:after="0"/>
              <w:jc w:val="center"/>
              <w:rPr>
                <w:rFonts w:ascii="Times New Roman" w:hAnsi="Times New Roman" w:cs="Times New Roman"/>
                <w:bCs/>
                <w:color w:val="auto"/>
                <w:sz w:val="20"/>
                <w:szCs w:val="20"/>
              </w:rPr>
            </w:pPr>
            <w:r>
              <w:rPr>
                <w:rFonts w:cs="Times New Roman" w:ascii="Times New Roman" w:hAnsi="Times New Roman"/>
                <w:bCs/>
                <w:color w:val="auto"/>
                <w:sz w:val="20"/>
                <w:szCs w:val="20"/>
              </w:rPr>
              <w:t xml:space="preserve">Código </w:t>
            </w:r>
          </w:p>
        </w:tc>
      </w:tr>
      <w:tr>
        <w:trPr/>
        <w:tc>
          <w:tcPr>
            <w:tcW w:w="5092" w:type="dxa"/>
            <w:tcBorders>
              <w:top w:val="double" w:sz="2" w:space="0" w:color="000001"/>
              <w:star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2" w:type="dxa"/>
            <w:tcBorders>
              <w:top w:val="double" w:sz="2" w:space="0" w:color="000001"/>
              <w:star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5" w:type="dxa"/>
            <w:tcBorders>
              <w:top w:val="double" w:sz="2" w:space="0" w:color="000001"/>
              <w:start w:val="double" w:sz="2" w:space="0" w:color="000001"/>
              <w:bottom w:val="double" w:sz="2" w:space="0" w:color="000001"/>
              <w:end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r>
        <w:trPr/>
        <w:tc>
          <w:tcPr>
            <w:tcW w:w="5092" w:type="dxa"/>
            <w:tcBorders>
              <w:top w:val="double" w:sz="2" w:space="0" w:color="000001"/>
              <w:star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2" w:type="dxa"/>
            <w:tcBorders>
              <w:top w:val="double" w:sz="2" w:space="0" w:color="000001"/>
              <w:star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5" w:type="dxa"/>
            <w:tcBorders>
              <w:top w:val="double" w:sz="2" w:space="0" w:color="000001"/>
              <w:start w:val="double" w:sz="2" w:space="0" w:color="000001"/>
              <w:bottom w:val="double" w:sz="2" w:space="0" w:color="000001"/>
              <w:end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r>
        <w:trPr/>
        <w:tc>
          <w:tcPr>
            <w:tcW w:w="5092" w:type="dxa"/>
            <w:tcBorders>
              <w:top w:val="double" w:sz="2" w:space="0" w:color="000001"/>
              <w:star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2" w:type="dxa"/>
            <w:tcBorders>
              <w:top w:val="double" w:sz="2" w:space="0" w:color="000001"/>
              <w:star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5" w:type="dxa"/>
            <w:tcBorders>
              <w:top w:val="double" w:sz="2" w:space="0" w:color="000001"/>
              <w:start w:val="double" w:sz="2" w:space="0" w:color="000001"/>
              <w:bottom w:val="double" w:sz="2" w:space="0" w:color="000001"/>
              <w:end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r>
        <w:trPr/>
        <w:tc>
          <w:tcPr>
            <w:tcW w:w="5092" w:type="dxa"/>
            <w:tcBorders>
              <w:top w:val="double" w:sz="2" w:space="0" w:color="000001"/>
              <w:star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2" w:type="dxa"/>
            <w:tcBorders>
              <w:top w:val="double" w:sz="2" w:space="0" w:color="000001"/>
              <w:star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5" w:type="dxa"/>
            <w:tcBorders>
              <w:top w:val="double" w:sz="2" w:space="0" w:color="000001"/>
              <w:start w:val="double" w:sz="2" w:space="0" w:color="000001"/>
              <w:bottom w:val="double" w:sz="2" w:space="0" w:color="000001"/>
              <w:end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bl>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Data da internação: 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Data da cirurgia: ___/___/_____ (se o tratamento for cirúrgico)</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Previsão do tempo de hospitalização: 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Materiais especiais?</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 xml:space="preserve"> </w:t>
      </w:r>
      <w:r>
        <w:rPr>
          <w:rFonts w:cs="Times New Roman" w:ascii="Times New Roman" w:hAnsi="Times New Roman"/>
          <w:color w:val="auto"/>
          <w:sz w:val="20"/>
          <w:szCs w:val="20"/>
        </w:rPr>
        <w:t>Não</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 xml:space="preserve"> </w:t>
      </w:r>
      <w:r>
        <w:rPr>
          <w:rFonts w:cs="Times New Roman" w:ascii="Times New Roman" w:hAnsi="Times New Roman"/>
          <w:color w:val="auto"/>
          <w:sz w:val="20"/>
          <w:szCs w:val="20"/>
        </w:rPr>
        <w:t>Sim, descrição: ____________________________________________________________________________</w:t>
      </w:r>
    </w:p>
    <w:p>
      <w:pPr>
        <w:pStyle w:val="Normal"/>
        <w:spacing w:before="120" w:after="120"/>
        <w:rPr>
          <w:rFonts w:ascii="Times New Roman" w:hAnsi="Times New Roman" w:cs="Times New Roman"/>
          <w:sz w:val="20"/>
          <w:szCs w:val="20"/>
        </w:rPr>
      </w:pPr>
      <w:r>
        <w:rPr>
          <w:rFonts w:cs="Times New Roman" w:ascii="Times New Roman" w:hAnsi="Times New Roman"/>
          <w:sz w:val="20"/>
          <w:szCs w:val="20"/>
        </w:rPr>
      </w:r>
    </w:p>
    <w:p>
      <w:pPr>
        <w:pStyle w:val="NormalWeb1"/>
        <w:spacing w:lineRule="auto" w:line="276" w:before="120" w:after="120"/>
        <w:jc w:val="center"/>
        <w:rPr>
          <w:color w:val="auto"/>
          <w:sz w:val="20"/>
          <w:szCs w:val="20"/>
        </w:rPr>
      </w:pPr>
      <w:r>
        <w:rPr>
          <w:color w:val="auto"/>
          <w:sz w:val="20"/>
          <w:szCs w:val="20"/>
        </w:rPr>
        <w:t xml:space="preserve">__________________________, </w:t>
      </w:r>
      <w:r>
        <w:rPr>
          <w:color w:val="auto"/>
          <w:sz w:val="20"/>
          <w:szCs w:val="20"/>
        </w:rPr>
        <w:t>RJ</w:t>
      </w:r>
      <w:r>
        <w:rPr>
          <w:color w:val="auto"/>
          <w:sz w:val="20"/>
          <w:szCs w:val="20"/>
        </w:rPr>
        <w:t>,___/___/_____</w:t>
      </w:r>
    </w:p>
    <w:p>
      <w:pPr>
        <w:pStyle w:val="NormalWeb1"/>
        <w:spacing w:lineRule="auto" w:line="276" w:before="120" w:after="120"/>
        <w:jc w:val="center"/>
        <w:rPr>
          <w:color w:val="auto"/>
          <w:sz w:val="20"/>
          <w:szCs w:val="20"/>
        </w:rPr>
      </w:pPr>
      <w:r>
        <w:rPr>
          <w:color w:val="auto"/>
          <w:sz w:val="20"/>
          <w:szCs w:val="20"/>
        </w:rPr>
      </w:r>
    </w:p>
    <w:p>
      <w:pPr>
        <w:pStyle w:val="Normal"/>
        <w:spacing w:before="120" w:after="120"/>
        <w:jc w:val="center"/>
        <w:rPr>
          <w:rFonts w:ascii="Times New Roman" w:hAnsi="Times New Roman" w:cs="Times New Roman"/>
          <w:color w:val="auto"/>
          <w:sz w:val="20"/>
          <w:szCs w:val="20"/>
        </w:rPr>
      </w:pPr>
      <w:r>
        <w:rPr>
          <w:rFonts w:cs="Times New Roman" w:ascii="Times New Roman" w:hAnsi="Times New Roman"/>
          <w:color w:val="auto"/>
          <w:sz w:val="20"/>
          <w:szCs w:val="20"/>
        </w:rPr>
        <w:t>______________________________________</w:t>
      </w:r>
    </w:p>
    <w:p>
      <w:pPr>
        <w:pStyle w:val="Normal"/>
        <w:spacing w:lineRule="auto" w:line="276" w:before="120" w:after="120"/>
        <w:jc w:val="center"/>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(assinatura e carimbo do médico)</w:t>
      </w:r>
    </w:p>
    <w:p>
      <w:pPr>
        <w:pStyle w:val="BodyText"/>
        <w:spacing w:lineRule="auto" w:line="276" w:before="120" w:after="120"/>
        <w:jc w:val="center"/>
        <w:rPr>
          <w:rFonts w:ascii="Times New Roman" w:hAnsi="Times New Roman"/>
          <w:sz w:val="20"/>
          <w:szCs w:val="20"/>
        </w:rPr>
      </w:pPr>
      <w:r>
        <w:rPr>
          <w:rFonts w:ascii="Times New Roman" w:hAnsi="Times New Roman"/>
          <w:sz w:val="20"/>
          <w:szCs w:val="20"/>
        </w:rPr>
      </w:r>
    </w:p>
    <w:p>
      <w:pPr>
        <w:pStyle w:val="BodyText"/>
        <w:spacing w:lineRule="auto" w:line="276" w:before="120" w:after="120"/>
        <w:jc w:val="center"/>
        <w:rPr>
          <w:rFonts w:ascii="Times New Roman" w:hAnsi="Times New Roman"/>
          <w:sz w:val="20"/>
          <w:szCs w:val="20"/>
        </w:rPr>
      </w:pPr>
      <w:r>
        <w:rPr>
          <w:rFonts w:ascii="Times New Roman" w:hAnsi="Times New Roman"/>
          <w:bCs/>
          <w:color w:val="000000"/>
          <w:sz w:val="20"/>
          <w:szCs w:val="20"/>
          <w:u w:val="none"/>
          <w:shd w:fill="auto" w:val="clear"/>
        </w:rPr>
        <w:t xml:space="preserve">ANEXO </w:t>
      </w:r>
      <w:r>
        <w:rPr>
          <w:rFonts w:ascii="Times New Roman" w:hAnsi="Times New Roman"/>
          <w:bCs/>
          <w:color w:val="000000"/>
          <w:sz w:val="20"/>
          <w:szCs w:val="20"/>
          <w:u w:val="none"/>
          <w:shd w:fill="auto" w:val="clear"/>
        </w:rPr>
        <w:t xml:space="preserve">A - </w:t>
      </w:r>
      <w:r>
        <w:rPr>
          <w:rFonts w:ascii="Times New Roman" w:hAnsi="Times New Roman"/>
          <w:bCs/>
          <w:color w:val="000000"/>
          <w:sz w:val="20"/>
          <w:szCs w:val="20"/>
          <w:u w:val="none"/>
          <w:shd w:fill="auto" w:val="clear"/>
        </w:rPr>
        <w:t xml:space="preserve">II </w:t>
      </w:r>
      <w:r>
        <w:rPr>
          <w:rFonts w:ascii="Times New Roman" w:hAnsi="Times New Roman"/>
          <w:bCs/>
          <w:color w:val="000000"/>
          <w:sz w:val="20"/>
          <w:szCs w:val="20"/>
          <w:u w:val="none"/>
          <w:shd w:fill="auto" w:val="clear"/>
        </w:rPr>
        <w:t>ao</w:t>
      </w:r>
      <w:r>
        <w:rPr>
          <w:rFonts w:ascii="Times New Roman" w:hAnsi="Times New Roman"/>
          <w:bCs/>
          <w:color w:val="000000"/>
          <w:sz w:val="20"/>
          <w:szCs w:val="20"/>
          <w:u w:val="none"/>
          <w:shd w:fill="auto" w:val="clear"/>
        </w:rPr>
        <w:t xml:space="preserve"> Termo de Credenciamento para Hospitais Gerais e Maternidades</w:t>
      </w:r>
    </w:p>
    <w:p>
      <w:pPr>
        <w:pStyle w:val="BodyText"/>
        <w:spacing w:lineRule="auto" w:line="240" w:before="0" w:after="0"/>
        <w:ind w:hanging="0" w:start="0" w:end="0"/>
        <w:jc w:val="center"/>
        <w:rPr>
          <w:rFonts w:ascii="Times New Roman" w:hAnsi="Times New Roman" w:cs="Times New Roman"/>
          <w:sz w:val="20"/>
          <w:szCs w:val="20"/>
          <w:lang w:val="pt-BR" w:eastAsia="pt-BR"/>
        </w:rPr>
      </w:pPr>
      <w:r>
        <w:rPr>
          <w:rFonts w:cs="Times New Roman" w:ascii="Times New Roman" w:hAnsi="Times New Roman"/>
          <w:sz w:val="20"/>
          <w:szCs w:val="20"/>
          <w:lang w:val="pt-BR" w:eastAsia="pt-BR"/>
        </w:rPr>
        <w:drawing>
          <wp:inline distT="0" distB="0" distL="0" distR="0">
            <wp:extent cx="809625" cy="905510"/>
            <wp:effectExtent l="0" t="0" r="0" b="0"/>
            <wp:docPr id="3" name="Imagem 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 title=""/>
                    <pic:cNvPicPr>
                      <a:picLocks noChangeAspect="1" noChangeArrowheads="1"/>
                    </pic:cNvPicPr>
                  </pic:nvPicPr>
                  <pic:blipFill>
                    <a:blip r:embed="rId4">
                      <a:grayscl/>
                    </a:blip>
                    <a:srcRect l="-85" t="-77" r="-85" b="-77"/>
                    <a:stretch>
                      <a:fillRect/>
                    </a:stretch>
                  </pic:blipFill>
                  <pic:spPr bwMode="auto">
                    <a:xfrm>
                      <a:off x="0" y="0"/>
                      <a:ext cx="809625" cy="905510"/>
                    </a:xfrm>
                    <a:prstGeom prst="rect">
                      <a:avLst/>
                    </a:prstGeom>
                  </pic:spPr>
                </pic:pic>
              </a:graphicData>
            </a:graphic>
          </wp:inline>
        </w:drawing>
      </w:r>
    </w:p>
    <w:p>
      <w:pPr>
        <w:pStyle w:val="Normal"/>
        <w:spacing w:lineRule="auto" w:line="240" w:before="0" w:after="0"/>
        <w:ind w:hanging="0" w:start="0" w:end="0"/>
        <w:jc w:val="center"/>
        <w:rPr>
          <w:rFonts w:ascii="Times New Roman" w:hAnsi="Times New Roman" w:cs="Times New Roman"/>
          <w:b/>
          <w:bCs/>
          <w:sz w:val="16"/>
          <w:szCs w:val="16"/>
        </w:rPr>
      </w:pPr>
      <w:r>
        <w:rPr>
          <w:rFonts w:cs="Times New Roman" w:ascii="Times New Roman" w:hAnsi="Times New Roman"/>
          <w:b/>
          <w:bCs/>
          <w:sz w:val="16"/>
          <w:szCs w:val="16"/>
        </w:rPr>
        <w:t>MINISTÉRIO DA DEFESA</w:t>
      </w:r>
    </w:p>
    <w:p>
      <w:pPr>
        <w:pStyle w:val="Normal"/>
        <w:spacing w:lineRule="auto" w:line="240" w:before="0" w:after="0"/>
        <w:ind w:hanging="0" w:start="0" w:end="0"/>
        <w:jc w:val="center"/>
        <w:rPr>
          <w:rFonts w:ascii="Times New Roman" w:hAnsi="Times New Roman" w:cs="Times New Roman"/>
          <w:b/>
          <w:bCs/>
          <w:sz w:val="16"/>
          <w:szCs w:val="16"/>
        </w:rPr>
      </w:pPr>
      <w:r>
        <w:rPr>
          <w:rFonts w:cs="Times New Roman" w:ascii="Times New Roman" w:hAnsi="Times New Roman"/>
          <w:b/>
          <w:bCs/>
          <w:sz w:val="16"/>
          <w:szCs w:val="16"/>
        </w:rPr>
        <w:t>EXÉRCITO BRASILEIRO</w:t>
      </w:r>
    </w:p>
    <w:p>
      <w:pPr>
        <w:pStyle w:val="Normal"/>
        <w:spacing w:lineRule="auto" w:line="240" w:before="0" w:after="0"/>
        <w:ind w:hanging="0" w:start="0" w:end="0"/>
        <w:jc w:val="center"/>
        <w:rPr>
          <w:rFonts w:ascii="Times New Roman" w:hAnsi="Times New Roman" w:cs="Times New Roman"/>
          <w:b/>
          <w:bCs/>
          <w:sz w:val="16"/>
          <w:szCs w:val="16"/>
        </w:rPr>
      </w:pPr>
      <w:r>
        <w:rPr>
          <w:rFonts w:cs="Times New Roman" w:ascii="Times New Roman" w:hAnsi="Times New Roman"/>
          <w:b/>
          <w:bCs/>
          <w:sz w:val="16"/>
          <w:szCs w:val="16"/>
        </w:rPr>
        <w:t>HOSPITAL MILITAR DE RESENDE</w:t>
      </w:r>
    </w:p>
    <w:p>
      <w:pPr>
        <w:pStyle w:val="Normal"/>
        <w:widowControl w:val="false"/>
        <w:spacing w:before="0" w:after="0"/>
        <w:jc w:val="center"/>
        <w:rPr>
          <w:rFonts w:ascii="Times New Roman" w:hAnsi="Times New Roman" w:cs="Times New Roman"/>
          <w:b/>
          <w:bCs/>
          <w:color w:val="000000"/>
          <w:sz w:val="20"/>
          <w:szCs w:val="20"/>
        </w:rPr>
      </w:pPr>
      <w:r>
        <w:rPr>
          <w:rFonts w:cs="Times New Roman" w:ascii="Times New Roman" w:hAnsi="Times New Roman"/>
          <w:b/>
          <w:bCs/>
          <w:color w:val="000000"/>
          <w:sz w:val="20"/>
          <w:szCs w:val="20"/>
        </w:rPr>
      </w:r>
    </w:p>
    <w:p>
      <w:pPr>
        <w:pStyle w:val="Normal"/>
        <w:widowControl w:val="false"/>
        <w:spacing w:before="0" w:after="0"/>
        <w:jc w:val="center"/>
        <w:rPr>
          <w:rFonts w:ascii="Times New Roman" w:hAnsi="Times New Roman" w:cs="Times New Roman"/>
          <w:b/>
          <w:bCs/>
          <w:color w:val="000000"/>
          <w:sz w:val="20"/>
          <w:szCs w:val="20"/>
        </w:rPr>
      </w:pPr>
      <w:r>
        <w:rPr>
          <w:rFonts w:cs="Times New Roman" w:ascii="Times New Roman" w:hAnsi="Times New Roman"/>
          <w:b/>
          <w:bCs/>
          <w:color w:val="000000"/>
          <w:sz w:val="20"/>
          <w:szCs w:val="20"/>
        </w:rPr>
      </w:r>
    </w:p>
    <w:p>
      <w:pPr>
        <w:pStyle w:val="Normal"/>
        <w:widowControl w:val="false"/>
        <w:spacing w:before="0" w:after="0"/>
        <w:jc w:val="center"/>
        <w:rPr>
          <w:rFonts w:ascii="Times New Roman" w:hAnsi="Times New Roman" w:cs="Times New Roman"/>
          <w:b/>
          <w:bCs/>
          <w:color w:val="000000"/>
          <w:sz w:val="18"/>
          <w:szCs w:val="18"/>
        </w:rPr>
      </w:pPr>
      <w:r>
        <w:rPr>
          <w:rFonts w:cs="Times New Roman" w:ascii="Times New Roman" w:hAnsi="Times New Roman"/>
          <w:b/>
          <w:bCs/>
          <w:color w:val="000000"/>
          <w:sz w:val="18"/>
          <w:szCs w:val="18"/>
        </w:rPr>
        <w:t>ÍNDICE DE GLOSA</w:t>
      </w:r>
    </w:p>
    <w:p>
      <w:pPr>
        <w:pStyle w:val="Normal"/>
        <w:widowControl w:val="false"/>
        <w:spacing w:before="0" w:after="0"/>
        <w:jc w:val="center"/>
        <w:rPr>
          <w:rFonts w:ascii="Times New Roman" w:hAnsi="Times New Roman" w:cs="Times New Roman"/>
          <w:b/>
          <w:bCs/>
          <w:color w:val="000000"/>
          <w:sz w:val="18"/>
          <w:szCs w:val="18"/>
        </w:rPr>
      </w:pPr>
      <w:r>
        <w:rPr>
          <w:rFonts w:cs="Times New Roman" w:ascii="Times New Roman" w:hAnsi="Times New Roman"/>
          <w:b/>
          <w:bCs/>
          <w:color w:val="000000"/>
          <w:sz w:val="18"/>
          <w:szCs w:val="18"/>
        </w:rPr>
      </w:r>
    </w:p>
    <w:tbl>
      <w:tblPr>
        <w:tblW w:w="9614" w:type="dxa"/>
        <w:jc w:val="center"/>
        <w:tblInd w:w="0" w:type="dxa"/>
        <w:tblLayout w:type="fixed"/>
        <w:tblCellMar>
          <w:top w:w="0" w:type="dxa"/>
          <w:start w:w="48" w:type="dxa"/>
          <w:bottom w:w="0" w:type="dxa"/>
          <w:end w:w="108" w:type="dxa"/>
        </w:tblCellMar>
      </w:tblPr>
      <w:tblGrid>
        <w:gridCol w:w="494"/>
        <w:gridCol w:w="4574"/>
        <w:gridCol w:w="425"/>
        <w:gridCol w:w="4121"/>
      </w:tblGrid>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Atendimento não caracterizando urgência</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41</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incluso no procedimento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Acomodação acima da autorizada</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42</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coberto (ver relação anexa)</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Atendimento por médico militar</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43</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justificado para o caso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Cobrança de mais de30% em dia e hora normais</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44</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utilizado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Cobrança de 30 % não caracterizado urgência ou emergência</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45</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reutilizável – pagamento parcial</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Consulta inclusa no procedimento cirúrgico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46</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considerada de urgência</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Curativo incluso no procedimento cirúrgico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47</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em desacordo com a prescrição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8</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Data de atendimento fora da sequência na planilha</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48</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em excesso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9</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Data de atendimento fora da competência</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49</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justificada para o caso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10</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Diagnóstico ilegível</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50</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prescrita</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11</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Diárias em excesso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51</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utilizada</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12</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Diárias fora da tabela acordada</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52</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acima do preço de mercado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13</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Documento sem assinatura/ carimbo do médico assistente</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53</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não coberto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14</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EPI de responsabilidade do prestador</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54</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suspenso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15</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Especialidade não autorizada</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55</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Paciente não é beneficiário FuSEx/PASS</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16</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Evento incluso no pacote acordado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56</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Prescrição médica cm rasura ou ilegível</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17</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Evento que não comporta cobrança</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57</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Prestador descredenciado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18</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 não prevê cobrança contraste</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58</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Procedimento/exames em excesso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19</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 sem laudo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59</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incompatível com o diagnóstico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20</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Exames/procedimentos não requisitados</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60</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em duplicidade</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21</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Falta de discriminação dos serviços executados</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61</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não coberto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22</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Falta do registro de evolução médica e/ou de enfermagem</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62</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não realizado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23</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Fatura sem separar (FuSEx – PASS – Fator de Custo)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63</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Prontuário/ficha/boletim ilegível</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24</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Filme –cobrança em desacordo com CBR</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64</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Prontuário/ficha/boletim rasurados</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25</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ilegível</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65</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Retorno de consulta</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26</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sem assinatura do paciente ou responsável</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66</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SADT/exames fora da tabela acordada</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27</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prestador</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67</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autorização para procedimento ou exame</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28</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de encaminhamento fora da validade</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68</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diagnóstico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29</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não autorizada pelo FuSEx</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69</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guia/ofício de encaminhamento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30</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beneficiário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70</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com data rasurada</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31</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procedimento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71</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com data posterior ao exame</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32</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sem carimbo de autorização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72</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com data vencida</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33</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carbonados ou fotocopiados</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73</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sem data</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34</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Honorários médicos fora da tabela ou em excesso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74</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Soma errada – cálculo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35</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Justificar cobrança</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75</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Taxas fora da tabela acordada</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36</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ou medicamento adquirido por familiar a seu critério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76</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Taxas indevidas ou em excesso</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37</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acima do preço de mercado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77</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Visita hospitalar em duplicidade</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38</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de alto custo sem nota fiscal</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78</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 xml:space="preserve">Visitas inclusas no procedimento cirúrgico </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39</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em excesso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79</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Visita de especialista sem autorização prévia</w:t>
            </w:r>
          </w:p>
        </w:tc>
      </w:tr>
      <w:tr>
        <w:trPr/>
        <w:tc>
          <w:tcPr>
            <w:tcW w:w="494"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40</w:t>
            </w:r>
          </w:p>
        </w:tc>
        <w:tc>
          <w:tcPr>
            <w:tcW w:w="4574" w:type="dxa"/>
            <w:tcBorders>
              <w:top w:val="single" w:sz="4" w:space="0" w:color="000001"/>
              <w:star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fixo</w:t>
            </w:r>
          </w:p>
        </w:tc>
        <w:tc>
          <w:tcPr>
            <w:tcW w:w="425" w:type="dxa"/>
            <w:tcBorders>
              <w:top w:val="single" w:sz="4" w:space="0" w:color="000001"/>
              <w:star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80</w:t>
            </w:r>
          </w:p>
        </w:tc>
        <w:tc>
          <w:tcPr>
            <w:tcW w:w="4121" w:type="dxa"/>
            <w:tcBorders>
              <w:top w:val="single" w:sz="4" w:space="0" w:color="000001"/>
              <w:start w:val="single" w:sz="4" w:space="0" w:color="000001"/>
              <w:bottom w:val="single" w:sz="4" w:space="0" w:color="000001"/>
              <w:end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Outros</w:t>
            </w:r>
          </w:p>
        </w:tc>
      </w:tr>
    </w:tbl>
    <w:p>
      <w:pPr>
        <w:pStyle w:val="Normal"/>
        <w:widowControl w:val="false"/>
        <w:spacing w:before="120" w:after="120"/>
        <w:jc w:val="both"/>
        <w:rPr>
          <w:rFonts w:ascii="Times New Roman" w:hAnsi="Times New Roman" w:cs="Times New Roman"/>
          <w:color w:val="000000"/>
          <w:sz w:val="18"/>
          <w:szCs w:val="18"/>
          <w:u w:val="none"/>
          <w:shd w:fill="auto" w:val="clear"/>
        </w:rPr>
      </w:pPr>
      <w:r>
        <w:rPr>
          <w:rFonts w:cs="Times New Roman" w:ascii="Times New Roman" w:hAnsi="Times New Roman"/>
          <w:color w:val="000000"/>
          <w:sz w:val="18"/>
          <w:szCs w:val="18"/>
          <w:u w:val="none"/>
          <w:shd w:fill="auto" w:val="clear"/>
        </w:rPr>
        <w:t>+</w:t>
      </w:r>
    </w:p>
    <w:p>
      <w:pPr>
        <w:pStyle w:val="Normal"/>
        <w:widowControl w:val="false"/>
        <w:spacing w:before="120" w:after="120"/>
        <w:jc w:val="both"/>
        <w:rPr>
          <w:rFonts w:ascii="Times New Roman" w:hAnsi="Times New Roman" w:cs="Times New Roman"/>
          <w:color w:val="000000"/>
          <w:sz w:val="18"/>
          <w:szCs w:val="18"/>
          <w:u w:val="none"/>
          <w:shd w:fill="auto" w:val="clear"/>
        </w:rPr>
      </w:pPr>
      <w:r>
        <w:rPr>
          <w:rFonts w:cs="Times New Roman" w:ascii="Times New Roman" w:hAnsi="Times New Roman"/>
          <w:color w:val="000000"/>
          <w:sz w:val="18"/>
          <w:szCs w:val="18"/>
          <w:u w:val="none"/>
          <w:shd w:fill="auto" w:val="clear"/>
        </w:rPr>
      </w:r>
    </w:p>
    <w:p>
      <w:pPr>
        <w:pStyle w:val="Normal"/>
        <w:widowControl w:val="false"/>
        <w:spacing w:before="120" w:after="120"/>
        <w:jc w:val="both"/>
        <w:rPr>
          <w:rFonts w:ascii="Times New Roman" w:hAnsi="Times New Roman" w:cs="Times New Roman"/>
          <w:color w:val="000000"/>
          <w:sz w:val="18"/>
          <w:szCs w:val="18"/>
          <w:u w:val="none"/>
          <w:shd w:fill="auto" w:val="clear"/>
        </w:rPr>
      </w:pPr>
      <w:r>
        <w:rPr>
          <w:rFonts w:cs="Times New Roman" w:ascii="Times New Roman" w:hAnsi="Times New Roman"/>
          <w:color w:val="000000"/>
          <w:sz w:val="18"/>
          <w:szCs w:val="18"/>
          <w:u w:val="none"/>
          <w:shd w:fill="auto" w:val="clear"/>
        </w:rPr>
      </w:r>
    </w:p>
    <w:p>
      <w:pPr>
        <w:pStyle w:val="Normal"/>
        <w:widowControl w:val="false"/>
        <w:spacing w:before="120" w:after="120"/>
        <w:jc w:val="both"/>
        <w:rPr>
          <w:rFonts w:ascii="Times New Roman" w:hAnsi="Times New Roman" w:cs="Times New Roman"/>
          <w:color w:val="000000"/>
          <w:sz w:val="18"/>
          <w:szCs w:val="18"/>
          <w:u w:val="none"/>
          <w:shd w:fill="auto" w:val="clear"/>
        </w:rPr>
      </w:pPr>
      <w:r>
        <w:rPr>
          <w:rFonts w:cs="Times New Roman" w:ascii="Times New Roman" w:hAnsi="Times New Roman"/>
          <w:color w:val="000000"/>
          <w:sz w:val="18"/>
          <w:szCs w:val="18"/>
          <w:u w:val="none"/>
          <w:shd w:fill="auto" w:val="clear"/>
        </w:rPr>
      </w:r>
    </w:p>
    <w:p>
      <w:pPr>
        <w:pStyle w:val="BodyText"/>
        <w:spacing w:before="0" w:after="0"/>
        <w:ind w:hanging="0" w:start="0" w:end="0"/>
        <w:jc w:val="center"/>
        <w:rPr>
          <w:rFonts w:ascii="Times New Roman" w:hAnsi="Times New Roman"/>
          <w:b/>
          <w:bCs/>
          <w:color w:val="auto"/>
          <w:sz w:val="20"/>
        </w:rPr>
      </w:pPr>
      <w:r>
        <w:rPr>
          <w:rFonts w:ascii="Times New Roman" w:hAnsi="Times New Roman"/>
          <w:b/>
          <w:bCs/>
          <w:color w:val="auto"/>
          <w:sz w:val="20"/>
        </w:rPr>
        <w:t>ANEXO I</w:t>
      </w:r>
      <w:r>
        <w:rPr>
          <w:rFonts w:ascii="Times New Roman" w:hAnsi="Times New Roman"/>
          <w:b/>
          <w:bCs/>
          <w:color w:val="auto"/>
          <w:sz w:val="20"/>
        </w:rPr>
        <w:t>II</w:t>
      </w:r>
      <w:r>
        <w:rPr>
          <w:rFonts w:ascii="Times New Roman" w:hAnsi="Times New Roman"/>
          <w:b/>
          <w:bCs/>
          <w:color w:val="auto"/>
          <w:sz w:val="20"/>
        </w:rPr>
        <w:t xml:space="preserve"> ao Termo de Credenciamento para Clínicas Médicas</w:t>
      </w:r>
    </w:p>
    <w:p>
      <w:pPr>
        <w:pStyle w:val="Normal"/>
        <w:spacing w:before="0" w:after="0"/>
        <w:ind w:hanging="0" w:start="0" w:end="0"/>
        <w:jc w:val="center"/>
        <w:rPr>
          <w:rFonts w:ascii="Times New Roman" w:hAnsi="Times New Roman" w:cs="Times New Roman"/>
          <w:color w:val="auto"/>
          <w:sz w:val="20"/>
          <w:szCs w:val="20"/>
        </w:rPr>
      </w:pPr>
      <w:r>
        <w:rPr>
          <w:rFonts w:cs="Times New Roman" w:ascii="Times New Roman" w:hAnsi="Times New Roman"/>
          <w:color w:val="auto"/>
          <w:sz w:val="20"/>
          <w:szCs w:val="20"/>
        </w:rPr>
        <w:drawing>
          <wp:anchor behindDoc="0" distT="0" distB="0" distL="0" distR="0" simplePos="0" locked="0" layoutInCell="0" allowOverlap="1" relativeHeight="5">
            <wp:simplePos x="0" y="0"/>
            <wp:positionH relativeFrom="column">
              <wp:posOffset>2717165</wp:posOffset>
            </wp:positionH>
            <wp:positionV relativeFrom="paragraph">
              <wp:posOffset>94615</wp:posOffset>
            </wp:positionV>
            <wp:extent cx="809625" cy="905510"/>
            <wp:effectExtent l="0" t="0" r="0" b="0"/>
            <wp:wrapSquare wrapText="largest"/>
            <wp:docPr id="4" name="Imagem 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9" descr="" title=""/>
                    <pic:cNvPicPr>
                      <a:picLocks noChangeAspect="1" noChangeArrowheads="1"/>
                    </pic:cNvPicPr>
                  </pic:nvPicPr>
                  <pic:blipFill>
                    <a:blip r:embed="rId5">
                      <a:grayscl/>
                    </a:blip>
                    <a:srcRect l="-56" t="-51" r="-56" b="-51"/>
                    <a:stretch>
                      <a:fillRect/>
                    </a:stretch>
                  </pic:blipFill>
                  <pic:spPr bwMode="auto">
                    <a:xfrm>
                      <a:off x="0" y="0"/>
                      <a:ext cx="809625" cy="905510"/>
                    </a:xfrm>
                    <a:prstGeom prst="rect">
                      <a:avLst/>
                    </a:prstGeom>
                  </pic:spPr>
                </pic:pic>
              </a:graphicData>
            </a:graphic>
          </wp:anchor>
        </w:drawing>
      </w:r>
    </w:p>
    <w:p>
      <w:pPr>
        <w:pStyle w:val="Normal"/>
        <w:widowControl w:val="false"/>
        <w:spacing w:lineRule="auto" w:line="240" w:before="0" w:after="0"/>
        <w:ind w:hanging="0" w:start="0" w:end="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MINISTÉRIO DA DEFESA</w:t>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EXÉRCITO BRASILEIRO</w:t>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HOSPITAL MILITAR DE RESENDE</w:t>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(H Mil 1º Cl / 1920)</w:t>
      </w:r>
    </w:p>
    <w:p>
      <w:pPr>
        <w:pStyle w:val="Normal"/>
        <w:widowControl w:val="false"/>
        <w:spacing w:before="0" w:after="0"/>
        <w:jc w:val="center"/>
        <w:rPr>
          <w:rFonts w:ascii="Times New Roman" w:hAnsi="Times New Roman" w:cs="Times New Roman"/>
          <w:bCs/>
          <w:color w:val="auto"/>
          <w:sz w:val="20"/>
          <w:szCs w:val="20"/>
        </w:rPr>
      </w:pPr>
      <w:r>
        <w:rPr>
          <w:rFonts w:cs="Times New Roman" w:ascii="Times New Roman" w:hAnsi="Times New Roman"/>
          <w:bCs/>
          <w:color w:val="auto"/>
          <w:sz w:val="20"/>
          <w:szCs w:val="20"/>
        </w:rPr>
      </w:r>
    </w:p>
    <w:p>
      <w:pPr>
        <w:pStyle w:val="Normal"/>
        <w:widowControl w:val="false"/>
        <w:spacing w:before="120" w:after="120"/>
        <w:jc w:val="center"/>
        <w:rPr>
          <w:rFonts w:ascii="Times New Roman" w:hAnsi="Times New Roman" w:cs="Times New Roman"/>
          <w:b/>
          <w:bCs/>
          <w:color w:val="auto"/>
          <w:sz w:val="20"/>
          <w:szCs w:val="20"/>
        </w:rPr>
      </w:pPr>
      <w:r>
        <w:rPr>
          <w:rFonts w:cs="Times New Roman" w:ascii="Times New Roman" w:hAnsi="Times New Roman"/>
          <w:b/>
          <w:bCs/>
          <w:color w:val="auto"/>
          <w:sz w:val="20"/>
          <w:szCs w:val="20"/>
        </w:rPr>
        <w:t>TERMO DE AJUSTE PRÉVIO</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Nome da Clínica especializada: ____________________________________________________________________</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Endereço: _____________________________________________________________________________________</w:t>
      </w:r>
    </w:p>
    <w:p>
      <w:pPr>
        <w:pStyle w:val="Heading5"/>
        <w:suppressAutoHyphens w:val="false"/>
        <w:spacing w:lineRule="auto" w:line="276" w:before="120" w:after="120"/>
        <w:ind w:hanging="0" w:start="0" w:end="0"/>
        <w:jc w:val="both"/>
        <w:rPr>
          <w:b w:val="false"/>
          <w:bCs/>
          <w:color w:val="auto"/>
          <w:sz w:val="20"/>
        </w:rPr>
      </w:pPr>
      <w:r>
        <w:rPr>
          <w:b w:val="false"/>
          <w:bCs/>
          <w:color w:val="auto"/>
          <w:sz w:val="20"/>
        </w:rPr>
        <w:t>TERMO DE AJUSTE PRÉVIO</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Nome do beneficiário: ____________________________________________________________________________</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Nome do responsável: ____________________________________________________________________________</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Nome do médico assistente: ________________________________________________________________________</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CRM: __________________________________________ CPF: ___________________________________________</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O beneficiário ou seu dependente, a clínica especializada e o médico assistente, acima referidos, ajustam entre si as seguintes condições:</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1. Sobre-preço das instalações hospitalares especiais, livremente escolhidas pelo beneficiário ou seu responsável, limitado à tabela de preços para a clientela particular, considerada a dedução do valor da diária paga pela RM/UG-</w:t>
      </w:r>
      <w:r>
        <w:rPr>
          <w:rFonts w:cs="Times New Roman" w:ascii="Times New Roman" w:hAnsi="Times New Roman"/>
          <w:color w:val="000000"/>
          <w:sz w:val="20"/>
          <w:szCs w:val="20"/>
        </w:rPr>
        <w:t>FuSEx ao Hospital: R$ _________________________________________;</w:t>
      </w:r>
    </w:p>
    <w:p>
      <w:pPr>
        <w:pStyle w:val="Normal"/>
        <w:spacing w:before="12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t xml:space="preserve">2. Complementação de honorários profissionais do médico assistente, conforme constar do contrato (ou convênio) firmado, e de até 100% (cem por cento) dos valores constantes da tabela da AMB, adotada pela Previdência Social: </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R$: ___________________________________________________________</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Local e data: ____________________________________________________</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Assinatura do beneficiário: _________________________________________</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Assinatura do médico assistente: ____________________________________ CRM: _______________________</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Observações:</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a) Para cada médico ou odontólogo, que assistir ao paciente, deverá ser firmado um Termo de Ajuste Prévio;</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b) A RM/UG-FuSEx não se responsabilizará pelos valores que excederem aos previstos nos contratos ou convênios estabelecidos;</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c) Este ajuste não autoriza a cobrança de taxas não previstas em Termo de Credenciamento assinado entre a OCS e o Exército Brasileiro, de quaisquer naturezas; e</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t>d) O presente documento deverá ser emitido em quatro vias, com a seguinte destinação: 1ª via - beneficiário ou responsável; 2ª via – RM/UG-FuSEx; 3ª via – clínica especializada e 4ª via - médico assistente.</w:t>
      </w:r>
    </w:p>
    <w:p>
      <w:pPr>
        <w:pStyle w:val="Normal"/>
        <w:spacing w:before="120" w:after="120"/>
        <w:jc w:val="both"/>
        <w:rPr>
          <w:rFonts w:ascii="Times New Roman" w:hAnsi="Times New Roman" w:cs="Times New Roman"/>
          <w:sz w:val="20"/>
          <w:szCs w:val="20"/>
        </w:rPr>
      </w:pPr>
      <w:r>
        <w:rPr>
          <w:rFonts w:cs="Times New Roman" w:ascii="Times New Roman" w:hAnsi="Times New Roman"/>
          <w:sz w:val="20"/>
          <w:szCs w:val="20"/>
        </w:rPr>
      </w:r>
    </w:p>
    <w:p>
      <w:pPr>
        <w:pStyle w:val="Normal"/>
        <w:spacing w:before="120" w:after="120"/>
        <w:jc w:val="center"/>
        <w:rPr>
          <w:rFonts w:ascii="Times New Roman" w:hAnsi="Times New Roman" w:cs="Times New Roman"/>
          <w:color w:val="auto"/>
          <w:sz w:val="20"/>
          <w:szCs w:val="20"/>
        </w:rPr>
      </w:pPr>
      <w:r>
        <w:rPr>
          <w:rFonts w:cs="Times New Roman" w:ascii="Times New Roman" w:hAnsi="Times New Roman"/>
          <w:color w:val="auto"/>
          <w:sz w:val="20"/>
          <w:szCs w:val="20"/>
        </w:rPr>
        <w:t>____________________, RJ, _____/_____ /___________</w:t>
      </w:r>
    </w:p>
    <w:p>
      <w:pPr>
        <w:pStyle w:val="Normal"/>
        <w:spacing w:before="120" w:after="120"/>
        <w:jc w:val="both"/>
        <w:rPr>
          <w:rFonts w:ascii="Times New Roman" w:hAnsi="Times New Roman" w:cs="Times New Roman"/>
          <w:color w:val="auto"/>
          <w:sz w:val="20"/>
          <w:szCs w:val="20"/>
        </w:rPr>
      </w:pPr>
      <w:r>
        <w:rPr>
          <w:rFonts w:cs="Times New Roman" w:ascii="Times New Roman" w:hAnsi="Times New Roman"/>
          <w:color w:val="auto"/>
          <w:sz w:val="20"/>
          <w:szCs w:val="20"/>
        </w:rPr>
      </w:r>
    </w:p>
    <w:p>
      <w:pPr>
        <w:pStyle w:val="Normal"/>
        <w:spacing w:before="0" w:after="0"/>
        <w:ind w:hanging="0" w:start="0" w:end="0"/>
        <w:jc w:val="both"/>
        <w:rPr>
          <w:rFonts w:ascii="Times New Roman" w:hAnsi="Times New Roman" w:cs="Times New Roman"/>
          <w:color w:val="auto"/>
          <w:sz w:val="20"/>
          <w:szCs w:val="20"/>
        </w:rPr>
      </w:pPr>
      <w:r>
        <w:rPr>
          <w:rFonts w:cs="Times New Roman" w:ascii="Times New Roman" w:hAnsi="Times New Roman"/>
          <w:color w:val="auto"/>
          <w:sz w:val="20"/>
          <w:szCs w:val="20"/>
        </w:rPr>
        <w:t xml:space="preserve">__________________________________ </w:t>
        <w:tab/>
        <w:t xml:space="preserve">                   </w:t>
        <w:tab/>
        <w:t>_______________________________________</w:t>
      </w:r>
    </w:p>
    <w:p>
      <w:pPr>
        <w:pStyle w:val="Normal"/>
        <w:spacing w:before="0" w:after="0"/>
        <w:ind w:hanging="0" w:start="0" w:end="0"/>
        <w:jc w:val="both"/>
        <w:rPr>
          <w:rFonts w:ascii="Times New Roman" w:hAnsi="Times New Roman" w:cs="Times New Roman"/>
          <w:color w:val="auto"/>
          <w:sz w:val="20"/>
          <w:szCs w:val="20"/>
        </w:rPr>
      </w:pPr>
      <w:r>
        <w:rPr>
          <w:rFonts w:cs="Times New Roman"/>
          <w:color w:val="auto"/>
          <w:sz w:val="20"/>
          <w:szCs w:val="20"/>
        </w:rPr>
        <w:t xml:space="preserve">         </w:t>
      </w:r>
      <w:r>
        <w:rPr>
          <w:rFonts w:cs="Times New Roman"/>
          <w:color w:val="auto"/>
          <w:sz w:val="20"/>
          <w:szCs w:val="20"/>
        </w:rPr>
        <w:t xml:space="preserve">Nome e assinatura do beneficiário </w:t>
        <w:tab/>
        <w:tab/>
        <w:t xml:space="preserve">                 Nome e assinatura do responsável pela Clínica</w:t>
      </w:r>
    </w:p>
    <w:sectPr>
      <w:footerReference w:type="default" r:id="rId6"/>
      <w:type w:val="nextPage"/>
      <w:pgSz w:w="11906" w:h="16838"/>
      <w:pgMar w:left="1134" w:right="1134" w:gutter="0" w:header="0" w:top="680" w:footer="850" w:bottom="1371"/>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Ecofont_Spranq_eco_Sans">
    <w:charset w:val="00" w:characterSet="windows-1252"/>
    <w:family w:val="roman"/>
    <w:pitch w:val="default"/>
  </w:font>
  <w:font w:name="Calibri">
    <w:charset w:val="00" w:characterSet="windows-1252"/>
    <w:family w:val="roman"/>
    <w:pitch w:val="default"/>
  </w:font>
  <w:font w:name="Arial">
    <w:charset w:val="00" w:characterSet="windows-1252"/>
    <w:family w:val="roman"/>
    <w:pitch w:val="default"/>
  </w:font>
  <w:font w:name="Times New Roman">
    <w:charset w:val="00" w:characterSet="windows-1252"/>
    <w:family w:val="roman"/>
    <w:pitch w:val="default"/>
  </w:font>
  <w:font w:name="Tahoma">
    <w:charset w:val="00" w:characterSet="windows-1252"/>
    <w:family w:val="roman"/>
    <w:pitch w:val="default"/>
  </w:font>
  <w:font w:name="OpenSymbol">
    <w:altName w:val="Arial Unicode M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vel02"/>
      <w:widowControl/>
      <w:numPr>
        <w:ilvl w:val="2"/>
        <w:numId w:val="1"/>
      </w:numPr>
      <w:spacing w:lineRule="auto" w:line="276" w:before="119" w:after="119"/>
      <w:ind w:hanging="0" w:start="0" w:end="0"/>
      <w:jc w:val="both"/>
      <w:rPr>
        <w:rFonts w:ascii="Times New Roman" w:hAnsi="Times New Roman" w:eastAsia="Calibri" w:cs="Tahoma"/>
        <w:b w:val="false"/>
        <w:bCs w:val="false"/>
        <w:szCs w:val="22"/>
        <w:shd w:fill="auto" w:val="clear"/>
      </w:rPr>
    </w:pPr>
    <w:r>
      <w:rPr/>
      <w:fldChar w:fldCharType="begin"/>
    </w:r>
    <w:r>
      <w:rPr/>
      <w:instrText xml:space="preserve"> PAGE </w:instrText>
    </w:r>
    <w:r>
      <w:rPr/>
      <w:fldChar w:fldCharType="separate"/>
    </w:r>
    <w:r>
      <w:rPr/>
      <w:t>1</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360" w:hanging="360"/>
      </w:pPr>
    </w:lvl>
    <w:lvl w:ilvl="1">
      <w:start w:val="1"/>
      <w:numFmt w:val="decimal"/>
      <w:lvlText w:val="%1.%2."/>
      <w:lvlJc w:val="start"/>
      <w:pPr>
        <w:tabs>
          <w:tab w:val="num" w:pos="0"/>
        </w:tabs>
        <w:ind w:start="792" w:hanging="432"/>
      </w:pPr>
    </w:lvl>
    <w:lvl w:ilvl="2">
      <w:start w:val="1"/>
      <w:numFmt w:val="decimal"/>
      <w:lvlText w:val="%1.%2.%3."/>
      <w:lvlJc w:val="start"/>
      <w:pPr>
        <w:tabs>
          <w:tab w:val="num" w:pos="0"/>
        </w:tabs>
        <w:ind w:start="1224" w:hanging="504"/>
      </w:pPr>
    </w:lvl>
    <w:lvl w:ilvl="3">
      <w:start w:val="1"/>
      <w:numFmt w:val="decimal"/>
      <w:lvlText w:val="%1.%2.%3.%4."/>
      <w:lvlJc w:val="start"/>
      <w:pPr>
        <w:tabs>
          <w:tab w:val="num" w:pos="0"/>
        </w:tabs>
        <w:ind w:start="1728" w:hanging="648"/>
      </w:pPr>
    </w:lvl>
    <w:lvl w:ilvl="4">
      <w:start w:val="1"/>
      <w:numFmt w:val="decimal"/>
      <w:lvlText w:val="%1.%2.%3.%4.%5."/>
      <w:lvlJc w:val="start"/>
      <w:pPr>
        <w:tabs>
          <w:tab w:val="num" w:pos="0"/>
        </w:tabs>
        <w:ind w:start="2232" w:hanging="792"/>
      </w:pPr>
    </w:lvl>
    <w:lvl w:ilvl="5">
      <w:start w:val="1"/>
      <w:numFmt w:val="decimal"/>
      <w:lvlText w:val="%1.%2.%3.%4.%5.%6."/>
      <w:lvlJc w:val="start"/>
      <w:pPr>
        <w:tabs>
          <w:tab w:val="num" w:pos="0"/>
        </w:tabs>
        <w:ind w:start="2736" w:hanging="936"/>
      </w:pPr>
    </w:lvl>
    <w:lvl w:ilvl="6">
      <w:start w:val="1"/>
      <w:numFmt w:val="decimal"/>
      <w:lvlText w:val="%1.%2.%3.%4.%5.%6.%7."/>
      <w:lvlJc w:val="start"/>
      <w:pPr>
        <w:tabs>
          <w:tab w:val="num" w:pos="0"/>
        </w:tabs>
        <w:ind w:start="3240" w:hanging="1080"/>
      </w:pPr>
    </w:lvl>
    <w:lvl w:ilvl="7">
      <w:start w:val="1"/>
      <w:numFmt w:val="decimal"/>
      <w:lvlText w:val="%1.%2.%3.%4.%5.%6.%7.%8."/>
      <w:lvlJc w:val="start"/>
      <w:pPr>
        <w:tabs>
          <w:tab w:val="num" w:pos="0"/>
        </w:tabs>
        <w:ind w:start="3744" w:hanging="1224"/>
      </w:pPr>
    </w:lvl>
    <w:lvl w:ilvl="8">
      <w:start w:val="1"/>
      <w:numFmt w:val="decimal"/>
      <w:lvlText w:val="%1.%2.%3.%4.%5.%6.%7.%8.%9."/>
      <w:lvlJc w:val="start"/>
      <w:pPr>
        <w:tabs>
          <w:tab w:val="num" w:pos="0"/>
        </w:tabs>
        <w:ind w:start="4320" w:hanging="1440"/>
      </w:pPr>
    </w:lvl>
  </w:abstractNum>
  <w:abstractNum w:abstractNumId="2">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9363" w:hanging="432"/>
      </w:pPr>
      <w:rPr>
        <w:dstrike w:val="false"/>
        <w:strike w:val="false"/>
        <w:sz w:val="20"/>
        <w:i w:val="false"/>
        <w:u w:val="none"/>
        <w:b w:val="false"/>
        <w:szCs w:val="20"/>
        <w:color w:val="auto"/>
      </w:rPr>
    </w:lvl>
    <w:lvl w:ilvl="2">
      <w:start w:val="1"/>
      <w:numFmt w:val="decimal"/>
      <w:lvlText w:val="%1.%2.%3"/>
      <w:lvlJc w:val="start"/>
      <w:pPr>
        <w:tabs>
          <w:tab w:val="num" w:pos="0"/>
        </w:tabs>
        <w:ind w:start="6175" w:hanging="504"/>
      </w:pPr>
      <w:rPr>
        <w:dstrike w:val="false"/>
        <w:strike w:val="false"/>
        <w:sz w:val="20"/>
        <w:i w:val="false"/>
        <w:b w:val="false"/>
        <w:szCs w:val="20"/>
        <w:color w:val="00000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
    <w:lvl w:ilvl="0">
      <w:start w:val="1"/>
      <w:numFmt w:val="decimal"/>
      <w:lvlText w:val="%1."/>
      <w:lvlJc w:val="start"/>
      <w:pPr>
        <w:tabs>
          <w:tab w:val="num" w:pos="0"/>
        </w:tabs>
        <w:ind w:start="360" w:hanging="360"/>
      </w:pPr>
      <w:rPr>
        <w:sz w:val="20"/>
        <w:b/>
        <w:rFonts w:ascii="Arial" w:hAnsi="Arial"/>
      </w:rPr>
    </w:lvl>
    <w:lvl w:ilvl="1">
      <w:start w:val="1"/>
      <w:numFmt w:val="decimal"/>
      <w:lvlText w:val="%1.%2."/>
      <w:lvlJc w:val="start"/>
      <w:pPr>
        <w:tabs>
          <w:tab w:val="num" w:pos="0"/>
        </w:tabs>
        <w:ind w:start="9363" w:hanging="432"/>
      </w:pPr>
      <w:rPr>
        <w:dstrike w:val="false"/>
        <w:strike w:val="false"/>
        <w:sz w:val="20"/>
        <w:i w:val="false"/>
        <w:u w:val="none"/>
        <w:b w:val="false"/>
        <w:szCs w:val="20"/>
        <w:color w:val="auto"/>
      </w:rPr>
    </w:lvl>
    <w:lvl w:ilvl="2">
      <w:start w:val="1"/>
      <w:numFmt w:val="decimal"/>
      <w:lvlText w:val="%1.%2.%3"/>
      <w:lvlJc w:val="start"/>
      <w:pPr>
        <w:tabs>
          <w:tab w:val="num" w:pos="0"/>
        </w:tabs>
        <w:ind w:start="6175" w:hanging="504"/>
      </w:pPr>
      <w:rPr>
        <w:dstrike w:val="false"/>
        <w:strike w:val="false"/>
        <w:sz w:val="20"/>
        <w:i w:val="false"/>
        <w:b w:val="false"/>
        <w:szCs w:val="20"/>
        <w:color w:val="00000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
    <w:lvl w:ilvl="0">
      <w:start w:val="1"/>
      <w:numFmt w:val="none"/>
      <w:suff w:val="nothing"/>
      <w:lvlText w:val="%1"/>
      <w:lvlJc w:val="start"/>
      <w:pPr>
        <w:tabs>
          <w:tab w:val="num" w:pos="432"/>
        </w:tabs>
        <w:ind w:start="432" w:hanging="432"/>
      </w:pPr>
    </w:lvl>
    <w:lvl w:ilvl="1">
      <w:start w:val="1"/>
      <w:numFmt w:val="none"/>
      <w:suff w:val="nothing"/>
      <w:lvlText w:val="%2"/>
      <w:lvlJc w:val="start"/>
      <w:pPr>
        <w:tabs>
          <w:tab w:val="num" w:pos="576"/>
        </w:tabs>
        <w:ind w:start="576" w:hanging="576"/>
      </w:pPr>
    </w:lvl>
    <w:lvl w:ilvl="2">
      <w:start w:val="1"/>
      <w:numFmt w:val="none"/>
      <w:suff w:val="nothing"/>
      <w:lvlText w:val="%3"/>
      <w:lvlJc w:val="start"/>
      <w:pPr>
        <w:tabs>
          <w:tab w:val="num" w:pos="720"/>
        </w:tabs>
        <w:ind w:start="720" w:hanging="720"/>
      </w:pPr>
    </w:lvl>
    <w:lvl w:ilvl="3">
      <w:start w:val="1"/>
      <w:numFmt w:val="none"/>
      <w:suff w:val="nothing"/>
      <w:lvlText w:val="%4"/>
      <w:lvlJc w:val="start"/>
      <w:pPr>
        <w:tabs>
          <w:tab w:val="num" w:pos="864"/>
        </w:tabs>
        <w:ind w:start="864" w:hanging="864"/>
      </w:pPr>
    </w:lvl>
    <w:lvl w:ilvl="4">
      <w:start w:val="1"/>
      <w:numFmt w:val="none"/>
      <w:suff w:val="nothing"/>
      <w:lvlText w:val="%5"/>
      <w:lvlJc w:val="start"/>
      <w:pPr>
        <w:tabs>
          <w:tab w:val="num" w:pos="1008"/>
        </w:tabs>
        <w:ind w:start="1008" w:hanging="1008"/>
      </w:pPr>
    </w:lvl>
    <w:lvl w:ilvl="5">
      <w:start w:val="1"/>
      <w:numFmt w:val="none"/>
      <w:suff w:val="nothing"/>
      <w:lvlText w:val="%6"/>
      <w:lvlJc w:val="start"/>
      <w:pPr>
        <w:tabs>
          <w:tab w:val="num" w:pos="1152"/>
        </w:tabs>
        <w:ind w:start="1152" w:hanging="1152"/>
      </w:pPr>
    </w:lvl>
    <w:lvl w:ilvl="6">
      <w:start w:val="1"/>
      <w:numFmt w:val="none"/>
      <w:suff w:val="nothing"/>
      <w:lvlText w:val="%7"/>
      <w:lvlJc w:val="start"/>
      <w:pPr>
        <w:tabs>
          <w:tab w:val="num" w:pos="1296"/>
        </w:tabs>
        <w:ind w:start="1296" w:hanging="1296"/>
      </w:pPr>
    </w:lvl>
    <w:lvl w:ilvl="7">
      <w:start w:val="1"/>
      <w:numFmt w:val="none"/>
      <w:suff w:val="nothing"/>
      <w:lvlText w:val="%8"/>
      <w:lvlJc w:val="start"/>
      <w:pPr>
        <w:tabs>
          <w:tab w:val="num" w:pos="1440"/>
        </w:tabs>
        <w:ind w:start="1440" w:hanging="1440"/>
      </w:pPr>
    </w:lvl>
    <w:lvl w:ilvl="8">
      <w:start w:val="1"/>
      <w:numFmt w:val="none"/>
      <w:suff w:val="nothing"/>
      <w:lvlText w:val="%9"/>
      <w:lvlJc w:val="start"/>
      <w:pPr>
        <w:tabs>
          <w:tab w:val="num" w:pos="1584"/>
        </w:tabs>
        <w:ind w:star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68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Ecofont_Spranq_eco_Sans" w:hAnsi="Ecofont_Spranq_eco_Sans" w:eastAsia="Calibri" w:cs="Tahoma"/>
        <w:kern w:val="2"/>
        <w:sz w:val="22"/>
        <w:szCs w:val="22"/>
        <w:lang w:val="pt-BR" w:eastAsia="en-US" w:bidi="ar-SA"/>
      </w:rPr>
    </w:rPrDefault>
    <w:pPrDefault>
      <w:pPr>
        <w:suppressAutoHyphens w:val="true"/>
        <w:spacing w:lineRule="auto" w:line="276"/>
      </w:pPr>
    </w:pPrDefault>
  </w:docDefaults>
  <w:style w:type="paragraph" w:styleId="Normal">
    <w:name w:val="Normal"/>
    <w:qFormat/>
    <w:pPr>
      <w:widowControl/>
      <w:kinsoku w:val="true"/>
      <w:overflowPunct w:val="true"/>
      <w:autoSpaceDE w:val="true"/>
      <w:bidi w:val="0"/>
      <w:spacing w:lineRule="auto" w:line="276" w:before="0" w:after="200"/>
      <w:jc w:val="start"/>
    </w:pPr>
    <w:rPr>
      <w:rFonts w:ascii="Calibri" w:hAnsi="Calibri" w:eastAsia="Calibri" w:cs="Tahoma"/>
      <w:color w:val="00000A"/>
      <w:kern w:val="2"/>
      <w:sz w:val="22"/>
      <w:szCs w:val="22"/>
      <w:lang w:val="pt-BR" w:eastAsia="pt-BR" w:bidi="ar-SA"/>
    </w:rPr>
  </w:style>
  <w:style w:type="paragraph" w:styleId="Heading1">
    <w:name w:val="Heading 1"/>
    <w:basedOn w:val="Ttulo"/>
    <w:qFormat/>
    <w:pPr/>
    <w:rPr/>
  </w:style>
  <w:style w:type="paragraph" w:styleId="Heading2">
    <w:name w:val="Heading 2"/>
    <w:basedOn w:val="Normal"/>
    <w:next w:val="Normal"/>
    <w:qFormat/>
    <w:pPr>
      <w:keepNext w:val="true"/>
      <w:numPr>
        <w:ilvl w:val="0"/>
        <w:numId w:val="0"/>
      </w:numPr>
      <w:suppressAutoHyphens w:val="true"/>
      <w:spacing w:lineRule="atLeast" w:line="360" w:before="0" w:after="0"/>
      <w:ind w:hanging="432" w:start="792" w:end="0"/>
      <w:textAlignment w:val="baseline"/>
      <w:outlineLvl w:val="1"/>
    </w:pPr>
    <w:rPr>
      <w:rFonts w:ascii="Arial" w:hAnsi="Arial" w:eastAsia="Times New Roman" w:cs="Times New Roman"/>
      <w:b/>
      <w:sz w:val="24"/>
      <w:szCs w:val="20"/>
      <w:lang w:eastAsia="ar-SA"/>
    </w:rPr>
  </w:style>
  <w:style w:type="paragraph" w:styleId="Heading3">
    <w:name w:val="Heading 3"/>
    <w:basedOn w:val="Ttulo"/>
    <w:qFormat/>
    <w:pPr/>
    <w:rPr/>
  </w:style>
  <w:style w:type="paragraph" w:styleId="Heading5">
    <w:name w:val="Heading 5"/>
    <w:basedOn w:val="Normal"/>
    <w:next w:val="Normal"/>
    <w:qFormat/>
    <w:pPr>
      <w:keepNext w:val="true"/>
      <w:numPr>
        <w:ilvl w:val="0"/>
        <w:numId w:val="0"/>
      </w:numPr>
      <w:suppressAutoHyphens w:val="true"/>
      <w:spacing w:lineRule="atLeast" w:line="360" w:before="0" w:after="0"/>
      <w:ind w:hanging="792" w:start="2232" w:end="0"/>
      <w:jc w:val="center"/>
      <w:textAlignment w:val="baseline"/>
      <w:outlineLvl w:val="4"/>
    </w:pPr>
    <w:rPr>
      <w:rFonts w:ascii="Times New Roman" w:hAnsi="Times New Roman" w:eastAsia="Times New Roman" w:cs="Times New Roman"/>
      <w:b/>
      <w:sz w:val="24"/>
      <w:szCs w:val="20"/>
      <w:lang w:eastAsia="ar-SA"/>
    </w:rPr>
  </w:style>
  <w:style w:type="character" w:styleId="DefaultParagraphFont">
    <w:name w:val="Default Paragraph Font"/>
    <w:qFormat/>
    <w:rPr/>
  </w:style>
  <w:style w:type="character" w:styleId="TextodebaloChar">
    <w:name w:val="Texto de balão Char"/>
    <w:basedOn w:val="DefaultParagraphFont"/>
    <w:qFormat/>
    <w:rPr>
      <w:rFonts w:ascii="Tahoma" w:hAnsi="Tahoma" w:eastAsia="Calibri" w:cs="Tahoma"/>
      <w:sz w:val="16"/>
      <w:szCs w:val="16"/>
      <w:lang w:eastAsia="pt-BR"/>
    </w:rPr>
  </w:style>
  <w:style w:type="character" w:styleId="Strong1">
    <w:name w:val="Strong1"/>
    <w:basedOn w:val="DefaultParagraphFont"/>
    <w:qFormat/>
    <w:rPr>
      <w:b/>
      <w:bCs/>
    </w:rPr>
  </w:style>
  <w:style w:type="character" w:styleId="Ttulo2Char">
    <w:name w:val="Título 2 Char"/>
    <w:basedOn w:val="DefaultParagraphFont"/>
    <w:qFormat/>
    <w:rPr>
      <w:rFonts w:ascii="Arial" w:hAnsi="Arial" w:eastAsia="Times New Roman" w:cs="Times New Roman"/>
      <w:b/>
      <w:sz w:val="24"/>
      <w:szCs w:val="20"/>
      <w:lang w:eastAsia="ar-SA"/>
    </w:rPr>
  </w:style>
  <w:style w:type="character" w:styleId="Ttulo5Char">
    <w:name w:val="Título 5 Char"/>
    <w:basedOn w:val="DefaultParagraphFont"/>
    <w:qFormat/>
    <w:rPr>
      <w:rFonts w:ascii="Times New Roman" w:hAnsi="Times New Roman" w:eastAsia="Times New Roman" w:cs="Times New Roman"/>
      <w:b/>
      <w:sz w:val="24"/>
      <w:szCs w:val="20"/>
      <w:lang w:eastAsia="ar-SA"/>
    </w:rPr>
  </w:style>
  <w:style w:type="character" w:styleId="CorpodetextoChar">
    <w:name w:val="Corpo de texto Char"/>
    <w:basedOn w:val="DefaultParagraphFont"/>
    <w:qFormat/>
    <w:rPr>
      <w:rFonts w:ascii="Times New Roman" w:hAnsi="Times New Roman" w:eastAsia="Times New Roman" w:cs="Times New Roman"/>
      <w:sz w:val="28"/>
      <w:szCs w:val="20"/>
      <w:lang w:eastAsia="ar-SA"/>
    </w:rPr>
  </w:style>
  <w:style w:type="character" w:styleId="CabealhoChar">
    <w:name w:val="Cabeçalho Char"/>
    <w:basedOn w:val="DefaultParagraphFont"/>
    <w:qFormat/>
    <w:rPr>
      <w:rFonts w:ascii="Calibri" w:hAnsi="Calibri" w:eastAsia="Calibri"/>
      <w:lang w:eastAsia="pt-BR"/>
    </w:rPr>
  </w:style>
  <w:style w:type="character" w:styleId="RodapChar">
    <w:name w:val="Rodapé Char"/>
    <w:basedOn w:val="DefaultParagraphFont"/>
    <w:qFormat/>
    <w:rPr>
      <w:rFonts w:ascii="Calibri" w:hAnsi="Calibri" w:eastAsia="Calibri"/>
      <w:lang w:eastAsia="pt-BR"/>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Calibri" w:hAnsi="Calibri" w:eastAsia="Calibri"/>
      <w:sz w:val="20"/>
      <w:szCs w:val="20"/>
      <w:lang w:eastAsia="pt-BR"/>
    </w:rPr>
  </w:style>
  <w:style w:type="character" w:styleId="AssuntodocomentrioChar">
    <w:name w:val="Assunto do comentário Char"/>
    <w:basedOn w:val="TextodecomentrioChar"/>
    <w:qFormat/>
    <w:rPr>
      <w:rFonts w:ascii="Calibri" w:hAnsi="Calibri" w:eastAsia="Calibri"/>
      <w:b/>
      <w:bCs/>
      <w:sz w:val="20"/>
      <w:szCs w:val="20"/>
      <w:lang w:eastAsia="pt-BR"/>
    </w:rPr>
  </w:style>
  <w:style w:type="character" w:styleId="WW8Num19z0">
    <w:name w:val="WW8Num19z0"/>
    <w:qFormat/>
    <w:rPr>
      <w:rFonts w:ascii="Times New Roman" w:hAnsi="Times New Roman" w:cs="Times New Roman"/>
      <w:sz w:val="20"/>
      <w:szCs w:val="20"/>
      <w:shd w:fill="FFFF00" w:val="clear"/>
      <w:lang w:val="pt-BR"/>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3z0">
    <w:name w:val="WW8Num3z0"/>
    <w:qFormat/>
    <w:rPr>
      <w:rFonts w:ascii="Times New Roman" w:hAnsi="Times New Roman" w:eastAsia="Arial Unicode MS" w:cs="Ecofont_Spranq_eco_Sans"/>
      <w:b/>
      <w:bCs w:val="false"/>
      <w:i w:val="false"/>
      <w:iCs w:val="false"/>
      <w:color w:val="00000A"/>
      <w:sz w:val="20"/>
      <w:szCs w:val="20"/>
      <w:lang w:val="pt-BR" w:bidi="pt-BR"/>
    </w:rPr>
  </w:style>
  <w:style w:type="character" w:styleId="WW8Num3z4">
    <w:name w:val="WW8Num3z4"/>
    <w:qFormat/>
    <w:rPr>
      <w:rFonts w:ascii="Ecofont_Spranq_eco_Sans" w:hAnsi="Ecofont_Spranq_eco_Sans" w:cs="Ecofont_Spranq_eco_Sans"/>
      <w:b/>
      <w:i w:val="false"/>
      <w:iCs w:val="false"/>
      <w:sz w:val="20"/>
      <w:szCs w:val="20"/>
    </w:rPr>
  </w:style>
  <w:style w:type="character" w:styleId="WW8Num3z5">
    <w:name w:val="WW8Num3z5"/>
    <w:qFormat/>
    <w:rPr>
      <w:rFonts w:ascii="Times New Roman" w:hAnsi="Times New Roman" w:cs="Times New Roman"/>
      <w:b/>
      <w:bCs/>
      <w:sz w:val="20"/>
      <w:szCs w:val="20"/>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Marcadores">
    <w:name w:val="Marcadores"/>
    <w:qFormat/>
    <w:rPr>
      <w:rFonts w:ascii="OpenSymbol" w:hAnsi="OpenSymbol" w:eastAsia="OpenSymbol" w:cs="OpenSymbol"/>
    </w:rPr>
  </w:style>
  <w:style w:type="character" w:styleId="Normaltextrun">
    <w:name w:val="normaltextrun"/>
    <w:basedOn w:val="DefaultParagraphFont"/>
    <w:qFormat/>
    <w:rPr/>
  </w:style>
  <w:style w:type="character" w:styleId="Strong">
    <w:name w:val="Strong"/>
    <w:qFormat/>
    <w:rPr>
      <w:b/>
      <w:bCs/>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Times New Roman" w:hAnsi="Times New Roman" w:eastAsia="Microsoft YaHei" w:cs="Mangal"/>
      <w:sz w:val="28"/>
      <w:szCs w:val="28"/>
    </w:rPr>
  </w:style>
  <w:style w:type="paragraph" w:styleId="BodyText">
    <w:name w:val="Body Text"/>
    <w:basedOn w:val="Normal"/>
    <w:pPr>
      <w:suppressAutoHyphens w:val="true"/>
      <w:spacing w:lineRule="atLeast" w:line="360" w:before="0" w:after="0"/>
      <w:jc w:val="both"/>
      <w:textAlignment w:val="baseline"/>
    </w:pPr>
    <w:rPr>
      <w:rFonts w:ascii="Times New Roman" w:hAnsi="Times New Roman" w:eastAsia="Times New Roman" w:cs="Times New Roman"/>
      <w:sz w:val="28"/>
      <w:szCs w:val="20"/>
      <w:lang w:eastAsia="ar-SA"/>
    </w:rPr>
  </w:style>
  <w:style w:type="paragraph" w:styleId="List">
    <w:name w:val="List"/>
    <w:basedOn w:val="BodyText"/>
    <w:pPr/>
    <w:rPr>
      <w:rFonts w:ascii="Times New Roman" w:hAnsi="Times New Roman" w:cs="Mangal"/>
    </w:rPr>
  </w:style>
  <w:style w:type="paragraph" w:styleId="Caption">
    <w:name w:val="Caption"/>
    <w:basedOn w:val="Normal"/>
    <w:qFormat/>
    <w:pPr>
      <w:suppressLineNumbers/>
      <w:spacing w:before="120" w:after="120"/>
    </w:pPr>
    <w:rPr>
      <w:rFonts w:ascii="Times New Roman" w:hAnsi="Times New Roman" w:cs="Mangal"/>
      <w:i/>
      <w:iCs/>
      <w:sz w:val="24"/>
      <w:szCs w:val="24"/>
    </w:rPr>
  </w:style>
  <w:style w:type="paragraph" w:styleId="Ndice">
    <w:name w:val="Índice"/>
    <w:basedOn w:val="Normal"/>
    <w:qFormat/>
    <w:pPr>
      <w:suppressLineNumbers/>
    </w:pPr>
    <w:rPr>
      <w:rFonts w:ascii="Times New Roman" w:hAnsi="Times New Roman" w:cs="Mangal"/>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ListParagraph">
    <w:name w:val="List Paragraph"/>
    <w:basedOn w:val="Normal"/>
    <w:qFormat/>
    <w:pPr>
      <w:spacing w:before="0" w:after="200"/>
      <w:ind w:hanging="0" w:start="720" w:end="0"/>
      <w:contextualSpacing/>
    </w:pPr>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rPr>
  </w:style>
  <w:style w:type="paragraph" w:styleId="Revision">
    <w:name w:val="Revision"/>
    <w:qFormat/>
    <w:pPr>
      <w:widowControl/>
      <w:kinsoku w:val="true"/>
      <w:overflowPunct w:val="true"/>
      <w:autoSpaceDE w:val="true"/>
      <w:bidi w:val="0"/>
      <w:spacing w:lineRule="auto" w:line="240" w:before="0" w:after="0"/>
      <w:jc w:val="start"/>
    </w:pPr>
    <w:rPr>
      <w:rFonts w:ascii="Calibri" w:hAnsi="Calibri" w:eastAsia="Calibri" w:cs="Tahoma"/>
      <w:color w:val="00000A"/>
      <w:kern w:val="2"/>
      <w:sz w:val="22"/>
      <w:szCs w:val="22"/>
      <w:lang w:val="pt-BR" w:eastAsia="pt-BR" w:bidi="ar-SA"/>
    </w:rPr>
  </w:style>
  <w:style w:type="paragraph" w:styleId="NormalWeb1">
    <w:name w:val="Normal (Web)1"/>
    <w:basedOn w:val="Normal"/>
    <w:qFormat/>
    <w:pPr>
      <w:spacing w:lineRule="atLeast" w:line="360" w:before="100" w:after="0"/>
      <w:textAlignment w:val="baseline"/>
    </w:pPr>
    <w:rPr>
      <w:rFonts w:ascii="Times New Roman" w:hAnsi="Times New Roman" w:eastAsia="Times New Roman" w:cs="Times New Roman"/>
      <w:sz w:val="24"/>
      <w:szCs w:val="24"/>
      <w:lang w:eastAsia="ar-SA"/>
    </w:rPr>
  </w:style>
  <w:style w:type="paragraph" w:styleId="CabealhoeRodap">
    <w:name w:val="Cabeçalho e Rodapé"/>
    <w:basedOn w:val="Normal"/>
    <w:qFormat/>
    <w:pPr/>
    <w:rPr/>
  </w:style>
  <w:style w:type="paragraph" w:styleId="Header">
    <w:name w:val="Header"/>
    <w:basedOn w:val="Normal"/>
    <w:pPr>
      <w:tabs>
        <w:tab w:val="clear" w:pos="680"/>
        <w:tab w:val="center" w:pos="4252" w:leader="none"/>
        <w:tab w:val="right" w:pos="8504" w:leader="none"/>
      </w:tabs>
      <w:spacing w:lineRule="auto" w:line="240" w:before="0" w:after="0"/>
    </w:pPr>
    <w:rPr/>
  </w:style>
  <w:style w:type="paragraph" w:styleId="Footer">
    <w:name w:val="Footer"/>
    <w:basedOn w:val="Normal"/>
    <w:pPr>
      <w:tabs>
        <w:tab w:val="clear" w:pos="680"/>
        <w:tab w:val="center" w:pos="4252" w:leader="none"/>
        <w:tab w:val="right" w:pos="8504" w:leader="none"/>
      </w:tabs>
      <w:spacing w:lineRule="auto" w:line="240" w:before="0" w:after="0"/>
    </w:pPr>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qFormat/>
    <w:pPr/>
    <w:rPr>
      <w:b/>
      <w:bCs/>
    </w:rPr>
  </w:style>
  <w:style w:type="paragraph" w:styleId="Blocodecitao">
    <w:name w:val="Bloco de citação"/>
    <w:basedOn w:val="Normal"/>
    <w:qFormat/>
    <w:pPr/>
    <w:rPr/>
  </w:style>
  <w:style w:type="paragraph" w:styleId="Title">
    <w:name w:val="Title"/>
    <w:basedOn w:val="Ttulo"/>
    <w:qFormat/>
    <w:pPr/>
    <w:rPr/>
  </w:style>
  <w:style w:type="paragraph" w:styleId="Subtitle">
    <w:name w:val="Subtitle"/>
    <w:basedOn w:val="Ttulo"/>
    <w:qFormat/>
    <w:pPr/>
    <w:rPr/>
  </w:style>
  <w:style w:type="paragraph" w:styleId="Contedodatabela">
    <w:name w:val="Conteúdo da tabela"/>
    <w:basedOn w:val="Normal"/>
    <w:qFormat/>
    <w:pPr/>
    <w:rPr/>
  </w:style>
  <w:style w:type="paragraph" w:styleId="Ttulodetabela">
    <w:name w:val="Título de tabela"/>
    <w:basedOn w:val="Contedodatabela"/>
    <w:qFormat/>
    <w:pPr/>
    <w:rPr/>
  </w:style>
  <w:style w:type="paragraph" w:styleId="Standard">
    <w:name w:val="Standard"/>
    <w:qFormat/>
    <w:pPr>
      <w:widowControl/>
      <w:suppressAutoHyphens w:val="true"/>
      <w:kinsoku w:val="true"/>
      <w:overflowPunct w:val="true"/>
      <w:autoSpaceDE w:val="true"/>
      <w:bidi w:val="0"/>
      <w:spacing w:lineRule="auto" w:line="276"/>
      <w:textAlignment w:val="baseline"/>
    </w:pPr>
    <w:rPr>
      <w:rFonts w:ascii="Liberation Serif;Times New Roman" w:hAnsi="Liberation Serif;Times New Roman" w:eastAsia="NSimSun" w:cs="Mangal"/>
      <w:color w:val="auto"/>
      <w:kern w:val="2"/>
      <w:sz w:val="24"/>
      <w:szCs w:val="24"/>
      <w:lang w:val="pt-BR" w:eastAsia="zh-CN" w:bidi="hi-IN"/>
    </w:rPr>
  </w:style>
  <w:style w:type="paragraph" w:styleId="Anotao">
    <w:name w:val="Anotação"/>
    <w:basedOn w:val="Normal"/>
    <w:qFormat/>
    <w:pPr/>
    <w:rPr/>
  </w:style>
  <w:style w:type="paragraph" w:styleId="Nivel2-Opcional">
    <w:name w:val="Nivel 2-Opcional"/>
    <w:basedOn w:val="Normal"/>
    <w:qFormat/>
    <w:pPr>
      <w:numPr>
        <w:ilvl w:val="0"/>
        <w:numId w:val="2"/>
      </w:numPr>
      <w:shd w:fill="76923C" w:val="clear"/>
      <w:spacing w:lineRule="auto" w:line="276" w:before="120" w:after="120"/>
      <w:ind w:hanging="0" w:start="0" w:end="0"/>
      <w:jc w:val="both"/>
    </w:pPr>
    <w:rPr>
      <w:rFonts w:ascii="Arial" w:hAnsi="Arial" w:eastAsia="Arial" w:cs="Arial"/>
      <w:i/>
      <w:color w:val="FF0000"/>
      <w:sz w:val="20"/>
      <w:szCs w:val="20"/>
    </w:rPr>
  </w:style>
  <w:style w:type="paragraph" w:styleId="Nvel02">
    <w:name w:val="Nível 02"/>
    <w:basedOn w:val="Nivel2-Opcional"/>
    <w:qFormat/>
    <w:pPr>
      <w:shd w:fill="auto" w:val="clear"/>
      <w:bidi w:val="0"/>
    </w:pPr>
    <w:rPr>
      <w:i w:val="false"/>
      <w:iCs/>
      <w:color w:val="auto"/>
    </w:rPr>
  </w:style>
  <w:style w:type="paragraph" w:styleId="Nivel01">
    <w:name w:val="Nivel 01"/>
    <w:basedOn w:val="Nvel02"/>
    <w:next w:val="Normal"/>
    <w:qFormat/>
    <w:pPr>
      <w:ind w:hanging="357" w:start="357" w:end="0"/>
      <w:outlineLvl w:val="0"/>
    </w:pPr>
    <w:rPr>
      <w:b/>
      <w:bCs/>
    </w:rPr>
  </w:style>
  <w:style w:type="paragraph" w:styleId="Nvel1-SemNum">
    <w:name w:val="Nível 1-Sem Num"/>
    <w:basedOn w:val="Nivel01"/>
    <w:qFormat/>
    <w:pPr>
      <w:jc w:val="both"/>
      <w:outlineLvl w:val="1"/>
    </w:pPr>
    <w:rPr>
      <w:b w:val="false"/>
      <w:bCs w:val="false"/>
      <w:i/>
      <w:iCs w:val="false"/>
      <w:color w:val="auto"/>
    </w:rPr>
  </w:style>
  <w:style w:type="paragraph" w:styleId="Nvel1-SemNumerao">
    <w:name w:val="Nível 1-Sem Numeração"/>
    <w:basedOn w:val="Nvel1-SemNum"/>
    <w:qFormat/>
    <w:pPr>
      <w:bidi w:val="0"/>
      <w:jc w:val="both"/>
      <w:outlineLvl w:val="9"/>
    </w:pPr>
    <w:rPr>
      <w:b w:val="false"/>
      <w:bCs w:val="false"/>
      <w:i w:val="false"/>
      <w:color w:val="auto"/>
      <w:lang w:eastAsia="en-US"/>
    </w:rPr>
  </w:style>
  <w:style w:type="paragraph" w:styleId="Nvel2-Opcional">
    <w:name w:val="Nível 2-Opcional"/>
    <w:basedOn w:val="Nvel02"/>
    <w:qFormat/>
    <w:pPr/>
    <w:rPr>
      <w:i/>
      <w:color w:val="FF0000"/>
    </w:rPr>
  </w:style>
  <w:style w:type="paragraph" w:styleId="Paragraph">
    <w:name w:val="paragraph"/>
    <w:basedOn w:val="Normal"/>
    <w:qFormat/>
    <w:pPr>
      <w:spacing w:before="280" w:after="280"/>
    </w:pPr>
    <w:rPr>
      <w:rFonts w:ascii="Times New Roman" w:hAnsi="Times New Roman" w:eastAsia="Times New Roman" w:cs="Times New Roman"/>
    </w:rPr>
  </w:style>
  <w:style w:type="paragraph" w:styleId="Nivel3">
    <w:name w:val="Nivel 3"/>
    <w:basedOn w:val="Normal"/>
    <w:qFormat/>
    <w:pPr>
      <w:numPr>
        <w:ilvl w:val="0"/>
        <w:numId w:val="3"/>
      </w:numPr>
      <w:spacing w:lineRule="auto" w:line="276" w:before="120" w:after="120"/>
      <w:ind w:hanging="0" w:start="284" w:end="0"/>
      <w:jc w:val="both"/>
    </w:pPr>
    <w:rPr>
      <w:rFonts w:ascii="Arial" w:hAnsi="Arial"/>
      <w:sz w:val="20"/>
    </w:rPr>
  </w:style>
  <w:style w:type="paragraph" w:styleId="Nvel3-Opcional">
    <w:name w:val="Nível 3-Opcional"/>
    <w:basedOn w:val="Nivel3"/>
    <w:qFormat/>
    <w:pPr/>
    <w:rPr>
      <w:i/>
      <w:color w:val="FF0000"/>
    </w:rPr>
  </w:style>
  <w:style w:type="paragraph" w:styleId="Nvel4-R">
    <w:name w:val="Nível 4-R"/>
    <w:basedOn w:val="Nvel3-Opcional"/>
    <w:qFormat/>
    <w:pPr>
      <w:ind w:hanging="0" w:start="567" w:end="0"/>
    </w:pPr>
    <w:rPr>
      <w:rFonts w:cs="Arial"/>
      <w:bCs/>
      <w:szCs w:val="20"/>
    </w:rPr>
  </w:style>
  <w:style w:type="numbering" w:styleId="Semlista">
    <w:name w:val="Sem lista"/>
    <w:qFormat/>
  </w:style>
  <w:style w:type="numbering" w:styleId="WW8Num19">
    <w:name w:val="WW8Num19"/>
    <w:qFormat/>
  </w:style>
  <w:style w:type="numbering" w:styleId="WW8Num3">
    <w:name w:val="WW8Num3"/>
    <w:qFormat/>
  </w:style>
  <w:style w:type="numbering" w:styleId="WW8Num12">
    <w:name w:val="WW8Num1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8641</TotalTime>
  <Application>LibreOffice/24.2.1.2$Windows_X86_64 LibreOffice_project/db4def46b0453cc22e2d0305797cf981b68ef5ac</Application>
  <AppVersion>15.0000</AppVersion>
  <Pages>14</Pages>
  <Words>6351</Words>
  <Characters>40277</Characters>
  <CharactersWithSpaces>46149</CharactersWithSpaces>
  <Paragraphs>428</Paragraphs>
  <Company>AGU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2016-03-15T15:14:00Z</dcterms:created>
  <dc:creator>AGU</dc:creator>
  <dc:description/>
  <dc:language>pt-BR</dc:language>
  <cp:lastModifiedBy/>
  <cp:lastPrinted>2019-07-16T07:55:55Z</cp:lastPrinted>
  <dcterms:modified xsi:type="dcterms:W3CDTF">2026-08-13T07:29:31Z</dcterms:modified>
  <cp:revision>367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