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footer2.xml" ContentType="application/vnd.openxmlformats-officedocument.wordprocessingml.footer+xml"/>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spacing w:before="0" w:after="0"/>
        <w:ind w:hanging="0" w:left="0" w:right="0"/>
        <w:jc w:val="center"/>
        <w:rPr>
          <w:rFonts w:ascii="Times New Roman" w:hAnsi="Times New Roman" w:cs="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rPr>
        <w:t xml:space="preserve">ANEXO H – TERMO DE CREDENCIAMENTO PARA ATENDIMENTO PRÉ-HOSPITALAR </w:t>
      </w:r>
    </w:p>
    <w:p>
      <w:pPr>
        <w:pStyle w:val="Normal"/>
        <w:widowControl w:val="false"/>
        <w:spacing w:before="0" w:after="0"/>
        <w:ind w:hanging="0" w:left="0" w:right="0"/>
        <w:jc w:val="center"/>
        <w:rPr>
          <w:rFonts w:ascii="Times New Roman" w:hAnsi="Times New Roman" w:cs="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rPr>
        <w:t>E INTER-HOSPITALAR MÓVEL</w:t>
      </w:r>
    </w:p>
    <w:p>
      <w:pPr>
        <w:pStyle w:val="Normal"/>
        <w:widowControl w:val="false"/>
        <w:spacing w:before="0" w:after="0"/>
        <w:ind w:hanging="0" w:left="0" w:right="0"/>
        <w:jc w:val="center"/>
        <w:rPr>
          <w:rFonts w:ascii="Times New Roman" w:hAnsi="Times New Roman" w:cs="Times New Roman"/>
          <w:sz w:val="20"/>
          <w:szCs w:val="20"/>
          <w:lang w:val="pt-BR" w:eastAsia="pt-BR"/>
        </w:rPr>
      </w:pPr>
      <w:r>
        <w:rPr/>
        <w:drawing>
          <wp:inline distT="0" distB="0" distL="0" distR="0">
            <wp:extent cx="809625" cy="905510"/>
            <wp:effectExtent l="0" t="0" r="0" b="0"/>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2">
                      <a:grayscl/>
                    </a:blip>
                    <a:srcRect l="-70" t="-64" r="-70" b="-64"/>
                    <a:stretch>
                      <a:fillRect/>
                    </a:stretch>
                  </pic:blipFill>
                  <pic:spPr bwMode="auto">
                    <a:xfrm>
                      <a:off x="0" y="0"/>
                      <a:ext cx="809625" cy="905510"/>
                    </a:xfrm>
                    <a:prstGeom prst="rect">
                      <a:avLst/>
                    </a:prstGeom>
                  </pic:spPr>
                </pic:pic>
              </a:graphicData>
            </a:graphic>
          </wp:inline>
        </w:drawing>
      </w:r>
    </w:p>
    <w:p>
      <w:pPr>
        <w:pStyle w:val="Normal"/>
        <w:widowControl w:val="false"/>
        <w:spacing w:lineRule="auto" w:line="240" w:before="0" w:after="0"/>
        <w:jc w:val="center"/>
        <w:rPr>
          <w:rFonts w:ascii="Times New Roman" w:hAnsi="Times New Roman" w:cs="Times New Roman"/>
          <w:b/>
          <w:bCs/>
          <w:strike w:val="false"/>
          <w:dstrike w:val="false"/>
          <w:color w:val="auto"/>
          <w:sz w:val="16"/>
          <w:szCs w:val="16"/>
          <w:u w:val="none"/>
          <w:shd w:fill="auto" w:val="clear"/>
        </w:rPr>
      </w:pPr>
      <w:r>
        <w:rPr>
          <w:rFonts w:cs="Times New Roman" w:ascii="Times New Roman" w:hAnsi="Times New Roman"/>
          <w:b/>
          <w:bCs/>
          <w:strike w:val="false"/>
          <w:dstrike w:val="false"/>
          <w:color w:val="000000"/>
          <w:sz w:val="16"/>
          <w:szCs w:val="16"/>
          <w:u w:val="none"/>
          <w:shd w:fill="auto" w:val="clear"/>
        </w:rPr>
        <w:t>MINISTÉRIO DA DEFESA</w:t>
      </w:r>
    </w:p>
    <w:p>
      <w:pPr>
        <w:pStyle w:val="Normal"/>
        <w:widowControl w:val="false"/>
        <w:spacing w:lineRule="auto" w:line="240" w:before="0" w:after="0"/>
        <w:jc w:val="center"/>
        <w:rPr>
          <w:rFonts w:ascii="Times New Roman" w:hAnsi="Times New Roman" w:cs="Times New Roman"/>
          <w:b/>
          <w:bCs/>
          <w:strike w:val="false"/>
          <w:dstrike w:val="false"/>
          <w:color w:val="auto"/>
          <w:sz w:val="16"/>
          <w:szCs w:val="16"/>
          <w:u w:val="none"/>
          <w:shd w:fill="auto" w:val="clear"/>
        </w:rPr>
      </w:pPr>
      <w:r>
        <w:rPr>
          <w:rFonts w:cs="Times New Roman" w:ascii="Times New Roman" w:hAnsi="Times New Roman"/>
          <w:b/>
          <w:bCs/>
          <w:strike w:val="false"/>
          <w:dstrike w:val="false"/>
          <w:color w:val="000000"/>
          <w:sz w:val="16"/>
          <w:szCs w:val="16"/>
          <w:u w:val="none"/>
          <w:shd w:fill="auto" w:val="clear"/>
        </w:rPr>
        <w:t>EXÉRCITO BRASILEIRO</w:t>
      </w:r>
    </w:p>
    <w:p>
      <w:pPr>
        <w:pStyle w:val="Normal"/>
        <w:widowControl w:val="false"/>
        <w:spacing w:lineRule="auto" w:line="240" w:before="0" w:after="0"/>
        <w:jc w:val="center"/>
        <w:rPr>
          <w:rFonts w:ascii="Times New Roman" w:hAnsi="Times New Roman" w:cs="Times New Roman"/>
          <w:b/>
          <w:bCs/>
          <w:strike w:val="false"/>
          <w:dstrike w:val="false"/>
          <w:color w:val="auto"/>
          <w:sz w:val="16"/>
          <w:szCs w:val="16"/>
          <w:u w:val="none"/>
          <w:shd w:fill="auto" w:val="clear"/>
        </w:rPr>
      </w:pPr>
      <w:r>
        <w:rPr>
          <w:rFonts w:cs="Times New Roman" w:ascii="Times New Roman" w:hAnsi="Times New Roman"/>
          <w:b/>
          <w:bCs/>
          <w:strike w:val="false"/>
          <w:dstrike w:val="false"/>
          <w:color w:val="000000"/>
          <w:sz w:val="16"/>
          <w:szCs w:val="16"/>
          <w:u w:val="none"/>
          <w:shd w:fill="auto" w:val="clear"/>
        </w:rPr>
        <w:t>HOSPITAL MILITAR DE RESENDE</w:t>
      </w:r>
    </w:p>
    <w:p>
      <w:pPr>
        <w:pStyle w:val="Normal"/>
        <w:widowControl w:val="false"/>
        <w:spacing w:before="120" w:after="120"/>
        <w:ind w:hanging="0" w:left="3686" w:right="0"/>
        <w:jc w:val="both"/>
        <w:rPr>
          <w:rFonts w:ascii="Times New Roman" w:hAnsi="Times New Roman" w:cs="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rPr>
        <w:t>CONTRATANTE: UNIÃO/ MINISTÉRIO DA DEFESA/EXÉRCITO BRASILEIRO/ HOSPITAL MILITAR DE RESENDE</w:t>
      </w:r>
    </w:p>
    <w:p>
      <w:pPr>
        <w:pStyle w:val="Normal"/>
        <w:widowControl w:val="false"/>
        <w:spacing w:before="120" w:after="120"/>
        <w:ind w:hanging="0" w:left="3686" w:right="0"/>
        <w:jc w:val="both"/>
        <w:rPr>
          <w:strike w:val="false"/>
          <w:dstrike w:val="false"/>
          <w:color w:val="auto"/>
          <w:u w:val="none"/>
          <w:shd w:fill="auto" w:val="clear"/>
        </w:rPr>
      </w:pPr>
      <w:r>
        <w:rPr>
          <w:rFonts w:cs="Times New Roman" w:ascii="Times New Roman" w:hAnsi="Times New Roman"/>
          <w:strike w:val="false"/>
          <w:dstrike w:val="false"/>
          <w:color w:val="000000"/>
          <w:sz w:val="20"/>
          <w:szCs w:val="20"/>
          <w:u w:val="none"/>
          <w:shd w:fill="auto" w:val="clear"/>
        </w:rPr>
        <w:t>CREDENCIADO: Prestadoras de serviço para atendimento pré-hospitalar e inter-hospitalar móvel</w:t>
      </w:r>
    </w:p>
    <w:p>
      <w:pPr>
        <w:pStyle w:val="Normal"/>
        <w:widowControl w:val="false"/>
        <w:tabs>
          <w:tab w:val="clear" w:pos="709"/>
          <w:tab w:val="left" w:pos="6640" w:leader="none"/>
          <w:tab w:val="left" w:pos="7800" w:leader="none"/>
          <w:tab w:val="left" w:pos="8280" w:leader="none"/>
          <w:tab w:val="left" w:pos="9340" w:leader="none"/>
          <w:tab w:val="left" w:pos="9800" w:leader="none"/>
        </w:tabs>
        <w:spacing w:before="120" w:after="120"/>
        <w:ind w:hanging="0" w:left="3686" w:right="0"/>
        <w:jc w:val="both"/>
        <w:rPr>
          <w:rFonts w:ascii="Times New Roman" w:hAnsi="Times New Roman" w:cs="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rPr>
        <w:t>OBJETO: Prestação de serviços de atendimento pré-hospitalar e inter-hospitalar móvel.</w:t>
      </w:r>
    </w:p>
    <w:p>
      <w:pPr>
        <w:pStyle w:val="Normal"/>
        <w:widowControl w:val="false"/>
        <w:spacing w:before="120" w:after="120"/>
        <w:ind w:hanging="0" w:left="3686" w:right="0"/>
        <w:jc w:val="both"/>
        <w:rPr>
          <w:rFonts w:ascii="Times New Roman" w:hAnsi="Times New Roman" w:cs="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rPr>
        <w:t>NATUREZA: Ostensiva.</w:t>
      </w:r>
    </w:p>
    <w:p>
      <w:pPr>
        <w:pStyle w:val="Normal"/>
        <w:widowControl w:val="false"/>
        <w:spacing w:before="120" w:after="120"/>
        <w:ind w:hanging="0" w:left="3686" w:right="0"/>
        <w:jc w:val="both"/>
        <w:rPr>
          <w:strike w:val="false"/>
          <w:dstrike w:val="false"/>
          <w:color w:val="auto"/>
          <w:u w:val="none"/>
          <w:shd w:fill="auto" w:val="clear"/>
        </w:rPr>
      </w:pPr>
      <w:r>
        <w:rPr>
          <w:rFonts w:cs="Times New Roman" w:ascii="Times New Roman" w:hAnsi="Times New Roman"/>
          <w:strike w:val="false"/>
          <w:dstrike w:val="false"/>
          <w:color w:val="000000"/>
          <w:sz w:val="20"/>
          <w:szCs w:val="20"/>
          <w:u w:val="none"/>
          <w:shd w:fill="auto" w:val="clear"/>
        </w:rPr>
        <w:t xml:space="preserve">VIGÊNCIA: </w:t>
      </w:r>
      <w:r>
        <w:rPr>
          <w:rFonts w:cs="Times New Roman" w:ascii="Times New Roman" w:hAnsi="Times New Roman"/>
          <w:strike w:val="false"/>
          <w:dstrike w:val="false"/>
          <w:color w:val="000000"/>
          <w:sz w:val="20"/>
          <w:szCs w:val="20"/>
          <w:u w:val="none"/>
          <w:shd w:fill="auto" w:val="clear"/>
          <w:lang w:val="pt-BR"/>
        </w:rPr>
        <w:t>___/____/______ a ___/____/______.</w:t>
      </w:r>
      <w:r>
        <w:rPr>
          <w:rFonts w:cs="Times New Roman" w:ascii="Times New Roman" w:hAnsi="Times New Roman"/>
          <w:strike w:val="false"/>
          <w:dstrike w:val="false"/>
          <w:color w:val="000000"/>
          <w:sz w:val="20"/>
          <w:szCs w:val="20"/>
          <w:u w:val="none"/>
          <w:shd w:fill="auto" w:val="clear"/>
        </w:rPr>
        <w:t xml:space="preserve"> </w:t>
      </w:r>
    </w:p>
    <w:p>
      <w:pPr>
        <w:pStyle w:val="Normal"/>
        <w:widowControl w:val="false"/>
        <w:spacing w:before="120" w:after="120"/>
        <w:ind w:hanging="0" w:left="3686" w:right="0"/>
        <w:jc w:val="both"/>
        <w:rPr>
          <w:strike w:val="false"/>
          <w:dstrike w:val="false"/>
          <w:color w:val="auto"/>
          <w:u w:val="none"/>
          <w:shd w:fill="auto" w:val="clear"/>
        </w:rPr>
      </w:pPr>
      <w:r>
        <w:rPr>
          <w:rFonts w:cs="Times New Roman" w:ascii="Times New Roman" w:hAnsi="Times New Roman"/>
          <w:strike w:val="false"/>
          <w:dstrike w:val="false"/>
          <w:color w:val="000000"/>
          <w:sz w:val="20"/>
          <w:szCs w:val="20"/>
          <w:u w:val="none"/>
          <w:shd w:fill="auto" w:val="clear"/>
        </w:rPr>
        <w:t>VALOR ESTIMADO: R$ ____________________</w:t>
      </w:r>
      <w:r>
        <w:rPr>
          <w:rFonts w:cs="Times New Roman" w:ascii="Times New Roman" w:hAnsi="Times New Roman"/>
          <w:strike w:val="false"/>
          <w:dstrike w:val="false"/>
          <w:color w:val="000000"/>
          <w:sz w:val="20"/>
          <w:szCs w:val="20"/>
          <w:u w:val="none"/>
          <w:shd w:fill="auto" w:val="clear"/>
          <w:lang w:val="pt-BR"/>
        </w:rPr>
        <w:t>.</w:t>
      </w:r>
    </w:p>
    <w:p>
      <w:pPr>
        <w:pStyle w:val="Normal"/>
        <w:widowControl w:val="false"/>
        <w:spacing w:before="120" w:after="120"/>
        <w:ind w:hanging="0" w:left="3686" w:right="0"/>
        <w:jc w:val="both"/>
        <w:rPr>
          <w:rFonts w:ascii="Times New Roman" w:hAnsi="Times New Roman" w:cs="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rPr>
        <w:t>REGIME DE EXECUÇÃO: indireta, empreitada por preço unitário.</w:t>
      </w:r>
    </w:p>
    <w:p>
      <w:pPr>
        <w:pStyle w:val="Normal"/>
        <w:widowControl w:val="false"/>
        <w:spacing w:before="120" w:after="120"/>
        <w:ind w:hanging="0" w:left="3686" w:right="0"/>
        <w:jc w:val="both"/>
        <w:rPr>
          <w:strike w:val="false"/>
          <w:dstrike w:val="false"/>
          <w:color w:val="auto"/>
          <w:u w:val="none"/>
          <w:shd w:fill="auto" w:val="clear"/>
        </w:rPr>
      </w:pPr>
      <w:r>
        <w:rPr>
          <w:rFonts w:cs="Times New Roman" w:ascii="Times New Roman" w:hAnsi="Times New Roman"/>
          <w:strike w:val="false"/>
          <w:dstrike w:val="false"/>
          <w:color w:val="000000"/>
          <w:sz w:val="20"/>
          <w:szCs w:val="20"/>
          <w:u w:val="none"/>
          <w:shd w:fill="auto" w:val="clear"/>
        </w:rPr>
        <w:t xml:space="preserve">PROCESSO Nº: </w:t>
      </w:r>
      <w:r>
        <w:rPr>
          <w:rFonts w:eastAsia="Calibri" w:cs="Times New Roman" w:ascii="Times New Roman" w:hAnsi="Times New Roman"/>
          <w:b w:val="false"/>
          <w:bCs w:val="false"/>
          <w:strike w:val="false"/>
          <w:dstrike w:val="false"/>
          <w:color w:val="000000"/>
          <w:sz w:val="20"/>
          <w:szCs w:val="20"/>
          <w:u w:val="none"/>
          <w:shd w:fill="auto" w:val="clear"/>
          <w:lang w:val="pt-BR" w:eastAsia="pt-BR" w:bidi="ar-SA"/>
        </w:rPr>
        <w:t>XXXXXXXXXXXXXXXXXXXXX</w:t>
      </w:r>
      <w:r>
        <w:rPr>
          <w:rFonts w:cs="Times New Roman" w:ascii="Times New Roman" w:hAnsi="Times New Roman"/>
          <w:b w:val="false"/>
          <w:bCs w:val="false"/>
          <w:strike w:val="false"/>
          <w:dstrike w:val="false"/>
          <w:color w:val="000000"/>
          <w:sz w:val="20"/>
          <w:szCs w:val="20"/>
          <w:u w:val="none"/>
          <w:shd w:fill="auto" w:val="clear"/>
          <w:lang w:val="pt-BR"/>
        </w:rPr>
        <w:t>.</w:t>
      </w:r>
    </w:p>
    <w:p>
      <w:pPr>
        <w:pStyle w:val="Normal"/>
        <w:widowControl w:val="false"/>
        <w:spacing w:before="120" w:after="120"/>
        <w:ind w:hanging="0" w:left="3686" w:right="0"/>
        <w:jc w:val="both"/>
        <w:rPr>
          <w:rFonts w:ascii="Times New Roman" w:hAnsi="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lang w:val="pt-BR"/>
        </w:rPr>
        <w:t>TERMO DE CREDENCIAMENTO Nº___/20___, originado do Processo de Inexigibilidade nº ___/20___ - H Mil Resende, do Edital de Credenciamento nº 1/2026 – H Mil Resende.</w:t>
      </w:r>
      <w:r>
        <w:rPr>
          <w:rFonts w:cs="Times New Roman" w:ascii="Times New Roman" w:hAnsi="Times New Roman"/>
          <w:strike w:val="false"/>
          <w:dstrike w:val="false"/>
          <w:color w:val="000000"/>
          <w:sz w:val="20"/>
          <w:szCs w:val="20"/>
          <w:u w:val="none"/>
          <w:shd w:fill="auto" w:val="clear"/>
        </w:rPr>
        <w:t xml:space="preserve"> </w:t>
      </w:r>
    </w:p>
    <w:p>
      <w:pPr>
        <w:pStyle w:val="Normal"/>
        <w:widowControl w:val="false"/>
        <w:spacing w:before="120" w:after="120"/>
        <w:jc w:val="both"/>
        <w:rPr>
          <w:rFonts w:ascii="Times New Roman" w:hAnsi="Times New Roman" w:cs="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rPr>
      </w:r>
    </w:p>
    <w:p>
      <w:pPr>
        <w:pStyle w:val="Normal"/>
        <w:widowControl w:val="false"/>
        <w:spacing w:before="0" w:after="113"/>
        <w:jc w:val="both"/>
        <w:rPr>
          <w:rFonts w:ascii="Times New Roman" w:hAnsi="Times New Roman"/>
          <w:color w:val="auto"/>
          <w:sz w:val="20"/>
          <w:szCs w:val="20"/>
          <w:u w:val="none"/>
          <w:shd w:fill="auto" w:val="clear"/>
        </w:rPr>
      </w:pPr>
      <w:r>
        <w:rPr>
          <w:rFonts w:cs="Times New Roman" w:ascii="Times New Roman" w:hAnsi="Times New Roman"/>
          <w:b w:val="false"/>
          <w:bCs w:val="false"/>
          <w:color w:val="000000"/>
          <w:sz w:val="20"/>
          <w:szCs w:val="20"/>
          <w:u w:val="none"/>
          <w:shd w:fill="auto" w:val="clear"/>
          <w:lang w:val="pt-BR"/>
        </w:rPr>
        <w:t xml:space="preserve">A União, entidade de direito público interno, por intermédio do HOSPITAL MILITAR DE RESENDE, órgão do Ministério da Defesa - Exército Brasileiro, com sede na Rodovia Presidente Dutra, km 312, Resende/RJ – CEP 27534-970, inscrita no CNPJ sob o nº 09.625.665/0001-65, para recurso do Tesouro Nacional, e do CNPJ nº 09.625.665/0002-46, para recurso do Fundo do Exército, neste ato representado pelo Coronel RENATA CRISTINA DE ALMEIDA MARTINS SCHMIDT, nomeada como Ordenador de Despesas e Diretor do H Mil Resende, por intermédio da Portaria nº 730, de 23 de maio de 2024, publicada no DOU nº 100 de 24 de maio de 2024, Carteira de Identidade nº _____________________, expedida pelo Serviço de Identificação do Exército Brasileiro, doravante denominada </w:t>
      </w:r>
      <w:r>
        <w:rPr>
          <w:rFonts w:cs="Times New Roman" w:ascii="Times New Roman" w:hAnsi="Times New Roman"/>
          <w:b/>
          <w:bCs/>
          <w:color w:val="000000"/>
          <w:sz w:val="20"/>
          <w:szCs w:val="20"/>
          <w:u w:val="none"/>
          <w:shd w:fill="auto" w:val="clear"/>
          <w:lang w:val="pt-BR"/>
        </w:rPr>
        <w:t>CREDENCIANTE</w:t>
      </w:r>
      <w:r>
        <w:rPr>
          <w:rFonts w:cs="Times New Roman" w:ascii="Times New Roman" w:hAnsi="Times New Roman"/>
          <w:color w:val="000000"/>
          <w:sz w:val="20"/>
          <w:szCs w:val="20"/>
          <w:u w:val="none"/>
          <w:shd w:fill="auto" w:val="clear"/>
          <w:lang w:val="pt-BR"/>
        </w:rPr>
        <w:t xml:space="preserve">, e de outro lado a Organização Civil de Saúde _________________________, inscrita no CNPJ sob o nº _______________, estabelecida à Rua_________________, Bairro __________, neste ato representado pelo Sr Diretor___________, portador da cédula de identidade nº __________expedida pela ________________, inscrito no CPF sob o nº_____________, residente e domiciliado nesta cidade, doravante denominado </w:t>
      </w:r>
      <w:r>
        <w:rPr>
          <w:rFonts w:cs="Times New Roman" w:ascii="Times New Roman" w:hAnsi="Times New Roman"/>
          <w:b/>
          <w:bCs/>
          <w:color w:val="000000"/>
          <w:sz w:val="20"/>
          <w:szCs w:val="20"/>
          <w:u w:val="none"/>
          <w:shd w:fill="auto" w:val="clear"/>
          <w:lang w:val="pt-BR"/>
        </w:rPr>
        <w:t>CREDENCIADO</w:t>
      </w:r>
      <w:r>
        <w:rPr>
          <w:rFonts w:cs="Times New Roman" w:ascii="Times New Roman" w:hAnsi="Times New Roman"/>
          <w:color w:val="000000"/>
          <w:sz w:val="20"/>
          <w:szCs w:val="20"/>
          <w:u w:val="none"/>
          <w:shd w:fill="auto" w:val="clear"/>
          <w:lang w:val="pt-BR"/>
        </w:rPr>
        <w:t xml:space="preserve">, têm entre si justo e </w:t>
      </w:r>
      <w:r>
        <w:rPr>
          <w:rFonts w:cs="Times New Roman" w:ascii="Times New Roman" w:hAnsi="Times New Roman"/>
          <w:b/>
          <w:bCs/>
          <w:color w:val="000000"/>
          <w:sz w:val="20"/>
          <w:szCs w:val="20"/>
          <w:u w:val="none"/>
          <w:shd w:fill="auto" w:val="clear"/>
          <w:lang w:val="pt-BR"/>
        </w:rPr>
        <w:t>CREDENCIADO</w:t>
      </w:r>
      <w:r>
        <w:rPr>
          <w:rFonts w:cs="Times New Roman" w:ascii="Times New Roman" w:hAnsi="Times New Roman"/>
          <w:color w:val="000000"/>
          <w:sz w:val="20"/>
          <w:szCs w:val="20"/>
          <w:u w:val="none"/>
          <w:shd w:fill="auto" w:val="clear"/>
          <w:lang w:val="pt-BR"/>
        </w:rPr>
        <w:t>, nos termos da seguinte legislação infraconstitucional</w:t>
      </w:r>
      <w:r>
        <w:rPr>
          <w:rFonts w:cs="Times New Roman" w:ascii="Times New Roman" w:hAnsi="Times New Roman"/>
          <w:color w:val="000000"/>
          <w:sz w:val="20"/>
          <w:szCs w:val="20"/>
          <w:u w:val="none"/>
          <w:shd w:fill="auto" w:val="clear"/>
        </w:rPr>
        <w:t xml:space="preserve"> constante do Edital de Credenciamento, que integram o presente Termo de Credenciamento, que será regido pelas seguintes cláusulas e condições estipuladas:</w:t>
      </w:r>
    </w:p>
    <w:p>
      <w:pPr>
        <w:pStyle w:val="Normal"/>
        <w:widowControl w:val="false"/>
        <w:spacing w:before="0" w:after="113"/>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r>
    </w:p>
    <w:p>
      <w:pPr>
        <w:pStyle w:val="Normal"/>
        <w:widowControl w:val="false"/>
        <w:spacing w:before="0" w:after="113"/>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PRIMEIRA - Do objeto.</w:t>
      </w:r>
    </w:p>
    <w:p>
      <w:pPr>
        <w:pStyle w:val="BodyText"/>
        <w:widowControl w:val="false"/>
        <w:numPr>
          <w:ilvl w:val="0"/>
          <w:numId w:val="1"/>
        </w:numPr>
        <w:bidi w:val="0"/>
        <w:spacing w:lineRule="auto" w:line="276" w:before="0" w:after="113"/>
        <w:ind w:hanging="0" w:left="0" w:right="0"/>
        <w:jc w:val="both"/>
        <w:rPr>
          <w:color w:val="auto"/>
          <w:u w:val="none"/>
          <w:shd w:fill="auto" w:val="clear"/>
        </w:rPr>
      </w:pPr>
      <w:r>
        <w:rPr>
          <w:rFonts w:cs="Times New Roman" w:ascii="Times New Roman" w:hAnsi="Times New Roman"/>
          <w:color w:val="auto"/>
          <w:sz w:val="20"/>
          <w:szCs w:val="20"/>
        </w:rPr>
        <w:t>O presente Termo de Credenciamento tem por objeto a prestação de serviços especializados de remoção terrestre inter-hospitalar e atendimento pré-hospitalar móvel aos beneficiários do Sistema de Assistência Médico-Hospitalar aos Militares do Exército, seus dependentes e pensionistas (SAMMED/FuSEx), bem como aos beneficiários do Programa de Assistência à Saúde dos Servidores Civis do Exército Brasileiro (PASS), compreendendo remoções programadas e de urgência ou emergência, transporte terrestre em ambulâncias, assistência médica e de enfermagem durante o transporte e demais serviços constantes do Edital de Credenciamento, do Termo de Referência e de seus Anexos.</w:t>
      </w:r>
    </w:p>
    <w:p>
      <w:pPr>
        <w:pStyle w:val="BodyText"/>
        <w:widowControl w:val="false"/>
        <w:numPr>
          <w:ilvl w:val="0"/>
          <w:numId w:val="1"/>
        </w:numPr>
        <w:bidi w:val="0"/>
        <w:spacing w:lineRule="auto" w:line="276" w:before="0" w:after="113"/>
        <w:ind w:hanging="0" w:left="0" w:right="0"/>
        <w:jc w:val="both"/>
        <w:rPr>
          <w:color w:val="auto"/>
          <w:u w:val="none"/>
          <w:shd w:fill="auto" w:val="clear"/>
        </w:rPr>
      </w:pPr>
      <w:r>
        <w:rPr>
          <w:rFonts w:cs="Times New Roman" w:ascii="Times New Roman" w:hAnsi="Times New Roman"/>
          <w:color w:val="auto"/>
          <w:sz w:val="20"/>
          <w:szCs w:val="20"/>
        </w:rPr>
        <w:t>O objeto contratual compreende a disponibilização de ambulâncias, equipes assistenciais, equipamentos, materiais, medicamentos e demais recursos necessários à execução dos serviços para os quais o CREDENCIADO tenha sido habilitado no processo de credenciamento, observadas as classificações das ambulâncias, os requisitos operacionais e as especificações técnicas previstos no Edital de Credenciamento, no Termo de Referência, em seus Anexos e na legislação aplicável.</w:t>
      </w:r>
    </w:p>
    <w:p>
      <w:pPr>
        <w:pStyle w:val="BodyText"/>
        <w:widowControl w:val="false"/>
        <w:numPr>
          <w:ilvl w:val="0"/>
          <w:numId w:val="1"/>
        </w:numPr>
        <w:bidi w:val="0"/>
        <w:spacing w:lineRule="auto" w:line="276" w:before="0" w:after="113"/>
        <w:ind w:hanging="0" w:left="0" w:right="0"/>
        <w:jc w:val="both"/>
        <w:rPr>
          <w:color w:val="auto"/>
          <w:u w:val="none"/>
          <w:shd w:fill="auto" w:val="clear"/>
        </w:rPr>
      </w:pPr>
      <w:r>
        <w:rPr>
          <w:rFonts w:cs="Times New Roman" w:ascii="Times New Roman" w:hAnsi="Times New Roman"/>
          <w:color w:val="auto"/>
          <w:sz w:val="20"/>
          <w:szCs w:val="20"/>
        </w:rPr>
        <w:t>Os serviços serão executados conforme a classificação da remoção, a gravidade clínica do paciente, a indicação médica, os critérios de regulação, encaminhamento e autorização estabelecidos pela CREDENCIANTE, observadas as condições técnicas, assistenciais, operacionais, de remuneração, auditoria e demais disposições previstas neste Termo de Credenciamento, no Edital, no Termo de Referência e em seus Anexos.</w:t>
      </w:r>
    </w:p>
    <w:p>
      <w:pPr>
        <w:pStyle w:val="BodyText"/>
        <w:widowControl w:val="false"/>
        <w:numPr>
          <w:ilvl w:val="0"/>
          <w:numId w:val="1"/>
        </w:numPr>
        <w:bidi w:val="0"/>
        <w:spacing w:lineRule="auto" w:line="276" w:before="0" w:after="113"/>
        <w:ind w:hanging="0" w:left="0" w:right="0"/>
        <w:jc w:val="both"/>
        <w:rPr>
          <w:color w:val="auto"/>
          <w:u w:val="none"/>
          <w:shd w:fill="auto" w:val="clear"/>
        </w:rPr>
      </w:pPr>
      <w:r>
        <w:rPr>
          <w:rFonts w:cs="Times New Roman" w:ascii="Times New Roman" w:hAnsi="Times New Roman"/>
          <w:color w:val="auto"/>
          <w:sz w:val="20"/>
          <w:szCs w:val="20"/>
        </w:rPr>
        <w:t>A execução dos serviços observará a legislação vigente, as normas técnicas aplicáveis, os protocolos assistenciais adotados pela CREDENCIANTE, as normas do Ministério da Saúde, especialmente as relativas ao atendimento pré-hospitalar móvel e ao transporte inter-hospitalar de pacientes, bem como as diretrizes do Departamento-Geral do Pessoal (DGP), da Diretoria de Saúde (DSau) e demais normas aplicáveis ao Sistema de Saúde do Exército Brasileiro.</w:t>
      </w:r>
    </w:p>
    <w:p>
      <w:pPr>
        <w:pStyle w:val="BodyText"/>
        <w:widowControl w:val="false"/>
        <w:numPr>
          <w:ilvl w:val="0"/>
          <w:numId w:val="1"/>
        </w:numPr>
        <w:bidi w:val="0"/>
        <w:spacing w:lineRule="auto" w:line="276" w:before="0" w:after="113"/>
        <w:ind w:hanging="0" w:left="0" w:right="0"/>
        <w:jc w:val="both"/>
        <w:rPr>
          <w:color w:val="auto"/>
          <w:u w:val="none"/>
          <w:shd w:fill="auto" w:val="clear"/>
        </w:rPr>
      </w:pPr>
      <w:r>
        <w:rPr>
          <w:rFonts w:cs="Times New Roman" w:ascii="Times New Roman" w:hAnsi="Times New Roman"/>
          <w:color w:val="auto"/>
          <w:sz w:val="20"/>
          <w:szCs w:val="20"/>
        </w:rPr>
        <w:t>Durante a vigência deste Termo de Credenciamento, poderão ser incluídos, alterados ou excluídos tipos de ambulâncias, procedimentos, requisitos operacionais, equipamentos, equipes assistenciais ou demais serviços relacionados ao objeto contratual, mediante apostilamento, desde que observadas as disposições do Edital de Credenciamento, do Termo de Referência e da legislação aplicável.</w:t>
      </w:r>
    </w:p>
    <w:p>
      <w:pPr>
        <w:pStyle w:val="ListParagraph"/>
        <w:widowControl w:val="false"/>
        <w:numPr>
          <w:ilvl w:val="0"/>
          <w:numId w:val="0"/>
        </w:numPr>
        <w:spacing w:before="0" w:after="113"/>
        <w:ind w:hanging="0" w:left="1418" w:right="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r>
    </w:p>
    <w:p>
      <w:pPr>
        <w:pStyle w:val="Normal"/>
        <w:widowControl w:val="false"/>
        <w:spacing w:before="0" w:after="113"/>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SEGUNDA - Da vinculação ao edital.</w:t>
      </w:r>
    </w:p>
    <w:p>
      <w:pPr>
        <w:pStyle w:val="ListParagraph"/>
        <w:widowControl w:val="false"/>
        <w:numPr>
          <w:ilvl w:val="0"/>
          <w:numId w:val="1"/>
        </w:numPr>
        <w:spacing w:before="0" w:after="113"/>
        <w:ind w:hanging="0" w:left="0" w:right="0"/>
        <w:contextualSpacing w:val="false"/>
        <w:jc w:val="both"/>
        <w:rPr>
          <w:color w:val="auto"/>
          <w:u w:val="none"/>
          <w:shd w:fill="auto" w:val="clear"/>
        </w:rPr>
      </w:pPr>
      <w:r>
        <w:rPr>
          <w:rFonts w:eastAsia="Calibri" w:cs="Times New Roman" w:ascii="Times New Roman" w:hAnsi="Times New Roman"/>
          <w:color w:val="000000"/>
          <w:sz w:val="20"/>
          <w:szCs w:val="20"/>
          <w:u w:val="none"/>
          <w:shd w:fill="auto" w:val="clear"/>
          <w:lang w:val="pt-BR" w:eastAsia="pt-BR" w:bidi="ar-SA"/>
        </w:rPr>
        <w:t>O presente Termo de Credenciamento vincula-se ao Edital de Credenciamento nº 01/2026 do Hospital Militar de Resende, ao respectivo Termo de Referência e seus Anexos, bem como à documentação apresentada pelo CREDENCIADO para fins de habilitação, que passam a integrar este instrumento, independentemente de transcrição, prevalecendo suas disposições em caso de omissão.</w:t>
      </w:r>
    </w:p>
    <w:p>
      <w:pPr>
        <w:pStyle w:val="ListParagraph"/>
        <w:widowControl w:val="false"/>
        <w:numPr>
          <w:ilvl w:val="0"/>
          <w:numId w:val="0"/>
        </w:numPr>
        <w:spacing w:before="0" w:after="113"/>
        <w:ind w:hanging="0" w:left="0" w:right="0"/>
        <w:contextualSpacing w:val="false"/>
        <w:jc w:val="both"/>
        <w:rPr>
          <w:color w:val="auto"/>
          <w:u w:val="none"/>
          <w:shd w:fill="auto" w:val="clear"/>
        </w:rPr>
      </w:pPr>
      <w:r>
        <w:rPr>
          <w:color w:val="000000"/>
          <w:u w:val="none"/>
          <w:shd w:fill="auto" w:val="clear"/>
        </w:rPr>
      </w:r>
    </w:p>
    <w:p>
      <w:pPr>
        <w:pStyle w:val="Normal"/>
        <w:widowControl w:val="false"/>
        <w:spacing w:before="0" w:after="113"/>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TERCEIRA – Do fundamento legal.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t>O presente Termo de Credenciamento decorre do Edital de Credenciamento nº 01/2026 do Hospital Militar de Resende e fundamenta-se no art. 79, inciso I, da Lei nº 14.133, de 1º de abril de 2021, bem como nas disposições do Decreto nº 11.878, de 9 de janeiro de 2024, e demais normas aplicáveis à espécie.</w:t>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QUARTA - Do regime de execução.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b w:val="false"/>
          <w:bCs w:val="false"/>
          <w:color w:val="auto"/>
          <w:sz w:val="20"/>
          <w:szCs w:val="20"/>
          <w:u w:val="none"/>
          <w:shd w:fill="auto" w:val="clear"/>
        </w:rPr>
      </w:pPr>
      <w:r>
        <w:rPr>
          <w:rFonts w:eastAsia="Calibri" w:cs="Times New Roman" w:ascii="Times New Roman" w:hAnsi="Times New Roman"/>
          <w:b w:val="false"/>
          <w:bCs w:val="false"/>
          <w:color w:val="000000"/>
          <w:sz w:val="20"/>
          <w:szCs w:val="20"/>
          <w:u w:val="none"/>
          <w:shd w:fill="auto" w:val="clear"/>
          <w:lang w:val="pt-BR" w:eastAsia="pt-BR" w:bidi="ar-SA"/>
        </w:rPr>
        <w:t>A execução dos serviços objeto deste Termo de Credenciamento dar-se-á de forma indireta, sob o regime de empreitada por preço unitário, observados os critérios de remuneração, faturamento, auditoria, autorização, encaminhamento e demais condições estabelecidas no Edital de Credenciamento, no Termo de Referência e em seus Anexos.</w:t>
      </w:r>
    </w:p>
    <w:p>
      <w:pPr>
        <w:pStyle w:val="BodyText"/>
        <w:widowControl w:val="false"/>
        <w:numPr>
          <w:ilvl w:val="0"/>
          <w:numId w:val="1"/>
        </w:numPr>
        <w:bidi w:val="0"/>
        <w:spacing w:lineRule="auto" w:line="276" w:before="0" w:after="113"/>
        <w:ind w:hanging="0" w:left="0" w:right="0"/>
        <w:jc w:val="both"/>
        <w:rPr>
          <w:rFonts w:eastAsia="Calibri"/>
          <w:b w:val="false"/>
          <w:bCs w:val="false"/>
          <w:color w:val="auto"/>
          <w:sz w:val="20"/>
          <w:lang w:eastAsia="pt-BR"/>
        </w:rPr>
      </w:pPr>
      <w:r>
        <w:rPr>
          <w:rFonts w:eastAsia="Calibri"/>
          <w:b w:val="false"/>
          <w:bCs w:val="false"/>
          <w:color w:val="auto"/>
          <w:sz w:val="20"/>
          <w:lang w:eastAsia="pt-BR"/>
        </w:rPr>
        <w:t>A remuneração dos serviços observará as listas referenciais, tabelas, pacotes assistenciais e demais critérios de precificação previstos no Edital de Credenciamento e em seus Anexos, conforme a natureza do procedimento executado.</w:t>
      </w:r>
    </w:p>
    <w:p>
      <w:pPr>
        <w:pStyle w:val="BodyText"/>
        <w:widowControl w:val="false"/>
        <w:numPr>
          <w:ilvl w:val="0"/>
          <w:numId w:val="1"/>
        </w:numPr>
        <w:bidi w:val="0"/>
        <w:spacing w:lineRule="auto" w:line="276" w:before="0" w:after="113"/>
        <w:ind w:hanging="0" w:left="0" w:right="0"/>
        <w:jc w:val="both"/>
        <w:rPr>
          <w:rFonts w:eastAsia="Calibri"/>
          <w:b w:val="false"/>
          <w:bCs w:val="false"/>
          <w:color w:val="auto"/>
          <w:sz w:val="20"/>
          <w:lang w:eastAsia="pt-BR"/>
        </w:rPr>
      </w:pPr>
      <w:r>
        <w:rPr>
          <w:rFonts w:eastAsia="Calibri"/>
          <w:b w:val="false"/>
          <w:bCs w:val="false"/>
          <w:color w:val="auto"/>
          <w:sz w:val="20"/>
          <w:lang w:eastAsia="pt-BR"/>
        </w:rPr>
        <w:t xml:space="preserve"> </w:t>
      </w:r>
      <w:r>
        <w:rPr>
          <w:rFonts w:eastAsia="Calibri"/>
          <w:b w:val="false"/>
          <w:bCs w:val="false"/>
          <w:color w:val="auto"/>
          <w:sz w:val="20"/>
          <w:lang w:eastAsia="pt-BR"/>
        </w:rPr>
        <w:t>A prestação dos serviços ocorrerá mediante encaminhamento, autorização ou demais formas de acesso previstas no Edital e no Termo de Referência, observadas as regras de distribuição da demanda, continuidade da assistência e cobertura assistencial aplicáveis aos beneficiários do SAMMED/FuSEx/PASS.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b w:val="false"/>
          <w:bCs w:val="false"/>
          <w:color w:val="auto"/>
          <w:sz w:val="20"/>
          <w:szCs w:val="20"/>
          <w:u w:val="none"/>
          <w:shd w:fill="auto" w:val="clear"/>
          <w:lang w:eastAsia="pt-BR"/>
        </w:rPr>
      </w:pPr>
      <w:r>
        <w:rPr>
          <w:rFonts w:eastAsia="Calibri" w:ascii="Times New Roman" w:hAnsi="Times New Roman"/>
          <w:b w:val="false"/>
          <w:bCs w:val="false"/>
          <w:color w:val="000000"/>
          <w:sz w:val="20"/>
          <w:szCs w:val="20"/>
          <w:u w:val="none"/>
          <w:shd w:fill="auto" w:val="clear"/>
          <w:lang w:eastAsia="pt-BR"/>
        </w:rPr>
        <w:t>A execução dos serviços deverá observar os princípios da continuidade da assistência, da qualidade da atenção à saúde, da segurança do paciente, da eficiência, da economicidade e da boa-fé objetiva, sem prejuízo das normas técnicas, sanitárias e éticas aplicáveis.</w:t>
      </w:r>
    </w:p>
    <w:p>
      <w:pPr>
        <w:pStyle w:val="ListParagraph"/>
        <w:widowControl w:val="false"/>
        <w:bidi w:val="0"/>
        <w:spacing w:lineRule="auto" w:line="276" w:before="0" w:after="113"/>
        <w:ind w:hanging="0" w:left="0" w:right="0"/>
        <w:contextualSpacing w:val="false"/>
        <w:jc w:val="both"/>
        <w:rPr>
          <w:rFonts w:ascii="Times New Roman" w:hAnsi="Times New Roman" w:eastAsia="Calibri"/>
          <w:b w:val="false"/>
          <w:bCs w:val="false"/>
          <w:color w:val="auto"/>
          <w:sz w:val="20"/>
          <w:szCs w:val="20"/>
          <w:u w:val="none"/>
          <w:shd w:fill="auto" w:val="clear"/>
          <w:lang w:eastAsia="pt-BR"/>
        </w:rPr>
      </w:pPr>
      <w:r>
        <w:rPr>
          <w:rFonts w:eastAsia="Calibri" w:ascii="Times New Roman" w:hAnsi="Times New Roman"/>
          <w:b w:val="false"/>
          <w:bCs w:val="false"/>
          <w:color w:val="000000"/>
          <w:sz w:val="20"/>
          <w:szCs w:val="20"/>
          <w:u w:val="none"/>
          <w:shd w:fill="auto" w:val="clear"/>
          <w:lang w:eastAsia="pt-BR"/>
        </w:rPr>
      </w:r>
    </w:p>
    <w:p>
      <w:pPr>
        <w:pStyle w:val="Normal"/>
        <w:widowControl w:val="false"/>
        <w:spacing w:before="0" w:after="113"/>
        <w:jc w:val="both"/>
        <w:rPr>
          <w:rFonts w:ascii="Times New Roman" w:hAnsi="Times New Roman"/>
          <w:b/>
          <w:color w:val="auto"/>
          <w:sz w:val="20"/>
          <w:szCs w:val="20"/>
          <w:u w:val="none"/>
          <w:shd w:fill="auto" w:val="clear"/>
        </w:rPr>
      </w:pPr>
      <w:r>
        <w:rPr>
          <w:b/>
        </w:rPr>
        <w:t>CLÁUSULA QUINTA - Dos preços e das condições de pagamento.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000000"/>
          <w:sz w:val="20"/>
          <w:szCs w:val="20"/>
          <w:u w:val="none"/>
          <w:shd w:fill="auto" w:val="clear"/>
          <w:lang w:val="pt-BR" w:eastAsia="pt-BR"/>
        </w:rPr>
      </w:pPr>
      <w:r>
        <w:rPr>
          <w:rFonts w:eastAsia="Calibri" w:cs="Tahoma" w:ascii="Times New Roman" w:hAnsi="Times New Roman"/>
          <w:color w:val="000000"/>
          <w:sz w:val="20"/>
          <w:szCs w:val="20"/>
          <w:u w:val="none"/>
          <w:shd w:fill="auto" w:val="clear"/>
          <w:lang w:val="pt-BR" w:eastAsia="pt-BR"/>
        </w:rPr>
        <w:t>Pela execução dos serviços efetivamente prestados e regularmente autorizados, a CREDENCIANTE remunerará o CREDENCIADO de acordo com os valores, critérios de remuneração e listas referenciais previstos no Edital de Credenciamento, no Termo de Referência e em seus Anexos, que passam a integrar este Termo de Credenciamento, independentemente de transcrição.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A remuneração compreenderá exclusivamente os serviços efetivamente executados, devidamente autorizados quando exigível, comprovados documentalmente, auditados e considerados conformes pela CREDENCIANTE.</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Os valores dos serviços observarão as tabelas, listas referenciais, pacotes assistenciais, diárias, taxas, honorários profissionais, materiais, medicamentos, gases medicinais, órteses, próteses, materiais especiais (OPME) e demais critérios de remuneração previstos no Edital e em seus Anexos, conforme a natureza da assistência prestada.</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Os serviços não contemplados nas listas referenciais serão remunerados na forma estabelecida no Edital de Credenciamento e no Termo de Referência.</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O pagamento ficará condicionado à apresentação da documentação exigida, à conferência da produção, à auditoria técnica e administrativa, à inexistência de pendências documentais e ao atesto da execução dos serviços.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Os pagamentos serão efetuados pela CREDENCIANTE na forma, nos prazos e nas condições estabelecidos no Edital de Credenciamento, no Termo de Referência e na legislação aplicável.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A constatação de inconsistências, irregularidades, cobranças indevidas, duplicidades, ausência de documentação obrigatória ou qualquer outra desconformidade identificada durante a auditoria poderá ensejar glosa total ou parcial da cobrança, sem prejuízo da apresentação de recurso administrativo pelo CREDENCIADO, na forma prevista no Edital.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Nenhum pagamento será efetuado ao CREDENCIADO enquanto perdurarem pendências que impeçam a liquidação da despesa ou enquanto não forem atendidas as exigências previstas neste Termo de Credenciamento, no Edital ou na legislação aplicável.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O pagamento dos serviços não implica reconhecimento da regularidade de cobranças futuras, nem afasta o direito da CREDENCIANTE de promover auditorias posteriores, revisões de contas, compensações, restituições ou outras medidas administrativas cabíveis, observada a legislação vigente.</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 xml:space="preserve">Os valores constantes das listas referenciais e demais critérios de remuneração poderão ser atualizados pela CREDENCIANTE na forma prevista no Edital de Credenciamento e no Termo de Referência, aplicando-se automaticamente aos Termos de Credenciamento vigentes, observado o contraditório quando exigido pela legislação e preservado o equilíbrio contratual. </w:t>
      </w:r>
    </w:p>
    <w:p>
      <w:pPr>
        <w:pStyle w:val="Normal"/>
        <w:widowControl w:val="false"/>
        <w:numPr>
          <w:ilvl w:val="0"/>
          <w:numId w:val="0"/>
        </w:numPr>
        <w:tabs>
          <w:tab w:val="clear" w:pos="709"/>
          <w:tab w:val="left" w:pos="1427" w:leader="none"/>
        </w:tabs>
        <w:overflowPunct w:val="false"/>
        <w:spacing w:lineRule="auto" w:line="228" w:before="0" w:after="113"/>
        <w:ind w:hanging="0" w:left="0" w:right="0"/>
        <w:jc w:val="both"/>
        <w:rPr>
          <w:rFonts w:ascii="Times New Roman" w:hAnsi="Times New Roman"/>
          <w:color w:val="000000"/>
          <w:sz w:val="20"/>
          <w:szCs w:val="20"/>
          <w:shd w:fill="auto" w:val="clear"/>
        </w:rPr>
      </w:pPr>
      <w:r>
        <w:rPr>
          <w:rFonts w:ascii="Times New Roman" w:hAnsi="Times New Roman"/>
          <w:color w:val="000000"/>
          <w:sz w:val="20"/>
          <w:szCs w:val="20"/>
          <w:shd w:fill="auto" w:val="clear"/>
        </w:rPr>
      </w:r>
    </w:p>
    <w:p>
      <w:pPr>
        <w:pStyle w:val="Normal"/>
        <w:widowControl w:val="false"/>
        <w:numPr>
          <w:ilvl w:val="0"/>
          <w:numId w:val="0"/>
        </w:numPr>
        <w:tabs>
          <w:tab w:val="clear" w:pos="709"/>
          <w:tab w:val="left" w:pos="1427" w:leader="none"/>
        </w:tabs>
        <w:overflowPunct w:val="false"/>
        <w:spacing w:lineRule="auto" w:line="228" w:before="0" w:after="113"/>
        <w:ind w:hanging="0" w:left="0" w:right="0"/>
        <w:jc w:val="both"/>
        <w:rPr>
          <w:rFonts w:ascii="Times New Roman" w:hAnsi="Times New Roman"/>
          <w:color w:val="000000"/>
          <w:sz w:val="20"/>
          <w:szCs w:val="20"/>
          <w:shd w:fill="auto" w:val="clear"/>
        </w:rPr>
      </w:pPr>
      <w:r>
        <w:rPr>
          <w:rFonts w:ascii="Times New Roman" w:hAnsi="Times New Roman"/>
          <w:b/>
          <w:color w:val="000000"/>
          <w:sz w:val="20"/>
          <w:szCs w:val="20"/>
          <w:u w:val="none"/>
          <w:shd w:fill="auto" w:val="clear"/>
        </w:rPr>
        <w:t xml:space="preserve">CLÁUSULA SEXTA – </w:t>
      </w:r>
      <w:r>
        <w:rPr>
          <w:rFonts w:eastAsia="Batang" w:cs="Times New Roman" w:ascii="Times New Roman" w:hAnsi="Times New Roman"/>
          <w:b/>
          <w:i w:val="false"/>
          <w:iCs w:val="false"/>
          <w:color w:val="000000"/>
          <w:sz w:val="20"/>
          <w:szCs w:val="20"/>
          <w:u w:val="none"/>
          <w:shd w:fill="auto" w:val="clear"/>
          <w:lang w:val="pt-BR" w:eastAsia="ar-SA"/>
        </w:rPr>
        <w:t>Do reajuste de preços.</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000000"/>
          <w:sz w:val="20"/>
          <w:highlight w:val="none"/>
          <w:shd w:fill="auto" w:val="clear"/>
          <w:lang w:eastAsia="pt-BR"/>
        </w:rPr>
      </w:pPr>
      <w:r>
        <w:rPr>
          <w:rFonts w:eastAsia="Calibri" w:cs="Tahoma" w:ascii="Times New Roman" w:hAnsi="Times New Roman"/>
          <w:b w:val="false"/>
          <w:bCs w:val="false"/>
          <w:i w:val="false"/>
          <w:iCs w:val="false"/>
          <w:color w:val="000000"/>
          <w:sz w:val="20"/>
          <w:shd w:fill="auto" w:val="clear"/>
          <w:lang w:eastAsia="pt-BR"/>
        </w:rPr>
        <w:t>Os preços inicialmente contratados são fixos e irreajustáveis no prazo de 01 (um) ano contado da data d</w:t>
      </w:r>
      <w:r>
        <w:rPr>
          <w:rFonts w:eastAsia="Arial" w:cs="Arial" w:ascii="Times New Roman" w:hAnsi="Times New Roman"/>
          <w:b w:val="false"/>
          <w:bCs w:val="false"/>
          <w:i w:val="false"/>
          <w:iCs w:val="false"/>
          <w:color w:val="000000"/>
          <w:kern w:val="0"/>
          <w:sz w:val="20"/>
          <w:szCs w:val="20"/>
          <w:shd w:fill="auto" w:val="clear"/>
          <w:lang w:val="pt-BR" w:eastAsia="pt-BR" w:bidi="ar-SA"/>
        </w:rPr>
        <w:t>e publicação do edital</w:t>
      </w:r>
      <w:r>
        <w:rPr>
          <w:rFonts w:eastAsia="Calibri" w:cs="Tahoma" w:ascii="Times New Roman" w:hAnsi="Times New Roman"/>
          <w:b w:val="false"/>
          <w:bCs w:val="false"/>
          <w:i w:val="false"/>
          <w:iCs w:val="false"/>
          <w:color w:val="000000"/>
          <w:sz w:val="20"/>
          <w:shd w:fill="auto" w:val="clear"/>
          <w:lang w:eastAsia="pt-BR"/>
        </w:rPr>
        <w:t>.</w:t>
      </w:r>
    </w:p>
    <w:p>
      <w:pPr>
        <w:pStyle w:val="Nvel2-Opcional"/>
        <w:numPr>
          <w:ilvl w:val="2"/>
          <w:numId w:val="1"/>
        </w:numPr>
        <w:spacing w:lineRule="auto" w:line="276" w:before="119" w:after="119"/>
        <w:ind w:hanging="0" w:left="0" w:right="0"/>
        <w:rPr>
          <w:rFonts w:ascii="Times New Roman" w:hAnsi="Times New Roman"/>
          <w:b w:val="false"/>
          <w:bCs w:val="false"/>
          <w:i w:val="false"/>
          <w:i w:val="false"/>
          <w:iCs w:val="false"/>
          <w:color w:val="000000"/>
        </w:rPr>
      </w:pPr>
      <w:r>
        <w:rPr>
          <w:rFonts w:ascii="Times New Roman" w:hAnsi="Times New Roman"/>
          <w:b w:val="false"/>
          <w:bCs w:val="false"/>
          <w:i w:val="false"/>
          <w:iCs w:val="false"/>
          <w:color w:val="000000"/>
          <w:shd w:fill="auto" w:val="clear"/>
        </w:rPr>
        <w:t>As tabelas constantes nos anexos (Listas Referenciais) poderão ser revisadas, atualizadas e publicadas pela Administração a qualquer tempo, por critérios de conveniência e oportunidade, respeitado o interregno mínimo de 1 (um) ano e a legislação vigente, até o fim da vigência do presente edital.</w:t>
      </w:r>
    </w:p>
    <w:p>
      <w:pPr>
        <w:pStyle w:val="Nvel2-Opcional"/>
        <w:numPr>
          <w:ilvl w:val="3"/>
          <w:numId w:val="1"/>
        </w:numPr>
        <w:spacing w:lineRule="auto" w:line="276" w:before="119" w:after="119"/>
        <w:ind w:hanging="0" w:left="0" w:right="0"/>
        <w:rPr>
          <w:rFonts w:ascii="Times New Roman" w:hAnsi="Times New Roman"/>
          <w:b w:val="false"/>
          <w:bCs w:val="false"/>
          <w:i w:val="false"/>
          <w:i w:val="false"/>
          <w:iCs w:val="false"/>
          <w:color w:val="000000"/>
        </w:rPr>
      </w:pPr>
      <w:r>
        <w:rPr>
          <w:rFonts w:ascii="Times New Roman" w:hAnsi="Times New Roman"/>
          <w:b w:val="false"/>
          <w:bCs w:val="false"/>
          <w:i w:val="false"/>
          <w:iCs w:val="false"/>
          <w:color w:val="000000"/>
          <w:shd w:fill="auto" w:val="clear"/>
        </w:rPr>
        <w:t>Os valores dos itens relacionados às taxas, diárias, materiais, dietas e suplementos, pacotes de prestação de serviços, assistência domiciliar, especialidades não médicas, procedimentos odontológicos e consultas poderão ser atualizados mediante publicação de nova tabela própria, tendo como parâmetro a variação do IPCA ou parâmetros de mercado, observada a Instrução Normativa SEGES/ME nº 65/2021.</w:t>
      </w:r>
    </w:p>
    <w:p>
      <w:pPr>
        <w:pStyle w:val="Nvel2-Opcional"/>
        <w:numPr>
          <w:ilvl w:val="3"/>
          <w:numId w:val="1"/>
        </w:numPr>
        <w:spacing w:lineRule="auto" w:line="276" w:before="119" w:after="119"/>
        <w:ind w:hanging="0" w:left="0" w:right="0"/>
        <w:rPr>
          <w:rFonts w:ascii="Times New Roman" w:hAnsi="Times New Roman"/>
          <w:b w:val="false"/>
          <w:bCs w:val="false"/>
          <w:i w:val="false"/>
          <w:i w:val="false"/>
          <w:iCs w:val="false"/>
          <w:color w:val="000000"/>
        </w:rPr>
      </w:pPr>
      <w:r>
        <w:rPr>
          <w:rFonts w:ascii="Times New Roman" w:hAnsi="Times New Roman"/>
          <w:b w:val="false"/>
          <w:bCs w:val="false"/>
          <w:i w:val="false"/>
          <w:iCs w:val="false"/>
          <w:color w:val="000000"/>
          <w:shd w:fill="auto" w:val="clear"/>
        </w:rPr>
        <w:t>A atualização de iniciativa da Administração poderá refletir diminuição dos valores anteriormente fixados, caso pesquisa de preços local demonstre que os valores de mercado praticados são inferiores aos estabelecidos nas listas referenciais vigentes.</w:t>
      </w:r>
    </w:p>
    <w:p>
      <w:pPr>
        <w:pStyle w:val="Nvel2-Opcional"/>
        <w:numPr>
          <w:ilvl w:val="3"/>
          <w:numId w:val="1"/>
        </w:numPr>
        <w:spacing w:lineRule="auto" w:line="276" w:before="119" w:after="119"/>
        <w:ind w:hanging="0" w:left="0" w:right="0"/>
        <w:rPr>
          <w:rFonts w:ascii="Times New Roman" w:hAnsi="Times New Roman"/>
          <w:b w:val="false"/>
          <w:bCs w:val="false"/>
          <w:i w:val="false"/>
          <w:i w:val="false"/>
          <w:iCs w:val="false"/>
          <w:color w:val="000000"/>
        </w:rPr>
      </w:pPr>
      <w:r>
        <w:rPr>
          <w:rFonts w:ascii="Times New Roman" w:hAnsi="Times New Roman"/>
          <w:b w:val="false"/>
          <w:bCs w:val="false"/>
          <w:i w:val="false"/>
          <w:iCs w:val="false"/>
          <w:color w:val="000000"/>
          <w:shd w:fill="auto" w:val="clear"/>
        </w:rPr>
        <w:t>Os valores das listas referenciais modificadas serão aplicados aos Termos de Credenciamento no prazo de 30 (trinta) dias após a publicação da nova tabela, independentemente de apostilamento, para fins de parametrização no sistema de encaminhamento, salvo se a publicação determinar data diversa.</w:t>
      </w:r>
    </w:p>
    <w:p>
      <w:pPr>
        <w:pStyle w:val="Nvel2-Opcional"/>
        <w:numPr>
          <w:ilvl w:val="4"/>
          <w:numId w:val="1"/>
        </w:numPr>
        <w:spacing w:lineRule="auto" w:line="276" w:before="119" w:after="119"/>
        <w:ind w:hanging="0" w:left="0" w:right="0"/>
        <w:rPr>
          <w:rFonts w:ascii="Times New Roman" w:hAnsi="Times New Roman"/>
          <w:b w:val="false"/>
          <w:bCs w:val="false"/>
          <w:i w:val="false"/>
          <w:i w:val="false"/>
          <w:iCs w:val="false"/>
          <w:color w:val="000000"/>
        </w:rPr>
      </w:pPr>
      <w:r>
        <w:rPr>
          <w:rFonts w:ascii="Times New Roman" w:hAnsi="Times New Roman"/>
          <w:b w:val="false"/>
          <w:bCs w:val="false"/>
          <w:i w:val="false"/>
          <w:iCs w:val="false"/>
          <w:color w:val="000000"/>
          <w:shd w:fill="auto" w:val="clear"/>
        </w:rPr>
        <w:t>Após o início da aplicação dos novos valores, as guias emitidas anteriormente ao prazo do item 23.1.1.3 e ainda não entregues à Seção de Auditoria do HMR deverão ser apresentadas em faturas separadas, sendo auditadas com base nos valores vigentes na data de sua emissão.</w:t>
      </w:r>
    </w:p>
    <w:p>
      <w:pPr>
        <w:pStyle w:val="Nvel2-Opcional"/>
        <w:numPr>
          <w:ilvl w:val="1"/>
          <w:numId w:val="1"/>
        </w:numPr>
        <w:spacing w:lineRule="auto" w:line="276" w:before="119" w:after="119"/>
        <w:ind w:hanging="0" w:left="0" w:right="0"/>
        <w:rPr>
          <w:rFonts w:ascii="Times New Roman" w:hAnsi="Times New Roman"/>
          <w:b w:val="false"/>
          <w:bCs w:val="false"/>
          <w:i w:val="false"/>
          <w:i w:val="false"/>
          <w:iCs w:val="false"/>
          <w:color w:val="000000"/>
        </w:rPr>
      </w:pPr>
      <w:r>
        <w:rPr>
          <w:rFonts w:ascii="Times New Roman" w:hAnsi="Times New Roman"/>
          <w:b w:val="false"/>
          <w:bCs w:val="false"/>
          <w:i w:val="false"/>
          <w:iCs w:val="false"/>
          <w:color w:val="000000"/>
          <w:shd w:fill="auto" w:val="clear"/>
        </w:rPr>
        <w:t>Após o interregno de 1 (um) ano da publicação do edital ou do último reajuste geral, o CREDENCIADO poderá solicitar a análise de reajuste de seus preços pelo IPCA acumulado dos 12 (doze) meses anteriores ao pedido.</w:t>
      </w:r>
    </w:p>
    <w:p>
      <w:pPr>
        <w:pStyle w:val="Nvel2-Opcional"/>
        <w:numPr>
          <w:ilvl w:val="2"/>
          <w:numId w:val="1"/>
        </w:numPr>
        <w:spacing w:lineRule="auto" w:line="276" w:before="119" w:after="119"/>
        <w:ind w:hanging="0" w:left="0" w:right="0"/>
        <w:rPr>
          <w:rFonts w:ascii="Times New Roman" w:hAnsi="Times New Roman"/>
          <w:b w:val="false"/>
          <w:bCs w:val="false"/>
          <w:i w:val="false"/>
          <w:i w:val="false"/>
          <w:iCs w:val="false"/>
          <w:color w:val="000000"/>
        </w:rPr>
      </w:pPr>
      <w:r>
        <w:rPr>
          <w:rFonts w:ascii="Times New Roman" w:hAnsi="Times New Roman"/>
          <w:b w:val="false"/>
          <w:bCs w:val="false"/>
          <w:i w:val="false"/>
          <w:iCs w:val="false"/>
          <w:color w:val="000000"/>
          <w:shd w:fill="auto" w:val="clear"/>
        </w:rPr>
        <w:t>O deferimento do pedido de reajuste do CREDENCIADO ficará estritamente condicionado à prévia aprovação da Diretoria de Planejamento e Gestão Orçamentária (DPGO) e à posterior publicação oficial das listas referenciais atualizadas.</w:t>
      </w:r>
    </w:p>
    <w:p>
      <w:pPr>
        <w:pStyle w:val="Nvel2-Opcional"/>
        <w:numPr>
          <w:ilvl w:val="2"/>
          <w:numId w:val="1"/>
        </w:numPr>
        <w:spacing w:lineRule="auto" w:line="276" w:before="119" w:after="119"/>
        <w:ind w:hanging="0" w:left="0" w:right="0"/>
        <w:rPr>
          <w:rFonts w:ascii="Times New Roman" w:hAnsi="Times New Roman"/>
          <w:b w:val="false"/>
          <w:bCs w:val="false"/>
          <w:i w:val="false"/>
          <w:i w:val="false"/>
          <w:iCs w:val="false"/>
          <w:color w:val="000000"/>
        </w:rPr>
      </w:pPr>
      <w:r>
        <w:rPr>
          <w:rFonts w:ascii="Times New Roman" w:hAnsi="Times New Roman"/>
          <w:b w:val="false"/>
          <w:bCs w:val="false"/>
          <w:i w:val="false"/>
          <w:iCs w:val="false"/>
          <w:color w:val="000000"/>
          <w:shd w:fill="auto" w:val="clear"/>
        </w:rPr>
        <w:t>O reajuste pelo IPCA aplica-se exclusivamente aos valores das listas referenciais próprias da Administração que não estejam atrelados às tabelas CBHPM, BRASÍNDICE ou SIMPRO.</w:t>
      </w:r>
    </w:p>
    <w:p>
      <w:pPr>
        <w:pStyle w:val="Nvel2-Opcional"/>
        <w:numPr>
          <w:ilvl w:val="2"/>
          <w:numId w:val="1"/>
        </w:numPr>
        <w:spacing w:lineRule="auto" w:line="276" w:before="119" w:after="119"/>
        <w:ind w:hanging="0" w:left="0" w:right="0"/>
        <w:rPr>
          <w:rFonts w:ascii="Times New Roman" w:hAnsi="Times New Roman"/>
          <w:b w:val="false"/>
          <w:bCs w:val="false"/>
          <w:i w:val="false"/>
          <w:i w:val="false"/>
          <w:iCs w:val="false"/>
          <w:color w:val="000000"/>
        </w:rPr>
      </w:pPr>
      <w:r>
        <w:rPr>
          <w:rFonts w:eastAsia="Arial" w:cs="Arial" w:ascii="Times New Roman" w:hAnsi="Times New Roman"/>
          <w:b w:val="false"/>
          <w:bCs w:val="false"/>
          <w:i w:val="false"/>
          <w:iCs w:val="false"/>
          <w:color w:val="000000"/>
          <w:kern w:val="0"/>
          <w:sz w:val="20"/>
          <w:szCs w:val="20"/>
          <w:shd w:fill="auto" w:val="clear"/>
          <w:lang w:val="pt-BR" w:eastAsia="pt-BR" w:bidi="ar-SA"/>
        </w:rPr>
        <w:t>Nos reajustes subsequentes ao primeiro, o interregno mínimo de 1 (um) ano será contado a partir do início dos efeitos financeiros do último reajuste concedido.</w:t>
      </w:r>
    </w:p>
    <w:p>
      <w:pPr>
        <w:pStyle w:val="Nvel2-Opcional"/>
        <w:numPr>
          <w:ilvl w:val="2"/>
          <w:numId w:val="1"/>
        </w:numPr>
        <w:spacing w:lineRule="auto" w:line="276" w:before="119" w:after="119"/>
        <w:ind w:hanging="0" w:left="0" w:right="0"/>
        <w:rPr>
          <w:rFonts w:ascii="Times New Roman" w:hAnsi="Times New Roman"/>
          <w:b w:val="false"/>
          <w:bCs w:val="false"/>
          <w:color w:val="000000"/>
        </w:rPr>
      </w:pPr>
      <w:r>
        <w:rPr>
          <w:rFonts w:eastAsia="Arial" w:cs="Arial" w:ascii="Times New Roman" w:hAnsi="Times New Roman"/>
          <w:b w:val="false"/>
          <w:bCs w:val="false"/>
          <w:i w:val="false"/>
          <w:iCs w:val="false"/>
          <w:color w:val="000000"/>
          <w:kern w:val="0"/>
          <w:sz w:val="20"/>
          <w:szCs w:val="20"/>
          <w:shd w:fill="auto" w:val="clear"/>
          <w:lang w:val="pt-BR" w:eastAsia="pt-BR" w:bidi="ar-SA"/>
        </w:rPr>
        <w:t>No caso de atraso ou não divulgação do índice de reajustamento, a Administração utilizará para a análise de concessão a última variação conhecida.</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000000"/>
          <w:sz w:val="20"/>
          <w:highlight w:val="none"/>
          <w:shd w:fill="auto" w:val="clear"/>
          <w:lang w:eastAsia="pt-BR"/>
        </w:rPr>
      </w:pPr>
      <w:r>
        <w:rPr>
          <w:rFonts w:eastAsia="Arial" w:cs="Arial" w:ascii="Times New Roman" w:hAnsi="Times New Roman"/>
          <w:b w:val="false"/>
          <w:bCs w:val="false"/>
          <w:i w:val="false"/>
          <w:iCs w:val="false"/>
          <w:color w:val="000000"/>
          <w:kern w:val="0"/>
          <w:sz w:val="20"/>
          <w:szCs w:val="20"/>
          <w:shd w:fill="auto" w:val="clear"/>
          <w:lang w:val="pt-BR" w:eastAsia="pt-BR" w:bidi="ar-SA"/>
        </w:rPr>
        <w:t>Caso o índice estabelecido venha a ser extinto, adotar-se-á o índice substituto determinado pela legislação em vigor ou, na ausência desta, nova taxa oficial eleita pelas partes por meio de termo aditivo.</w:t>
      </w:r>
    </w:p>
    <w:p>
      <w:pPr>
        <w:pStyle w:val="Normal"/>
        <w:widowControl w:val="false"/>
        <w:numPr>
          <w:ilvl w:val="0"/>
          <w:numId w:val="0"/>
        </w:numPr>
        <w:tabs>
          <w:tab w:val="clear" w:pos="709"/>
          <w:tab w:val="left" w:pos="0" w:leader="none"/>
        </w:tabs>
        <w:bidi w:val="0"/>
        <w:spacing w:lineRule="auto" w:line="276" w:before="0" w:after="113"/>
        <w:ind w:hanging="0" w:left="0" w:right="0"/>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r>
    </w:p>
    <w:p>
      <w:pPr>
        <w:pStyle w:val="Normal"/>
        <w:widowControl w:val="false"/>
        <w:bidi w:val="0"/>
        <w:spacing w:lineRule="auto" w:line="276" w:before="0" w:after="113"/>
        <w:ind w:hanging="0" w:left="794" w:right="0"/>
        <w:jc w:val="both"/>
        <w:rPr>
          <w:rFonts w:ascii="Times New Roman" w:hAnsi="Times New Roman" w:eastAsia="Batang" w:cs="Times New Roman"/>
          <w:i w:val="false"/>
          <w:i w:val="false"/>
          <w:iCs w:val="false"/>
          <w:color w:val="auto"/>
          <w:sz w:val="4"/>
          <w:szCs w:val="4"/>
          <w:u w:val="none"/>
          <w:shd w:fill="auto" w:val="clear"/>
          <w:lang w:val="pt-BR" w:eastAsia="ar-SA"/>
        </w:rPr>
      </w:pPr>
      <w:r>
        <w:rPr>
          <w:rFonts w:eastAsia="Batang" w:cs="Times New Roman" w:ascii="Times New Roman" w:hAnsi="Times New Roman"/>
          <w:i w:val="false"/>
          <w:iCs w:val="false"/>
          <w:color w:val="000000"/>
          <w:sz w:val="4"/>
          <w:szCs w:val="4"/>
          <w:u w:val="none"/>
          <w:shd w:fill="auto" w:val="clear"/>
          <w:lang w:val="pt-BR" w:eastAsia="ar-SA"/>
        </w:rPr>
      </w:r>
    </w:p>
    <w:p>
      <w:pPr>
        <w:pStyle w:val="Normal"/>
        <w:widowControl w:val="false"/>
        <w:spacing w:before="0" w:after="113"/>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SÉTIMA – Da vigência.</w:t>
      </w:r>
    </w:p>
    <w:p>
      <w:pPr>
        <w:pStyle w:val="ListParagraph"/>
        <w:widowControl w:val="false"/>
        <w:numPr>
          <w:ilvl w:val="0"/>
          <w:numId w:val="1"/>
        </w:numPr>
        <w:spacing w:before="0" w:after="113"/>
        <w:ind w:hanging="0" w:left="0" w:right="0"/>
        <w:contextualSpacing w:val="false"/>
        <w:jc w:val="both"/>
        <w:rPr>
          <w:rFonts w:ascii="Times New Roman" w:hAnsi="Times New Roman"/>
          <w:b/>
          <w:color w:val="auto"/>
          <w:sz w:val="20"/>
        </w:rPr>
      </w:pPr>
      <w:r>
        <w:rPr>
          <w:rFonts w:eastAsia="Calibri" w:cs="Tahoma" w:ascii="Times New Roman" w:hAnsi="Times New Roman"/>
          <w:b w:val="false"/>
          <w:bCs w:val="false"/>
          <w:color w:val="000000"/>
          <w:sz w:val="20"/>
          <w:lang w:eastAsia="pt-BR"/>
        </w:rPr>
        <w:t xml:space="preserve">O presente Termo de Credenciamento terá vigência de </w:t>
      </w:r>
      <w:r>
        <w:rPr>
          <w:rStyle w:val="Strong"/>
          <w:rFonts w:eastAsia="Calibri" w:cs="Tahoma" w:ascii="Times New Roman" w:hAnsi="Times New Roman"/>
          <w:b w:val="false"/>
          <w:bCs w:val="false"/>
          <w:color w:val="000000"/>
          <w:sz w:val="20"/>
          <w:lang w:eastAsia="pt-BR"/>
        </w:rPr>
        <w:t>05 (cinco) anos</w:t>
      </w:r>
      <w:r>
        <w:rPr>
          <w:rFonts w:eastAsia="Calibri" w:cs="Tahoma" w:ascii="Times New Roman" w:hAnsi="Times New Roman"/>
          <w:b w:val="false"/>
          <w:bCs w:val="false"/>
          <w:color w:val="000000"/>
          <w:sz w:val="20"/>
          <w:lang w:eastAsia="pt-BR"/>
        </w:rPr>
        <w:t>, contados da data de sua assinatura ou de outra data expressamente indicada neste instrumento, podendo ser prorrogado sucessivamente, observado o limite máximo de 10 (dez) anos, desde que demonstrada a vantagem para a Administração, mantidas as condições de habilitação do CREDENCIADO e atendidos os requisitos previstos na Lei nº 14.133, de 1º de abril de 2021.</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A prorrogação da vigência não constitui direito subjetivo do CREDENCIADO, ficando condicionada ao interesse da Administração, à disponibilidade orçamentária, à regularidade da execução contratual, à manutenção das condições de habilitação e à observância da legislação aplicável.</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Durante toda a vigência deste Termo de Credenciamento, o CREDENCIADO deverá manter todas as condições de habilitação, qualificação técnica, regularidade fiscal, trabalhista, previdenciária e sanitária exigidas no Edital de Credenciamento, comunicando imediatamente à CREDENCIANTE qualquer alteração que possa comprometer sua capacidade de execução do objeto.</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A extinção da vigência deste Termo de Credenciamento não exime o CREDENCIADO do cumprimento das obrigações decorrentes dos serviços regularmente executados durante sua vigência, nem afasta as responsabilidades civis, administrativas, éticas e legais pelos atos praticados.</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 xml:space="preserve">A eventual prorrogação da vigência deste Termo de Credenciamento será formalizada mediante termo aditivo, observadas as disposições da Lei nº 14.133/2021, do Edital de Credenciamento e do Termo de Referência. </w:t>
      </w:r>
    </w:p>
    <w:p>
      <w:pPr>
        <w:pStyle w:val="ListParagraph"/>
        <w:widowControl w:val="false"/>
        <w:numPr>
          <w:ilvl w:val="0"/>
          <w:numId w:val="0"/>
        </w:numPr>
        <w:spacing w:before="0" w:after="113"/>
        <w:ind w:hanging="0" w:left="0" w:right="0"/>
        <w:contextualSpacing w:val="false"/>
        <w:jc w:val="both"/>
        <w:rPr>
          <w:rFonts w:ascii="Times New Roman" w:hAnsi="Times New Roman" w:cs="Times New Roman"/>
          <w:i w:val="false"/>
          <w:i w:val="false"/>
          <w:iCs w:val="false"/>
          <w:color w:val="auto"/>
          <w:sz w:val="20"/>
          <w:szCs w:val="20"/>
          <w:u w:val="none"/>
          <w:shd w:fill="auto" w:val="clear"/>
          <w:lang w:val="pt-BR"/>
        </w:rPr>
      </w:pPr>
      <w:r>
        <w:rPr>
          <w:rFonts w:cs="Times New Roman" w:ascii="Times New Roman" w:hAnsi="Times New Roman"/>
          <w:i w:val="false"/>
          <w:iCs w:val="false"/>
          <w:color w:val="000000"/>
          <w:sz w:val="20"/>
          <w:szCs w:val="20"/>
          <w:u w:val="none"/>
          <w:shd w:fill="auto" w:val="clear"/>
          <w:lang w:val="pt-BR"/>
        </w:rPr>
      </w:r>
    </w:p>
    <w:p>
      <w:pPr>
        <w:pStyle w:val="Normal"/>
        <w:widowControl w:val="false"/>
        <w:spacing w:before="0" w:after="113"/>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OITAVA – Da dotação orçamentária.</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As despesas decorrentes da execução deste Termo de Credenciamento correrão à conta dos recursos consignados no orçamento da União, destinados ao Ministério da Defesa – Exército Brasileiro – Hospital Militar de Resende, observadas as dotações orçamentárias vigentes e as disponibilidades financeiras.</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As despesas serão custeadas por recursos do Tesouro Nacional, do Fundo do Exército ou de outras fontes legalmente previstas, conforme a natureza da despesa e a disponibilidade orçamentária.</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A cada exercício financeiro, as despesas correrão à conta das dotações orçamentárias próprias, consignadas nos respectivos orçamentos, podendo ser emitidos os correspondentes empenhos, observada a legislação orçamentária e financeira vigente.</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A celebração e a execução deste Termo de Credenciamento ficam condicionadas à existência de disponibilidade orçamentária e financeira, nos termos da legislação aplicável.</w:t>
      </w:r>
    </w:p>
    <w:p>
      <w:pPr>
        <w:pStyle w:val="ListParagraph"/>
        <w:widowControl w:val="false"/>
        <w:numPr>
          <w:ilvl w:val="0"/>
          <w:numId w:val="0"/>
        </w:numPr>
        <w:spacing w:before="0" w:after="113"/>
        <w:ind w:hanging="0" w:left="0" w:right="0"/>
        <w:contextualSpacing w:val="false"/>
        <w:jc w:val="both"/>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r>
    </w:p>
    <w:p>
      <w:pPr>
        <w:pStyle w:val="Normal"/>
        <w:widowControl w:val="false"/>
        <w:spacing w:before="0" w:after="113"/>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NONA – Da responsabilidade civil.</w:t>
      </w:r>
    </w:p>
    <w:p>
      <w:pPr>
        <w:pStyle w:val="ListParagraph"/>
        <w:widowControl w:val="false"/>
        <w:numPr>
          <w:ilvl w:val="0"/>
          <w:numId w:val="1"/>
        </w:numPr>
        <w:bidi w:val="0"/>
        <w:spacing w:lineRule="auto" w:line="276" w:before="0" w:after="113"/>
        <w:ind w:hanging="0" w:left="0" w:right="0"/>
        <w:contextualSpacing w:val="false"/>
        <w:jc w:val="both"/>
        <w:rPr/>
      </w:pPr>
      <w:r>
        <w:rPr>
          <w:rStyle w:val="Normaltextrun"/>
          <w:rFonts w:eastAsia="Calibri" w:cs="Tahoma" w:ascii="Times New Roman" w:hAnsi="Times New Roman"/>
          <w:b w:val="false"/>
          <w:bCs w:val="false"/>
          <w:color w:val="auto"/>
          <w:sz w:val="20"/>
          <w:szCs w:val="22"/>
          <w:lang w:val="pt-BR" w:eastAsia="pt-BR" w:bidi="ar-SA"/>
        </w:rPr>
        <w:t>O CREDENCIADO responderá integralmente pelos danos materiais, morais e patrimoniais causados à CREDENCIANTE, aos beneficiários do SAMMED/FuSEx/PASS ou a terceiros, decorrentes de ação ou omissão, dolo ou culpa, imperícia, imprudência ou negligência de seus dirigentes, empregados, prepostos, profissionais de saúde, contratados ou subcontratados, durante a execução dos serviços objeto deste Termo de Credenciamento.</w:t>
      </w:r>
    </w:p>
    <w:p>
      <w:pPr>
        <w:pStyle w:val="ListParagraph"/>
        <w:widowControl w:val="false"/>
        <w:numPr>
          <w:ilvl w:val="0"/>
          <w:numId w:val="1"/>
        </w:numPr>
        <w:bidi w:val="0"/>
        <w:spacing w:lineRule="auto" w:line="276" w:before="0" w:after="113"/>
        <w:ind w:hanging="0" w:left="0" w:right="0"/>
        <w:contextualSpacing w:val="false"/>
        <w:jc w:val="both"/>
        <w:rPr/>
      </w:pPr>
      <w:r>
        <w:rPr>
          <w:rFonts w:eastAsia="Calibri" w:cs="Tahoma" w:ascii="Times New Roman" w:hAnsi="Times New Roman"/>
          <w:b w:val="false"/>
          <w:bCs w:val="false"/>
          <w:color w:val="auto"/>
          <w:sz w:val="20"/>
          <w:szCs w:val="22"/>
          <w:lang w:val="pt-BR" w:eastAsia="pt-BR" w:bidi="ar-SA"/>
        </w:rPr>
        <w:t>A responsabilidade do CREDENCIADO compreende, dentre outras, a adequada prestação da assistência à saúde, a qualidade técnica dos serviços executados, a observância das normas éticas, sanitárias, de segurança do paciente e de proteção de dados pessoais, bem como o cumprimento das obrigações previstas neste Termo de Credenciamento, no Edital, no Termo de Referência e na legislação aplicável.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val="false"/>
          <w:bCs w:val="false"/>
          <w:color w:val="auto"/>
          <w:sz w:val="20"/>
          <w:szCs w:val="22"/>
          <w:lang w:val="pt-BR" w:eastAsia="pt-BR" w:bidi="ar-SA"/>
        </w:rPr>
        <w:t>O CREDENCIADO responderá exclusivamente pelos atos praticados por seus profissionais, empregados, prepostos, cooperados, contratados ou subcontratados, não se estabelecendo qualquer vínculo empregatício, funcional ou previdenciário entre estes e a CREDENCIANTE.</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val="false"/>
          <w:bCs w:val="false"/>
          <w:color w:val="auto"/>
          <w:sz w:val="20"/>
          <w:szCs w:val="22"/>
          <w:lang w:val="pt-BR" w:eastAsia="pt-BR" w:bidi="ar-SA"/>
        </w:rPr>
        <w:t xml:space="preserve"> </w:t>
      </w:r>
      <w:r>
        <w:rPr>
          <w:rFonts w:eastAsia="Calibri" w:cs="Tahoma" w:ascii="Times New Roman" w:hAnsi="Times New Roman"/>
          <w:b w:val="false"/>
          <w:bCs w:val="false"/>
          <w:color w:val="auto"/>
          <w:sz w:val="20"/>
          <w:szCs w:val="22"/>
          <w:lang w:val="pt-BR" w:eastAsia="pt-BR" w:bidi="ar-SA"/>
        </w:rPr>
        <w:t>A fiscalização, a auditoria, a autorização de procedimentos, a conferência de contas, a realização de glosas, o pagamento pelos serviços prestados ou qualquer outro ato praticado pela CREDENCIANTE não excluem nem reduzem a responsabilidade civil, técnica, ética, administrativa ou penal do CREDENCIADO pela execução dos serviços.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val="false"/>
          <w:bCs w:val="false"/>
          <w:color w:val="auto"/>
          <w:sz w:val="20"/>
          <w:szCs w:val="22"/>
          <w:lang w:val="pt-BR" w:eastAsia="pt-BR" w:bidi="ar-SA"/>
        </w:rPr>
        <w:t>O CREDENCIADO obriga-se a ressarcir a CREDENCIANTE pelos prejuízos comprovadamente decorrentes de atos praticados em desconformidade com este Termo de Credenciamento, com o Edital, com o Termo de Referência ou com a legislação vigente, sem prejuízo da aplicação das sanções administrativas cabíveis.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val="false"/>
          <w:bCs w:val="false"/>
          <w:color w:val="auto"/>
          <w:sz w:val="20"/>
          <w:szCs w:val="22"/>
          <w:lang w:val="pt-BR" w:eastAsia="pt-BR" w:bidi="ar-SA"/>
        </w:rPr>
        <w:t xml:space="preserve">O CREDENCIADO manterá, durante toda a vigência deste Termo de Credenciamento, as condições técnicas, operacionais e legais necessárias à adequada prestação dos serviços, assumindo integral responsabilidade pelos riscos inerentes à atividade assistencial desenvolvida. </w:t>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r>
    </w:p>
    <w:p>
      <w:pPr>
        <w:pStyle w:val="Normal"/>
        <w:widowControl w:val="false"/>
        <w:spacing w:before="0" w:after="113"/>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DÉCIMA – Das sanções.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szCs w:val="22"/>
          <w:u w:val="none"/>
          <w:shd w:fill="auto" w:val="clear"/>
          <w:lang w:val="pt-BR" w:eastAsia="pt-BR" w:bidi="ar-SA"/>
        </w:rPr>
      </w:pPr>
      <w:r>
        <w:rPr>
          <w:rFonts w:eastAsia="Calibri" w:cs="Tahoma" w:ascii="Times New Roman" w:hAnsi="Times New Roman"/>
          <w:b w:val="false"/>
          <w:bCs w:val="false"/>
          <w:color w:val="000000"/>
          <w:sz w:val="20"/>
          <w:szCs w:val="22"/>
          <w:u w:val="none"/>
          <w:shd w:fill="auto" w:val="clear"/>
          <w:lang w:val="pt-BR" w:eastAsia="pt-BR" w:bidi="ar-SA"/>
        </w:rPr>
        <w:t>O descumprimento total ou parcial das obrigações previstas neste Termo de Credenciamento, no Edital de Credenciamento, no Termo de Referência e na legislação aplicável sujeitará o CREDENCIADO às sanções administrativas previstas na Lei nº 14.133, de 1º de abril de 2021, assegurados o contraditório e a ampla defesa.</w:t>
      </w:r>
    </w:p>
    <w:p>
      <w:pPr>
        <w:pStyle w:val="BodyText"/>
        <w:widowControl w:val="false"/>
        <w:numPr>
          <w:ilvl w:val="0"/>
          <w:numId w:val="1"/>
        </w:numPr>
        <w:bidi w:val="0"/>
        <w:spacing w:lineRule="auto" w:line="276" w:before="0" w:after="113"/>
        <w:ind w:hanging="0" w:left="0" w:right="0"/>
        <w:jc w:val="both"/>
        <w:rPr>
          <w:rFonts w:ascii="Times New Roman" w:hAnsi="Times New Roman" w:eastAsia="Calibri" w:cs="Tahoma"/>
          <w:color w:val="auto"/>
          <w:sz w:val="20"/>
          <w:szCs w:val="22"/>
          <w:lang w:eastAsia="pt-BR"/>
        </w:rPr>
      </w:pPr>
      <w:r>
        <w:rPr>
          <w:rFonts w:eastAsia="Calibri" w:cs="Tahoma" w:ascii="Times New Roman" w:hAnsi="Times New Roman"/>
          <w:color w:val="auto"/>
          <w:sz w:val="20"/>
          <w:szCs w:val="22"/>
          <w:lang w:eastAsia="pt-BR"/>
        </w:rPr>
        <w:t>Conforme a natureza e a gravidade da infração, poderão ser aplicadas ao CREDENCIADO, isolada ou cumulativamente, as seguintes sanções:</w:t>
      </w:r>
    </w:p>
    <w:p>
      <w:pPr>
        <w:pStyle w:val="BodyText"/>
        <w:widowControl w:val="false"/>
        <w:numPr>
          <w:ilvl w:val="0"/>
          <w:numId w:val="0"/>
        </w:numPr>
        <w:spacing w:lineRule="auto" w:line="276" w:before="0" w:after="113"/>
        <w:ind w:hanging="0" w:left="0"/>
        <w:rPr>
          <w:rFonts w:ascii="Times New Roman" w:hAnsi="Times New Roman" w:eastAsia="Calibri" w:cs="Tahoma"/>
          <w:color w:val="auto"/>
          <w:sz w:val="20"/>
          <w:szCs w:val="22"/>
          <w:lang w:eastAsia="pt-BR"/>
        </w:rPr>
      </w:pPr>
      <w:r>
        <w:rPr>
          <w:rFonts w:eastAsia="Calibri" w:cs="Tahoma" w:ascii="Times New Roman" w:hAnsi="Times New Roman"/>
          <w:color w:val="auto"/>
          <w:sz w:val="20"/>
          <w:szCs w:val="22"/>
          <w:lang w:eastAsia="pt-BR"/>
        </w:rPr>
        <w:t>I – advertência;</w:t>
      </w:r>
    </w:p>
    <w:p>
      <w:pPr>
        <w:pStyle w:val="BodyText"/>
        <w:widowControl w:val="false"/>
        <w:numPr>
          <w:ilvl w:val="0"/>
          <w:numId w:val="0"/>
        </w:numPr>
        <w:spacing w:lineRule="auto" w:line="276" w:before="0" w:after="113"/>
        <w:ind w:hanging="0" w:left="0"/>
        <w:rPr>
          <w:rFonts w:ascii="Times New Roman" w:hAnsi="Times New Roman" w:eastAsia="Calibri" w:cs="Tahoma"/>
          <w:color w:val="auto"/>
          <w:sz w:val="20"/>
          <w:szCs w:val="22"/>
          <w:lang w:eastAsia="pt-BR"/>
        </w:rPr>
      </w:pPr>
      <w:r>
        <w:rPr>
          <w:rFonts w:eastAsia="Calibri" w:cs="Tahoma" w:ascii="Times New Roman" w:hAnsi="Times New Roman"/>
          <w:color w:val="auto"/>
          <w:sz w:val="20"/>
          <w:szCs w:val="22"/>
          <w:lang w:eastAsia="pt-BR"/>
        </w:rPr>
        <w:t>II – multa, na forma prevista no Edital de Credenciamento;</w:t>
      </w:r>
    </w:p>
    <w:p>
      <w:pPr>
        <w:pStyle w:val="BodyText"/>
        <w:widowControl w:val="false"/>
        <w:numPr>
          <w:ilvl w:val="0"/>
          <w:numId w:val="0"/>
        </w:numPr>
        <w:spacing w:lineRule="auto" w:line="276" w:before="0" w:after="113"/>
        <w:ind w:hanging="0" w:left="0"/>
        <w:rPr>
          <w:rFonts w:ascii="Times New Roman" w:hAnsi="Times New Roman" w:eastAsia="Calibri" w:cs="Tahoma"/>
          <w:color w:val="auto"/>
          <w:sz w:val="20"/>
          <w:szCs w:val="22"/>
          <w:lang w:eastAsia="pt-BR"/>
        </w:rPr>
      </w:pPr>
      <w:r>
        <w:rPr>
          <w:rFonts w:eastAsia="Calibri" w:cs="Tahoma" w:ascii="Times New Roman" w:hAnsi="Times New Roman"/>
          <w:color w:val="auto"/>
          <w:sz w:val="20"/>
          <w:szCs w:val="22"/>
          <w:lang w:eastAsia="pt-BR"/>
        </w:rPr>
        <w:t>III – impedimento de licitar e contratar com a Administração Pública, pelo prazo estabelecido na legislação; e</w:t>
      </w:r>
    </w:p>
    <w:p>
      <w:pPr>
        <w:pStyle w:val="BodyText"/>
        <w:widowControl w:val="false"/>
        <w:numPr>
          <w:ilvl w:val="0"/>
          <w:numId w:val="0"/>
        </w:numPr>
        <w:spacing w:lineRule="auto" w:line="276" w:before="0" w:after="113"/>
        <w:ind w:hanging="0" w:left="0"/>
        <w:rPr>
          <w:rFonts w:ascii="Times New Roman" w:hAnsi="Times New Roman" w:eastAsia="Calibri" w:cs="Tahoma"/>
          <w:color w:val="auto"/>
          <w:sz w:val="20"/>
          <w:szCs w:val="22"/>
          <w:lang w:eastAsia="pt-BR"/>
        </w:rPr>
      </w:pPr>
      <w:r>
        <w:rPr>
          <w:rFonts w:eastAsia="Calibri" w:cs="Tahoma" w:ascii="Times New Roman" w:hAnsi="Times New Roman"/>
          <w:color w:val="auto"/>
          <w:sz w:val="20"/>
          <w:szCs w:val="22"/>
          <w:lang w:eastAsia="pt-BR"/>
        </w:rPr>
        <w:t>IV – declaração de inidoneidade para licitar ou contratar com a Administração Pública, nos casos e condições previstos na Lei nº 14.133, de 2021.</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szCs w:val="20"/>
          <w:u w:val="none"/>
          <w:shd w:fill="auto" w:val="clear"/>
          <w:lang w:val="pt-BR" w:eastAsia="pt-BR" w:bidi="ar-SA"/>
        </w:rPr>
      </w:pPr>
      <w:r>
        <w:rPr>
          <w:rFonts w:eastAsia="Calibri" w:cs="Tahoma" w:ascii="Times New Roman" w:hAnsi="Times New Roman"/>
          <w:b w:val="false"/>
          <w:bCs w:val="false"/>
          <w:color w:val="000000"/>
          <w:sz w:val="20"/>
          <w:szCs w:val="20"/>
          <w:u w:val="none"/>
          <w:shd w:fill="auto" w:val="clear"/>
          <w:lang w:val="pt-BR" w:eastAsia="pt-BR" w:bidi="ar-SA"/>
        </w:rPr>
        <w:t>A aplicação das sanções previstas nesta cláusula não exclui a adoção das demais medidas administrativas e contratuais cabíveis, inclusive glosas, suspensão de encaminhamentos, rescisão do Termo de Credenciamento e responsabilização civil ou penal, quando couber.</w:t>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szCs w:val="20"/>
          <w:u w:val="none"/>
          <w:shd w:fill="auto" w:val="clear"/>
          <w:lang w:val="pt-BR" w:eastAsia="pt-BR" w:bidi="ar-SA"/>
        </w:rPr>
      </w:pPr>
      <w:r>
        <w:rPr>
          <w:rFonts w:eastAsia="Calibri" w:cs="Tahoma" w:ascii="Times New Roman" w:hAnsi="Times New Roman"/>
          <w:b w:val="false"/>
          <w:bCs w:val="false"/>
          <w:color w:val="000000"/>
          <w:sz w:val="20"/>
          <w:szCs w:val="20"/>
          <w:u w:val="none"/>
          <w:shd w:fill="auto" w:val="clear"/>
          <w:lang w:val="pt-BR" w:eastAsia="pt-BR" w:bidi="ar-SA"/>
        </w:rPr>
      </w:r>
    </w:p>
    <w:p>
      <w:pPr>
        <w:pStyle w:val="Normal"/>
        <w:widowControl w:val="false"/>
        <w:spacing w:before="0" w:after="113"/>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DÉCIMA PRIMEIRA – Da rescisão.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val="false"/>
          <w:bCs w:val="false"/>
          <w:color w:val="auto"/>
          <w:sz w:val="20"/>
          <w:szCs w:val="22"/>
          <w:lang w:val="pt-BR" w:eastAsia="pt-BR" w:bidi="ar-SA"/>
        </w:rPr>
        <w:t>Os Termos de Credenciamento poderão ser rescindidos nos casos de inexecução total ou parcial de suas cláusulas, assegurados o contraditório e a ampla defesa, mediante a incidência dos motivos previstos no art. 137 da Lei nº 14.133/2021, conforme as seguintes modalidades:</w:t>
      </w:r>
    </w:p>
    <w:p>
      <w:pPr>
        <w:pStyle w:val="Nvel02"/>
        <w:numPr>
          <w:ilvl w:val="2"/>
          <w:numId w:val="1"/>
        </w:numPr>
        <w:spacing w:lineRule="auto" w:line="276" w:before="119" w:after="119"/>
        <w:ind w:hanging="0" w:left="0" w:right="0"/>
        <w:rPr>
          <w:rFonts w:ascii="Times New Roman" w:hAnsi="Times New Roman"/>
        </w:rPr>
      </w:pPr>
      <w:r>
        <w:rPr>
          <w:rFonts w:eastAsia="Calibri" w:cs="Tahoma" w:ascii="Times New Roman" w:hAnsi="Times New Roman"/>
          <w:b w:val="false"/>
          <w:bCs w:val="false"/>
          <w:color w:val="auto"/>
          <w:sz w:val="20"/>
          <w:szCs w:val="22"/>
          <w:lang w:val="pt-BR" w:eastAsia="pt-BR" w:bidi="ar-SA"/>
        </w:rPr>
        <w:t>Unilateralmente, por ato motivado da Administração Pública Federal, nas seguintes hipóteses:</w:t>
      </w:r>
    </w:p>
    <w:p>
      <w:pPr>
        <w:pStyle w:val="Nvel02"/>
        <w:widowControl/>
        <w:numPr>
          <w:ilvl w:val="2"/>
          <w:numId w:val="1"/>
        </w:numPr>
        <w:spacing w:lineRule="auto" w:line="276" w:before="119" w:after="119"/>
        <w:ind w:hanging="0" w:left="0" w:right="0"/>
        <w:jc w:val="both"/>
        <w:rPr>
          <w:rFonts w:ascii="Times New Roman" w:hAnsi="Times New Roman"/>
        </w:rPr>
      </w:pPr>
      <w:r>
        <w:rPr>
          <w:rFonts w:ascii="Times New Roman" w:hAnsi="Times New Roman"/>
        </w:rPr>
        <w:t>n</w:t>
      </w:r>
      <w:r>
        <w:rPr>
          <w:rFonts w:eastAsia="Calibri" w:cs="Tahoma" w:ascii="Times New Roman" w:hAnsi="Times New Roman"/>
          <w:b w:val="false"/>
          <w:bCs w:val="false"/>
          <w:i w:val="false"/>
          <w:iCs/>
          <w:color w:val="auto"/>
          <w:sz w:val="20"/>
          <w:szCs w:val="22"/>
          <w:lang w:val="pt-BR" w:eastAsia="pt-BR" w:bidi="ar-SA"/>
        </w:rPr>
        <w:t>ão cumprimento ou cumprimento irregular de normas editalícias, de cláusulas contratuais, de especificações técnicas ou de prazos;</w:t>
      </w:r>
    </w:p>
    <w:p>
      <w:pPr>
        <w:pStyle w:val="Nvel02"/>
        <w:numPr>
          <w:ilvl w:val="3"/>
          <w:numId w:val="1"/>
        </w:numPr>
        <w:spacing w:lineRule="auto" w:line="276" w:before="119" w:after="119"/>
        <w:ind w:hanging="0" w:left="0" w:right="0"/>
        <w:rPr>
          <w:rFonts w:ascii="Times New Roman" w:hAnsi="Times New Roman"/>
        </w:rPr>
      </w:pPr>
      <w:r>
        <w:rPr>
          <w:rFonts w:ascii="Times New Roman" w:hAnsi="Times New Roman"/>
        </w:rPr>
        <w:t>i</w:t>
      </w:r>
      <w:r>
        <w:rPr>
          <w:rFonts w:eastAsia="Calibri" w:cs="Tahoma" w:ascii="Times New Roman" w:hAnsi="Times New Roman"/>
          <w:b w:val="false"/>
          <w:bCs w:val="false"/>
          <w:i w:val="false"/>
          <w:iCs/>
          <w:color w:val="auto"/>
          <w:sz w:val="20"/>
          <w:szCs w:val="22"/>
          <w:lang w:val="pt-BR" w:eastAsia="pt-BR" w:bidi="ar-SA"/>
        </w:rPr>
        <w:t>nterrupção da prestação dos serviços de saúde por parte do CREDENCIADO, sem justa causa e sem prévia comunicação formal ao CREDENCIANTE;</w:t>
      </w:r>
    </w:p>
    <w:p>
      <w:pPr>
        <w:pStyle w:val="Nvel02"/>
        <w:numPr>
          <w:ilvl w:val="3"/>
          <w:numId w:val="1"/>
        </w:numPr>
        <w:spacing w:lineRule="auto" w:line="276" w:before="119" w:after="119"/>
        <w:ind w:hanging="0" w:left="0" w:right="0"/>
        <w:rPr>
          <w:rFonts w:ascii="Times New Roman" w:hAnsi="Times New Roman"/>
        </w:rPr>
      </w:pPr>
      <w:r>
        <w:rPr>
          <w:rFonts w:ascii="Times New Roman" w:hAnsi="Times New Roman"/>
        </w:rPr>
        <w:t>d</w:t>
      </w:r>
      <w:r>
        <w:rPr>
          <w:rFonts w:eastAsia="Calibri" w:cs="Tahoma" w:ascii="Times New Roman" w:hAnsi="Times New Roman"/>
          <w:b w:val="false"/>
          <w:bCs w:val="false"/>
          <w:i w:val="false"/>
          <w:iCs/>
          <w:color w:val="auto"/>
          <w:sz w:val="20"/>
          <w:szCs w:val="22"/>
          <w:lang w:val="pt-BR" w:eastAsia="pt-BR" w:bidi="ar-SA"/>
        </w:rPr>
        <w:t>esatendimento das determinações regulares emitidas pela autoridade designada para acompanhar e fiscalizar a execução, ou por autoridade superior;</w:t>
      </w:r>
    </w:p>
    <w:p>
      <w:pPr>
        <w:pStyle w:val="Nvel02"/>
        <w:numPr>
          <w:ilvl w:val="3"/>
          <w:numId w:val="1"/>
        </w:numPr>
        <w:spacing w:lineRule="auto" w:line="276" w:before="119" w:after="119"/>
        <w:ind w:hanging="0" w:left="0" w:right="0"/>
        <w:rPr>
          <w:rFonts w:ascii="Times New Roman" w:hAnsi="Times New Roman"/>
        </w:rPr>
      </w:pPr>
      <w:r>
        <w:rPr>
          <w:rFonts w:ascii="Times New Roman" w:hAnsi="Times New Roman"/>
        </w:rPr>
        <w:t>a</w:t>
      </w:r>
      <w:r>
        <w:rPr>
          <w:rFonts w:eastAsia="Calibri" w:cs="Tahoma" w:ascii="Times New Roman" w:hAnsi="Times New Roman"/>
          <w:b w:val="false"/>
          <w:bCs w:val="false"/>
          <w:i w:val="false"/>
          <w:iCs/>
          <w:color w:val="auto"/>
          <w:sz w:val="20"/>
          <w:szCs w:val="22"/>
          <w:lang w:val="pt-BR" w:eastAsia="pt-BR" w:bidi="ar-SA"/>
        </w:rPr>
        <w:t>ssociação do CREDENCIADO com outrem, cessão ou transferência, total ou parcial, bem como fusão, cisão ou incorporação não admitidas neste Edital e no instrumento contratual;</w:t>
      </w:r>
    </w:p>
    <w:p>
      <w:pPr>
        <w:pStyle w:val="Nvel02"/>
        <w:numPr>
          <w:ilvl w:val="3"/>
          <w:numId w:val="1"/>
        </w:numPr>
        <w:spacing w:lineRule="auto" w:line="276" w:before="119" w:after="119"/>
        <w:ind w:hanging="0" w:left="0" w:right="0"/>
        <w:rPr>
          <w:rFonts w:ascii="Times New Roman" w:hAnsi="Times New Roman"/>
        </w:rPr>
      </w:pPr>
      <w:r>
        <w:rPr>
          <w:rFonts w:ascii="Times New Roman" w:hAnsi="Times New Roman"/>
        </w:rPr>
        <w:t>a</w:t>
      </w:r>
      <w:r>
        <w:rPr>
          <w:rFonts w:eastAsia="Calibri" w:cs="Tahoma" w:ascii="Times New Roman" w:hAnsi="Times New Roman"/>
          <w:b w:val="false"/>
          <w:bCs w:val="false"/>
          <w:i w:val="false"/>
          <w:iCs/>
          <w:color w:val="auto"/>
          <w:sz w:val="20"/>
          <w:szCs w:val="22"/>
          <w:lang w:val="pt-BR" w:eastAsia="pt-BR" w:bidi="ar-SA"/>
        </w:rPr>
        <w:t>lteração social ou modificação da finalidade ou da estrutura da empresa que restrinja sua capacidade de cumprir as obrigações assumidas;</w:t>
      </w:r>
    </w:p>
    <w:p>
      <w:pPr>
        <w:pStyle w:val="Nvel02"/>
        <w:numPr>
          <w:ilvl w:val="3"/>
          <w:numId w:val="1"/>
        </w:numPr>
        <w:spacing w:lineRule="auto" w:line="276" w:before="119" w:after="119"/>
        <w:ind w:hanging="0" w:left="0" w:right="0"/>
        <w:rPr>
          <w:rFonts w:ascii="Times New Roman" w:hAnsi="Times New Roman"/>
        </w:rPr>
      </w:pPr>
      <w:r>
        <w:rPr>
          <w:rFonts w:ascii="Times New Roman" w:hAnsi="Times New Roman"/>
        </w:rPr>
        <w:t>c</w:t>
      </w:r>
      <w:r>
        <w:rPr>
          <w:rFonts w:eastAsia="Calibri" w:cs="Tahoma" w:ascii="Times New Roman" w:hAnsi="Times New Roman"/>
          <w:b w:val="false"/>
          <w:bCs w:val="false"/>
          <w:i w:val="false"/>
          <w:iCs/>
          <w:color w:val="auto"/>
          <w:sz w:val="20"/>
          <w:szCs w:val="22"/>
          <w:lang w:val="pt-BR" w:eastAsia="pt-BR" w:bidi="ar-SA"/>
        </w:rPr>
        <w:t>ometimento reiterado de faltas na execução dos serviços, anotadas na forma do § 1º do art. 117 da Lei nº 14.133/2021;</w:t>
      </w:r>
    </w:p>
    <w:p>
      <w:pPr>
        <w:pStyle w:val="Nvel02"/>
        <w:numPr>
          <w:ilvl w:val="3"/>
          <w:numId w:val="1"/>
        </w:numPr>
        <w:spacing w:lineRule="auto" w:line="276" w:before="119" w:after="119"/>
        <w:ind w:hanging="0" w:left="0" w:right="0"/>
        <w:rPr>
          <w:rFonts w:ascii="Times New Roman" w:hAnsi="Times New Roman"/>
        </w:rPr>
      </w:pPr>
      <w:r>
        <w:rPr>
          <w:rFonts w:ascii="Times New Roman" w:hAnsi="Times New Roman"/>
        </w:rPr>
        <w:t>d</w:t>
      </w:r>
      <w:r>
        <w:rPr>
          <w:rFonts w:eastAsia="Calibri" w:cs="Tahoma" w:ascii="Times New Roman" w:hAnsi="Times New Roman"/>
          <w:b w:val="false"/>
          <w:bCs w:val="false"/>
          <w:i w:val="false"/>
          <w:iCs/>
          <w:color w:val="auto"/>
          <w:sz w:val="20"/>
          <w:szCs w:val="22"/>
          <w:lang w:val="pt-BR" w:eastAsia="pt-BR" w:bidi="ar-SA"/>
        </w:rPr>
        <w:t>ecretação de falência, instauração de insolvência civil, dissolução da sociedade ou falecimento do CREDENCIADO;</w:t>
      </w:r>
    </w:p>
    <w:p>
      <w:pPr>
        <w:pStyle w:val="Nvel02"/>
        <w:numPr>
          <w:ilvl w:val="3"/>
          <w:numId w:val="1"/>
        </w:numPr>
        <w:spacing w:lineRule="auto" w:line="276" w:before="119" w:after="119"/>
        <w:ind w:hanging="0" w:left="0" w:right="0"/>
        <w:rPr>
          <w:rFonts w:ascii="Times New Roman" w:hAnsi="Times New Roman"/>
        </w:rPr>
      </w:pPr>
      <w:r>
        <w:rPr>
          <w:rFonts w:ascii="Times New Roman" w:hAnsi="Times New Roman"/>
        </w:rPr>
        <w:t>r</w:t>
      </w:r>
      <w:r>
        <w:rPr>
          <w:rFonts w:eastAsia="Calibri" w:cs="Tahoma" w:ascii="Times New Roman" w:hAnsi="Times New Roman"/>
          <w:b w:val="false"/>
          <w:bCs w:val="false"/>
          <w:i w:val="false"/>
          <w:iCs/>
          <w:color w:val="auto"/>
          <w:sz w:val="20"/>
          <w:szCs w:val="22"/>
          <w:lang w:val="pt-BR" w:eastAsia="pt-BR" w:bidi="ar-SA"/>
        </w:rPr>
        <w:t>azões de interesse público, de alta relevância e amplo conhecimento, justificadas e determinadas pela máxima autoridade da esfera administrativa a que está subordinado o CREDENCIANTE, exaradas no respectivo processo administrativo;</w:t>
      </w:r>
    </w:p>
    <w:p>
      <w:pPr>
        <w:pStyle w:val="Nvel02"/>
        <w:numPr>
          <w:ilvl w:val="3"/>
          <w:numId w:val="1"/>
        </w:numPr>
        <w:spacing w:lineRule="auto" w:line="276" w:before="119" w:after="119"/>
        <w:ind w:hanging="0" w:left="0" w:right="0"/>
        <w:rPr>
          <w:rFonts w:ascii="Times New Roman" w:hAnsi="Times New Roman"/>
        </w:rPr>
      </w:pPr>
      <w:r>
        <w:rPr>
          <w:rFonts w:ascii="Times New Roman" w:hAnsi="Times New Roman"/>
        </w:rPr>
        <w:t>o</w:t>
      </w:r>
      <w:r>
        <w:rPr>
          <w:rFonts w:eastAsia="Calibri" w:cs="Tahoma" w:ascii="Times New Roman" w:hAnsi="Times New Roman"/>
          <w:b w:val="false"/>
          <w:bCs w:val="false"/>
          <w:i w:val="false"/>
          <w:iCs/>
          <w:color w:val="auto"/>
          <w:sz w:val="20"/>
          <w:szCs w:val="22"/>
          <w:lang w:val="pt-BR" w:eastAsia="pt-BR" w:bidi="ar-SA"/>
        </w:rPr>
        <w:t>corrência de caso fortuito ou de força maior, regularmente comprovada, que seja impeditiva da execução do objeto;</w:t>
      </w:r>
    </w:p>
    <w:p>
      <w:pPr>
        <w:pStyle w:val="Nvel02"/>
        <w:numPr>
          <w:ilvl w:val="3"/>
          <w:numId w:val="1"/>
        </w:numPr>
        <w:spacing w:lineRule="auto" w:line="276" w:before="119" w:after="119"/>
        <w:ind w:hanging="0" w:left="0" w:right="0"/>
        <w:rPr>
          <w:rFonts w:ascii="Times New Roman" w:hAnsi="Times New Roman"/>
        </w:rPr>
      </w:pPr>
      <w:r>
        <w:rPr>
          <w:rFonts w:ascii="Times New Roman" w:hAnsi="Times New Roman"/>
        </w:rPr>
        <w:t>d</w:t>
      </w:r>
      <w:r>
        <w:rPr>
          <w:rFonts w:eastAsia="Calibri" w:cs="Tahoma" w:ascii="Times New Roman" w:hAnsi="Times New Roman"/>
          <w:b w:val="false"/>
          <w:bCs w:val="false"/>
          <w:i w:val="false"/>
          <w:iCs/>
          <w:color w:val="auto"/>
          <w:sz w:val="20"/>
          <w:szCs w:val="22"/>
          <w:lang w:val="pt-BR" w:eastAsia="pt-BR" w:bidi="ar-SA"/>
        </w:rPr>
        <w:t>escumprimento do disposto no inciso VI do art. 68 da Lei nº 14.133/2021 (proibição de trabalho noturno, perigoso ou insalubre a menores de dezoito anos e de qualquer trabalho a menores de dezesseis anos), sem prejuízo das sanções penais cabíveis.</w:t>
      </w:r>
    </w:p>
    <w:p>
      <w:pPr>
        <w:pStyle w:val="Nvel02"/>
        <w:numPr>
          <w:ilvl w:val="2"/>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P</w:t>
      </w:r>
      <w:r>
        <w:rPr>
          <w:rFonts w:eastAsia="Calibri" w:cs="Tahoma" w:ascii="Times New Roman" w:hAnsi="Times New Roman"/>
          <w:b w:val="false"/>
          <w:bCs w:val="false"/>
          <w:i w:val="false"/>
          <w:iCs/>
          <w:color w:val="auto"/>
          <w:sz w:val="20"/>
          <w:szCs w:val="22"/>
          <w:lang w:val="pt-BR" w:eastAsia="pt-BR" w:bidi="ar-SA"/>
        </w:rPr>
        <w:t>or acordo entre as partes (Amigável), reduzida a termo no procedimento de credenciamento, desde que não cause prejuízo à assistência à saúde dos beneficiários do FuSEx/SAMMED/PASS, devendo o CREDENCIADO formalizar a solicitação com antecedência mínima de 30 (trinta) dias.</w:t>
      </w:r>
    </w:p>
    <w:p>
      <w:pPr>
        <w:pStyle w:val="Nvel02"/>
        <w:numPr>
          <w:ilvl w:val="3"/>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 xml:space="preserve">O </w:t>
      </w:r>
      <w:r>
        <w:rPr>
          <w:rFonts w:eastAsia="Calibri" w:cs="Tahoma" w:ascii="Times New Roman" w:hAnsi="Times New Roman"/>
          <w:b w:val="false"/>
          <w:bCs w:val="false"/>
          <w:i w:val="false"/>
          <w:iCs/>
          <w:color w:val="auto"/>
          <w:sz w:val="20"/>
          <w:szCs w:val="22"/>
          <w:lang w:val="pt-BR" w:eastAsia="pt-BR" w:bidi="ar-SA"/>
        </w:rPr>
        <w:t>CREDENCIADO que estiver respondendo a processo administrativo de apuração de irregularidades ou falhas na prestação de seus serviços não poderá solicitar a rescisão amigável até a conclusão definitiva do referido processo.</w:t>
      </w:r>
    </w:p>
    <w:p>
      <w:pPr>
        <w:pStyle w:val="Nvel02"/>
        <w:numPr>
          <w:ilvl w:val="2"/>
          <w:numId w:val="1"/>
        </w:numPr>
        <w:spacing w:lineRule="auto" w:line="276" w:before="119" w:after="119"/>
        <w:ind w:hanging="0" w:left="0" w:right="0"/>
        <w:rPr>
          <w:rFonts w:ascii="Times New Roman" w:hAnsi="Times New Roman"/>
        </w:rPr>
      </w:pPr>
      <w:r>
        <w:rPr>
          <w:rFonts w:ascii="Times New Roman" w:hAnsi="Times New Roman"/>
          <w:b w:val="false"/>
          <w:bCs w:val="false"/>
        </w:rPr>
        <w:t>P</w:t>
      </w:r>
      <w:r>
        <w:rPr>
          <w:rFonts w:eastAsia="Calibri" w:cs="Tahoma" w:ascii="Times New Roman" w:hAnsi="Times New Roman"/>
          <w:b w:val="false"/>
          <w:bCs w:val="false"/>
          <w:i w:val="false"/>
          <w:iCs/>
          <w:color w:val="auto"/>
          <w:sz w:val="20"/>
          <w:szCs w:val="22"/>
          <w:lang w:val="pt-BR" w:eastAsia="pt-BR" w:bidi="ar-SA"/>
        </w:rPr>
        <w:t>or iniciativa do CREDENCIADO, mediante notificação formalizada à Administração ou por via judicial, nas hipóteses previstas no art. 138, inciso III, da Lei nº 14.133/2021:</w:t>
      </w:r>
    </w:p>
    <w:p>
      <w:pPr>
        <w:pStyle w:val="Nvel02"/>
        <w:numPr>
          <w:ilvl w:val="3"/>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s</w:t>
      </w:r>
      <w:r>
        <w:rPr>
          <w:rFonts w:eastAsia="Calibri" w:cs="Tahoma" w:ascii="Times New Roman" w:hAnsi="Times New Roman"/>
          <w:b w:val="false"/>
          <w:bCs w:val="false"/>
          <w:i w:val="false"/>
          <w:iCs/>
          <w:color w:val="auto"/>
          <w:sz w:val="20"/>
          <w:szCs w:val="22"/>
          <w:lang w:val="pt-BR" w:eastAsia="pt-BR" w:bidi="ar-SA"/>
        </w:rPr>
        <w:t>uspensão da execução dos serviços, por ordem escrita da Administração, por prazo superior a 120 (cento e vinte) dias, salvo em caso de calamidade pública, grave perturbação da ordem interna ou guerra;</w:t>
      </w:r>
    </w:p>
    <w:p>
      <w:pPr>
        <w:pStyle w:val="Nvel02"/>
        <w:numPr>
          <w:ilvl w:val="3"/>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at</w:t>
      </w:r>
      <w:r>
        <w:rPr>
          <w:rFonts w:eastAsia="Calibri" w:cs="Tahoma" w:ascii="Times New Roman" w:hAnsi="Times New Roman"/>
          <w:b w:val="false"/>
          <w:bCs w:val="false"/>
          <w:i w:val="false"/>
          <w:iCs/>
          <w:color w:val="auto"/>
          <w:sz w:val="20"/>
          <w:szCs w:val="22"/>
          <w:lang w:val="pt-BR" w:eastAsia="pt-BR" w:bidi="ar-SA"/>
        </w:rPr>
        <w:t>raso superior a 2 (dois) meses, contados da emissão e regular liquidação da Nota Fiscal ou Recibo de Pagamento de Autônomo (RPA), dos pagamentos devidos pela Administração Pública Federal decorrentes de serviços efetivamente prestados, salvo em caso de calamidade pública, grave perturbação da ordem interna ou guerra, assegurado ao CREDENCIADO o direito de optar pela suspensão do cumprimento de suas obrigações até que a situação seja normalizada.</w:t>
      </w:r>
    </w:p>
    <w:p>
      <w:pPr>
        <w:pStyle w:val="Nvel02"/>
        <w:widowControl/>
        <w:numPr>
          <w:ilvl w:val="2"/>
          <w:numId w:val="1"/>
        </w:numPr>
        <w:spacing w:lineRule="auto" w:line="276" w:before="119" w:after="119"/>
        <w:ind w:hanging="0" w:left="0" w:right="0"/>
        <w:jc w:val="both"/>
        <w:rPr>
          <w:rFonts w:ascii="Times New Roman" w:hAnsi="Times New Roman"/>
          <w:b w:val="false"/>
          <w:bCs w:val="false"/>
        </w:rPr>
      </w:pPr>
      <w:r>
        <w:rPr>
          <w:rFonts w:eastAsia="Calibri" w:cs="Tahoma" w:ascii="Times New Roman" w:hAnsi="Times New Roman"/>
          <w:b w:val="false"/>
          <w:bCs w:val="false"/>
          <w:sz w:val="20"/>
          <w:szCs w:val="22"/>
          <w:lang w:val="pt-BR" w:eastAsia="pt-BR" w:bidi="ar-SA"/>
        </w:rPr>
        <w:t>Cas</w:t>
      </w:r>
      <w:r>
        <w:rPr>
          <w:rFonts w:eastAsia="Calibri" w:cs="Tahoma" w:ascii="Times New Roman" w:hAnsi="Times New Roman"/>
          <w:b w:val="false"/>
          <w:bCs w:val="false"/>
          <w:i w:val="false"/>
          <w:iCs/>
          <w:color w:val="auto"/>
          <w:sz w:val="20"/>
          <w:szCs w:val="22"/>
          <w:lang w:val="pt-BR" w:eastAsia="pt-BR" w:bidi="ar-SA"/>
        </w:rPr>
        <w:t>o o CREDENCIADO não concorde com os novos preços resultantes do reajuste geral anual das listas referenciais, poderá solicitar o seu descredenciamento a qualquer momento, observada a antecedência mínima de 30 (trinta) dias, de modo a não interromper abruptamente o atendimento aos beneficiários do FuSEx/SAMMED/PASS.</w:t>
      </w:r>
    </w:p>
    <w:p>
      <w:pPr>
        <w:pStyle w:val="Nvel02"/>
        <w:numPr>
          <w:ilvl w:val="1"/>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 xml:space="preserve">A </w:t>
      </w:r>
      <w:r>
        <w:rPr>
          <w:rFonts w:eastAsia="Calibri" w:cs="Tahoma" w:ascii="Times New Roman" w:hAnsi="Times New Roman"/>
          <w:b w:val="false"/>
          <w:bCs w:val="false"/>
          <w:i w:val="false"/>
          <w:iCs/>
          <w:color w:val="auto"/>
          <w:sz w:val="20"/>
          <w:szCs w:val="22"/>
          <w:lang w:val="pt-BR" w:eastAsia="pt-BR" w:bidi="ar-SA"/>
        </w:rPr>
        <w:t>rescisão administrativa ou amigável deverá ser precedida de autorização escrita e fundamentada da autoridade competente, observado o devido processo legal.</w:t>
      </w:r>
    </w:p>
    <w:p>
      <w:pPr>
        <w:pStyle w:val="Nvel02"/>
        <w:numPr>
          <w:ilvl w:val="1"/>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 xml:space="preserve">O </w:t>
      </w:r>
      <w:r>
        <w:rPr>
          <w:rFonts w:eastAsia="Calibri" w:cs="Tahoma" w:ascii="Times New Roman" w:hAnsi="Times New Roman"/>
          <w:b w:val="false"/>
          <w:bCs w:val="false"/>
          <w:i w:val="false"/>
          <w:iCs/>
          <w:color w:val="auto"/>
          <w:sz w:val="20"/>
          <w:szCs w:val="22"/>
          <w:lang w:val="pt-BR" w:eastAsia="pt-BR" w:bidi="ar-SA"/>
        </w:rPr>
        <w:t>Hospital Militar de Resende poderá, no curso do processo de apuração das hipóteses de rescisão unilateral, suspender temporariamente o encaminhamento de novos pacientes ou a execução dos serviços, como medida cautelar de proteção aos usuários.</w:t>
      </w:r>
    </w:p>
    <w:p>
      <w:pPr>
        <w:pStyle w:val="Nvel02"/>
        <w:numPr>
          <w:ilvl w:val="1"/>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Q</w:t>
      </w:r>
      <w:r>
        <w:rPr>
          <w:rFonts w:eastAsia="Calibri" w:cs="Tahoma" w:ascii="Times New Roman" w:hAnsi="Times New Roman"/>
          <w:b w:val="false"/>
          <w:bCs w:val="false"/>
          <w:i w:val="false"/>
          <w:iCs/>
          <w:color w:val="auto"/>
          <w:sz w:val="20"/>
          <w:szCs w:val="22"/>
          <w:lang w:val="pt-BR" w:eastAsia="pt-BR" w:bidi="ar-SA"/>
        </w:rPr>
        <w:t>uando a rescisão ocorrer sem culpa do CREDENCIADO, com base nos subitens 42.1.2.7 (interesse público), 42.1.2.8 (caso fortuito/força maior) ou 42.1.4 (falta da Administração), será este ressarcido dos prejuízos regularmente comprovados, tendo direito a:</w:t>
      </w:r>
    </w:p>
    <w:p>
      <w:pPr>
        <w:pStyle w:val="Nvel02"/>
        <w:numPr>
          <w:ilvl w:val="2"/>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pa</w:t>
      </w:r>
      <w:r>
        <w:rPr>
          <w:rFonts w:eastAsia="Calibri" w:cs="Tahoma" w:ascii="Times New Roman" w:hAnsi="Times New Roman"/>
          <w:b w:val="false"/>
          <w:bCs w:val="false"/>
          <w:i w:val="false"/>
          <w:iCs/>
          <w:color w:val="auto"/>
          <w:sz w:val="20"/>
          <w:szCs w:val="22"/>
          <w:lang w:val="pt-BR" w:eastAsia="pt-BR" w:bidi="ar-SA"/>
        </w:rPr>
        <w:t>gamentos devidos pelos serviços efetivamente executados e auditados até a data da rescisão;</w:t>
      </w:r>
    </w:p>
    <w:p>
      <w:pPr>
        <w:pStyle w:val="Nvel02"/>
        <w:numPr>
          <w:ilvl w:val="2"/>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p</w:t>
      </w:r>
      <w:r>
        <w:rPr>
          <w:rFonts w:eastAsia="Calibri" w:cs="Tahoma" w:ascii="Times New Roman" w:hAnsi="Times New Roman"/>
          <w:b w:val="false"/>
          <w:bCs w:val="false"/>
          <w:i w:val="false"/>
          <w:iCs/>
          <w:color w:val="auto"/>
          <w:sz w:val="20"/>
          <w:szCs w:val="22"/>
          <w:lang w:val="pt-BR" w:eastAsia="pt-BR" w:bidi="ar-SA"/>
        </w:rPr>
        <w:t>agamento do custo de desmobilização, se devidamente comprovado e aplicável à natureza do serviço.</w:t>
      </w:r>
    </w:p>
    <w:p>
      <w:pPr>
        <w:pStyle w:val="Nvel02"/>
        <w:numPr>
          <w:ilvl w:val="1"/>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A</w:t>
      </w:r>
      <w:r>
        <w:rPr>
          <w:rFonts w:eastAsia="Calibri" w:cs="Tahoma" w:ascii="Times New Roman" w:hAnsi="Times New Roman"/>
          <w:b w:val="false"/>
          <w:bCs w:val="false"/>
          <w:i w:val="false"/>
          <w:iCs/>
          <w:color w:val="auto"/>
          <w:sz w:val="20"/>
          <w:szCs w:val="22"/>
          <w:lang w:val="pt-BR" w:eastAsia="pt-BR" w:bidi="ar-SA"/>
        </w:rPr>
        <w:t xml:space="preserve"> rescisão unilateral por ato da Administração acarreta as seguintes consequências, sem prejuízo das sanções previstas neste Edital:</w:t>
      </w:r>
    </w:p>
    <w:p>
      <w:pPr>
        <w:pStyle w:val="Nvel02"/>
        <w:widowControl/>
        <w:numPr>
          <w:ilvl w:val="2"/>
          <w:numId w:val="1"/>
        </w:numPr>
        <w:spacing w:lineRule="auto" w:line="276" w:before="119" w:after="119"/>
        <w:ind w:hanging="0" w:left="0" w:right="0"/>
        <w:jc w:val="both"/>
        <w:rPr>
          <w:rFonts w:ascii="Times New Roman" w:hAnsi="Times New Roman"/>
          <w:b w:val="false"/>
          <w:bCs w:val="false"/>
        </w:rPr>
      </w:pPr>
      <w:r>
        <w:rPr>
          <w:rFonts w:eastAsia="Calibri" w:cs="Tahoma" w:ascii="Times New Roman" w:hAnsi="Times New Roman"/>
          <w:b w:val="false"/>
          <w:bCs w:val="false"/>
          <w:sz w:val="20"/>
          <w:szCs w:val="22"/>
          <w:lang w:val="pt-BR" w:eastAsia="pt-BR" w:bidi="ar-SA"/>
        </w:rPr>
        <w:t>e</w:t>
      </w:r>
      <w:r>
        <w:rPr>
          <w:rFonts w:eastAsia="Calibri" w:cs="Tahoma" w:ascii="Times New Roman" w:hAnsi="Times New Roman"/>
          <w:b w:val="false"/>
          <w:bCs w:val="false"/>
          <w:i w:val="false"/>
          <w:iCs/>
          <w:color w:val="auto"/>
          <w:sz w:val="20"/>
          <w:szCs w:val="22"/>
          <w:lang w:val="pt-BR" w:eastAsia="pt-BR" w:bidi="ar-SA"/>
        </w:rPr>
        <w:t>xecução da garantia contratual (se houver), para ressarcimento dos prejuízos causados e quitação de multas aplicadas;</w:t>
      </w:r>
    </w:p>
    <w:p>
      <w:pPr>
        <w:pStyle w:val="Nvel02"/>
        <w:numPr>
          <w:ilvl w:val="2"/>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r</w:t>
      </w:r>
      <w:r>
        <w:rPr>
          <w:rFonts w:eastAsia="Calibri" w:cs="Tahoma" w:ascii="Times New Roman" w:hAnsi="Times New Roman"/>
          <w:b w:val="false"/>
          <w:bCs w:val="false"/>
          <w:i w:val="false"/>
          <w:iCs/>
          <w:color w:val="auto"/>
          <w:sz w:val="20"/>
          <w:szCs w:val="22"/>
          <w:lang w:val="pt-BR" w:eastAsia="pt-BR" w:bidi="ar-SA"/>
        </w:rPr>
        <w:t>etenção dos créditos decorrentes da produção mensal de guias até o limite dos prejuízos quantificados e causados à Administração.</w:t>
      </w:r>
    </w:p>
    <w:p>
      <w:pPr>
        <w:pStyle w:val="Nvel02"/>
        <w:numPr>
          <w:ilvl w:val="1"/>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 xml:space="preserve">É </w:t>
      </w:r>
      <w:r>
        <w:rPr>
          <w:rFonts w:eastAsia="Calibri" w:cs="Tahoma" w:ascii="Times New Roman" w:hAnsi="Times New Roman"/>
          <w:b w:val="false"/>
          <w:bCs w:val="false"/>
          <w:i w:val="false"/>
          <w:iCs/>
          <w:color w:val="auto"/>
          <w:sz w:val="20"/>
          <w:szCs w:val="22"/>
          <w:lang w:val="pt-BR" w:eastAsia="pt-BR" w:bidi="ar-SA"/>
        </w:rPr>
        <w:t>permitido à Administração Pública Federal, no caso de recuperação judicial do CREDENCIADO, manter o ajuste se demonstrada a viabilidade da continuidade da prestação dos serviços de saúde.</w:t>
      </w:r>
    </w:p>
    <w:p>
      <w:pPr>
        <w:pStyle w:val="Nvel02"/>
        <w:numPr>
          <w:ilvl w:val="1"/>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E</w:t>
      </w:r>
      <w:r>
        <w:rPr>
          <w:rFonts w:eastAsia="Calibri" w:cs="Tahoma" w:ascii="Times New Roman" w:hAnsi="Times New Roman"/>
          <w:b w:val="false"/>
          <w:bCs w:val="false"/>
          <w:i w:val="false"/>
          <w:iCs/>
          <w:color w:val="auto"/>
          <w:sz w:val="20"/>
          <w:szCs w:val="22"/>
          <w:lang w:val="pt-BR" w:eastAsia="pt-BR" w:bidi="ar-SA"/>
        </w:rPr>
        <w:t>m caso de rescisão ou descredenciamento, o CREDENCIADO obriga-se a manter a continuidade dos tratamentos em curso de pacientes internados que não possam ser removidos para outra unidade hospitalar devido ao risco de agravamento do estado de saúde, bem como de pacientes em tratamento oncológico, hemodiálise ou terapias de alta complexidade iniciadas, até a efetiva alta médica ou transferência segura coordenada pelo CREDENCIANTE.</w:t>
      </w:r>
    </w:p>
    <w:p>
      <w:pPr>
        <w:pStyle w:val="Nvel02"/>
        <w:numPr>
          <w:ilvl w:val="0"/>
          <w:numId w:val="1"/>
        </w:numPr>
        <w:spacing w:lineRule="auto" w:line="276" w:before="119" w:after="119"/>
        <w:ind w:hanging="0" w:left="0" w:right="0"/>
        <w:rPr>
          <w:rFonts w:ascii="Times New Roman" w:hAnsi="Times New Roman" w:eastAsia="Calibri" w:cs="Tahoma"/>
          <w:b w:val="false"/>
          <w:bCs w:val="false"/>
          <w:color w:val="auto"/>
          <w:sz w:val="20"/>
          <w:szCs w:val="20"/>
          <w:u w:val="none"/>
          <w:shd w:fill="auto" w:val="clear"/>
          <w:lang w:val="pt-BR" w:eastAsia="pt-BR" w:bidi="ar-SA"/>
        </w:rPr>
      </w:pPr>
      <w:r>
        <w:rPr>
          <w:rFonts w:eastAsia="Calibri" w:cs="Tahoma" w:ascii="Times New Roman" w:hAnsi="Times New Roman"/>
          <w:b w:val="false"/>
          <w:bCs w:val="false"/>
          <w:color w:val="000000"/>
          <w:sz w:val="20"/>
          <w:szCs w:val="20"/>
          <w:u w:val="none"/>
          <w:shd w:fill="auto" w:val="clear"/>
          <w:lang w:val="pt-BR" w:eastAsia="pt-BR" w:bidi="ar-SA"/>
        </w:rPr>
        <w:t>A rescisão não eximirá o CREDENCIADO das garantias técnicas assumidas em relação aos atos médicos e serviços executados, bem como de outras responsabilidades civis e penais que legalmente lhe possam ser imputadas.</w:t>
      </w:r>
    </w:p>
    <w:p>
      <w:pPr>
        <w:pStyle w:val="Nvel02"/>
        <w:numPr>
          <w:ilvl w:val="0"/>
          <w:numId w:val="0"/>
        </w:numPr>
        <w:spacing w:lineRule="auto" w:line="276" w:before="119" w:after="119"/>
        <w:ind w:hanging="0" w:left="0" w:right="0"/>
        <w:rPr>
          <w:rFonts w:ascii="Times New Roman" w:hAnsi="Times New Roman" w:eastAsia="Calibri" w:cs="Tahoma"/>
          <w:b w:val="false"/>
          <w:bCs w:val="false"/>
          <w:color w:val="auto"/>
          <w:sz w:val="20"/>
          <w:szCs w:val="20"/>
          <w:u w:val="none"/>
          <w:shd w:fill="auto" w:val="clear"/>
          <w:lang w:val="pt-BR" w:eastAsia="pt-BR" w:bidi="ar-SA"/>
        </w:rPr>
      </w:pPr>
      <w:r>
        <w:rPr>
          <w:rFonts w:eastAsia="Calibri" w:cs="Tahoma" w:ascii="Times New Roman" w:hAnsi="Times New Roman"/>
          <w:b w:val="false"/>
          <w:bCs w:val="false"/>
          <w:color w:val="000000"/>
          <w:sz w:val="20"/>
          <w:szCs w:val="20"/>
          <w:u w:val="none"/>
          <w:shd w:fill="auto" w:val="clear"/>
          <w:lang w:val="pt-BR" w:eastAsia="pt-BR" w:bidi="ar-SA"/>
        </w:rPr>
      </w:r>
    </w:p>
    <w:p>
      <w:pPr>
        <w:pStyle w:val="Normal"/>
        <w:widowControl w:val="false"/>
        <w:spacing w:before="0" w:after="113"/>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DÉCIMA SEGUNDA – Das obrigações do credenciante.</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Cumprir e fazer cumprir as disposições deste Termo de Credenciamento, do Edital de Credenciamento, do Termo de Referência e da legislação aplicável.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Encaminhar ao CREDENCIADO os beneficiários regularmente habilitados ao atendimento, observadas as regras de distribuição da demanda, a disponibilidade assistencial, a livre escolha do beneficiário, quando aplicável, e os critérios estabelecidos no Edital e no Termo de Referência.</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Emitir as Guias de Encaminhamento, autorizações e demais documentos necessários à prestação dos serviços, observadas as hipóteses previstas no Edital e no Termo de Referência.</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Exercer o acompanhamento, a fiscalização e a auditoria da execução contratual, por meio dos agentes formalmente designados, sem prejuízo da responsabilidade exclusiva do CREDENCIADO pela execução dos serviços.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Efetuar o pagamento dos serviços regularmente executados, auditados e atestados, na forma, nos prazos e nas condições estabelecidos neste Termo de Credenciamento, no Edital e no Termo de Referência.</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Comunicar ao CREDENCIADO as ocorrências verificadas durante a execução contratual que exijam providências corretivas, concedendo prazo para manifestação ou regularização, quando cabível.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Aplicar, quando cabíveis, as glosas, notificações, sanções administrativas e demais medidas previstas neste Termo de Credenciamento, no Edital, no Termo de Referência e na legislação vigente, assegurados o contraditório e a ampla defesa, quando exigidos.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Disponibilizar ao CREDENCIADO as normas, instruções, listas referenciais, tabelas de remuneração, formulários e demais documentos necessários à adequada execução dos serviços.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Promover a atualização das listas referenciais, critérios de remuneração e demais instrumentos técnicos, na forma prevista no Edital e no Termo de Referência.</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 xml:space="preserve"> </w:t>
      </w:r>
      <w:r>
        <w:rPr>
          <w:rFonts w:eastAsia="Calibri" w:cs="Tahoma" w:ascii="Times New Roman" w:hAnsi="Times New Roman"/>
          <w:color w:val="auto"/>
          <w:sz w:val="20"/>
          <w:lang w:eastAsia="pt-BR"/>
        </w:rPr>
        <w:t>Adotar as medidas necessárias para assegurar a continuidade da assistência aos beneficiários, sempre que ocorrer interrupção ou risco de descontinuidade da prestação dos serviços.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Zelar pela observância dos princípios da legalidade, impessoalidade, moralidade, publicidade, eficiência, economicidade e transparência na gestão deste Termo de Credenciamento.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szCs w:val="20"/>
          <w:u w:val="none"/>
          <w:shd w:fill="auto" w:val="clear"/>
          <w:lang w:eastAsia="pt-BR"/>
        </w:rPr>
      </w:pPr>
      <w:r>
        <w:rPr>
          <w:rFonts w:eastAsia="Calibri" w:cs="Tahoma" w:ascii="Times New Roman" w:hAnsi="Times New Roman"/>
          <w:color w:val="000000"/>
          <w:sz w:val="20"/>
          <w:szCs w:val="20"/>
          <w:u w:val="none"/>
          <w:shd w:fill="auto" w:val="clear"/>
          <w:lang w:eastAsia="pt-BR"/>
        </w:rPr>
        <w:t>A CREDENCIANTE não se obriga a encaminhar quantidade mínima de beneficiários, procedimentos ou faturamento ao CREDENCIADO, observando-se a distribuição da demanda na forma prevista no Edital e no Termo de Referência.</w:t>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eastAsia="Calibri" w:cs="Tahoma"/>
          <w:color w:val="auto"/>
          <w:sz w:val="20"/>
          <w:szCs w:val="20"/>
          <w:u w:val="none"/>
          <w:shd w:fill="auto" w:val="clear"/>
          <w:lang w:eastAsia="pt-BR"/>
        </w:rPr>
      </w:pPr>
      <w:r>
        <w:rPr>
          <w:rFonts w:eastAsia="Calibri" w:cs="Tahoma" w:ascii="Times New Roman" w:hAnsi="Times New Roman"/>
          <w:color w:val="000000"/>
          <w:sz w:val="20"/>
          <w:szCs w:val="20"/>
          <w:u w:val="none"/>
          <w:shd w:fill="auto" w:val="clear"/>
          <w:lang w:eastAsia="pt-BR"/>
        </w:rPr>
      </w:r>
    </w:p>
    <w:p>
      <w:pPr>
        <w:pStyle w:val="Normal"/>
        <w:widowControl w:val="false"/>
        <w:spacing w:before="0" w:after="113"/>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DÉCIMA TERCEIRA – Das obrigações do credenciado.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Constituem obrigações do CREDENCIADO, sem prejuízo das demais previstas neste Termo de Credenciamento, no Edital, no Termo de Referência e na legislação aplicável: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Executar os serviços objeto deste Termo de Credenciamento com observância da legislação vigente, das normas técnicas, éticas, sanitárias e assistenciais aplicáveis, mantendo padrão adequado de qualidade, segurança, eficiência e continuidade da assistência.</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Manter, durante toda a vigência deste Termo de Credenciamento, as condições de habilitação, qualificação técnica, regularidade fiscal, trabalhista, previdenciária, sanitária e demais requisitos exigidos para o credenciamento.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Disponibilizar instalações físicas, equipamentos, materiais, medicamentos, recursos tecnológicos e equipe multiprofissional compatíveis com os serviços contratados, responsabilizando-se integralmente pela qualidade da assistência prestada.</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Prestar atendimento aos beneficiários do SAMMED/FuSEx/PASS nas condições estabelecidas neste Termo de Credenciamento, no Edital e no Termo de Referência, observando os critérios de encaminhamento, autorização, cobertura assistencial e classificação de risco, quando aplicáveis.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Manter responsável técnico regularmente habilitado perante o respectivo Conselho Profissional, respondendo integralmente pelos atos praticados por seus dirigentes, empregados, profissionais, cooperados, prepostos e demais pessoas envolvidas na execução dos serviços.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Comunicar imediatamente à CREDENCIANTE qualquer fato que possa comprometer a continuidade da assistência, a regular execução contratual ou a manutenção das condições de habilitação, inclusive suspensão de atividades, perda de licenças, interdições, paralisações ou outras situações relevantes.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Apresentar as faturas, documentos, relatórios, prontuários, laudos e demais informações necessárias ao faturamento, à auditoria e à fiscalização contratual, observando os prazos e requisitos estabelecidos no Edital e no Termo de Referência.</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Permitir o acesso dos representantes da CREDENCIANTE, dos fiscais do contrato, da auditoria e dos demais órgãos de controle às dependências relacionadas à execução dos serviços, fornecendo todas as informações e documentos necessários ao exercício de suas atribuições, observado o sigilo profissional e a legislação aplicável.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Observar as normas de segurança do paciente, controle de infecção, gerenciamento de riscos assistenciais, proteção radiológica, processamento de produtos para saúde, gerenciamento de resíduos dos serviços de saúde e demais normas sanitárias aplicáveis.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Manter absoluto sigilo sobre as informações clínicas, administrativas e pessoais dos beneficiários, observando a Lei Geral de Proteção de Dados Pessoais (LGPD), o Código de Ética Profissional e a legislação vigente.</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Responder integralmente pelos danos decorrentes da execução dos serviços, na forma prevista neste Termo de Credenciamento e na legislação aplicável.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Não exigir dos beneficiários qualquer pagamento, caução, garantia, complementação de valores ou cobrança adicional relativa aos serviços cobertos pelo SAMMED/FuSEx/PASS, ressalvadas as hipóteses expressamente previstas no Edital e na legislação aplicável.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Cumprir as determinações expedidas pela CREDENCIANTE relacionadas à execução contratual, à auditoria, à fiscalização e à gestão do contrato, desde que compatíveis com a legislação vigente.</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Atender às solicitações de esclarecimentos, diligências e apresentação de documentos formuladas pela CREDENCIANTE dentro dos prazos estabelecidos.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Observar integralmente as disposições constantes do Edital de Credenciamento, do Termo de Referência, de seus Anexos e das demais normas aplicáveis ao Sistema de Saúde do Exército Brasileiro.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color w:val="auto"/>
          <w:sz w:val="20"/>
        </w:rPr>
      </w:pPr>
      <w:r>
        <w:rPr>
          <w:rFonts w:eastAsia="Calibri" w:cs="Tahoma" w:ascii="Times New Roman" w:hAnsi="Times New Roman"/>
          <w:color w:val="auto"/>
          <w:sz w:val="20"/>
          <w:lang w:eastAsia="pt-BR"/>
        </w:rPr>
        <w:t xml:space="preserve">O CREDENCIADO declara ter pleno conhecimento das disposições constantes do Edital de Credenciamento, do Termo de Referência e de seus Anexos, comprometendo-se a cumpri-las integralmente durante toda a vigência deste Termo de Credenciamento. </w:t>
      </w:r>
    </w:p>
    <w:p>
      <w:pPr>
        <w:pStyle w:val="BodyText"/>
        <w:widowControl w:val="false"/>
        <w:numPr>
          <w:ilvl w:val="0"/>
          <w:numId w:val="1"/>
        </w:numPr>
        <w:bidi w:val="0"/>
        <w:spacing w:lineRule="auto" w:line="276" w:before="0" w:after="113"/>
        <w:ind w:hanging="0" w:left="0" w:right="0"/>
        <w:jc w:val="both"/>
        <w:rPr>
          <w:rFonts w:ascii="Times New Roman" w:hAnsi="Times New Roman" w:eastAsia="Calibri" w:cs="Tahoma"/>
          <w:color w:val="auto"/>
          <w:sz w:val="20"/>
          <w:szCs w:val="22"/>
          <w:lang w:eastAsia="pt-BR"/>
        </w:rPr>
      </w:pPr>
      <w:r>
        <w:rPr>
          <w:rFonts w:eastAsia="Calibri" w:cs="Tahoma" w:ascii="Times New Roman" w:hAnsi="Times New Roman"/>
          <w:color w:val="auto"/>
          <w:sz w:val="20"/>
          <w:szCs w:val="22"/>
          <w:lang w:eastAsia="pt-BR"/>
        </w:rPr>
        <w:t>As partes comprometem-se a observar integralmente as disposições da Lei nº 13.709, de 14 de agosto de 2018 (Lei Geral de Proteção de Dados Pessoais – LGPD), adotando as medidas técnicas, administrativas e organizacionais necessárias à proteção dos dados pessoais e dos dados pessoais sensíveis tratados em razão da execução deste Termo de Credenciamento.</w:t>
      </w:r>
    </w:p>
    <w:p>
      <w:pPr>
        <w:pStyle w:val="BodyText"/>
        <w:widowControl w:val="false"/>
        <w:numPr>
          <w:ilvl w:val="0"/>
          <w:numId w:val="1"/>
        </w:numPr>
        <w:bidi w:val="0"/>
        <w:spacing w:lineRule="auto" w:line="276" w:before="0" w:after="113"/>
        <w:ind w:hanging="0" w:left="0" w:right="0"/>
        <w:jc w:val="both"/>
        <w:rPr>
          <w:rFonts w:ascii="Times New Roman" w:hAnsi="Times New Roman" w:eastAsia="Calibri" w:cs="Tahoma"/>
          <w:color w:val="auto"/>
          <w:sz w:val="20"/>
          <w:szCs w:val="22"/>
          <w:lang w:eastAsia="pt-BR"/>
        </w:rPr>
      </w:pPr>
      <w:r>
        <w:rPr>
          <w:rFonts w:eastAsia="Calibri" w:cs="Tahoma" w:ascii="Times New Roman" w:hAnsi="Times New Roman"/>
          <w:color w:val="auto"/>
          <w:sz w:val="20"/>
          <w:szCs w:val="22"/>
          <w:lang w:eastAsia="pt-BR"/>
        </w:rPr>
        <w:t>O CREDENCIADO utilizará os dados pessoais dos beneficiários, de seus representantes legais e demais envolvidos exclusivamente para a execução dos serviços objeto deste Termo de Credenciamento, sendo vedada sua utilização para finalidade diversa daquelas previstas na legislação, neste instrumento, no Edital de Credenciamento e no Termo de Referência.</w:t>
      </w:r>
    </w:p>
    <w:p>
      <w:pPr>
        <w:pStyle w:val="BodyText"/>
        <w:widowControl w:val="false"/>
        <w:numPr>
          <w:ilvl w:val="0"/>
          <w:numId w:val="1"/>
        </w:numPr>
        <w:bidi w:val="0"/>
        <w:spacing w:lineRule="auto" w:line="276" w:before="0" w:after="113"/>
        <w:ind w:hanging="0" w:left="0" w:right="0"/>
        <w:jc w:val="both"/>
        <w:rPr>
          <w:rFonts w:ascii="Times New Roman" w:hAnsi="Times New Roman" w:eastAsia="Calibri" w:cs="Tahoma"/>
          <w:color w:val="auto"/>
          <w:sz w:val="20"/>
          <w:szCs w:val="22"/>
          <w:lang w:eastAsia="pt-BR"/>
        </w:rPr>
      </w:pPr>
      <w:r>
        <w:rPr>
          <w:rFonts w:eastAsia="Calibri" w:cs="Tahoma" w:ascii="Times New Roman" w:hAnsi="Times New Roman"/>
          <w:color w:val="auto"/>
          <w:sz w:val="20"/>
          <w:szCs w:val="22"/>
          <w:lang w:eastAsia="pt-BR"/>
        </w:rPr>
        <w:t>O CREDENCIADO compromete-se a garantir a confidencialidade, a integridade, a disponibilidade e a segurança das informações e documentos sob sua guarda, adotando controles compatíveis com a natureza dos dados tratados e restringindo o acesso apenas aos profissionais que necessitem conhecê-los para a execução dos serviços.</w:t>
      </w:r>
    </w:p>
    <w:p>
      <w:pPr>
        <w:pStyle w:val="BodyText"/>
        <w:widowControl w:val="false"/>
        <w:numPr>
          <w:ilvl w:val="0"/>
          <w:numId w:val="1"/>
        </w:numPr>
        <w:bidi w:val="0"/>
        <w:spacing w:lineRule="auto" w:line="276" w:before="0" w:after="113"/>
        <w:ind w:hanging="0" w:left="0" w:right="0"/>
        <w:jc w:val="both"/>
        <w:rPr>
          <w:rFonts w:ascii="Times New Roman" w:hAnsi="Times New Roman" w:eastAsia="Calibri" w:cs="Tahoma"/>
          <w:color w:val="auto"/>
          <w:sz w:val="20"/>
          <w:szCs w:val="22"/>
          <w:lang w:eastAsia="pt-BR"/>
        </w:rPr>
      </w:pPr>
      <w:r>
        <w:rPr>
          <w:rFonts w:eastAsia="Calibri" w:cs="Tahoma" w:ascii="Times New Roman" w:hAnsi="Times New Roman"/>
          <w:color w:val="auto"/>
          <w:sz w:val="20"/>
          <w:szCs w:val="22"/>
          <w:lang w:eastAsia="pt-BR"/>
        </w:rPr>
        <w:t>O compartilhamento, a divulgação ou o tratamento de dados pessoais somente poderá ocorrer nas hipóteses autorizadas pela legislação aplicável ou mediante solicitação da CREDENCIANTE, quando necessário à execução contratual, à auditoria, à fiscalização, ao cumprimento de obrigação legal ou regulatória ou ao exercício regular de direitos.</w:t>
      </w:r>
    </w:p>
    <w:p>
      <w:pPr>
        <w:pStyle w:val="BodyText"/>
        <w:widowControl w:val="false"/>
        <w:numPr>
          <w:ilvl w:val="0"/>
          <w:numId w:val="1"/>
        </w:numPr>
        <w:bidi w:val="0"/>
        <w:spacing w:lineRule="auto" w:line="276" w:before="0" w:after="113"/>
        <w:ind w:hanging="0" w:left="0" w:right="0"/>
        <w:jc w:val="both"/>
        <w:rPr>
          <w:rFonts w:ascii="Times New Roman" w:hAnsi="Times New Roman" w:eastAsia="Calibri" w:cs="Tahoma"/>
          <w:color w:val="auto"/>
          <w:sz w:val="20"/>
          <w:szCs w:val="22"/>
          <w:lang w:eastAsia="pt-BR"/>
        </w:rPr>
      </w:pPr>
      <w:r>
        <w:rPr>
          <w:rFonts w:eastAsia="Calibri" w:cs="Tahoma" w:ascii="Times New Roman" w:hAnsi="Times New Roman"/>
          <w:color w:val="auto"/>
          <w:sz w:val="20"/>
          <w:szCs w:val="22"/>
          <w:lang w:eastAsia="pt-BR"/>
        </w:rPr>
        <w:t>O CREDENCIADO comunicará imediatamente à CREDENCIANTE qualquer incidente de segurança que possa acarretar risco ou dano relevante aos dados pessoais tratados em decorrência da execução deste Termo de Credenciamento, adotando prontamente as medidas necessárias para sua contenção, mitigação e apuração.</w:t>
      </w:r>
    </w:p>
    <w:p>
      <w:pPr>
        <w:pStyle w:val="BodyText"/>
        <w:widowControl w:val="false"/>
        <w:numPr>
          <w:ilvl w:val="0"/>
          <w:numId w:val="1"/>
        </w:numPr>
        <w:bidi w:val="0"/>
        <w:spacing w:lineRule="auto" w:line="276" w:before="0" w:after="113"/>
        <w:ind w:hanging="0" w:left="0" w:right="0"/>
        <w:jc w:val="both"/>
        <w:rPr>
          <w:rFonts w:ascii="Times New Roman" w:hAnsi="Times New Roman" w:eastAsia="Calibri" w:cs="Tahoma"/>
          <w:color w:val="auto"/>
          <w:sz w:val="20"/>
          <w:szCs w:val="22"/>
          <w:lang w:eastAsia="pt-BR"/>
        </w:rPr>
      </w:pPr>
      <w:r>
        <w:rPr>
          <w:rFonts w:eastAsia="Calibri" w:cs="Tahoma" w:ascii="Times New Roman" w:hAnsi="Times New Roman"/>
          <w:color w:val="auto"/>
          <w:sz w:val="20"/>
          <w:szCs w:val="22"/>
          <w:lang w:eastAsia="pt-BR"/>
        </w:rPr>
        <w:t>O término da vigência deste Termo de Credenciamento não afasta o dever de sigilo e de proteção dos dados pessoais obtidos durante sua execução, permanecendo o CREDENCIADO responsável pelo tratamento das informações na forma da legislação aplicável.</w:t>
      </w:r>
    </w:p>
    <w:p>
      <w:pPr>
        <w:pStyle w:val="BodyText"/>
        <w:widowControl w:val="false"/>
        <w:numPr>
          <w:ilvl w:val="0"/>
          <w:numId w:val="1"/>
        </w:numPr>
        <w:bidi w:val="0"/>
        <w:spacing w:lineRule="auto" w:line="276" w:before="0" w:after="113"/>
        <w:ind w:hanging="0" w:left="0" w:right="0"/>
        <w:jc w:val="both"/>
        <w:rPr>
          <w:rFonts w:ascii="Times New Roman" w:hAnsi="Times New Roman" w:eastAsia="Calibri" w:cs="Tahoma"/>
          <w:color w:val="auto"/>
          <w:sz w:val="20"/>
          <w:szCs w:val="22"/>
          <w:lang w:eastAsia="pt-BR"/>
        </w:rPr>
      </w:pPr>
      <w:r>
        <w:rPr>
          <w:rFonts w:eastAsia="Calibri" w:cs="Tahoma" w:ascii="Times New Roman" w:hAnsi="Times New Roman"/>
          <w:color w:val="auto"/>
          <w:sz w:val="20"/>
          <w:szCs w:val="22"/>
          <w:lang w:eastAsia="pt-BR"/>
        </w:rPr>
        <w:t xml:space="preserve">O descumprimento das obrigações previstas nesta cláusula sujeitará o CREDENCIADO às sanções administrativas, civis e contratuais cabíveis, sem prejuízo da responsabilização prevista na Lei nº 13.709, de 14 de agosto de 2018, e na demais legislação aplicável. </w:t>
      </w:r>
    </w:p>
    <w:p>
      <w:pPr>
        <w:pStyle w:val="ListParagraph"/>
        <w:widowControl w:val="false"/>
        <w:numPr>
          <w:ilvl w:val="0"/>
          <w:numId w:val="0"/>
        </w:numPr>
        <w:spacing w:before="0" w:after="113"/>
        <w:ind w:hanging="0" w:left="0" w:right="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r>
    </w:p>
    <w:p>
      <w:pPr>
        <w:pStyle w:val="Normal"/>
        <w:widowControl w:val="false"/>
        <w:spacing w:before="0" w:after="113"/>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DÉCIMA QUARTA – Das acomodações para internação.</w:t>
      </w:r>
    </w:p>
    <w:p>
      <w:pPr>
        <w:pStyle w:val="ListParagraph"/>
        <w:widowControl w:val="false"/>
        <w:numPr>
          <w:ilvl w:val="0"/>
          <w:numId w:val="1"/>
        </w:numPr>
        <w:spacing w:before="0" w:after="113"/>
        <w:ind w:hanging="0" w:left="0" w:right="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Os padrões de acomodações hospitalares para os beneficiários do SAMMED/FuSEx e seus dependentes serão, de acordo com a disponibilidade, os seguintes:</w:t>
      </w:r>
    </w:p>
    <w:p>
      <w:pPr>
        <w:pStyle w:val="ListParagraph"/>
        <w:widowControl w:val="false"/>
        <w:numPr>
          <w:ilvl w:val="1"/>
          <w:numId w:val="1"/>
        </w:numPr>
        <w:spacing w:before="0" w:after="113"/>
        <w:ind w:hanging="0" w:left="680" w:right="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Para oficiais e seus dependentes:</w:t>
      </w:r>
    </w:p>
    <w:p>
      <w:pPr>
        <w:pStyle w:val="ListParagraph"/>
        <w:widowControl w:val="false"/>
        <w:numPr>
          <w:ilvl w:val="2"/>
          <w:numId w:val="1"/>
        </w:numPr>
        <w:spacing w:before="0" w:after="113"/>
        <w:ind w:hanging="0" w:left="1418" w:right="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Quartos privativos; e</w:t>
      </w:r>
    </w:p>
    <w:p>
      <w:pPr>
        <w:pStyle w:val="ListParagraph"/>
        <w:widowControl w:val="false"/>
        <w:numPr>
          <w:ilvl w:val="2"/>
          <w:numId w:val="1"/>
        </w:numPr>
        <w:spacing w:before="0" w:after="113"/>
        <w:ind w:hanging="0" w:left="1418" w:right="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Quartos semiprivativos.</w:t>
      </w:r>
    </w:p>
    <w:p>
      <w:pPr>
        <w:pStyle w:val="ListParagraph"/>
        <w:widowControl w:val="false"/>
        <w:numPr>
          <w:ilvl w:val="1"/>
          <w:numId w:val="1"/>
        </w:numPr>
        <w:spacing w:before="0" w:after="113"/>
        <w:ind w:hanging="0" w:left="680" w:right="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Para subtenentes e sargentos e seus dependentes:</w:t>
      </w:r>
    </w:p>
    <w:p>
      <w:pPr>
        <w:pStyle w:val="ListParagraph"/>
        <w:widowControl w:val="false"/>
        <w:numPr>
          <w:ilvl w:val="2"/>
          <w:numId w:val="1"/>
        </w:numPr>
        <w:spacing w:before="0" w:after="113"/>
        <w:ind w:hanging="0" w:left="1418" w:right="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Quartos privativos; e</w:t>
      </w:r>
    </w:p>
    <w:p>
      <w:pPr>
        <w:pStyle w:val="ListParagraph"/>
        <w:widowControl w:val="false"/>
        <w:numPr>
          <w:ilvl w:val="2"/>
          <w:numId w:val="1"/>
        </w:numPr>
        <w:spacing w:before="0" w:after="113"/>
        <w:ind w:hanging="0" w:left="1418" w:right="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Quartos semiprivativos.</w:t>
      </w:r>
    </w:p>
    <w:p>
      <w:pPr>
        <w:pStyle w:val="ListParagraph"/>
        <w:widowControl w:val="false"/>
        <w:numPr>
          <w:ilvl w:val="1"/>
          <w:numId w:val="1"/>
        </w:numPr>
        <w:spacing w:before="0" w:after="113"/>
        <w:ind w:hanging="0" w:left="680" w:right="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Para cabos, taifeiros e soldados:</w:t>
      </w:r>
    </w:p>
    <w:p>
      <w:pPr>
        <w:pStyle w:val="ListParagraph"/>
        <w:widowControl w:val="false"/>
        <w:numPr>
          <w:ilvl w:val="2"/>
          <w:numId w:val="1"/>
        </w:numPr>
        <w:spacing w:before="0" w:after="113"/>
        <w:ind w:hanging="0" w:left="1418" w:right="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Enfermarias de até três leitos; e</w:t>
      </w:r>
    </w:p>
    <w:p>
      <w:pPr>
        <w:pStyle w:val="ListParagraph"/>
        <w:widowControl w:val="false"/>
        <w:numPr>
          <w:ilvl w:val="2"/>
          <w:numId w:val="1"/>
        </w:numPr>
        <w:spacing w:before="0" w:after="113"/>
        <w:ind w:hanging="0" w:left="1418" w:right="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Enfermarias gerais.</w:t>
      </w:r>
    </w:p>
    <w:p>
      <w:pPr>
        <w:pStyle w:val="ListParagraph"/>
        <w:widowControl w:val="false"/>
        <w:numPr>
          <w:ilvl w:val="1"/>
          <w:numId w:val="1"/>
        </w:numPr>
        <w:spacing w:before="0" w:after="113"/>
        <w:ind w:hanging="0" w:left="680" w:right="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Os dependentes de cabos, soldados e taifeiros terão direito a:</w:t>
      </w:r>
    </w:p>
    <w:p>
      <w:pPr>
        <w:pStyle w:val="ListParagraph"/>
        <w:widowControl w:val="false"/>
        <w:numPr>
          <w:ilvl w:val="2"/>
          <w:numId w:val="1"/>
        </w:numPr>
        <w:spacing w:before="0" w:after="113"/>
        <w:ind w:hanging="0" w:left="1418" w:right="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Quartos semiprivativos; e</w:t>
      </w:r>
    </w:p>
    <w:p>
      <w:pPr>
        <w:pStyle w:val="ListParagraph"/>
        <w:widowControl w:val="false"/>
        <w:numPr>
          <w:ilvl w:val="2"/>
          <w:numId w:val="1"/>
        </w:numPr>
        <w:spacing w:before="0" w:after="113"/>
        <w:ind w:hanging="0" w:left="1418" w:right="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Enfermaria de até seis leitos.</w:t>
      </w:r>
    </w:p>
    <w:p>
      <w:pPr>
        <w:pStyle w:val="ListParagraph"/>
        <w:widowControl w:val="false"/>
        <w:numPr>
          <w:ilvl w:val="1"/>
          <w:numId w:val="1"/>
        </w:numPr>
        <w:spacing w:before="0" w:after="113"/>
        <w:ind w:hanging="0" w:left="680" w:right="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O padrão das acomodações para hospitalização a que os beneficiários da PASS fazem jus é definido pela correlação estabelecida na Portaria Ministerial nº 396, de 2008.</w:t>
      </w:r>
    </w:p>
    <w:p>
      <w:pPr>
        <w:pStyle w:val="ListParagraph"/>
        <w:widowControl w:val="false"/>
        <w:numPr>
          <w:ilvl w:val="0"/>
          <w:numId w:val="1"/>
        </w:numPr>
        <w:spacing w:before="0" w:after="113"/>
        <w:ind w:hanging="0" w:left="0" w:right="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No caso de indisponibilidade de acomodação compatível com os padrões a que tem direito o beneficiário do FuSEx/SAMMED/PASS, a OCS obrigar-se-á a instalá-lo em uma acomodação de padrão superior, sem ônus para o beneficiário ou para o FuSEx/SAMMED/PASS.</w:t>
      </w:r>
    </w:p>
    <w:p>
      <w:pPr>
        <w:pStyle w:val="ListParagraph"/>
        <w:widowControl w:val="false"/>
        <w:numPr>
          <w:ilvl w:val="0"/>
          <w:numId w:val="1"/>
        </w:numPr>
        <w:spacing w:before="0" w:after="113"/>
        <w:ind w:hanging="0" w:left="0" w:right="0"/>
        <w:contextualSpacing w:val="false"/>
        <w:jc w:val="both"/>
        <w:rPr>
          <w:rFonts w:ascii="Times New Roman" w:hAnsi="Times New Roman"/>
          <w:color w:val="auto"/>
          <w:sz w:val="20"/>
          <w:szCs w:val="20"/>
          <w:u w:val="none"/>
          <w:shd w:fill="auto" w:val="clear"/>
        </w:rPr>
      </w:pPr>
      <w:r>
        <w:rPr>
          <w:rFonts w:cs="Arial" w:ascii="Times New Roman" w:hAnsi="Times New Roman"/>
          <w:color w:val="000000"/>
          <w:sz w:val="20"/>
          <w:szCs w:val="20"/>
          <w:u w:val="none"/>
          <w:shd w:fill="auto" w:val="clear"/>
        </w:rPr>
        <w:t xml:space="preserve">É </w:t>
      </w:r>
      <w:r>
        <w:rPr>
          <w:rFonts w:cs="Times New Roman" w:ascii="Times New Roman" w:hAnsi="Times New Roman"/>
          <w:color w:val="000000"/>
          <w:sz w:val="20"/>
          <w:szCs w:val="20"/>
          <w:u w:val="none"/>
          <w:shd w:fill="auto" w:val="clear"/>
        </w:rPr>
        <w:t>reservado aos beneficiários do FuSEx/SAMMED/PASS o direito de optar por melhoria de padrão de acomodação hospitalar para si ou para seus dependentes. Neste caso, as diferenças de honorários médicos e de despesas hospitalares referentes a esta opção serão pagas integral e diretamente pelo beneficiário ao CREDENCIADO.</w:t>
      </w:r>
    </w:p>
    <w:p>
      <w:pPr>
        <w:pStyle w:val="ListParagraph"/>
        <w:widowControl w:val="false"/>
        <w:numPr>
          <w:ilvl w:val="1"/>
          <w:numId w:val="1"/>
        </w:numPr>
        <w:bidi w:val="0"/>
        <w:spacing w:lineRule="auto" w:line="276" w:before="0" w:after="113"/>
        <w:ind w:hanging="0" w:left="680" w:right="0"/>
        <w:contextualSpacing w:val="false"/>
        <w:jc w:val="both"/>
        <w:rPr>
          <w:rFonts w:ascii="Times New Roman" w:hAnsi="Times New Roman" w:cs="Times New Roman"/>
          <w:color w:val="auto"/>
          <w:sz w:val="20"/>
          <w:szCs w:val="20"/>
          <w:u w:val="none"/>
          <w:shd w:fill="auto" w:val="clear"/>
        </w:rPr>
      </w:pPr>
      <w:r>
        <w:rPr>
          <w:rFonts w:cs="Times New Roman" w:ascii="Times New Roman" w:hAnsi="Times New Roman"/>
          <w:color w:val="000000"/>
          <w:sz w:val="20"/>
          <w:szCs w:val="20"/>
          <w:u w:val="none"/>
          <w:shd w:fill="auto" w:val="clear"/>
        </w:rPr>
        <w:t>No caso de haver a opção pela melhoria do padrão de acomodação hospitalar, deverá ser assinado, entre o beneficiário, ou servidor civil, e o CREDENCIADO, um TERMO DE AJUSTE PRÉVIO, conforme Anexo I a este termo de credenciamento;</w:t>
      </w:r>
    </w:p>
    <w:p>
      <w:pPr>
        <w:pStyle w:val="ListParagraph"/>
        <w:widowControl w:val="false"/>
        <w:numPr>
          <w:ilvl w:val="1"/>
          <w:numId w:val="1"/>
        </w:numPr>
        <w:bidi w:val="0"/>
        <w:spacing w:lineRule="auto" w:line="276" w:before="0" w:after="113"/>
        <w:ind w:hanging="0" w:left="680" w:right="0"/>
        <w:contextualSpacing w:val="false"/>
        <w:jc w:val="both"/>
        <w:rPr>
          <w:rFonts w:ascii="Times New Roman" w:hAnsi="Times New Roman" w:cs="Times New Roman"/>
          <w:color w:val="auto"/>
          <w:sz w:val="20"/>
          <w:szCs w:val="20"/>
          <w:u w:val="none"/>
          <w:shd w:fill="auto" w:val="clear"/>
        </w:rPr>
      </w:pPr>
      <w:r>
        <w:rPr>
          <w:rFonts w:cs="Times New Roman" w:ascii="Times New Roman" w:hAnsi="Times New Roman"/>
          <w:color w:val="000000"/>
          <w:sz w:val="20"/>
          <w:szCs w:val="20"/>
          <w:u w:val="none"/>
          <w:shd w:fill="auto" w:val="clear"/>
        </w:rPr>
        <w:t>A opção feita pelo beneficiário, ou servidor civil, da melhoria do padrão de acomodação, por meio do Termo de Ajuste Prévio, deverá constar da fatura apresentada pelo CREDENCIADO;</w:t>
      </w:r>
    </w:p>
    <w:p>
      <w:pPr>
        <w:pStyle w:val="ListParagraph"/>
        <w:widowControl w:val="false"/>
        <w:numPr>
          <w:ilvl w:val="1"/>
          <w:numId w:val="1"/>
        </w:numPr>
        <w:bidi w:val="0"/>
        <w:spacing w:lineRule="auto" w:line="276" w:before="0" w:after="113"/>
        <w:ind w:hanging="0" w:left="680" w:right="0"/>
        <w:contextualSpacing w:val="false"/>
        <w:jc w:val="both"/>
        <w:rPr>
          <w:rFonts w:ascii="Times New Roman" w:hAnsi="Times New Roman"/>
          <w:color w:val="auto"/>
          <w:sz w:val="20"/>
          <w:szCs w:val="20"/>
          <w:u w:val="none"/>
          <w:shd w:fill="auto" w:val="clear"/>
        </w:rPr>
      </w:pPr>
      <w:r>
        <w:rPr>
          <w:rFonts w:cs="Times New Roman" w:ascii="Times New Roman" w:hAnsi="Times New Roman"/>
          <w:color w:val="000000"/>
          <w:sz w:val="20"/>
          <w:szCs w:val="20"/>
          <w:u w:val="none"/>
          <w:shd w:fill="auto" w:val="clear"/>
        </w:rPr>
        <w:t xml:space="preserve">O cálculo da diferença de valor do padrão de acomodação hospitalar, livremente escolhida pelo beneficiário ou seu responsável, ou pelo servidor civil, terá como base os valores constantes da </w:t>
      </w:r>
      <w:r>
        <w:rPr>
          <w:rFonts w:ascii="Times New Roman" w:hAnsi="Times New Roman"/>
          <w:color w:val="000000"/>
          <w:sz w:val="20"/>
          <w:szCs w:val="20"/>
          <w:u w:val="none"/>
          <w:shd w:fill="auto" w:val="clear"/>
        </w:rPr>
        <w:t>Lista Referencial de Procedimentos Hospitalares do FuSEx do HOSPITAL MILITAR DE RESENDE para termos de credenciamento - Anexo N do edital</w:t>
      </w:r>
      <w:r>
        <w:rPr>
          <w:rFonts w:cs="Times New Roman" w:ascii="Times New Roman" w:hAnsi="Times New Roman"/>
          <w:color w:val="000000"/>
          <w:sz w:val="20"/>
          <w:szCs w:val="20"/>
          <w:u w:val="none"/>
          <w:shd w:fill="auto" w:val="clear"/>
        </w:rPr>
        <w:t>, previamente ajustados neste termo de credenciamento, considerada a dedução do valor da diária coberta pelo CREDENCIANTE; e</w:t>
      </w:r>
    </w:p>
    <w:p>
      <w:pPr>
        <w:pStyle w:val="ListParagraph"/>
        <w:widowControl w:val="false"/>
        <w:numPr>
          <w:ilvl w:val="1"/>
          <w:numId w:val="1"/>
        </w:numPr>
        <w:bidi w:val="0"/>
        <w:spacing w:lineRule="auto" w:line="276" w:before="0" w:after="113"/>
        <w:ind w:hanging="0" w:left="680" w:right="0"/>
        <w:contextualSpacing w:val="false"/>
        <w:jc w:val="both"/>
        <w:rPr>
          <w:rFonts w:ascii="Times New Roman" w:hAnsi="Times New Roman"/>
          <w:color w:val="auto"/>
          <w:sz w:val="20"/>
          <w:szCs w:val="20"/>
          <w:u w:val="none"/>
          <w:shd w:fill="auto" w:val="clear"/>
        </w:rPr>
      </w:pPr>
      <w:r>
        <w:rPr>
          <w:rFonts w:cs="Times New Roman" w:ascii="Times New Roman" w:hAnsi="Times New Roman"/>
          <w:color w:val="000000"/>
          <w:sz w:val="20"/>
          <w:szCs w:val="20"/>
          <w:u w:val="none"/>
          <w:shd w:fill="auto" w:val="clear"/>
        </w:rPr>
        <w:t>A complementação de honorários profissionais do médico assistente será cobrada diretamente do beneficiário, ou do Servidor Civil, pelo CREDENCIADO, conforme os</w:t>
      </w:r>
      <w:r>
        <w:rPr>
          <w:rFonts w:cs="Times New Roman" w:ascii="Times New Roman" w:hAnsi="Times New Roman"/>
          <w:color w:val="000000"/>
          <w:sz w:val="20"/>
          <w:szCs w:val="20"/>
          <w:u w:val="none"/>
          <w:shd w:fill="auto" w:val="clear"/>
          <w:lang w:val="pt-BR"/>
        </w:rPr>
        <w:t xml:space="preserve"> valores para os portes dos procedimentos médicos, prescritos no item 8 do edital de credenciamento</w:t>
      </w:r>
      <w:r>
        <w:rPr>
          <w:rFonts w:cs="Times New Roman" w:ascii="Times New Roman" w:hAnsi="Times New Roman"/>
          <w:color w:val="000000"/>
          <w:sz w:val="20"/>
          <w:szCs w:val="20"/>
          <w:u w:val="none"/>
          <w:shd w:fill="auto" w:val="clear"/>
        </w:rPr>
        <w:t>.</w:t>
      </w:r>
    </w:p>
    <w:p>
      <w:pPr>
        <w:pStyle w:val="ListParagraph"/>
        <w:widowControl w:val="false"/>
        <w:numPr>
          <w:ilvl w:val="0"/>
          <w:numId w:val="1"/>
        </w:numPr>
        <w:spacing w:before="0" w:after="113"/>
        <w:ind w:hanging="0" w:left="0" w:right="0"/>
        <w:contextualSpacing w:val="false"/>
        <w:jc w:val="both"/>
        <w:rPr>
          <w:rFonts w:ascii="Times New Roman" w:hAnsi="Times New Roman" w:cs="Times New Roman"/>
          <w:color w:val="auto"/>
          <w:sz w:val="20"/>
          <w:szCs w:val="20"/>
          <w:u w:val="none"/>
          <w:shd w:fill="auto" w:val="clear"/>
        </w:rPr>
      </w:pPr>
      <w:r>
        <w:rPr>
          <w:rFonts w:cs="Times New Roman" w:ascii="Times New Roman" w:hAnsi="Times New Roman"/>
          <w:color w:val="000000"/>
          <w:sz w:val="20"/>
          <w:szCs w:val="20"/>
          <w:u w:val="none"/>
          <w:shd w:fill="auto" w:val="clear"/>
        </w:rPr>
        <w:t>Será também reconhecido como modalidade ·de acomodação para as internações dos pacientes o serviço de “Hospital-Dia”, sendo coberto para todos os beneficiários deste Termo de Credenciamento.</w:t>
      </w:r>
    </w:p>
    <w:p>
      <w:pPr>
        <w:pStyle w:val="ListParagraph"/>
        <w:widowControl w:val="false"/>
        <w:numPr>
          <w:ilvl w:val="0"/>
          <w:numId w:val="0"/>
        </w:numPr>
        <w:spacing w:before="0" w:after="113"/>
        <w:ind w:hanging="0" w:left="0" w:right="0"/>
        <w:contextualSpacing w:val="false"/>
        <w:jc w:val="both"/>
        <w:rPr>
          <w:rFonts w:ascii="Times New Roman" w:hAnsi="Times New Roman" w:cs="Times New Roman"/>
          <w:color w:val="auto"/>
          <w:sz w:val="20"/>
          <w:szCs w:val="20"/>
          <w:u w:val="none"/>
          <w:shd w:fill="auto" w:val="clear"/>
        </w:rPr>
      </w:pPr>
      <w:r>
        <w:rPr>
          <w:rFonts w:cs="Times New Roman" w:ascii="Times New Roman" w:hAnsi="Times New Roman"/>
          <w:color w:val="000000"/>
          <w:sz w:val="20"/>
          <w:szCs w:val="20"/>
          <w:u w:val="none"/>
          <w:shd w:fill="auto" w:val="clear"/>
        </w:rPr>
      </w:r>
    </w:p>
    <w:p>
      <w:pPr>
        <w:pStyle w:val="Normal"/>
        <w:widowControl w:val="false"/>
        <w:spacing w:before="0" w:after="113"/>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w:t>
      </w:r>
      <w:r>
        <w:rPr>
          <w:rFonts w:ascii="Times New Roman" w:hAnsi="Times New Roman"/>
          <w:b/>
          <w:color w:val="000000"/>
          <w:sz w:val="20"/>
          <w:szCs w:val="20"/>
          <w:u w:val="none"/>
          <w:shd w:fill="FFFFFF" w:val="clear"/>
        </w:rPr>
        <w:t>ULA DÉCIMA QUINTA – Da negação de remuneração a militares e servidores civis.</w:t>
      </w:r>
    </w:p>
    <w:p>
      <w:pPr>
        <w:pStyle w:val="ListParagraph"/>
        <w:widowControl w:val="false"/>
        <w:numPr>
          <w:ilvl w:val="0"/>
          <w:numId w:val="1"/>
        </w:numPr>
        <w:spacing w:before="0" w:after="113"/>
        <w:ind w:hanging="0" w:left="0" w:right="0"/>
        <w:contextualSpacing w:val="false"/>
        <w:jc w:val="both"/>
        <w:rPr>
          <w:rFonts w:ascii="Times New Roman" w:hAnsi="Times New Roman" w:cs="Times New Roman"/>
          <w:color w:val="auto"/>
          <w:sz w:val="20"/>
          <w:szCs w:val="20"/>
          <w:u w:val="none"/>
          <w:shd w:fill="auto" w:val="clear"/>
        </w:rPr>
      </w:pPr>
      <w:r>
        <w:rPr>
          <w:rFonts w:eastAsia="Calibri" w:cs="Times New Roman" w:ascii="Times New Roman" w:hAnsi="Times New Roman"/>
          <w:color w:val="000000"/>
          <w:sz w:val="20"/>
          <w:szCs w:val="20"/>
          <w:u w:val="none"/>
          <w:shd w:fill="auto" w:val="clear"/>
          <w:lang w:val="pt-BR" w:eastAsia="pt-BR" w:bidi="ar-SA"/>
        </w:rPr>
        <w:t>É vedado ao CREDENCIADO remunerar, conceder honorários, gratificações, comissões, vantagens pecuniárias ou qualquer outra forma de contraprestação financeira a militares ou servidores civis do Exército Brasileiro, ativos, em razão da execução dos serviços objeto deste Termo de Credenciamento, ressalvadas as hipóteses legalmente autorizadas.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t>É igualmente vedado ao CREDENCIADO exigir, solicitar ou receber dos beneficiários do SAMMED/FuSEx/PASS qualquer pagamento, caução, depósito, garantia, complementação de honorários ou valores adicionais relativos aos serviços cobertos por este Termo de Credenciamento, ressalvadas as hipóteses expressamente previstas no Edital de Credenciamento e na legislação vigente.</w:t>
      </w:r>
    </w:p>
    <w:p>
      <w:pPr>
        <w:pStyle w:val="ListParagraph"/>
        <w:widowControl w:val="false"/>
        <w:numPr>
          <w:ilvl w:val="0"/>
          <w:numId w:val="1"/>
        </w:numPr>
        <w:spacing w:before="0" w:after="113"/>
        <w:ind w:hanging="0" w:left="0" w:right="0"/>
        <w:contextualSpacing w:val="false"/>
        <w:jc w:val="both"/>
        <w:rPr>
          <w:rFonts w:ascii="Times New Roman" w:hAnsi="Times New Roman" w:cs="Times New Roman"/>
          <w:color w:val="auto"/>
          <w:sz w:val="20"/>
          <w:szCs w:val="20"/>
          <w:u w:val="none"/>
          <w:shd w:fill="auto" w:val="clear"/>
        </w:rPr>
      </w:pPr>
      <w:r>
        <w:rPr>
          <w:rFonts w:eastAsia="Calibri" w:cs="Times New Roman" w:ascii="Times New Roman" w:hAnsi="Times New Roman"/>
          <w:color w:val="000000"/>
          <w:sz w:val="20"/>
          <w:szCs w:val="20"/>
          <w:u w:val="none"/>
          <w:shd w:fill="auto" w:val="clear"/>
          <w:lang w:val="pt-BR" w:eastAsia="pt-BR" w:bidi="ar-SA"/>
        </w:rPr>
        <w:t>O descumprimento do disposto nesta cláusula sujeitará o CREDENCIADO às medidas administrativas, contratuais e legais cabíveis, sem prejuízo da obrigação de restituir os valores eventualmente cobrados ou pagos de forma indevida e da aplicação das sanções previstas no Edital de Credenciamento, neste Termo de Credenciamento e na legislação aplicável.</w:t>
      </w:r>
    </w:p>
    <w:p>
      <w:pPr>
        <w:pStyle w:val="ListParagraph"/>
        <w:widowControl w:val="false"/>
        <w:numPr>
          <w:ilvl w:val="0"/>
          <w:numId w:val="0"/>
        </w:numPr>
        <w:spacing w:before="0" w:after="113"/>
        <w:ind w:hanging="0" w:left="0" w:right="0"/>
        <w:contextualSpacing w:val="false"/>
        <w:jc w:val="both"/>
        <w:rPr>
          <w:rFonts w:ascii="Times New Roman" w:hAnsi="Times New Roman" w:cs="Times New Roman"/>
          <w:color w:val="auto"/>
          <w:sz w:val="20"/>
          <w:szCs w:val="20"/>
          <w:u w:val="none"/>
          <w:shd w:fill="auto" w:val="clear"/>
        </w:rPr>
      </w:pPr>
      <w:r>
        <w:rPr>
          <w:rFonts w:cs="Times New Roman" w:ascii="Times New Roman" w:hAnsi="Times New Roman"/>
          <w:color w:val="000000"/>
          <w:sz w:val="20"/>
          <w:szCs w:val="20"/>
          <w:u w:val="none"/>
          <w:shd w:fill="auto" w:val="clear"/>
        </w:rPr>
      </w:r>
    </w:p>
    <w:p>
      <w:pPr>
        <w:pStyle w:val="Normal"/>
        <w:widowControl w:val="false"/>
        <w:spacing w:before="0" w:after="113"/>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DÉCIMA SEXTA – Da subcontratação.</w:t>
      </w:r>
    </w:p>
    <w:p>
      <w:pPr>
        <w:pStyle w:val="ListParagraph"/>
        <w:widowControl w:val="false"/>
        <w:numPr>
          <w:ilvl w:val="0"/>
          <w:numId w:val="1"/>
        </w:numPr>
        <w:spacing w:before="0" w:after="113"/>
        <w:ind w:hanging="360" w:left="360" w:right="0"/>
        <w:contextualSpacing w:val="false"/>
        <w:jc w:val="both"/>
        <w:rPr>
          <w:rFonts w:ascii="Times New Roman" w:hAnsi="Times New Roman" w:cs="Times New Roman"/>
          <w:color w:val="auto"/>
          <w:sz w:val="20"/>
          <w:szCs w:val="20"/>
          <w:u w:val="none"/>
          <w:shd w:fill="auto" w:val="clear"/>
        </w:rPr>
      </w:pPr>
      <w:r>
        <w:rPr>
          <w:rFonts w:eastAsia="Calibri" w:cs="Tahoma" w:ascii="Times New Roman" w:hAnsi="Times New Roman"/>
          <w:b w:val="false"/>
          <w:bCs w:val="false"/>
          <w:color w:val="000000"/>
          <w:sz w:val="20"/>
          <w:szCs w:val="20"/>
          <w:u w:val="none"/>
          <w:shd w:fill="auto" w:val="clear"/>
          <w:lang w:eastAsia="pt-BR"/>
        </w:rPr>
        <w:t>É vedada a subcontratação da execução da atividade assistencial principal objeto deste Termo de Credenciamento, salvo nas hipóteses expressamente previstas no Edital de Credenciamento, no Termo de Referência ou previamente autorizadas pela CREDENCIANTE, quando tecnicamente justificadas e sem prejuízo da qualidade da assistência prestada.</w:t>
      </w:r>
    </w:p>
    <w:p>
      <w:pPr>
        <w:pStyle w:val="ListParagraph"/>
        <w:widowControl w:val="false"/>
        <w:numPr>
          <w:ilvl w:val="0"/>
          <w:numId w:val="1"/>
        </w:numPr>
        <w:bidi w:val="0"/>
        <w:spacing w:lineRule="auto" w:line="276" w:before="0" w:after="113"/>
        <w:ind w:hanging="360" w:left="36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Poderá ser admitida a subcontratação de atividades acessórias, complementares ou de apoio operacional, desde que: não impliquem transferência da responsabilidade técnica pela execução dos serviços contratados; não comprometam a qualidade, a continuidade ou a segurança da assistência prestada; sejam previamente comunicadas e, quando exigido, autorizadas pela CREDENCIANTE e atendam às disposições do Edital, do Termo de Referência e da legislação aplicável.</w:t>
      </w:r>
    </w:p>
    <w:p>
      <w:pPr>
        <w:pStyle w:val="ListParagraph"/>
        <w:widowControl w:val="false"/>
        <w:numPr>
          <w:ilvl w:val="0"/>
          <w:numId w:val="1"/>
        </w:numPr>
        <w:bidi w:val="0"/>
        <w:spacing w:lineRule="auto" w:line="276" w:before="0" w:after="113"/>
        <w:ind w:hanging="360" w:left="360" w:right="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val="false"/>
          <w:bCs w:val="false"/>
          <w:color w:val="auto"/>
          <w:sz w:val="20"/>
          <w:szCs w:val="22"/>
          <w:lang w:val="pt-BR" w:eastAsia="pt-BR" w:bidi="ar-SA"/>
        </w:rPr>
        <w:t>A eventual autorização para subcontratação não transfere nem reduz a responsabilidade do CREDENCIADO perante a CREDENCIANTE, permanecendo este integralmente responsável pela execução dos serviços, pela qualidade da assistência prestada, pelos atos praticados pelos subcontratados e pelo cumprimento de todas as obrigações previstas neste Termo de Credenciamento.</w:t>
      </w:r>
    </w:p>
    <w:p>
      <w:pPr>
        <w:pStyle w:val="ListParagraph"/>
        <w:widowControl w:val="false"/>
        <w:numPr>
          <w:ilvl w:val="0"/>
          <w:numId w:val="1"/>
        </w:numPr>
        <w:spacing w:before="0" w:after="113"/>
        <w:ind w:hanging="360" w:left="360" w:right="0"/>
        <w:contextualSpacing w:val="false"/>
        <w:jc w:val="both"/>
        <w:rPr>
          <w:rFonts w:ascii="Times New Roman" w:hAnsi="Times New Roman" w:cs="Times New Roman"/>
          <w:color w:val="auto"/>
          <w:sz w:val="20"/>
          <w:szCs w:val="20"/>
          <w:u w:val="none"/>
          <w:shd w:fill="auto" w:val="clear"/>
        </w:rPr>
      </w:pPr>
      <w:r>
        <w:rPr>
          <w:rFonts w:eastAsia="Calibri" w:cs="Tahoma" w:ascii="Times New Roman" w:hAnsi="Times New Roman"/>
          <w:b w:val="false"/>
          <w:bCs w:val="false"/>
          <w:color w:val="000000"/>
          <w:sz w:val="20"/>
          <w:szCs w:val="20"/>
          <w:u w:val="none"/>
          <w:shd w:fill="auto" w:val="clear"/>
          <w:lang w:eastAsia="pt-BR"/>
        </w:rPr>
        <w:t>A subcontratação realizada em desacordo com as disposições desta cláusula ou do Edital de Credenciamento constituirá infração contratual, sujeitando o CREDENCIADO às medidas administrativas, contratuais e sancionatórias cabíveis.</w:t>
      </w:r>
    </w:p>
    <w:p>
      <w:pPr>
        <w:pStyle w:val="ListParagraph"/>
        <w:widowControl w:val="false"/>
        <w:numPr>
          <w:ilvl w:val="0"/>
          <w:numId w:val="0"/>
        </w:numPr>
        <w:spacing w:before="0" w:after="113"/>
        <w:ind w:hanging="0" w:left="360" w:right="0"/>
        <w:contextualSpacing w:val="false"/>
        <w:jc w:val="both"/>
        <w:rPr>
          <w:rFonts w:ascii="Times New Roman" w:hAnsi="Times New Roman" w:cs="Times New Roman"/>
          <w:color w:val="auto"/>
          <w:sz w:val="20"/>
          <w:szCs w:val="20"/>
          <w:u w:val="none"/>
          <w:shd w:fill="auto" w:val="clear"/>
        </w:rPr>
      </w:pPr>
      <w:r>
        <w:rPr>
          <w:rFonts w:cs="Times New Roman" w:ascii="Times New Roman" w:hAnsi="Times New Roman"/>
          <w:color w:val="000000"/>
          <w:sz w:val="20"/>
          <w:szCs w:val="20"/>
          <w:u w:val="none"/>
          <w:shd w:fill="auto" w:val="clear"/>
        </w:rPr>
      </w:r>
    </w:p>
    <w:p>
      <w:pPr>
        <w:pStyle w:val="Normal"/>
        <w:widowControl w:val="false"/>
        <w:spacing w:before="0" w:after="113"/>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DÉCIMA SÉTIMA – Do valor do termo de credenciamento.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color w:val="auto"/>
          <w:sz w:val="20"/>
          <w:szCs w:val="20"/>
          <w:u w:val="none"/>
          <w:shd w:fill="auto" w:val="clear"/>
        </w:rPr>
      </w:pPr>
      <w:bookmarkStart w:id="0" w:name="__DdeLink__3273_821067939"/>
      <w:r>
        <w:rPr>
          <w:rFonts w:cs="Times New Roman" w:ascii="Times New Roman" w:hAnsi="Times New Roman"/>
          <w:color w:val="000000"/>
          <w:sz w:val="20"/>
          <w:szCs w:val="20"/>
          <w:u w:val="none"/>
          <w:shd w:fill="auto" w:val="clear"/>
        </w:rPr>
        <w:t>O</w:t>
      </w:r>
      <w:bookmarkStart w:id="1" w:name="__DdeLink__3273_821067939_Copia_1"/>
      <w:bookmarkEnd w:id="0"/>
      <w:r>
        <w:rPr>
          <w:rFonts w:cs="Times New Roman" w:ascii="Times New Roman" w:hAnsi="Times New Roman"/>
          <w:color w:val="000000"/>
          <w:sz w:val="20"/>
          <w:szCs w:val="20"/>
          <w:u w:val="none"/>
          <w:shd w:fill="auto" w:val="clear"/>
        </w:rPr>
        <w:t xml:space="preserve"> valor global estimado para fazer face às despesas relativas ao objeto deste termo de credenciamento, </w:t>
      </w:r>
      <w:r>
        <w:rPr>
          <w:rFonts w:cs="Times New Roman" w:ascii="Times New Roman" w:hAnsi="Times New Roman"/>
          <w:color w:val="000000"/>
          <w:sz w:val="20"/>
          <w:szCs w:val="20"/>
          <w:u w:val="none"/>
          <w:shd w:fill="auto" w:val="clear"/>
          <w:lang w:val="pt-BR"/>
        </w:rPr>
        <w:t>abrangendo sua vigência mais as prorrogações máximas, se for o caso, terá como base o levantamento estimativo dos encaminhamentos que foram realizados no ano anterior pelo HOSPITAL MILITAR DE RESENDE:</w:t>
      </w:r>
      <w:bookmarkEnd w:id="1"/>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cs="Times New Roman"/>
          <w:color w:val="auto"/>
          <w:sz w:val="20"/>
          <w:szCs w:val="20"/>
          <w:u w:val="none"/>
          <w:shd w:fill="auto" w:val="clear"/>
        </w:rPr>
      </w:pPr>
      <w:r>
        <w:rPr>
          <w:rFonts w:cs="Times New Roman" w:ascii="Times New Roman" w:hAnsi="Times New Roman"/>
          <w:color w:val="000000"/>
          <w:sz w:val="20"/>
          <w:szCs w:val="20"/>
          <w:u w:val="none"/>
          <w:shd w:fill="auto" w:val="clear"/>
        </w:rPr>
        <w:t>O valor estimado deste termo de credenciamento deverá ser tratado apenas como dado estatístico, fruto da evolução da despesa no período citado, bem como forma de determinar a base de cálculo para aplicação de penalidades previstas neste termo de credenciamento;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color w:val="auto"/>
          <w:sz w:val="20"/>
          <w:szCs w:val="20"/>
          <w:u w:val="none"/>
          <w:shd w:fill="auto" w:val="clear"/>
        </w:rPr>
      </w:pPr>
      <w:r>
        <w:rPr>
          <w:rFonts w:cs="Times New Roman" w:ascii="Times New Roman" w:hAnsi="Times New Roman"/>
          <w:color w:val="000000"/>
          <w:sz w:val="20"/>
          <w:szCs w:val="20"/>
          <w:u w:val="none"/>
          <w:shd w:fill="auto" w:val="clear"/>
        </w:rPr>
        <w:t>O valor estimado deste termo de credenciamento não poderá servir de base rígida para a apresentação da Nota Fiscal/Fatura Mensal, já que o total de gastos do mês dependerá dos atendimentos e serviços prestados no respectivo período, em consonância com o regime de empreitada por preço unitário; e</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color w:val="auto"/>
          <w:sz w:val="20"/>
          <w:szCs w:val="20"/>
          <w:u w:val="none"/>
          <w:shd w:fill="auto" w:val="clear"/>
        </w:rPr>
      </w:pPr>
      <w:r>
        <w:rPr>
          <w:rFonts w:cs="Times New Roman" w:ascii="Times New Roman" w:hAnsi="Times New Roman"/>
          <w:color w:val="000000"/>
          <w:sz w:val="20"/>
          <w:szCs w:val="20"/>
          <w:u w:val="none"/>
          <w:shd w:fill="auto" w:val="clear"/>
        </w:rPr>
        <w:t xml:space="preserve">O CREDENCIADO aquiesce, desde já, a redução do valor do Termo de Credenciamento a monta realmente executada, ainda que </w:t>
      </w:r>
      <w:r>
        <w:rPr>
          <w:rFonts w:ascii="Times New Roman" w:hAnsi="Times New Roman"/>
          <w:color w:val="000000"/>
          <w:sz w:val="20"/>
          <w:szCs w:val="20"/>
          <w:u w:val="none"/>
          <w:shd w:fill="auto" w:val="clear"/>
        </w:rPr>
        <w:t xml:space="preserve">acarrete redução, para além do limite permitido no art. 125, da Lei nº 14.133/21, </w:t>
      </w:r>
      <w:r>
        <w:rPr>
          <w:rFonts w:cs="Times New Roman" w:ascii="Times New Roman" w:hAnsi="Times New Roman"/>
          <w:color w:val="000000"/>
          <w:sz w:val="20"/>
          <w:szCs w:val="20"/>
          <w:u w:val="none"/>
          <w:shd w:fill="auto" w:val="clear"/>
        </w:rPr>
        <w:t>observado que inexistirá expectativa de direito quanto ao valor estimado.</w:t>
      </w:r>
    </w:p>
    <w:p>
      <w:pPr>
        <w:pStyle w:val="ListParagraph"/>
        <w:widowControl w:val="false"/>
        <w:bidi w:val="0"/>
        <w:spacing w:lineRule="auto" w:line="276" w:before="0" w:after="113"/>
        <w:ind w:hanging="0" w:left="0" w:right="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r>
    </w:p>
    <w:p>
      <w:pPr>
        <w:pStyle w:val="Normal"/>
        <w:widowControl w:val="false"/>
        <w:spacing w:before="0" w:after="113"/>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DÉCIMA OITAVA – Do foro.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t>O foro para dirimir questões relativas ao presente Edital será o de Resende-RJ, com exclusão de qualquer outro, por mais privilegiado que seja.</w:t>
      </w:r>
    </w:p>
    <w:p>
      <w:pPr>
        <w:pStyle w:val="ListParagraph"/>
        <w:widowControl w:val="false"/>
        <w:numPr>
          <w:ilvl w:val="0"/>
          <w:numId w:val="1"/>
        </w:numPr>
        <w:spacing w:before="0" w:after="113"/>
        <w:ind w:hanging="0" w:left="0" w:right="0"/>
        <w:contextualSpacing w:val="false"/>
        <w:jc w:val="both"/>
        <w:rPr>
          <w:rFonts w:ascii="Times New Roman" w:hAnsi="Times New Roman" w:cs="Times New Roman"/>
          <w:color w:val="auto"/>
          <w:sz w:val="20"/>
          <w:szCs w:val="20"/>
          <w:u w:val="none"/>
          <w:shd w:fill="auto" w:val="clear"/>
        </w:rPr>
      </w:pPr>
      <w:r>
        <w:rPr>
          <w:rFonts w:cs="Times New Roman" w:ascii="Times New Roman" w:hAnsi="Times New Roman"/>
          <w:color w:val="000000"/>
          <w:sz w:val="20"/>
          <w:szCs w:val="20"/>
          <w:u w:val="none"/>
          <w:shd w:fill="auto" w:val="clear"/>
        </w:rPr>
        <w:t>E, por estarem justos e contratados, preparam o presente Termo de Credenciamento, em 2 (duas) vias de igual teor, para um só efeito, o qual, depois de lido e achado conforme, vai assinado pelas partes signatárias contratantes e por duas testemunhas, para que produza seus efeitos legais, comprometendo-se as partes, a cumprir e fazer cumprir o que ora é pactuado, em todas suas cláusulas e condições.</w:t>
      </w:r>
    </w:p>
    <w:p>
      <w:pPr>
        <w:pStyle w:val="ListParagraph"/>
        <w:widowControl w:val="false"/>
        <w:numPr>
          <w:ilvl w:val="0"/>
          <w:numId w:val="0"/>
        </w:numPr>
        <w:spacing w:before="120" w:after="120"/>
        <w:ind w:hanging="0" w:left="0" w:right="0"/>
        <w:contextualSpacing w:val="false"/>
        <w:jc w:val="center"/>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r>
    </w:p>
    <w:p>
      <w:pPr>
        <w:pStyle w:val="ListParagraph"/>
        <w:widowControl w:val="false"/>
        <w:numPr>
          <w:ilvl w:val="0"/>
          <w:numId w:val="0"/>
        </w:numPr>
        <w:spacing w:before="120" w:after="120"/>
        <w:ind w:hanging="0" w:left="0" w:right="0"/>
        <w:contextualSpacing w:val="false"/>
        <w:jc w:val="center"/>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t>Resende, RJ, ___ de __________ de 2026.</w:t>
      </w:r>
    </w:p>
    <w:p>
      <w:pPr>
        <w:pStyle w:val="Normal"/>
        <w:widowControl w:val="false"/>
        <w:tabs>
          <w:tab w:val="clear" w:pos="709"/>
          <w:tab w:val="left" w:pos="9287" w:leader="none"/>
        </w:tabs>
        <w:bidi w:val="0"/>
        <w:spacing w:lineRule="auto" w:line="240" w:before="0" w:after="0"/>
        <w:ind w:hanging="0" w:left="0" w:right="0"/>
        <w:jc w:val="center"/>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r>
    </w:p>
    <w:p>
      <w:pPr>
        <w:pStyle w:val="Normal"/>
        <w:widowControl w:val="false"/>
        <w:tabs>
          <w:tab w:val="clear" w:pos="709"/>
          <w:tab w:val="left" w:pos="9287" w:leader="none"/>
        </w:tabs>
        <w:spacing w:lineRule="auto" w:line="240" w:before="0" w:after="0"/>
        <w:ind w:hanging="0" w:left="3487" w:right="0"/>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r>
    </w:p>
    <w:p>
      <w:pPr>
        <w:pStyle w:val="Normal"/>
        <w:widowControl w:val="false"/>
        <w:spacing w:lineRule="exact" w:line="229" w:before="0" w:after="0"/>
        <w:ind w:hanging="0" w:left="0" w:right="840"/>
        <w:rPr>
          <w:rFonts w:ascii="Times New Roman" w:hAnsi="Times New Roman" w:cs="Times New Roman"/>
          <w:b/>
          <w:color w:val="auto"/>
          <w:sz w:val="20"/>
          <w:szCs w:val="20"/>
          <w:u w:val="none"/>
          <w:shd w:fill="auto" w:val="clear"/>
        </w:rPr>
      </w:pPr>
      <w:r>
        <w:rPr>
          <w:rFonts w:cs="Times New Roman" w:ascii="Times New Roman" w:hAnsi="Times New Roman"/>
          <w:b/>
          <w:color w:val="000000"/>
          <w:sz w:val="20"/>
          <w:szCs w:val="20"/>
          <w:u w:val="none"/>
          <w:shd w:fill="auto" w:val="clear"/>
        </w:rPr>
        <w:t>CREDENCIANTE:</w:t>
      </w:r>
    </w:p>
    <w:p>
      <w:pPr>
        <w:pStyle w:val="Normal"/>
        <w:widowControl w:val="false"/>
        <w:spacing w:lineRule="exact" w:line="200" w:before="0" w:after="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r>
    </w:p>
    <w:tbl>
      <w:tblPr>
        <w:tblW w:w="8388" w:type="dxa"/>
        <w:jc w:val="left"/>
        <w:tblInd w:w="566" w:type="dxa"/>
        <w:tblLayout w:type="fixed"/>
        <w:tblCellMar>
          <w:top w:w="0" w:type="dxa"/>
          <w:left w:w="0" w:type="dxa"/>
          <w:bottom w:w="0" w:type="dxa"/>
          <w:right w:w="0" w:type="dxa"/>
        </w:tblCellMar>
      </w:tblPr>
      <w:tblGrid>
        <w:gridCol w:w="8388"/>
      </w:tblGrid>
      <w:tr>
        <w:trPr>
          <w:trHeight w:val="233" w:hRule="atLeast"/>
        </w:trPr>
        <w:tc>
          <w:tcPr>
            <w:tcW w:w="8388" w:type="dxa"/>
            <w:tcBorders/>
            <w:shd w:fill="FFFFFF" w:val="clear"/>
            <w:vAlign w:val="bottom"/>
          </w:tcPr>
          <w:p>
            <w:pPr>
              <w:pStyle w:val="Normal"/>
              <w:widowControl w:val="false"/>
              <w:suppressAutoHyphens w:val="true"/>
              <w:bidi w:val="0"/>
              <w:spacing w:lineRule="auto" w:line="276" w:before="0" w:after="0"/>
              <w:ind w:hanging="0" w:left="-794" w:right="0"/>
              <w:jc w:val="center"/>
              <w:rPr>
                <w:rFonts w:ascii="Times New Roman" w:hAnsi="Times New Roman" w:cs="Times New Roman"/>
                <w:b/>
                <w:bCs/>
                <w:color w:val="auto"/>
                <w:w w:val="99"/>
                <w:sz w:val="20"/>
                <w:szCs w:val="20"/>
                <w:lang w:val="pt-BR"/>
              </w:rPr>
            </w:pPr>
            <w:r>
              <w:rPr>
                <w:rFonts w:cs="Times New Roman" w:ascii="Times New Roman" w:hAnsi="Times New Roman"/>
                <w:b/>
                <w:bCs/>
                <w:color w:val="auto"/>
                <w:w w:val="99"/>
                <w:sz w:val="20"/>
                <w:szCs w:val="20"/>
                <w:lang w:val="pt-BR"/>
              </w:rPr>
              <w:t>RENATA CRISTINA DE ALMEIDA MARTINS SCHMIDT</w:t>
            </w:r>
          </w:p>
        </w:tc>
      </w:tr>
      <w:tr>
        <w:trPr>
          <w:trHeight w:val="226" w:hRule="atLeast"/>
        </w:trPr>
        <w:tc>
          <w:tcPr>
            <w:tcW w:w="8388" w:type="dxa"/>
            <w:tcBorders/>
            <w:shd w:fill="FFFFFF" w:val="clear"/>
            <w:vAlign w:val="bottom"/>
          </w:tcPr>
          <w:p>
            <w:pPr>
              <w:pStyle w:val="Normal"/>
              <w:widowControl w:val="false"/>
              <w:spacing w:lineRule="auto" w:line="276" w:before="0" w:after="0"/>
              <w:ind w:hanging="0" w:left="0" w:right="840"/>
              <w:jc w:val="center"/>
              <w:rPr>
                <w:rFonts w:ascii="Times New Roman" w:hAnsi="Times New Roman" w:cs="Times New Roman"/>
                <w:sz w:val="20"/>
                <w:szCs w:val="20"/>
                <w:lang w:val="pt-BR"/>
              </w:rPr>
            </w:pPr>
            <w:r>
              <w:rPr>
                <w:rFonts w:cs="Times New Roman" w:ascii="Times New Roman" w:hAnsi="Times New Roman"/>
                <w:sz w:val="20"/>
                <w:szCs w:val="20"/>
                <w:lang w:val="pt-BR"/>
              </w:rPr>
              <w:t>Ordenadora de Despesas do H Mil Resende</w:t>
            </w:r>
          </w:p>
        </w:tc>
      </w:tr>
      <w:tr>
        <w:trPr>
          <w:trHeight w:val="226" w:hRule="atLeast"/>
        </w:trPr>
        <w:tc>
          <w:tcPr>
            <w:tcW w:w="8388" w:type="dxa"/>
            <w:tcBorders/>
            <w:shd w:fill="FFFFFF" w:val="clear"/>
            <w:vAlign w:val="bottom"/>
          </w:tcPr>
          <w:p>
            <w:pPr>
              <w:pStyle w:val="Normal"/>
              <w:widowControl w:val="false"/>
              <w:spacing w:lineRule="auto" w:line="276" w:before="0" w:after="0"/>
              <w:ind w:hanging="0" w:left="0" w:right="840"/>
              <w:jc w:val="center"/>
              <w:rPr>
                <w:rFonts w:ascii="Times New Roman" w:hAnsi="Times New Roman" w:cs="Times New Roman"/>
                <w:sz w:val="20"/>
                <w:szCs w:val="20"/>
                <w:lang w:val="pt-BR"/>
              </w:rPr>
            </w:pPr>
            <w:r>
              <w:rPr>
                <w:rFonts w:cs="Times New Roman" w:ascii="Times New Roman" w:hAnsi="Times New Roman"/>
                <w:sz w:val="20"/>
                <w:szCs w:val="20"/>
                <w:lang w:val="pt-BR"/>
              </w:rPr>
              <w:t>Idt: xxxxxxxxx</w:t>
            </w:r>
          </w:p>
        </w:tc>
      </w:tr>
      <w:tr>
        <w:trPr>
          <w:trHeight w:val="226" w:hRule="atLeast"/>
        </w:trPr>
        <w:tc>
          <w:tcPr>
            <w:tcW w:w="8388" w:type="dxa"/>
            <w:tcBorders/>
            <w:shd w:fill="FFFFFF" w:val="clear"/>
            <w:vAlign w:val="bottom"/>
          </w:tcPr>
          <w:p>
            <w:pPr>
              <w:pStyle w:val="Normal"/>
              <w:widowControl w:val="false"/>
              <w:spacing w:lineRule="auto" w:line="276" w:before="0" w:after="0"/>
              <w:ind w:hanging="0" w:left="0" w:right="840"/>
              <w:jc w:val="center"/>
              <w:rPr>
                <w:rFonts w:ascii="Times New Roman" w:hAnsi="Times New Roman" w:cs="Times New Roman"/>
                <w:sz w:val="20"/>
                <w:szCs w:val="20"/>
                <w:lang w:val="pt-BR"/>
              </w:rPr>
            </w:pPr>
            <w:r>
              <w:rPr>
                <w:rFonts w:cs="Times New Roman" w:ascii="Times New Roman" w:hAnsi="Times New Roman"/>
                <w:sz w:val="20"/>
                <w:szCs w:val="20"/>
                <w:lang w:val="pt-BR"/>
              </w:rPr>
              <w:t>CPF: xxxxxxxxx</w:t>
            </w:r>
          </w:p>
        </w:tc>
      </w:tr>
    </w:tbl>
    <w:p>
      <w:pPr>
        <w:pStyle w:val="Normal"/>
        <w:widowControl w:val="false"/>
        <w:spacing w:lineRule="exact" w:line="200" w:before="0" w:after="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t>CREDENCIADO:</w:t>
      </w:r>
    </w:p>
    <w:p>
      <w:pPr>
        <w:pStyle w:val="Normal"/>
        <w:widowControl w:val="false"/>
        <w:spacing w:lineRule="exact" w:line="200" w:before="0" w:after="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r>
    </w:p>
    <w:tbl>
      <w:tblPr>
        <w:tblW w:w="8359" w:type="dxa"/>
        <w:jc w:val="left"/>
        <w:tblInd w:w="572" w:type="dxa"/>
        <w:tblLayout w:type="fixed"/>
        <w:tblCellMar>
          <w:top w:w="0" w:type="dxa"/>
          <w:left w:w="0" w:type="dxa"/>
          <w:bottom w:w="0" w:type="dxa"/>
          <w:right w:w="0" w:type="dxa"/>
        </w:tblCellMar>
      </w:tblPr>
      <w:tblGrid>
        <w:gridCol w:w="8359"/>
      </w:tblGrid>
      <w:tr>
        <w:trPr>
          <w:trHeight w:val="233" w:hRule="atLeast"/>
        </w:trPr>
        <w:tc>
          <w:tcPr>
            <w:tcW w:w="8359" w:type="dxa"/>
            <w:tcBorders/>
            <w:shd w:fill="FFFFFF" w:val="clear"/>
            <w:vAlign w:val="bottom"/>
          </w:tcPr>
          <w:p>
            <w:pPr>
              <w:pStyle w:val="Normal"/>
              <w:widowControl w:val="false"/>
              <w:suppressAutoHyphens w:val="true"/>
              <w:bidi w:val="0"/>
              <w:spacing w:lineRule="auto" w:line="276" w:before="0" w:after="0"/>
              <w:ind w:hanging="0" w:left="-794" w:right="0"/>
              <w:jc w:val="center"/>
              <w:rPr>
                <w:rFonts w:ascii="Times New Roman" w:hAnsi="Times New Roman" w:cs="Times New Roman"/>
                <w:b/>
                <w:bCs/>
                <w:color w:val="auto"/>
                <w:w w:val="99"/>
                <w:sz w:val="20"/>
                <w:szCs w:val="20"/>
                <w:lang w:val="pt-BR"/>
              </w:rPr>
            </w:pPr>
            <w:r>
              <w:rPr>
                <w:rFonts w:cs="Times New Roman" w:ascii="Times New Roman" w:hAnsi="Times New Roman"/>
                <w:b/>
                <w:bCs/>
                <w:color w:val="auto"/>
                <w:w w:val="99"/>
                <w:sz w:val="20"/>
                <w:szCs w:val="20"/>
                <w:lang w:val="pt-BR"/>
              </w:rPr>
              <w:t>XXXXXXXXXXXXX</w:t>
            </w:r>
          </w:p>
        </w:tc>
      </w:tr>
      <w:tr>
        <w:trPr>
          <w:trHeight w:val="226" w:hRule="atLeast"/>
        </w:trPr>
        <w:tc>
          <w:tcPr>
            <w:tcW w:w="8359" w:type="dxa"/>
            <w:tcBorders/>
            <w:shd w:fill="FFFFFF" w:val="clear"/>
            <w:vAlign w:val="bottom"/>
          </w:tcPr>
          <w:p>
            <w:pPr>
              <w:pStyle w:val="Normal"/>
              <w:widowControl w:val="false"/>
              <w:spacing w:lineRule="auto" w:line="276" w:before="0" w:after="0"/>
              <w:ind w:hanging="0" w:left="0" w:right="840"/>
              <w:jc w:val="center"/>
              <w:rPr>
                <w:rFonts w:ascii="Times New Roman" w:hAnsi="Times New Roman" w:cs="Times New Roman"/>
                <w:sz w:val="20"/>
                <w:szCs w:val="20"/>
                <w:lang w:val="pt-BR"/>
              </w:rPr>
            </w:pPr>
            <w:r>
              <w:rPr>
                <w:rFonts w:cs="Times New Roman" w:ascii="Times New Roman" w:hAnsi="Times New Roman"/>
                <w:sz w:val="20"/>
                <w:szCs w:val="20"/>
                <w:lang w:val="pt-BR"/>
              </w:rPr>
              <w:t>Representante Legal</w:t>
            </w:r>
          </w:p>
        </w:tc>
      </w:tr>
      <w:tr>
        <w:trPr>
          <w:trHeight w:val="226" w:hRule="atLeast"/>
        </w:trPr>
        <w:tc>
          <w:tcPr>
            <w:tcW w:w="8359" w:type="dxa"/>
            <w:tcBorders/>
            <w:shd w:fill="FFFFFF" w:val="clear"/>
            <w:vAlign w:val="bottom"/>
          </w:tcPr>
          <w:p>
            <w:pPr>
              <w:pStyle w:val="Normal"/>
              <w:widowControl w:val="false"/>
              <w:spacing w:lineRule="auto" w:line="276" w:before="0" w:after="0"/>
              <w:ind w:hanging="0" w:left="0" w:right="840"/>
              <w:jc w:val="center"/>
              <w:rPr>
                <w:rFonts w:ascii="Times New Roman" w:hAnsi="Times New Roman" w:cs="Times New Roman"/>
                <w:sz w:val="20"/>
                <w:szCs w:val="20"/>
                <w:lang w:val="pt-BR"/>
              </w:rPr>
            </w:pPr>
            <w:r>
              <w:rPr>
                <w:rFonts w:cs="Times New Roman" w:ascii="Times New Roman" w:hAnsi="Times New Roman"/>
                <w:sz w:val="20"/>
                <w:szCs w:val="20"/>
                <w:lang w:val="pt-BR"/>
              </w:rPr>
              <w:t>Idt:</w:t>
            </w:r>
          </w:p>
        </w:tc>
      </w:tr>
      <w:tr>
        <w:trPr>
          <w:trHeight w:val="226" w:hRule="atLeast"/>
        </w:trPr>
        <w:tc>
          <w:tcPr>
            <w:tcW w:w="8359" w:type="dxa"/>
            <w:tcBorders/>
            <w:shd w:fill="FFFFFF" w:val="clear"/>
            <w:vAlign w:val="bottom"/>
          </w:tcPr>
          <w:p>
            <w:pPr>
              <w:pStyle w:val="Normal"/>
              <w:widowControl w:val="false"/>
              <w:spacing w:lineRule="auto" w:line="276" w:before="0" w:after="0"/>
              <w:ind w:hanging="0" w:left="0" w:right="840"/>
              <w:jc w:val="center"/>
              <w:rPr>
                <w:rFonts w:ascii="Times New Roman" w:hAnsi="Times New Roman" w:cs="Times New Roman"/>
                <w:sz w:val="20"/>
                <w:szCs w:val="20"/>
                <w:lang w:val="pt-BR"/>
              </w:rPr>
            </w:pPr>
            <w:r>
              <w:rPr>
                <w:rFonts w:cs="Times New Roman" w:ascii="Times New Roman" w:hAnsi="Times New Roman"/>
                <w:sz w:val="20"/>
                <w:szCs w:val="20"/>
                <w:lang w:val="pt-BR"/>
              </w:rPr>
              <w:t>CPF:</w:t>
            </w:r>
          </w:p>
        </w:tc>
      </w:tr>
    </w:tbl>
    <w:p>
      <w:pPr>
        <w:pStyle w:val="Normal"/>
        <w:widowControl w:val="false"/>
        <w:spacing w:lineRule="exact" w:line="200" w:before="0" w:after="0"/>
        <w:ind w:hanging="0" w:left="0" w:right="84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t>TESTEMUNHAS:</w:t>
      </w:r>
    </w:p>
    <w:p>
      <w:pPr>
        <w:pStyle w:val="Normal"/>
        <w:widowControl w:val="false"/>
        <w:spacing w:lineRule="auto" w:line="228" w:before="0" w:after="0"/>
        <w:ind w:hanging="0" w:left="7" w:right="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r>
    </w:p>
    <w:p>
      <w:pPr>
        <w:pStyle w:val="Normal"/>
        <w:widowControl w:val="false"/>
        <w:spacing w:lineRule="auto" w:line="228" w:before="0" w:after="0"/>
        <w:ind w:hanging="0" w:left="7" w:right="0"/>
        <w:rPr>
          <w:rFonts w:ascii="Times New Roman" w:hAnsi="Times New Roman" w:cs="Times New Roman"/>
          <w:b/>
          <w:strike w:val="false"/>
          <w:dstrike w:val="false"/>
          <w:color w:val="auto"/>
          <w:sz w:val="20"/>
          <w:szCs w:val="20"/>
          <w:u w:val="none"/>
          <w:shd w:fill="auto" w:val="clear"/>
          <w:lang w:val="pt-BR"/>
        </w:rPr>
      </w:pPr>
      <w:r>
        <w:rPr>
          <w:rFonts w:cs="Times New Roman" w:ascii="Times New Roman" w:hAnsi="Times New Roman"/>
          <w:b/>
          <w:strike w:val="false"/>
          <w:dstrike w:val="false"/>
          <w:color w:val="000000"/>
          <w:sz w:val="20"/>
          <w:szCs w:val="20"/>
          <w:u w:val="none"/>
          <w:shd w:fill="auto" w:val="clear"/>
          <w:lang w:val="pt-BR"/>
        </w:rPr>
      </w:r>
    </w:p>
    <w:tbl>
      <w:tblPr>
        <w:tblW w:w="8281" w:type="dxa"/>
        <w:jc w:val="left"/>
        <w:tblInd w:w="647" w:type="dxa"/>
        <w:tblLayout w:type="fixed"/>
        <w:tblCellMar>
          <w:top w:w="0" w:type="dxa"/>
          <w:left w:w="0" w:type="dxa"/>
          <w:bottom w:w="0" w:type="dxa"/>
          <w:right w:w="0" w:type="dxa"/>
        </w:tblCellMar>
      </w:tblPr>
      <w:tblGrid>
        <w:gridCol w:w="8281"/>
      </w:tblGrid>
      <w:tr>
        <w:trPr>
          <w:trHeight w:val="233" w:hRule="atLeast"/>
        </w:trPr>
        <w:tc>
          <w:tcPr>
            <w:tcW w:w="8281" w:type="dxa"/>
            <w:tcBorders/>
            <w:shd w:fill="FFFFFF" w:val="clear"/>
            <w:vAlign w:val="bottom"/>
          </w:tcPr>
          <w:p>
            <w:pPr>
              <w:pStyle w:val="Normal"/>
              <w:widowControl w:val="false"/>
              <w:bidi w:val="0"/>
              <w:spacing w:lineRule="exact" w:line="229" w:before="0" w:after="0"/>
              <w:ind w:hanging="0" w:left="0" w:right="850"/>
              <w:jc w:val="center"/>
              <w:rPr>
                <w:rFonts w:ascii="Times New Roman" w:hAnsi="Times New Roman" w:cs="Times New Roman"/>
                <w:b/>
                <w:bCs/>
                <w:strike w:val="false"/>
                <w:dstrike w:val="false"/>
                <w:color w:val="auto"/>
                <w:w w:val="99"/>
                <w:sz w:val="20"/>
                <w:szCs w:val="20"/>
                <w:u w:val="none"/>
                <w:shd w:fill="auto" w:val="clear"/>
                <w:lang w:val="pt-BR"/>
              </w:rPr>
            </w:pPr>
            <w:r>
              <w:rPr>
                <w:rFonts w:cs="Times New Roman" w:ascii="Times New Roman" w:hAnsi="Times New Roman"/>
                <w:b/>
                <w:bCs/>
                <w:strike w:val="false"/>
                <w:dstrike w:val="false"/>
                <w:color w:val="000000"/>
                <w:w w:val="99"/>
                <w:sz w:val="20"/>
                <w:szCs w:val="20"/>
                <w:u w:val="none"/>
                <w:shd w:fill="auto" w:val="clear"/>
                <w:lang w:val="pt-BR"/>
              </w:rPr>
              <w:t>xxxxxxxxxxxxxxxx</w:t>
            </w:r>
          </w:p>
        </w:tc>
      </w:tr>
      <w:tr>
        <w:trPr>
          <w:trHeight w:val="226" w:hRule="atLeast"/>
        </w:trPr>
        <w:tc>
          <w:tcPr>
            <w:tcW w:w="8281" w:type="dxa"/>
            <w:tcBorders/>
            <w:shd w:fill="FFFFFF" w:val="clear"/>
            <w:vAlign w:val="bottom"/>
          </w:tcPr>
          <w:p>
            <w:pPr>
              <w:pStyle w:val="Normal"/>
              <w:widowControl w:val="false"/>
              <w:spacing w:lineRule="exact" w:line="225" w:before="0" w:after="0"/>
              <w:ind w:hanging="0" w:left="0" w:right="840"/>
              <w:jc w:val="center"/>
              <w:rPr>
                <w:rFonts w:ascii="Times New Roman" w:hAnsi="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lang w:val="pt-BR"/>
              </w:rPr>
              <w:t>Idt: xxxxxxxxxxx</w:t>
            </w:r>
          </w:p>
        </w:tc>
      </w:tr>
      <w:tr>
        <w:trPr>
          <w:trHeight w:val="226" w:hRule="atLeast"/>
        </w:trPr>
        <w:tc>
          <w:tcPr>
            <w:tcW w:w="8281" w:type="dxa"/>
            <w:tcBorders/>
            <w:shd w:fill="FFFFFF" w:val="clear"/>
            <w:vAlign w:val="bottom"/>
          </w:tcPr>
          <w:p>
            <w:pPr>
              <w:pStyle w:val="Normal"/>
              <w:widowControl w:val="false"/>
              <w:spacing w:lineRule="exact" w:line="225" w:before="0" w:after="0"/>
              <w:ind w:hanging="0" w:left="0" w:right="840"/>
              <w:jc w:val="center"/>
              <w:rPr>
                <w:rFonts w:ascii="Times New Roman" w:hAnsi="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lang w:val="pt-BR"/>
              </w:rPr>
              <w:t>CPF: xxxxxxxxxxxxxxxxxx</w:t>
            </w:r>
          </w:p>
        </w:tc>
      </w:tr>
    </w:tbl>
    <w:p>
      <w:pPr>
        <w:pStyle w:val="Normal"/>
        <w:widowControl w:val="false"/>
        <w:spacing w:lineRule="auto" w:line="228" w:before="0" w:after="0"/>
        <w:ind w:hanging="0" w:left="7" w:right="0"/>
        <w:rPr>
          <w:rFonts w:ascii="Times New Roman" w:hAnsi="Times New Roman"/>
          <w:strike w:val="false"/>
          <w:dstrike w:val="false"/>
          <w:color w:val="auto"/>
          <w:sz w:val="20"/>
          <w:szCs w:val="20"/>
          <w:u w:val="none"/>
          <w:shd w:fill="auto" w:val="clear"/>
          <w:lang w:val="pt-BR"/>
        </w:rPr>
      </w:pPr>
      <w:r>
        <w:rPr>
          <w:rFonts w:ascii="Times New Roman" w:hAnsi="Times New Roman"/>
          <w:strike w:val="false"/>
          <w:dstrike w:val="false"/>
          <w:color w:val="000000"/>
          <w:sz w:val="20"/>
          <w:szCs w:val="20"/>
          <w:u w:val="none"/>
          <w:shd w:fill="auto" w:val="clear"/>
          <w:lang w:val="pt-BR"/>
        </w:rPr>
      </w:r>
    </w:p>
    <w:p>
      <w:pPr>
        <w:pStyle w:val="Normal"/>
        <w:widowControl w:val="false"/>
        <w:spacing w:lineRule="auto" w:line="228" w:before="0" w:after="0"/>
        <w:ind w:hanging="0" w:left="7" w:right="0"/>
        <w:rPr>
          <w:rFonts w:ascii="Times New Roman" w:hAnsi="Times New Roman"/>
          <w:strike w:val="false"/>
          <w:dstrike w:val="false"/>
          <w:color w:val="auto"/>
          <w:sz w:val="20"/>
          <w:szCs w:val="20"/>
          <w:u w:val="none"/>
          <w:shd w:fill="auto" w:val="clear"/>
          <w:lang w:val="pt-BR"/>
        </w:rPr>
      </w:pPr>
      <w:r>
        <w:rPr>
          <w:rFonts w:ascii="Times New Roman" w:hAnsi="Times New Roman"/>
          <w:strike w:val="false"/>
          <w:dstrike w:val="false"/>
          <w:color w:val="000000"/>
          <w:sz w:val="20"/>
          <w:szCs w:val="20"/>
          <w:u w:val="none"/>
          <w:shd w:fill="auto" w:val="clear"/>
          <w:lang w:val="pt-BR"/>
        </w:rPr>
      </w:r>
    </w:p>
    <w:p>
      <w:pPr>
        <w:pStyle w:val="Normal"/>
        <w:widowControl w:val="false"/>
        <w:spacing w:lineRule="auto" w:line="228" w:before="0" w:after="0"/>
        <w:ind w:hanging="0" w:left="7" w:right="0"/>
        <w:rPr>
          <w:rFonts w:ascii="Times New Roman" w:hAnsi="Times New Roman"/>
          <w:strike w:val="false"/>
          <w:dstrike w:val="false"/>
          <w:color w:val="auto"/>
          <w:sz w:val="20"/>
          <w:szCs w:val="20"/>
          <w:u w:val="none"/>
          <w:shd w:fill="auto" w:val="clear"/>
          <w:lang w:val="pt-BR"/>
        </w:rPr>
      </w:pPr>
      <w:r>
        <w:rPr>
          <w:rFonts w:ascii="Times New Roman" w:hAnsi="Times New Roman"/>
          <w:strike w:val="false"/>
          <w:dstrike w:val="false"/>
          <w:color w:val="000000"/>
          <w:sz w:val="20"/>
          <w:szCs w:val="20"/>
          <w:u w:val="none"/>
          <w:shd w:fill="auto" w:val="clear"/>
          <w:lang w:val="pt-BR"/>
        </w:rPr>
      </w:r>
    </w:p>
    <w:p>
      <w:pPr>
        <w:pStyle w:val="Normal"/>
        <w:widowControl w:val="false"/>
        <w:spacing w:lineRule="auto" w:line="228" w:before="0" w:after="0"/>
        <w:ind w:hanging="0" w:left="7" w:right="0"/>
        <w:rPr>
          <w:rFonts w:ascii="Times New Roman" w:hAnsi="Times New Roman"/>
          <w:strike w:val="false"/>
          <w:dstrike w:val="false"/>
          <w:color w:val="auto"/>
          <w:sz w:val="20"/>
          <w:szCs w:val="20"/>
          <w:u w:val="none"/>
          <w:shd w:fill="auto" w:val="clear"/>
          <w:lang w:val="pt-BR"/>
        </w:rPr>
      </w:pPr>
      <w:r>
        <w:rPr>
          <w:rFonts w:ascii="Times New Roman" w:hAnsi="Times New Roman"/>
          <w:strike w:val="false"/>
          <w:dstrike w:val="false"/>
          <w:color w:val="000000"/>
          <w:sz w:val="20"/>
          <w:szCs w:val="20"/>
          <w:u w:val="none"/>
          <w:shd w:fill="auto" w:val="clear"/>
          <w:lang w:val="pt-BR"/>
        </w:rPr>
      </w:r>
    </w:p>
    <w:p>
      <w:pPr>
        <w:pStyle w:val="Normal"/>
        <w:widowControl w:val="false"/>
        <w:spacing w:lineRule="auto" w:line="228" w:before="0" w:after="0"/>
        <w:ind w:hanging="0" w:left="7" w:right="0"/>
        <w:rPr>
          <w:rFonts w:ascii="Times New Roman" w:hAnsi="Times New Roman"/>
          <w:strike w:val="false"/>
          <w:dstrike w:val="false"/>
          <w:color w:val="auto"/>
          <w:sz w:val="20"/>
          <w:szCs w:val="20"/>
          <w:u w:val="none"/>
          <w:shd w:fill="auto" w:val="clear"/>
          <w:lang w:val="pt-BR"/>
        </w:rPr>
      </w:pPr>
      <w:r>
        <w:rPr>
          <w:rFonts w:ascii="Times New Roman" w:hAnsi="Times New Roman"/>
          <w:strike w:val="false"/>
          <w:dstrike w:val="false"/>
          <w:color w:val="000000"/>
          <w:sz w:val="20"/>
          <w:szCs w:val="20"/>
          <w:u w:val="none"/>
          <w:shd w:fill="auto" w:val="clear"/>
          <w:lang w:val="pt-BR"/>
        </w:rPr>
      </w:r>
    </w:p>
    <w:tbl>
      <w:tblPr>
        <w:tblW w:w="8222" w:type="dxa"/>
        <w:jc w:val="left"/>
        <w:tblInd w:w="694" w:type="dxa"/>
        <w:tblLayout w:type="fixed"/>
        <w:tblCellMar>
          <w:top w:w="0" w:type="dxa"/>
          <w:left w:w="0" w:type="dxa"/>
          <w:bottom w:w="0" w:type="dxa"/>
          <w:right w:w="0" w:type="dxa"/>
        </w:tblCellMar>
      </w:tblPr>
      <w:tblGrid>
        <w:gridCol w:w="8222"/>
      </w:tblGrid>
      <w:tr>
        <w:trPr>
          <w:trHeight w:val="233" w:hRule="atLeast"/>
        </w:trPr>
        <w:tc>
          <w:tcPr>
            <w:tcW w:w="8222" w:type="dxa"/>
            <w:tcBorders/>
            <w:shd w:fill="FFFFFF" w:val="clear"/>
            <w:vAlign w:val="bottom"/>
          </w:tcPr>
          <w:p>
            <w:pPr>
              <w:pStyle w:val="Standard"/>
              <w:widowControl w:val="false"/>
              <w:bidi w:val="0"/>
              <w:spacing w:lineRule="auto" w:line="228"/>
              <w:ind w:hanging="0" w:left="7" w:right="0"/>
              <w:jc w:val="center"/>
              <w:rPr>
                <w:rFonts w:ascii="Times New Roman" w:hAnsi="Times New Roman" w:eastAsia="Calibri" w:cs="Times New Roman"/>
                <w:b/>
                <w:bCs/>
                <w:color w:val="000000"/>
                <w:sz w:val="20"/>
                <w:szCs w:val="20"/>
                <w:lang w:eastAsia="pt-BR" w:bidi="ar-SA"/>
              </w:rPr>
            </w:pPr>
            <w:r>
              <w:rPr>
                <w:rFonts w:eastAsia="Calibri" w:cs="Times New Roman" w:ascii="Times New Roman" w:hAnsi="Times New Roman"/>
                <w:b/>
                <w:bCs/>
                <w:color w:val="000000"/>
                <w:sz w:val="20"/>
                <w:szCs w:val="20"/>
                <w:lang w:eastAsia="pt-BR" w:bidi="ar-SA"/>
              </w:rPr>
              <w:t>xxxxxxxxxxxxxxxxxx</w:t>
            </w:r>
          </w:p>
        </w:tc>
      </w:tr>
      <w:tr>
        <w:trPr>
          <w:trHeight w:val="226" w:hRule="atLeast"/>
        </w:trPr>
        <w:tc>
          <w:tcPr>
            <w:tcW w:w="8222" w:type="dxa"/>
            <w:tcBorders/>
            <w:shd w:fill="FFFFFF" w:val="clear"/>
            <w:vAlign w:val="bottom"/>
          </w:tcPr>
          <w:p>
            <w:pPr>
              <w:pStyle w:val="Standard"/>
              <w:widowControl w:val="false"/>
              <w:bidi w:val="0"/>
              <w:spacing w:lineRule="auto" w:line="228" w:before="0" w:after="0"/>
              <w:ind w:hanging="0" w:left="0" w:right="840"/>
              <w:jc w:val="center"/>
              <w:rPr>
                <w:rFonts w:ascii="Times New Roman" w:hAnsi="Times New Roman" w:eastAsia="Calibri" w:cs="Times New Roman"/>
                <w:b w:val="false"/>
                <w:bCs w:val="false"/>
                <w:strike w:val="false"/>
                <w:dstrike w:val="false"/>
                <w:color w:val="000000"/>
                <w:sz w:val="20"/>
                <w:szCs w:val="20"/>
                <w:u w:val="none"/>
                <w:shd w:fill="auto" w:val="clear"/>
                <w:lang w:val="pt-BR" w:eastAsia="pt-BR" w:bidi="ar-SA"/>
              </w:rPr>
            </w:pPr>
            <w:r>
              <w:rPr>
                <w:rFonts w:eastAsia="Calibri" w:cs="Times New Roman" w:ascii="Times New Roman" w:hAnsi="Times New Roman"/>
                <w:b w:val="false"/>
                <w:bCs w:val="false"/>
                <w:strike w:val="false"/>
                <w:dstrike w:val="false"/>
                <w:color w:val="000000"/>
                <w:sz w:val="20"/>
                <w:szCs w:val="20"/>
                <w:u w:val="none"/>
                <w:shd w:fill="auto" w:val="clear"/>
                <w:lang w:val="pt-BR" w:eastAsia="pt-BR" w:bidi="ar-SA"/>
              </w:rPr>
              <w:t>Idt: xxxxxxxxxxxxxxxxx</w:t>
            </w:r>
          </w:p>
        </w:tc>
      </w:tr>
      <w:tr>
        <w:trPr>
          <w:trHeight w:val="226" w:hRule="atLeast"/>
        </w:trPr>
        <w:tc>
          <w:tcPr>
            <w:tcW w:w="8222" w:type="dxa"/>
            <w:tcBorders/>
            <w:shd w:fill="FFFFFF" w:val="clear"/>
            <w:vAlign w:val="bottom"/>
          </w:tcPr>
          <w:p>
            <w:pPr>
              <w:pStyle w:val="Standard"/>
              <w:widowControl w:val="false"/>
              <w:bidi w:val="0"/>
              <w:spacing w:lineRule="auto" w:line="228" w:before="0" w:after="0"/>
              <w:ind w:hanging="0" w:left="7" w:right="0"/>
              <w:jc w:val="center"/>
              <w:rPr>
                <w:rFonts w:ascii="Times New Roman" w:hAnsi="Times New Roman" w:eastAsia="Calibri" w:cs="Times New Roman"/>
                <w:b w:val="false"/>
                <w:bCs w:val="false"/>
                <w:strike w:val="false"/>
                <w:dstrike w:val="false"/>
                <w:color w:val="000000"/>
                <w:w w:val="99"/>
                <w:sz w:val="20"/>
                <w:szCs w:val="20"/>
                <w:u w:val="none"/>
                <w:shd w:fill="auto" w:val="clear"/>
                <w:lang w:val="pt-BR" w:eastAsia="pt-BR" w:bidi="ar-SA"/>
              </w:rPr>
            </w:pPr>
            <w:r>
              <w:rPr>
                <w:rFonts w:eastAsia="Calibri" w:cs="Times New Roman" w:ascii="Times New Roman" w:hAnsi="Times New Roman"/>
                <w:b w:val="false"/>
                <w:bCs w:val="false"/>
                <w:strike w:val="false"/>
                <w:dstrike w:val="false"/>
                <w:color w:val="000000"/>
                <w:w w:val="99"/>
                <w:sz w:val="20"/>
                <w:szCs w:val="20"/>
                <w:u w:val="none"/>
                <w:shd w:fill="auto" w:val="clear"/>
                <w:lang w:val="pt-BR" w:eastAsia="pt-BR" w:bidi="ar-SA"/>
              </w:rPr>
              <w:t>CPF: xxxxxxxxxxxxxxxx</w:t>
            </w:r>
          </w:p>
        </w:tc>
      </w:tr>
    </w:tbl>
    <w:p>
      <w:pPr>
        <w:pStyle w:val="Normal"/>
        <w:widowControl w:val="false"/>
        <w:spacing w:lineRule="exact" w:line="200" w:before="0" w:after="0"/>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r>
    </w:p>
    <w:p>
      <w:pPr>
        <w:pStyle w:val="ListParagraph"/>
        <w:widowControl w:val="false"/>
        <w:spacing w:before="120" w:after="120"/>
        <w:ind w:hanging="0" w:left="0" w:right="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r>
      <w:r>
        <w:br w:type="page"/>
      </w:r>
    </w:p>
    <w:p>
      <w:pPr>
        <w:pStyle w:val="BodyText"/>
        <w:spacing w:before="0" w:after="200"/>
        <w:jc w:val="center"/>
        <w:rPr>
          <w:rFonts w:ascii="Times New Roman" w:hAnsi="Times New Roman"/>
          <w:b/>
          <w:bCs/>
          <w:color w:val="auto"/>
          <w:sz w:val="20"/>
        </w:rPr>
      </w:pPr>
      <w:r>
        <w:rPr>
          <w:rFonts w:ascii="Times New Roman" w:hAnsi="Times New Roman"/>
          <w:b/>
          <w:bCs/>
          <w:color w:val="auto"/>
          <w:sz w:val="20"/>
        </w:rPr>
        <w:t>ANEXO I ao Termo de Credenciamento para Clínicas especializadas</w:t>
      </w:r>
    </w:p>
    <w:p>
      <w:pPr>
        <w:pStyle w:val="Normal"/>
        <w:spacing w:before="120" w:after="120"/>
        <w:jc w:val="center"/>
        <w:rPr>
          <w:rFonts w:ascii="Times New Roman" w:hAnsi="Times New Roman" w:cs="Times New Roman"/>
          <w:color w:val="auto"/>
          <w:sz w:val="20"/>
          <w:szCs w:val="20"/>
        </w:rPr>
      </w:pPr>
      <w:r>
        <w:rPr>
          <w:rFonts w:cs="Times New Roman" w:ascii="Times New Roman" w:hAnsi="Times New Roman"/>
          <w:color w:val="auto"/>
          <w:sz w:val="20"/>
          <w:szCs w:val="20"/>
        </w:rPr>
        <w:drawing>
          <wp:anchor behindDoc="0" distT="0" distB="0" distL="0" distR="0" simplePos="0" locked="0" layoutInCell="0" allowOverlap="1" relativeHeight="4">
            <wp:simplePos x="0" y="0"/>
            <wp:positionH relativeFrom="column">
              <wp:posOffset>2650490</wp:posOffset>
            </wp:positionH>
            <wp:positionV relativeFrom="paragraph">
              <wp:posOffset>24765</wp:posOffset>
            </wp:positionV>
            <wp:extent cx="809625" cy="905510"/>
            <wp:effectExtent l="0" t="0" r="0" b="0"/>
            <wp:wrapSquare wrapText="largest"/>
            <wp:docPr id="2" name="Imagem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
                    <pic:cNvPicPr>
                      <a:picLocks noChangeAspect="1" noChangeArrowheads="1"/>
                    </pic:cNvPicPr>
                  </pic:nvPicPr>
                  <pic:blipFill>
                    <a:blip r:embed="rId3">
                      <a:grayscl/>
                    </a:blip>
                    <a:srcRect l="-56" t="-51" r="-56" b="-51"/>
                    <a:stretch>
                      <a:fillRect/>
                    </a:stretch>
                  </pic:blipFill>
                  <pic:spPr bwMode="auto">
                    <a:xfrm>
                      <a:off x="0" y="0"/>
                      <a:ext cx="809625" cy="905510"/>
                    </a:xfrm>
                    <a:prstGeom prst="rect">
                      <a:avLst/>
                    </a:prstGeom>
                  </pic:spPr>
                </pic:pic>
              </a:graphicData>
            </a:graphic>
          </wp:anchor>
        </w:drawing>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t>MINISTÉRIO DA DEFESA</w:t>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t>EXÉRCITO BRASILEIRO</w:t>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t>HOSPITAL MILITAR DE RESENDE</w:t>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t>(H Mil 1º Cl / 1920)</w:t>
      </w:r>
    </w:p>
    <w:p>
      <w:pPr>
        <w:pStyle w:val="Normal"/>
        <w:spacing w:before="120" w:after="120"/>
        <w:jc w:val="center"/>
        <w:rPr>
          <w:rFonts w:ascii="Times New Roman" w:hAnsi="Times New Roman" w:cs="Times New Roman"/>
          <w:bCs/>
          <w:color w:val="auto"/>
          <w:sz w:val="20"/>
          <w:szCs w:val="20"/>
        </w:rPr>
      </w:pPr>
      <w:r>
        <w:rPr>
          <w:rFonts w:cs="Times New Roman" w:ascii="Times New Roman" w:hAnsi="Times New Roman"/>
          <w:bCs/>
          <w:color w:val="auto"/>
          <w:sz w:val="20"/>
          <w:szCs w:val="20"/>
        </w:rPr>
      </w:r>
    </w:p>
    <w:p>
      <w:pPr>
        <w:pStyle w:val="Heading5"/>
        <w:spacing w:lineRule="auto" w:line="276" w:before="120" w:after="120"/>
        <w:ind w:hanging="0" w:left="0" w:right="0"/>
        <w:rPr>
          <w:bCs/>
          <w:color w:val="auto"/>
          <w:sz w:val="20"/>
        </w:rPr>
      </w:pPr>
      <w:r>
        <w:rPr>
          <w:bCs/>
          <w:color w:val="auto"/>
          <w:sz w:val="20"/>
        </w:rPr>
        <w:t>PEDIDO DE INTERNAÇÃO</w:t>
      </w:r>
    </w:p>
    <w:p>
      <w:pPr>
        <w:pStyle w:val="Normal"/>
        <w:spacing w:before="120" w:after="120"/>
        <w:jc w:val="center"/>
        <w:rPr>
          <w:rFonts w:ascii="Times New Roman" w:hAnsi="Times New Roman" w:cs="Times New Roman"/>
          <w:b/>
          <w:bCs/>
          <w:color w:val="auto"/>
          <w:sz w:val="20"/>
          <w:szCs w:val="20"/>
        </w:rPr>
      </w:pPr>
      <w:r>
        <w:rPr>
          <w:rFonts w:cs="Times New Roman" w:ascii="Times New Roman" w:hAnsi="Times New Roman"/>
          <w:b/>
          <w:bCs/>
          <w:color w:val="auto"/>
          <w:sz w:val="20"/>
          <w:szCs w:val="20"/>
        </w:rPr>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Solicito ao Fundo de Saúde do Exército (FuSEx) autorização para tratamento do (a) paciente:</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 xml:space="preserve">Beneficiário: ___________________________________________________________________________________, </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PREC CP ou matrícula ______________________________________, no(a)</w:t>
        <w:tab/>
        <w:t xml:space="preserve"> </w:t>
      </w:r>
      <w:r>
        <w:rPr>
          <w:rFonts w:eastAsia="Times New Roman" w:cs="Times New Roman" w:ascii="Times New Roman" w:hAnsi="Times New Roman"/>
          <w:color w:val="auto"/>
          <w:sz w:val="20"/>
          <w:szCs w:val="20"/>
        </w:rPr>
        <w:t>□</w:t>
      </w:r>
      <w:r>
        <w:rPr>
          <w:rFonts w:cs="Times New Roman" w:ascii="Times New Roman" w:hAnsi="Times New Roman"/>
          <w:color w:val="auto"/>
          <w:sz w:val="20"/>
          <w:szCs w:val="20"/>
        </w:rPr>
        <w:t xml:space="preserve">  Hospital   ou   </w:t>
      </w:r>
      <w:r>
        <w:rPr>
          <w:rFonts w:eastAsia="Times New Roman" w:cs="Times New Roman" w:ascii="Times New Roman" w:hAnsi="Times New Roman"/>
          <w:color w:val="auto"/>
          <w:sz w:val="20"/>
          <w:szCs w:val="20"/>
        </w:rPr>
        <w:t>□</w:t>
      </w:r>
      <w:r>
        <w:rPr>
          <w:rFonts w:cs="Times New Roman" w:ascii="Times New Roman" w:hAnsi="Times New Roman"/>
          <w:color w:val="auto"/>
          <w:sz w:val="20"/>
          <w:szCs w:val="20"/>
        </w:rPr>
        <w:t xml:space="preserve"> Clínica:</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Nome da Instituição: _____________________________________________________________________________.</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Com Diagnóstico de: ___________________________________________________ CID: ______________________</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Cujos principais sinais e sintomas são: ________________________________________________________________</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________________________________________________________________________________________________</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Justificativa para internação: ________________________________________________________________________</w:t>
      </w:r>
      <w:bookmarkStart w:id="2" w:name="_GoBack1"/>
      <w:bookmarkEnd w:id="2"/>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________________________________________________________________________________________________</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 xml:space="preserve">Caráter da Internação:   </w:t>
      </w:r>
      <w:r>
        <w:rPr>
          <w:rFonts w:eastAsia="Times New Roman" w:cs="Times New Roman" w:ascii="Times New Roman" w:hAnsi="Times New Roman"/>
          <w:color w:val="auto"/>
          <w:sz w:val="20"/>
          <w:szCs w:val="20"/>
        </w:rPr>
        <w:t xml:space="preserve">□  </w:t>
      </w:r>
      <w:r>
        <w:rPr>
          <w:rFonts w:cs="Times New Roman" w:ascii="Times New Roman" w:hAnsi="Times New Roman"/>
          <w:color w:val="auto"/>
          <w:sz w:val="20"/>
          <w:szCs w:val="20"/>
        </w:rPr>
        <w:t xml:space="preserve">Eletiva    </w:t>
      </w:r>
      <w:r>
        <w:rPr>
          <w:rFonts w:eastAsia="Times New Roman" w:cs="Times New Roman" w:ascii="Times New Roman" w:hAnsi="Times New Roman"/>
          <w:color w:val="auto"/>
          <w:sz w:val="20"/>
          <w:szCs w:val="20"/>
        </w:rPr>
        <w:t>□</w:t>
      </w:r>
      <w:r>
        <w:rPr>
          <w:rFonts w:cs="Times New Roman" w:ascii="Times New Roman" w:hAnsi="Times New Roman"/>
          <w:color w:val="auto"/>
          <w:sz w:val="20"/>
          <w:szCs w:val="20"/>
        </w:rPr>
        <w:t xml:space="preserve"> Urgência/Emergência</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 xml:space="preserve">Tipo de tratamento:  </w:t>
      </w:r>
      <w:r>
        <w:rPr>
          <w:rFonts w:eastAsia="Times New Roman" w:cs="Times New Roman" w:ascii="Times New Roman" w:hAnsi="Times New Roman"/>
          <w:color w:val="auto"/>
          <w:sz w:val="20"/>
          <w:szCs w:val="20"/>
        </w:rPr>
        <w:t xml:space="preserve">□ </w:t>
      </w:r>
      <w:r>
        <w:rPr>
          <w:rFonts w:cs="Times New Roman" w:ascii="Times New Roman" w:hAnsi="Times New Roman"/>
          <w:color w:val="auto"/>
          <w:sz w:val="20"/>
          <w:szCs w:val="20"/>
        </w:rPr>
        <w:t xml:space="preserve"> Clínico   </w:t>
      </w:r>
      <w:r>
        <w:rPr>
          <w:rFonts w:eastAsia="Times New Roman" w:cs="Times New Roman" w:ascii="Times New Roman" w:hAnsi="Times New Roman"/>
          <w:color w:val="auto"/>
          <w:sz w:val="20"/>
          <w:szCs w:val="20"/>
        </w:rPr>
        <w:t>□</w:t>
      </w:r>
      <w:r>
        <w:rPr>
          <w:rFonts w:cs="Times New Roman" w:ascii="Times New Roman" w:hAnsi="Times New Roman"/>
          <w:color w:val="auto"/>
          <w:sz w:val="20"/>
          <w:szCs w:val="20"/>
        </w:rPr>
        <w:t xml:space="preserve"> Cirúrgico</w:t>
      </w:r>
    </w:p>
    <w:tbl>
      <w:tblPr>
        <w:tblW w:w="8499" w:type="dxa"/>
        <w:jc w:val="left"/>
        <w:tblInd w:w="292" w:type="dxa"/>
        <w:tblLayout w:type="fixed"/>
        <w:tblCellMar>
          <w:top w:w="60" w:type="dxa"/>
          <w:left w:w="7" w:type="dxa"/>
          <w:bottom w:w="60" w:type="dxa"/>
          <w:right w:w="52" w:type="dxa"/>
        </w:tblCellMar>
      </w:tblPr>
      <w:tblGrid>
        <w:gridCol w:w="5090"/>
        <w:gridCol w:w="1563"/>
        <w:gridCol w:w="1846"/>
      </w:tblGrid>
      <w:tr>
        <w:trPr>
          <w:tblHeader w:val="true"/>
        </w:trPr>
        <w:tc>
          <w:tcPr>
            <w:tcW w:w="5090" w:type="dxa"/>
            <w:tcBorders>
              <w:top w:val="double" w:sz="2" w:space="0" w:color="000001"/>
              <w:left w:val="double" w:sz="2" w:space="0" w:color="000001"/>
              <w:bottom w:val="double" w:sz="2" w:space="0" w:color="000001"/>
            </w:tcBorders>
            <w:shd w:fill="FFFFFF" w:val="clear"/>
          </w:tcPr>
          <w:p>
            <w:pPr>
              <w:pStyle w:val="Normal"/>
              <w:snapToGrid w:val="false"/>
              <w:spacing w:before="0" w:after="0"/>
              <w:jc w:val="center"/>
              <w:rPr>
                <w:rFonts w:ascii="Times New Roman" w:hAnsi="Times New Roman" w:cs="Times New Roman"/>
                <w:bCs/>
                <w:color w:val="auto"/>
                <w:sz w:val="20"/>
                <w:szCs w:val="20"/>
              </w:rPr>
            </w:pPr>
            <w:r>
              <w:rPr>
                <w:rFonts w:cs="Times New Roman" w:ascii="Times New Roman" w:hAnsi="Times New Roman"/>
                <w:bCs/>
                <w:color w:val="auto"/>
                <w:sz w:val="20"/>
                <w:szCs w:val="20"/>
              </w:rPr>
              <w:t>Descrição dos Procedimentos (tratamento)</w:t>
            </w:r>
          </w:p>
        </w:tc>
        <w:tc>
          <w:tcPr>
            <w:tcW w:w="1563" w:type="dxa"/>
            <w:tcBorders>
              <w:top w:val="double" w:sz="2" w:space="0" w:color="000001"/>
              <w:left w:val="double" w:sz="2" w:space="0" w:color="000001"/>
              <w:bottom w:val="double" w:sz="2" w:space="0" w:color="000001"/>
            </w:tcBorders>
            <w:shd w:fill="FFFFFF" w:val="clear"/>
          </w:tcPr>
          <w:p>
            <w:pPr>
              <w:pStyle w:val="Normal"/>
              <w:snapToGrid w:val="false"/>
              <w:spacing w:before="0" w:after="0"/>
              <w:jc w:val="center"/>
              <w:rPr>
                <w:rFonts w:ascii="Times New Roman" w:hAnsi="Times New Roman" w:cs="Times New Roman"/>
                <w:bCs/>
                <w:color w:val="auto"/>
                <w:sz w:val="20"/>
                <w:szCs w:val="20"/>
              </w:rPr>
            </w:pPr>
            <w:r>
              <w:rPr>
                <w:rFonts w:cs="Times New Roman" w:ascii="Times New Roman" w:hAnsi="Times New Roman"/>
                <w:bCs/>
                <w:color w:val="auto"/>
                <w:sz w:val="20"/>
                <w:szCs w:val="20"/>
              </w:rPr>
              <w:t>Quantidade</w:t>
            </w:r>
          </w:p>
        </w:tc>
        <w:tc>
          <w:tcPr>
            <w:tcW w:w="1846" w:type="dxa"/>
            <w:tcBorders>
              <w:top w:val="double" w:sz="2" w:space="0" w:color="000001"/>
              <w:left w:val="double" w:sz="2" w:space="0" w:color="000001"/>
              <w:bottom w:val="double" w:sz="2" w:space="0" w:color="000001"/>
              <w:right w:val="double" w:sz="2" w:space="0" w:color="000001"/>
            </w:tcBorders>
            <w:shd w:fill="FFFFFF" w:val="clear"/>
          </w:tcPr>
          <w:p>
            <w:pPr>
              <w:pStyle w:val="Normal"/>
              <w:snapToGrid w:val="false"/>
              <w:spacing w:before="0" w:after="0"/>
              <w:jc w:val="center"/>
              <w:rPr>
                <w:rFonts w:ascii="Times New Roman" w:hAnsi="Times New Roman" w:cs="Times New Roman"/>
                <w:bCs/>
                <w:color w:val="auto"/>
                <w:sz w:val="20"/>
                <w:szCs w:val="20"/>
              </w:rPr>
            </w:pPr>
            <w:r>
              <w:rPr>
                <w:rFonts w:cs="Times New Roman" w:ascii="Times New Roman" w:hAnsi="Times New Roman"/>
                <w:bCs/>
                <w:color w:val="auto"/>
                <w:sz w:val="20"/>
                <w:szCs w:val="20"/>
              </w:rPr>
              <w:t>Código AMB</w:t>
            </w:r>
          </w:p>
        </w:tc>
      </w:tr>
      <w:tr>
        <w:trPr/>
        <w:tc>
          <w:tcPr>
            <w:tcW w:w="5090" w:type="dxa"/>
            <w:tcBorders>
              <w:top w:val="double" w:sz="2" w:space="0" w:color="000001"/>
              <w:left w:val="double" w:sz="2" w:space="0" w:color="000001"/>
              <w:bottom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c>
          <w:tcPr>
            <w:tcW w:w="1563" w:type="dxa"/>
            <w:tcBorders>
              <w:top w:val="double" w:sz="2" w:space="0" w:color="000001"/>
              <w:left w:val="double" w:sz="2" w:space="0" w:color="000001"/>
              <w:bottom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c>
          <w:tcPr>
            <w:tcW w:w="1846" w:type="dxa"/>
            <w:tcBorders>
              <w:top w:val="double" w:sz="2" w:space="0" w:color="000001"/>
              <w:left w:val="double" w:sz="2" w:space="0" w:color="000001"/>
              <w:bottom w:val="double" w:sz="2" w:space="0" w:color="000001"/>
              <w:right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r>
      <w:tr>
        <w:trPr/>
        <w:tc>
          <w:tcPr>
            <w:tcW w:w="5090" w:type="dxa"/>
            <w:tcBorders>
              <w:top w:val="double" w:sz="2" w:space="0" w:color="000001"/>
              <w:left w:val="double" w:sz="2" w:space="0" w:color="000001"/>
              <w:bottom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c>
          <w:tcPr>
            <w:tcW w:w="1563" w:type="dxa"/>
            <w:tcBorders>
              <w:top w:val="double" w:sz="2" w:space="0" w:color="000001"/>
              <w:left w:val="double" w:sz="2" w:space="0" w:color="000001"/>
              <w:bottom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c>
          <w:tcPr>
            <w:tcW w:w="1846" w:type="dxa"/>
            <w:tcBorders>
              <w:top w:val="double" w:sz="2" w:space="0" w:color="000001"/>
              <w:left w:val="double" w:sz="2" w:space="0" w:color="000001"/>
              <w:bottom w:val="double" w:sz="2" w:space="0" w:color="000001"/>
              <w:right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r>
      <w:tr>
        <w:trPr/>
        <w:tc>
          <w:tcPr>
            <w:tcW w:w="5090" w:type="dxa"/>
            <w:tcBorders>
              <w:top w:val="double" w:sz="2" w:space="0" w:color="000001"/>
              <w:left w:val="double" w:sz="2" w:space="0" w:color="000001"/>
              <w:bottom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c>
          <w:tcPr>
            <w:tcW w:w="1563" w:type="dxa"/>
            <w:tcBorders>
              <w:top w:val="double" w:sz="2" w:space="0" w:color="000001"/>
              <w:left w:val="double" w:sz="2" w:space="0" w:color="000001"/>
              <w:bottom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c>
          <w:tcPr>
            <w:tcW w:w="1846" w:type="dxa"/>
            <w:tcBorders>
              <w:top w:val="double" w:sz="2" w:space="0" w:color="000001"/>
              <w:left w:val="double" w:sz="2" w:space="0" w:color="000001"/>
              <w:bottom w:val="double" w:sz="2" w:space="0" w:color="000001"/>
              <w:right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r>
      <w:tr>
        <w:trPr/>
        <w:tc>
          <w:tcPr>
            <w:tcW w:w="5090" w:type="dxa"/>
            <w:tcBorders>
              <w:top w:val="double" w:sz="2" w:space="0" w:color="000001"/>
              <w:left w:val="double" w:sz="2" w:space="0" w:color="000001"/>
              <w:bottom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c>
          <w:tcPr>
            <w:tcW w:w="1563" w:type="dxa"/>
            <w:tcBorders>
              <w:top w:val="double" w:sz="2" w:space="0" w:color="000001"/>
              <w:left w:val="double" w:sz="2" w:space="0" w:color="000001"/>
              <w:bottom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c>
          <w:tcPr>
            <w:tcW w:w="1846" w:type="dxa"/>
            <w:tcBorders>
              <w:top w:val="double" w:sz="2" w:space="0" w:color="000001"/>
              <w:left w:val="double" w:sz="2" w:space="0" w:color="000001"/>
              <w:bottom w:val="double" w:sz="2" w:space="0" w:color="000001"/>
              <w:right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r>
    </w:tbl>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Data da internação: ___/___/_____</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Data da cirurgia: ___/___/_____ (se o tratamento for cirúrgico)</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Previsão do tempo de hospitalização: __________</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Materiais especiais?</w:t>
      </w:r>
    </w:p>
    <w:p>
      <w:pPr>
        <w:pStyle w:val="Normal"/>
        <w:spacing w:before="120" w:after="120"/>
        <w:rPr>
          <w:rFonts w:ascii="Times New Roman" w:hAnsi="Times New Roman" w:cs="Times New Roman"/>
          <w:color w:val="auto"/>
          <w:sz w:val="20"/>
          <w:szCs w:val="20"/>
        </w:rPr>
      </w:pPr>
      <w:r>
        <w:rPr>
          <w:rFonts w:eastAsia="Times New Roman" w:cs="Times New Roman" w:ascii="Times New Roman" w:hAnsi="Times New Roman"/>
          <w:color w:val="auto"/>
          <w:sz w:val="20"/>
          <w:szCs w:val="20"/>
        </w:rPr>
        <w:t xml:space="preserve">□   </w:t>
      </w:r>
      <w:r>
        <w:rPr>
          <w:rFonts w:cs="Times New Roman" w:ascii="Times New Roman" w:hAnsi="Times New Roman"/>
          <w:color w:val="auto"/>
          <w:sz w:val="20"/>
          <w:szCs w:val="20"/>
        </w:rPr>
        <w:t>Não</w:t>
      </w:r>
    </w:p>
    <w:p>
      <w:pPr>
        <w:pStyle w:val="Normal"/>
        <w:spacing w:before="120" w:after="120"/>
        <w:rPr>
          <w:rFonts w:ascii="Times New Roman" w:hAnsi="Times New Roman" w:cs="Times New Roman"/>
          <w:color w:val="auto"/>
          <w:sz w:val="20"/>
          <w:szCs w:val="20"/>
        </w:rPr>
      </w:pPr>
      <w:r>
        <w:rPr>
          <w:rFonts w:eastAsia="Times New Roman" w:cs="Times New Roman" w:ascii="Times New Roman" w:hAnsi="Times New Roman"/>
          <w:color w:val="auto"/>
          <w:sz w:val="20"/>
          <w:szCs w:val="20"/>
        </w:rPr>
        <w:t xml:space="preserve">□    </w:t>
      </w:r>
      <w:r>
        <w:rPr>
          <w:rFonts w:cs="Times New Roman" w:ascii="Times New Roman" w:hAnsi="Times New Roman"/>
          <w:color w:val="auto"/>
          <w:sz w:val="20"/>
          <w:szCs w:val="20"/>
        </w:rPr>
        <w:t>Sim, descrição: ____________________________________________________________________________</w:t>
      </w:r>
    </w:p>
    <w:p>
      <w:pPr>
        <w:pStyle w:val="Normal"/>
        <w:spacing w:before="120" w:after="120"/>
        <w:rPr>
          <w:rFonts w:ascii="Times New Roman" w:hAnsi="Times New Roman" w:cs="Times New Roman"/>
          <w:sz w:val="20"/>
          <w:szCs w:val="20"/>
        </w:rPr>
      </w:pPr>
      <w:r>
        <w:rPr>
          <w:rFonts w:cs="Times New Roman" w:ascii="Times New Roman" w:hAnsi="Times New Roman"/>
          <w:sz w:val="20"/>
          <w:szCs w:val="20"/>
        </w:rPr>
      </w:r>
    </w:p>
    <w:p>
      <w:pPr>
        <w:pStyle w:val="NormalWeb1"/>
        <w:spacing w:lineRule="auto" w:line="276" w:before="120" w:after="120"/>
        <w:jc w:val="center"/>
        <w:rPr>
          <w:color w:val="auto"/>
          <w:sz w:val="20"/>
          <w:szCs w:val="20"/>
        </w:rPr>
      </w:pPr>
      <w:r>
        <w:rPr>
          <w:color w:val="auto"/>
          <w:sz w:val="20"/>
          <w:szCs w:val="20"/>
        </w:rPr>
        <w:t>__________________________, RJ,___/___/_____</w:t>
      </w:r>
    </w:p>
    <w:p>
      <w:pPr>
        <w:pStyle w:val="NormalWeb1"/>
        <w:spacing w:lineRule="auto" w:line="276" w:before="120" w:after="120"/>
        <w:jc w:val="center"/>
        <w:rPr>
          <w:color w:val="auto"/>
          <w:sz w:val="20"/>
          <w:szCs w:val="20"/>
        </w:rPr>
      </w:pPr>
      <w:r>
        <w:rPr>
          <w:color w:val="auto"/>
          <w:sz w:val="20"/>
          <w:szCs w:val="20"/>
        </w:rPr>
      </w:r>
    </w:p>
    <w:p>
      <w:pPr>
        <w:pStyle w:val="Normal"/>
        <w:spacing w:before="120" w:after="120"/>
        <w:jc w:val="center"/>
        <w:rPr>
          <w:rFonts w:ascii="Times New Roman" w:hAnsi="Times New Roman" w:cs="Times New Roman"/>
          <w:color w:val="auto"/>
          <w:sz w:val="20"/>
          <w:szCs w:val="20"/>
        </w:rPr>
      </w:pPr>
      <w:r>
        <w:rPr>
          <w:rFonts w:cs="Times New Roman" w:ascii="Times New Roman" w:hAnsi="Times New Roman"/>
          <w:color w:val="auto"/>
          <w:sz w:val="20"/>
          <w:szCs w:val="20"/>
        </w:rPr>
        <w:t>______________________________________</w:t>
      </w:r>
    </w:p>
    <w:p>
      <w:pPr>
        <w:pStyle w:val="Normal"/>
        <w:spacing w:lineRule="auto" w:line="276" w:before="120" w:after="120"/>
        <w:jc w:val="center"/>
        <w:rPr>
          <w:rFonts w:ascii="Times New Roman" w:hAnsi="Times New Roman" w:cs="Times New Roman"/>
          <w:color w:val="auto"/>
          <w:sz w:val="20"/>
          <w:szCs w:val="20"/>
          <w:u w:val="none"/>
          <w:shd w:fill="auto" w:val="clear"/>
        </w:rPr>
      </w:pPr>
      <w:r>
        <w:rPr>
          <w:rFonts w:cs="Times New Roman" w:ascii="Times New Roman" w:hAnsi="Times New Roman"/>
          <w:color w:val="000000"/>
          <w:sz w:val="20"/>
          <w:szCs w:val="20"/>
          <w:u w:val="none"/>
          <w:shd w:fill="auto" w:val="clear"/>
        </w:rPr>
        <w:t>(assinatura e carimbo do médico)</w:t>
      </w:r>
    </w:p>
    <w:p>
      <w:pPr>
        <w:pStyle w:val="BodyText"/>
        <w:spacing w:lineRule="auto" w:line="276" w:before="120" w:after="120"/>
        <w:jc w:val="center"/>
        <w:rPr>
          <w:rFonts w:ascii="Times New Roman" w:hAnsi="Times New Roman"/>
          <w:b/>
          <w:bCs/>
          <w:sz w:val="20"/>
          <w:szCs w:val="20"/>
        </w:rPr>
      </w:pPr>
      <w:r>
        <w:rPr>
          <w:rFonts w:ascii="Times New Roman" w:hAnsi="Times New Roman"/>
          <w:b/>
          <w:bCs/>
          <w:color w:val="000000"/>
          <w:sz w:val="20"/>
          <w:szCs w:val="20"/>
          <w:u w:val="none"/>
          <w:shd w:fill="auto" w:val="clear"/>
        </w:rPr>
        <w:t>ANEXO II ao Termo de Credenciamento para Clínicas especializadas</w:t>
      </w:r>
    </w:p>
    <w:p>
      <w:pPr>
        <w:pStyle w:val="BodyText"/>
        <w:spacing w:lineRule="auto" w:line="240" w:before="0" w:after="0"/>
        <w:ind w:hanging="0" w:left="0" w:right="0"/>
        <w:jc w:val="center"/>
        <w:rPr>
          <w:rFonts w:ascii="Times New Roman" w:hAnsi="Times New Roman" w:cs="Times New Roman"/>
          <w:sz w:val="20"/>
          <w:szCs w:val="20"/>
          <w:lang w:val="pt-BR" w:eastAsia="pt-BR"/>
        </w:rPr>
      </w:pPr>
      <w:r>
        <w:rPr/>
        <w:drawing>
          <wp:inline distT="0" distB="0" distL="0" distR="0">
            <wp:extent cx="809625" cy="905510"/>
            <wp:effectExtent l="0" t="0" r="0" b="0"/>
            <wp:docPr id="3"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descr=""/>
                    <pic:cNvPicPr>
                      <a:picLocks noChangeAspect="1" noChangeArrowheads="1"/>
                    </pic:cNvPicPr>
                  </pic:nvPicPr>
                  <pic:blipFill>
                    <a:blip r:embed="rId4">
                      <a:grayscl/>
                    </a:blip>
                    <a:srcRect l="-70" t="-64" r="-70" b="-64"/>
                    <a:stretch>
                      <a:fillRect/>
                    </a:stretch>
                  </pic:blipFill>
                  <pic:spPr bwMode="auto">
                    <a:xfrm>
                      <a:off x="0" y="0"/>
                      <a:ext cx="809625" cy="905510"/>
                    </a:xfrm>
                    <a:prstGeom prst="rect">
                      <a:avLst/>
                    </a:prstGeom>
                  </pic:spPr>
                </pic:pic>
              </a:graphicData>
            </a:graphic>
          </wp:inline>
        </w:drawing>
      </w:r>
    </w:p>
    <w:p>
      <w:pPr>
        <w:pStyle w:val="Normal"/>
        <w:spacing w:lineRule="auto" w:line="240" w:before="0" w:after="0"/>
        <w:ind w:hanging="0" w:left="0" w:right="0"/>
        <w:jc w:val="center"/>
        <w:rPr>
          <w:rFonts w:ascii="Times New Roman" w:hAnsi="Times New Roman" w:cs="Times New Roman"/>
          <w:b/>
          <w:bCs/>
          <w:sz w:val="16"/>
          <w:szCs w:val="16"/>
        </w:rPr>
      </w:pPr>
      <w:r>
        <w:rPr>
          <w:rFonts w:cs="Times New Roman" w:ascii="Times New Roman" w:hAnsi="Times New Roman"/>
          <w:b/>
          <w:bCs/>
          <w:sz w:val="16"/>
          <w:szCs w:val="16"/>
        </w:rPr>
        <w:t>MINISTÉRIO DA DEFESA</w:t>
      </w:r>
    </w:p>
    <w:p>
      <w:pPr>
        <w:pStyle w:val="Normal"/>
        <w:spacing w:lineRule="auto" w:line="240" w:before="0" w:after="0"/>
        <w:jc w:val="center"/>
        <w:rPr>
          <w:rFonts w:ascii="Times New Roman" w:hAnsi="Times New Roman" w:cs="Times New Roman"/>
          <w:b/>
          <w:bCs/>
          <w:sz w:val="16"/>
          <w:szCs w:val="16"/>
        </w:rPr>
      </w:pPr>
      <w:r>
        <w:rPr>
          <w:rFonts w:cs="Times New Roman" w:ascii="Times New Roman" w:hAnsi="Times New Roman"/>
          <w:b/>
          <w:bCs/>
          <w:sz w:val="16"/>
          <w:szCs w:val="16"/>
        </w:rPr>
        <w:t>EXÉRCITO BRASILEIRO</w:t>
      </w:r>
    </w:p>
    <w:p>
      <w:pPr>
        <w:pStyle w:val="Normal"/>
        <w:spacing w:lineRule="auto" w:line="240" w:before="0" w:after="0"/>
        <w:jc w:val="center"/>
        <w:rPr>
          <w:rFonts w:ascii="Times New Roman" w:hAnsi="Times New Roman" w:cs="Times New Roman"/>
          <w:b/>
          <w:bCs/>
          <w:sz w:val="16"/>
          <w:szCs w:val="16"/>
        </w:rPr>
      </w:pPr>
      <w:r>
        <w:rPr>
          <w:rFonts w:cs="Times New Roman" w:ascii="Times New Roman" w:hAnsi="Times New Roman"/>
          <w:b/>
          <w:bCs/>
          <w:sz w:val="16"/>
          <w:szCs w:val="16"/>
        </w:rPr>
        <w:t>COMANDO MILITAR DO LESTE</w:t>
      </w:r>
    </w:p>
    <w:p>
      <w:pPr>
        <w:pStyle w:val="Normal"/>
        <w:spacing w:lineRule="auto" w:line="240" w:before="0" w:after="0"/>
        <w:jc w:val="center"/>
        <w:rPr>
          <w:rFonts w:ascii="Times New Roman" w:hAnsi="Times New Roman" w:cs="Times New Roman"/>
          <w:b/>
          <w:bCs/>
          <w:sz w:val="16"/>
          <w:szCs w:val="16"/>
        </w:rPr>
      </w:pPr>
      <w:r>
        <w:rPr>
          <w:rFonts w:cs="Times New Roman" w:ascii="Times New Roman" w:hAnsi="Times New Roman"/>
          <w:b/>
          <w:bCs/>
          <w:sz w:val="16"/>
          <w:szCs w:val="16"/>
        </w:rPr>
        <w:t>HOSPITAL MILITAR DE RESENDE</w:t>
      </w:r>
    </w:p>
    <w:p>
      <w:pPr>
        <w:pStyle w:val="Normal"/>
        <w:spacing w:lineRule="auto" w:line="240" w:before="0" w:after="0"/>
        <w:jc w:val="center"/>
        <w:rPr>
          <w:rFonts w:ascii="Times New Roman" w:hAnsi="Times New Roman" w:cs="Times New Roman"/>
          <w:b/>
          <w:bCs/>
          <w:sz w:val="16"/>
          <w:szCs w:val="16"/>
        </w:rPr>
      </w:pPr>
      <w:r>
        <w:rPr>
          <w:rFonts w:cs="Times New Roman" w:ascii="Times New Roman" w:hAnsi="Times New Roman"/>
          <w:b/>
          <w:bCs/>
          <w:sz w:val="16"/>
          <w:szCs w:val="16"/>
        </w:rPr>
        <w:t>(H Mil 1º Cl / 1920)</w:t>
      </w:r>
    </w:p>
    <w:p>
      <w:pPr>
        <w:pStyle w:val="Normal"/>
        <w:widowControl w:val="false"/>
        <w:spacing w:before="0" w:after="0"/>
        <w:jc w:val="center"/>
        <w:rPr>
          <w:rFonts w:ascii="Times New Roman" w:hAnsi="Times New Roman" w:cs="Times New Roman"/>
          <w:b/>
          <w:bCs/>
          <w:color w:val="000000"/>
          <w:sz w:val="20"/>
          <w:szCs w:val="20"/>
        </w:rPr>
      </w:pPr>
      <w:r>
        <w:rPr>
          <w:rFonts w:cs="Times New Roman" w:ascii="Times New Roman" w:hAnsi="Times New Roman"/>
          <w:b/>
          <w:bCs/>
          <w:color w:val="000000"/>
          <w:sz w:val="20"/>
          <w:szCs w:val="20"/>
        </w:rPr>
      </w:r>
    </w:p>
    <w:p>
      <w:pPr>
        <w:pStyle w:val="Normal"/>
        <w:widowControl w:val="false"/>
        <w:spacing w:before="0" w:after="0"/>
        <w:jc w:val="center"/>
        <w:rPr>
          <w:rFonts w:ascii="Times New Roman" w:hAnsi="Times New Roman" w:cs="Times New Roman"/>
          <w:b/>
          <w:bCs/>
          <w:color w:val="000000"/>
          <w:sz w:val="18"/>
          <w:szCs w:val="18"/>
        </w:rPr>
      </w:pPr>
      <w:r>
        <w:rPr>
          <w:rFonts w:cs="Times New Roman" w:ascii="Times New Roman" w:hAnsi="Times New Roman"/>
          <w:b/>
          <w:bCs/>
          <w:color w:val="000000"/>
          <w:sz w:val="18"/>
          <w:szCs w:val="18"/>
        </w:rPr>
        <w:t>ÍNDICE DE GLOSA</w:t>
      </w:r>
    </w:p>
    <w:p>
      <w:pPr>
        <w:pStyle w:val="Normal"/>
        <w:widowControl w:val="false"/>
        <w:spacing w:before="0" w:after="0"/>
        <w:jc w:val="center"/>
        <w:rPr>
          <w:rFonts w:ascii="Times New Roman" w:hAnsi="Times New Roman" w:cs="Times New Roman"/>
          <w:b/>
          <w:bCs/>
          <w:color w:val="000000"/>
          <w:sz w:val="18"/>
          <w:szCs w:val="18"/>
        </w:rPr>
      </w:pPr>
      <w:r>
        <w:rPr>
          <w:rFonts w:cs="Times New Roman" w:ascii="Times New Roman" w:hAnsi="Times New Roman"/>
          <w:b/>
          <w:bCs/>
          <w:color w:val="000000"/>
          <w:sz w:val="18"/>
          <w:szCs w:val="18"/>
        </w:rPr>
      </w:r>
    </w:p>
    <w:tbl>
      <w:tblPr>
        <w:tblW w:w="9614" w:type="dxa"/>
        <w:jc w:val="center"/>
        <w:tblInd w:w="0" w:type="dxa"/>
        <w:tblLayout w:type="fixed"/>
        <w:tblCellMar>
          <w:top w:w="0" w:type="dxa"/>
          <w:left w:w="48" w:type="dxa"/>
          <w:bottom w:w="0" w:type="dxa"/>
          <w:right w:w="108" w:type="dxa"/>
        </w:tblCellMar>
      </w:tblPr>
      <w:tblGrid>
        <w:gridCol w:w="494"/>
        <w:gridCol w:w="4570"/>
        <w:gridCol w:w="429"/>
        <w:gridCol w:w="4120"/>
      </w:tblGrid>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Atendimento não caracterizando urgência</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41</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incluso no procedimento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Acomodação acima da autorizada</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42</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não coberto (ver relação anexa)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Atendimento por médico militar</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43</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não justificado para o caso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Cobrança de mais de30% em dia e hora normais</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44</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não utilizado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Cobrança de 30 % não caracterizado urgência ou emergência</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45</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reutilizável – pagamento parcial</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Consulta inclusa no procedimento cirúrgico</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46</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Medicação não considerada de urgência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Curativo incluso no procedimento cirúrgico</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47</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Medicação em desacordo com a prescrição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8</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Data de atendimento fora da sequência na planilha</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48</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Medicação em excesso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9</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Data de atendimento fora da competência</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49</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Medicação não justificada para o caso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10</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Diagnóstico ilegível</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50</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Medicação não prescrita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11</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Diárias em excesso</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51</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Medicação não utilizada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12</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Diárias fora da tabela acordada</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52</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Medicamento acima do preço de mercado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13</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Documento sem assinatura/ carimbo do médico assistente</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53</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Medicamento não coberto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14</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EPI de responsabilidade do prestador</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54</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Medicamento suspenso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15</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Especialidade não autorizada</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55</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Paciente não é beneficiário FuSEx/PASS</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16</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Evento incluso no pacote acordado</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56</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Prescrição médica cm rasura ou ilegível</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17</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Evento que não comporta cobrança</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57</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Prestador descredenciado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18</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Exame não prevê cobrança contraste</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58</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Procedimento/exames em excesso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19</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Exame sem laudo</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59</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Procedimento/exame incompatível com o diagnóstico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20</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Exames/procedimentos não requisitados</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60</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Procedimento/exame em duplicidade</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21</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Falta de discriminação dos serviços executados</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61</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Procedimento/exame não coberto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22</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Falta do registro de evolução médica e/ou de enfermagem</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62</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Procedimento/exame não realizado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23</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Fatura sem separar (FuSEx – PASS – Fator de Custo)</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63</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Prontuário/ficha/boletim ilegível</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24</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Filme –cobrança em desacordo com CBR</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64</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Prontuário/ficha/boletim rasurados</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25</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Guia/Ofício de encaminhamento ilegível</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65</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Retorno de consulta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26</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Guia/Ofício de encaminhamento sem assinatura do paciente ou responsável</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66</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SADT/exames fora da tabela acordada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27</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 autorizada para outro prestador</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67</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Sem autorização para procedimento ou exame</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28</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 de encaminhamento fora da validade</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68</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Sem diagnóstico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29</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 não autorizada pelo FuSEx</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69</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Sem guia/ofício de encaminhamento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30</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 autorizada para outro beneficiário</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70</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Solicitação médica com data rasurada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31</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 autorizada para outro procedimento</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71</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Solicitação com data posterior ao exame</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32</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 sem carimbo de autorização</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72</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Solicitação médica com data vencida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33</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Guia/Ofício de encaminhamento carbonados ou fotocopiados</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73</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Solicitação médica sem data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34</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Honorários médicos fora da tabela ou em excesso</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74</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Soma errada – cálculo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35</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Justificar cobrança</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75</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Taxas fora da tabela acordada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36</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ou medicamento adquirido por familiar a seu critério</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76</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Taxas indevidas ou em excesso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37</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acima do preço de mercado</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77</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Visita hospitalar em duplicidade</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38</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de alto custo sem nota fiscal</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78</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Visitas inclusas no procedimento cirúrgico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39</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em excesso</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79</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Visita de especialista sem autorização prévia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40</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fixo</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80</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Outros</w:t>
            </w:r>
          </w:p>
        </w:tc>
      </w:tr>
    </w:tbl>
    <w:p>
      <w:pPr>
        <w:pStyle w:val="Normal"/>
        <w:widowControl w:val="false"/>
        <w:spacing w:before="120" w:after="120"/>
        <w:jc w:val="both"/>
        <w:rPr>
          <w:rFonts w:ascii="Times New Roman" w:hAnsi="Times New Roman" w:cs="Times New Roman"/>
          <w:color w:val="000000"/>
          <w:sz w:val="18"/>
          <w:szCs w:val="18"/>
          <w:u w:val="none"/>
          <w:shd w:fill="auto" w:val="clear"/>
        </w:rPr>
      </w:pPr>
      <w:r>
        <w:rPr>
          <w:rFonts w:cs="Times New Roman" w:ascii="Times New Roman" w:hAnsi="Times New Roman"/>
          <w:color w:val="000000"/>
          <w:sz w:val="18"/>
          <w:szCs w:val="18"/>
          <w:u w:val="none"/>
          <w:shd w:fill="auto" w:val="clear"/>
        </w:rPr>
      </w:r>
    </w:p>
    <w:sectPr>
      <w:footerReference w:type="even" r:id="rId5"/>
      <w:footerReference w:type="default" r:id="rId6"/>
      <w:footerReference w:type="first" r:id="rId7"/>
      <w:type w:val="nextPage"/>
      <w:pgSz w:w="11906" w:h="16838"/>
      <w:pgMar w:left="1134" w:right="1134" w:gutter="0" w:header="0" w:top="680" w:footer="850" w:bottom="120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Ecofont_Spranq_eco_Sans">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Times New Roman" w:hAnsi="Times New Roman"/>
        <w:sz w:val="16"/>
        <w:szCs w:val="16"/>
      </w:rPr>
    </w:pPr>
    <w:r>
      <w:rPr>
        <w:rFonts w:ascii="Times New Roman" w:hAnsi="Times New Roman"/>
        <w:sz w:val="16"/>
        <w:szCs w:val="16"/>
      </w:rPr>
      <w:fldChar w:fldCharType="begin"/>
    </w:r>
    <w:r>
      <w:rPr>
        <w:sz w:val="16"/>
        <w:szCs w:val="16"/>
        <w:rFonts w:ascii="Times New Roman" w:hAnsi="Times New Roman"/>
      </w:rPr>
      <w:instrText xml:space="preserve"> PAGE </w:instrText>
    </w:r>
    <w:r>
      <w:rPr>
        <w:sz w:val="16"/>
        <w:szCs w:val="16"/>
        <w:rFonts w:ascii="Times New Roman" w:hAnsi="Times New Roman"/>
      </w:rPr>
      <w:fldChar w:fldCharType="separate"/>
    </w:r>
    <w:r>
      <w:rPr>
        <w:sz w:val="16"/>
        <w:szCs w:val="16"/>
        <w:rFonts w:ascii="Times New Roman" w:hAnsi="Times New Roman"/>
      </w:rPr>
      <w:t>13</w:t>
    </w:r>
    <w:r>
      <w:rPr>
        <w:sz w:val="16"/>
        <w:szCs w:val="16"/>
        <w:rFonts w:ascii="Times New Roman" w:hAnsi="Times New Roman"/>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Times New Roman" w:hAnsi="Times New Roman"/>
        <w:sz w:val="16"/>
        <w:szCs w:val="16"/>
      </w:rPr>
    </w:pPr>
    <w:r>
      <w:rPr>
        <w:rFonts w:ascii="Times New Roman" w:hAnsi="Times New Roman"/>
        <w:sz w:val="16"/>
        <w:szCs w:val="16"/>
      </w:rPr>
      <w:fldChar w:fldCharType="begin"/>
    </w:r>
    <w:r>
      <w:rPr>
        <w:sz w:val="16"/>
        <w:szCs w:val="16"/>
        <w:rFonts w:ascii="Times New Roman" w:hAnsi="Times New Roman"/>
      </w:rPr>
      <w:instrText xml:space="preserve"> PAGE </w:instrText>
    </w:r>
    <w:r>
      <w:rPr>
        <w:sz w:val="16"/>
        <w:szCs w:val="16"/>
        <w:rFonts w:ascii="Times New Roman" w:hAnsi="Times New Roman"/>
      </w:rPr>
      <w:fldChar w:fldCharType="separate"/>
    </w:r>
    <w:r>
      <w:rPr>
        <w:sz w:val="16"/>
        <w:szCs w:val="16"/>
        <w:rFonts w:ascii="Times New Roman" w:hAnsi="Times New Roman"/>
      </w:rPr>
      <w:t>13</w:t>
    </w:r>
    <w:r>
      <w:rPr>
        <w:sz w:val="16"/>
        <w:szCs w:val="16"/>
        <w:rFonts w:ascii="Times New Roman" w:hAnsi="Times New Roman"/>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363" w:hanging="432"/>
      </w:pPr>
      <w:rPr>
        <w:dstrike w:val="false"/>
        <w:strike w:val="false"/>
        <w:sz w:val="20"/>
        <w:i w:val="false"/>
        <w:u w:val="none"/>
        <w:b w:val="false"/>
        <w:szCs w:val="20"/>
        <w:color w:val="auto"/>
      </w:rPr>
    </w:lvl>
    <w:lvl w:ilvl="2">
      <w:start w:val="1"/>
      <w:numFmt w:val="decimal"/>
      <w:lvlText w:val="%1.%2.%3"/>
      <w:lvlJc w:val="left"/>
      <w:pPr>
        <w:tabs>
          <w:tab w:val="num" w:pos="0"/>
        </w:tabs>
        <w:ind w:left="6175" w:hanging="504"/>
      </w:pPr>
      <w:rPr>
        <w:dstrike w:val="false"/>
        <w:strike w:val="false"/>
        <w:sz w:val="20"/>
        <w:i w:val="false"/>
        <w:b w:val="false"/>
        <w:szCs w:val="20"/>
        <w:color w:val="000000"/>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pt-BR" w:eastAsia="zh-CN" w:bidi="hi-IN"/>
      </w:rPr>
    </w:rPrDefault>
    <w:pPrDefault>
      <w:pPr>
        <w:suppressAutoHyphens w:val="true"/>
      </w:pPr>
    </w:pPrDefault>
  </w:docDefaults>
  <w:style w:type="paragraph" w:styleId="Normal">
    <w:name w:val="Normal"/>
    <w:qFormat/>
    <w:pPr>
      <w:widowControl/>
      <w:suppressAutoHyphens w:val="true"/>
      <w:overflowPunct w:val="true"/>
      <w:bidi w:val="0"/>
      <w:spacing w:lineRule="auto" w:line="276" w:before="0" w:after="200"/>
      <w:jc w:val="left"/>
    </w:pPr>
    <w:rPr>
      <w:rFonts w:ascii="Calibri" w:hAnsi="Calibri" w:eastAsia="Calibri" w:cs="Tahoma"/>
      <w:color w:val="00000A"/>
      <w:kern w:val="2"/>
      <w:sz w:val="22"/>
      <w:szCs w:val="22"/>
      <w:lang w:val="pt-BR" w:eastAsia="pt-BR" w:bidi="ar-SA"/>
    </w:rPr>
  </w:style>
  <w:style w:type="paragraph" w:styleId="Heading1">
    <w:name w:val="Heading 1"/>
    <w:basedOn w:val="Ttulo"/>
    <w:qFormat/>
    <w:pPr/>
    <w:rPr/>
  </w:style>
  <w:style w:type="paragraph" w:styleId="Heading2">
    <w:name w:val="Heading 2"/>
    <w:basedOn w:val="Ttulo"/>
    <w:qFormat/>
    <w:pPr/>
    <w:rPr/>
  </w:style>
  <w:style w:type="paragraph" w:styleId="Heading3">
    <w:name w:val="Heading 3"/>
    <w:basedOn w:val="Ttulo"/>
    <w:qFormat/>
    <w:pPr/>
    <w:rPr/>
  </w:style>
  <w:style w:type="paragraph" w:styleId="Heading5">
    <w:name w:val="Heading 5"/>
    <w:basedOn w:val="Normal"/>
    <w:next w:val="Normal"/>
    <w:qFormat/>
    <w:pPr>
      <w:keepNext w:val="true"/>
      <w:numPr>
        <w:ilvl w:val="0"/>
        <w:numId w:val="0"/>
      </w:numPr>
      <w:suppressAutoHyphens w:val="true"/>
      <w:spacing w:lineRule="atLeast" w:line="360" w:before="0" w:after="0"/>
      <w:ind w:hanging="792" w:left="2232" w:right="0"/>
      <w:jc w:val="center"/>
      <w:textAlignment w:val="baseline"/>
      <w:outlineLvl w:val="4"/>
    </w:pPr>
    <w:rPr>
      <w:rFonts w:ascii="Times New Roman" w:hAnsi="Times New Roman" w:eastAsia="Times New Roman" w:cs="Times New Roman"/>
      <w:b/>
      <w:sz w:val="24"/>
      <w:szCs w:val="20"/>
      <w:lang w:eastAsia="ar-SA"/>
    </w:rPr>
  </w:style>
  <w:style w:type="character" w:styleId="DefaultParagraphFont">
    <w:name w:val="Default Paragraph Font"/>
    <w:qFormat/>
    <w:rPr/>
  </w:style>
  <w:style w:type="character" w:styleId="TextodebaloChar">
    <w:name w:val="Texto de balão Char"/>
    <w:basedOn w:val="DefaultParagraphFont"/>
    <w:qFormat/>
    <w:rPr>
      <w:rFonts w:ascii="Tahoma" w:hAnsi="Tahoma" w:eastAsia="Calibri" w:cs="Tahoma"/>
      <w:sz w:val="16"/>
      <w:szCs w:val="16"/>
      <w:lang w:eastAsia="pt-BR"/>
    </w:rPr>
  </w:style>
  <w:style w:type="character" w:styleId="Strong">
    <w:name w:val="Strong"/>
    <w:basedOn w:val="DefaultParagraphFont"/>
    <w:qFormat/>
    <w:rPr>
      <w:b/>
      <w:bCs/>
    </w:rPr>
  </w:style>
  <w:style w:type="character" w:styleId="Recuodecorpodetexto3Char">
    <w:name w:val="Recuo de corpo de texto 3 Char"/>
    <w:basedOn w:val="DefaultParagraphFont"/>
    <w:qFormat/>
    <w:rPr>
      <w:rFonts w:ascii="Arial" w:hAnsi="Arial" w:eastAsia="Times New Roman" w:cs="Times New Roman"/>
      <w:sz w:val="24"/>
      <w:szCs w:val="20"/>
      <w:lang w:eastAsia="ar-SA"/>
    </w:rPr>
  </w:style>
  <w:style w:type="character" w:styleId="CorpodetextoChar">
    <w:name w:val="Corpo de texto Char"/>
    <w:basedOn w:val="DefaultParagraphFont"/>
    <w:qFormat/>
    <w:rPr>
      <w:rFonts w:ascii="Calibri" w:hAnsi="Calibri" w:eastAsia="Calibri"/>
      <w:lang w:eastAsia="pt-BR"/>
    </w:rPr>
  </w:style>
  <w:style w:type="character" w:styleId="Ttulo5Char">
    <w:name w:val="Título 5 Char"/>
    <w:basedOn w:val="DefaultParagraphFont"/>
    <w:qFormat/>
    <w:rPr>
      <w:rFonts w:ascii="Times New Roman" w:hAnsi="Times New Roman" w:eastAsia="Times New Roman" w:cs="Times New Roman"/>
      <w:b/>
      <w:sz w:val="24"/>
      <w:szCs w:val="20"/>
      <w:lang w:eastAsia="ar-SA"/>
    </w:rPr>
  </w:style>
  <w:style w:type="character" w:styleId="CabealhoChar">
    <w:name w:val="Cabeçalho Char"/>
    <w:basedOn w:val="DefaultParagraphFont"/>
    <w:qFormat/>
    <w:rPr>
      <w:rFonts w:ascii="Calibri" w:hAnsi="Calibri" w:eastAsia="Calibri"/>
      <w:lang w:eastAsia="pt-BR"/>
    </w:rPr>
  </w:style>
  <w:style w:type="character" w:styleId="RodapChar">
    <w:name w:val="Rodapé Char"/>
    <w:basedOn w:val="DefaultParagraphFont"/>
    <w:qFormat/>
    <w:rPr>
      <w:rFonts w:ascii="Calibri" w:hAnsi="Calibri" w:eastAsia="Calibri"/>
      <w:lang w:eastAsia="pt-BR"/>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rFonts w:ascii="Times New Roman" w:hAnsi="Times New Roman" w:cs="Times New Roman"/>
      <w:b/>
      <w:bCs/>
      <w:sz w:val="20"/>
      <w:szCs w:val="20"/>
    </w:rPr>
  </w:style>
  <w:style w:type="character" w:styleId="WW8Num3z4">
    <w:name w:val="WW8Num3z4"/>
    <w:qFormat/>
    <w:rPr>
      <w:rFonts w:ascii="Ecofont_Spranq_eco_Sans" w:hAnsi="Ecofont_Spranq_eco_Sans" w:cs="Ecofont_Spranq_eco_Sans"/>
      <w:b/>
      <w:i w:val="false"/>
      <w:iCs w:val="false"/>
      <w:sz w:val="20"/>
      <w:szCs w:val="20"/>
    </w:rPr>
  </w:style>
  <w:style w:type="character" w:styleId="WW8Num3z0">
    <w:name w:val="WW8Num3z0"/>
    <w:qFormat/>
    <w:rPr>
      <w:rFonts w:ascii="Times New Roman" w:hAnsi="Times New Roman" w:eastAsia="Arial Unicode MS" w:cs="Ecofont_Spranq_eco_Sans"/>
      <w:b/>
      <w:bCs w:val="false"/>
      <w:i w:val="false"/>
      <w:iCs w:val="false"/>
      <w:color w:val="00000A"/>
      <w:sz w:val="20"/>
      <w:szCs w:val="20"/>
      <w:lang w:val="pt-BR" w:bidi="pt-BR"/>
    </w:rPr>
  </w:style>
  <w:style w:type="character" w:styleId="WW8Num19z8">
    <w:name w:val="WW8Num19z8"/>
    <w:qFormat/>
    <w:rPr/>
  </w:style>
  <w:style w:type="character" w:styleId="WW8Num19z7">
    <w:name w:val="WW8Num19z7"/>
    <w:qFormat/>
    <w:rPr/>
  </w:style>
  <w:style w:type="character" w:styleId="WW8Num19z6">
    <w:name w:val="WW8Num19z6"/>
    <w:qFormat/>
    <w:rPr/>
  </w:style>
  <w:style w:type="character" w:styleId="WW8Num19z5">
    <w:name w:val="WW8Num19z5"/>
    <w:qFormat/>
    <w:rPr/>
  </w:style>
  <w:style w:type="character" w:styleId="WW8Num19z4">
    <w:name w:val="WW8Num19z4"/>
    <w:qFormat/>
    <w:rPr/>
  </w:style>
  <w:style w:type="character" w:styleId="WW8Num19z3">
    <w:name w:val="WW8Num19z3"/>
    <w:qFormat/>
    <w:rPr/>
  </w:style>
  <w:style w:type="character" w:styleId="WW8Num19z2">
    <w:name w:val="WW8Num19z2"/>
    <w:qFormat/>
    <w:rPr/>
  </w:style>
  <w:style w:type="character" w:styleId="WW8Num19z0">
    <w:name w:val="WW8Num19z0"/>
    <w:qFormat/>
    <w:rPr>
      <w:rFonts w:ascii="Times New Roman" w:hAnsi="Times New Roman" w:cs="Times New Roman"/>
      <w:sz w:val="20"/>
      <w:szCs w:val="20"/>
      <w:shd w:fill="FFFF00" w:val="clear"/>
      <w:lang w:val="pt-BR"/>
    </w:rPr>
  </w:style>
  <w:style w:type="character" w:styleId="AssuntodocomentrioChar">
    <w:name w:val="Assunto do comentário Char"/>
    <w:basedOn w:val="TextodecomentrioChar"/>
    <w:qFormat/>
    <w:rPr>
      <w:rFonts w:ascii="Calibri" w:hAnsi="Calibri" w:eastAsia="Calibri"/>
      <w:b/>
      <w:bCs/>
      <w:sz w:val="20"/>
      <w:szCs w:val="20"/>
      <w:lang w:eastAsia="pt-BR"/>
    </w:rPr>
  </w:style>
  <w:style w:type="character" w:styleId="TextodecomentrioChar">
    <w:name w:val="Texto de comentário Char"/>
    <w:basedOn w:val="DefaultParagraphFont"/>
    <w:qFormat/>
    <w:rPr>
      <w:rFonts w:ascii="Calibri" w:hAnsi="Calibri" w:eastAsia="Calibri"/>
      <w:sz w:val="20"/>
      <w:szCs w:val="20"/>
      <w:lang w:eastAsia="pt-BR"/>
    </w:rPr>
  </w:style>
  <w:style w:type="character" w:styleId="Annotationreference">
    <w:name w:val="annotation reference"/>
    <w:basedOn w:val="DefaultParagraphFont"/>
    <w:qFormat/>
    <w:rPr>
      <w:sz w:val="16"/>
      <w:szCs w:val="16"/>
    </w:rPr>
  </w:style>
  <w:style w:type="character" w:styleId="Ttulo2Char">
    <w:name w:val="Título 2 Char"/>
    <w:basedOn w:val="DefaultParagraphFont"/>
    <w:qFormat/>
    <w:rPr>
      <w:rFonts w:ascii="Arial" w:hAnsi="Arial" w:eastAsia="Times New Roman" w:cs="Times New Roman"/>
      <w:b/>
      <w:sz w:val="24"/>
      <w:szCs w:val="20"/>
      <w:lang w:eastAsia="ar-SA"/>
    </w:rPr>
  </w:style>
  <w:style w:type="character" w:styleId="Refdecomentrio">
    <w:name w:val="Ref. de comentário"/>
    <w:qFormat/>
    <w:rPr>
      <w:sz w:val="16"/>
      <w:szCs w:val="16"/>
    </w:rPr>
  </w:style>
  <w:style w:type="character" w:styleId="Fontepargpadro">
    <w:name w:val="Fonte parág. padrão"/>
    <w:qForma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character" w:styleId="Normaltextrun">
    <w:name w:val="normaltextrun"/>
    <w:basedOn w:val="DefaultParagraphFont"/>
    <w:qFormat/>
    <w:rPr/>
  </w:style>
  <w:style w:type="character" w:styleId="Smbolosdenumerao">
    <w:name w:val="Símbolos de numeração"/>
    <w:qFormat/>
    <w:rPr/>
  </w:style>
  <w:style w:type="paragraph" w:styleId="Ttulo">
    <w:name w:val="Título"/>
    <w:basedOn w:val="Normal"/>
    <w:next w:val="BodyText"/>
    <w:qFormat/>
    <w:pPr>
      <w:keepNext w:val="true"/>
      <w:spacing w:before="240" w:after="120"/>
    </w:pPr>
    <w:rPr>
      <w:rFonts w:ascii="Liberation Sans" w:hAnsi="Liberation Sans" w:eastAsia="Microsoft YaHei"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Mangal"/>
    </w:rPr>
  </w:style>
  <w:style w:type="paragraph" w:styleId="Caption1">
    <w:name w:val="caption1"/>
    <w:basedOn w:val="Normal"/>
    <w:qFormat/>
    <w:pPr>
      <w:suppressLineNumbers/>
      <w:spacing w:before="120" w:after="120"/>
    </w:pPr>
    <w:rPr>
      <w:rFonts w:cs="Mangal"/>
      <w:i/>
      <w:iCs/>
      <w:sz w:val="24"/>
      <w:szCs w:val="24"/>
    </w:rPr>
  </w:style>
  <w:style w:type="paragraph" w:styleId="BalloonText">
    <w:name w:val="Balloon Text"/>
    <w:basedOn w:val="Normal"/>
    <w:qFormat/>
    <w:pPr>
      <w:spacing w:lineRule="auto" w:line="240" w:before="0" w:after="0"/>
    </w:pPr>
    <w:rPr>
      <w:rFonts w:ascii="Tahoma" w:hAnsi="Tahoma" w:cs="Tahoma"/>
      <w:sz w:val="16"/>
      <w:szCs w:val="16"/>
    </w:rPr>
  </w:style>
  <w:style w:type="paragraph" w:styleId="ListParagraph">
    <w:name w:val="List Paragraph"/>
    <w:basedOn w:val="Normal"/>
    <w:qFormat/>
    <w:pPr>
      <w:spacing w:before="0" w:after="200"/>
      <w:ind w:hanging="0" w:left="720" w:right="0"/>
      <w:contextualSpacing/>
    </w:pPr>
    <w:rPr/>
  </w:style>
  <w:style w:type="paragraph" w:styleId="NormalWeb">
    <w:name w:val="Normal (Web)"/>
    <w:basedOn w:val="Normal"/>
    <w:qFormat/>
    <w:pPr>
      <w:spacing w:lineRule="auto" w:line="240" w:before="280" w:after="280"/>
    </w:pPr>
    <w:rPr>
      <w:rFonts w:ascii="Times New Roman" w:hAnsi="Times New Roman" w:eastAsia="Times New Roman" w:cs="Times New Roman"/>
      <w:sz w:val="24"/>
      <w:szCs w:val="24"/>
    </w:rPr>
  </w:style>
  <w:style w:type="paragraph" w:styleId="BodyTextIndent3">
    <w:name w:val="Body Text Indent 3"/>
    <w:basedOn w:val="Normal"/>
    <w:qFormat/>
    <w:pPr>
      <w:suppressAutoHyphens w:val="true"/>
      <w:spacing w:lineRule="auto" w:line="240" w:before="0" w:after="0"/>
      <w:ind w:firstLine="1418" w:left="0" w:right="0"/>
      <w:jc w:val="both"/>
    </w:pPr>
    <w:rPr>
      <w:rFonts w:ascii="Arial" w:hAnsi="Arial" w:eastAsia="Times New Roman" w:cs="Times New Roman"/>
      <w:sz w:val="24"/>
      <w:szCs w:val="20"/>
      <w:lang w:eastAsia="ar-SA"/>
    </w:rPr>
  </w:style>
  <w:style w:type="paragraph" w:styleId="Revision">
    <w:name w:val="Revision"/>
    <w:qFormat/>
    <w:pPr>
      <w:widowControl/>
      <w:suppressAutoHyphens w:val="true"/>
      <w:overflowPunct w:val="true"/>
      <w:bidi w:val="0"/>
      <w:spacing w:lineRule="auto" w:line="240" w:before="0" w:after="0"/>
      <w:jc w:val="left"/>
    </w:pPr>
    <w:rPr>
      <w:rFonts w:ascii="Calibri" w:hAnsi="Calibri" w:eastAsia="Calibri" w:cs="Tahoma"/>
      <w:color w:val="00000A"/>
      <w:kern w:val="2"/>
      <w:sz w:val="22"/>
      <w:szCs w:val="22"/>
      <w:lang w:val="pt-BR" w:eastAsia="pt-BR" w:bidi="ar-SA"/>
    </w:rPr>
  </w:style>
  <w:style w:type="paragraph" w:styleId="NormalWeb1">
    <w:name w:val="Normal (Web)1"/>
    <w:basedOn w:val="Normal"/>
    <w:qFormat/>
    <w:pPr>
      <w:spacing w:lineRule="atLeast" w:line="360" w:before="100" w:after="0"/>
      <w:textAlignment w:val="baseline"/>
    </w:pPr>
    <w:rPr>
      <w:rFonts w:ascii="Times New Roman" w:hAnsi="Times New Roman" w:eastAsia="Times New Roman" w:cs="Times New Roman"/>
      <w:sz w:val="24"/>
      <w:szCs w:val="24"/>
      <w:lang w:eastAsia="ar-SA"/>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Header">
    <w:name w:val="Header"/>
    <w:basedOn w:val="Normal"/>
    <w:pPr>
      <w:tabs>
        <w:tab w:val="clear" w:pos="709"/>
        <w:tab w:val="center" w:pos="4252" w:leader="none"/>
        <w:tab w:val="right" w:pos="8504" w:leader="none"/>
      </w:tabs>
      <w:spacing w:lineRule="auto" w:line="240" w:before="0" w:after="0"/>
    </w:pPr>
    <w:rPr/>
  </w:style>
  <w:style w:type="paragraph" w:styleId="Footer">
    <w:name w:val="Footer"/>
    <w:basedOn w:val="Normal"/>
    <w:pPr>
      <w:tabs>
        <w:tab w:val="clear" w:pos="709"/>
        <w:tab w:val="center" w:pos="4252" w:leader="none"/>
        <w:tab w:val="right" w:pos="8504" w:leader="none"/>
      </w:tabs>
      <w:spacing w:lineRule="auto" w:line="240" w:before="0" w:after="0"/>
    </w:pPr>
    <w:rPr/>
  </w:style>
  <w:style w:type="paragraph" w:styleId="Blocodecitao">
    <w:name w:val="Bloco de citação"/>
    <w:basedOn w:val="Normal"/>
    <w:qFormat/>
    <w:pPr/>
    <w:rPr/>
  </w:style>
  <w:style w:type="paragraph" w:styleId="Title">
    <w:name w:val="Title"/>
    <w:basedOn w:val="Ttulo"/>
    <w:qFormat/>
    <w:pPr/>
    <w:rPr/>
  </w:style>
  <w:style w:type="paragraph" w:styleId="Subtitle">
    <w:name w:val="Subtitle"/>
    <w:basedOn w:val="Ttulo"/>
    <w:qFormat/>
    <w:pPr/>
    <w:rPr/>
  </w:style>
  <w:style w:type="paragraph" w:styleId="Contedodatabela">
    <w:name w:val="Conteúdo da tabela"/>
    <w:basedOn w:val="Normal"/>
    <w:qFormat/>
    <w:pPr/>
    <w:rPr/>
  </w:style>
  <w:style w:type="paragraph" w:styleId="Ttulodetabela">
    <w:name w:val="Título de tabela"/>
    <w:basedOn w:val="Contedodatabela"/>
    <w:qFormat/>
    <w:pPr/>
    <w:rPr/>
  </w:style>
  <w:style w:type="paragraph" w:styleId="Annotationsubject">
    <w:name w:val="annotation subject"/>
    <w:basedOn w:val="Annotationtext"/>
    <w:qFormat/>
    <w:pPr/>
    <w:rPr>
      <w:b/>
      <w:bCs/>
    </w:rPr>
  </w:style>
  <w:style w:type="paragraph" w:styleId="Annotationtext">
    <w:name w:val="annotation text"/>
    <w:basedOn w:val="Normal"/>
    <w:qFormat/>
    <w:pPr>
      <w:spacing w:lineRule="auto" w:line="240"/>
    </w:pPr>
    <w:rPr>
      <w:sz w:val="20"/>
      <w:szCs w:val="20"/>
    </w:rPr>
  </w:style>
  <w:style w:type="paragraph" w:styleId="Standard">
    <w:name w:val="Standard"/>
    <w:qFormat/>
    <w:pPr>
      <w:widowControl/>
      <w:suppressAutoHyphens w:val="true"/>
      <w:overflowPunct w:val="true"/>
      <w:bidi w:val="0"/>
      <w:spacing w:lineRule="auto" w:line="276" w:before="0" w:after="0"/>
      <w:jc w:val="left"/>
      <w:textAlignment w:val="baseline"/>
    </w:pPr>
    <w:rPr>
      <w:rFonts w:ascii="Liberation Serif" w:hAnsi="Liberation Serif" w:eastAsia="NSimSun" w:cs="Mangal"/>
      <w:color w:val="auto"/>
      <w:kern w:val="2"/>
      <w:sz w:val="24"/>
      <w:szCs w:val="24"/>
      <w:lang w:val="pt-BR" w:eastAsia="zh-CN" w:bidi="hi-IN"/>
    </w:rPr>
  </w:style>
  <w:style w:type="paragraph" w:styleId="SemEspaamento">
    <w:name w:val="Sem Espaçamento"/>
    <w:qFormat/>
    <w:pPr>
      <w:widowControl/>
      <w:suppressAutoHyphens w:val="true"/>
      <w:overflowPunct w:val="true"/>
      <w:bidi w:val="0"/>
      <w:spacing w:lineRule="auto" w:line="276" w:before="0" w:after="0"/>
      <w:jc w:val="left"/>
    </w:pPr>
    <w:rPr>
      <w:rFonts w:ascii="Calibri" w:hAnsi="Calibri" w:eastAsia="Calibri" w:cs="Times New Roman"/>
      <w:color w:val="00000A"/>
      <w:kern w:val="2"/>
      <w:sz w:val="22"/>
      <w:szCs w:val="22"/>
      <w:lang w:val="pt-BR" w:eastAsia="zh-CN" w:bidi="ar-SA"/>
    </w:rPr>
  </w:style>
  <w:style w:type="paragraph" w:styleId="Assuntodocomentrio">
    <w:name w:val="Assunto do comentário"/>
    <w:qFormat/>
    <w:pPr>
      <w:widowControl/>
      <w:suppressAutoHyphens w:val="true"/>
      <w:overflowPunct w:val="true"/>
      <w:bidi w:val="0"/>
      <w:spacing w:lineRule="exact" w:line="240" w:before="0" w:after="0"/>
      <w:jc w:val="left"/>
    </w:pPr>
    <w:rPr>
      <w:rFonts w:ascii="Liberation Serif" w:hAnsi="Liberation Serif" w:eastAsia="SimSun" w:cs="Mangal"/>
      <w:b/>
      <w:bCs/>
      <w:color w:val="auto"/>
      <w:kern w:val="2"/>
      <w:sz w:val="20"/>
      <w:szCs w:val="20"/>
      <w:lang w:val="pt-BR" w:eastAsia="zh-CN" w:bidi="hi-IN"/>
    </w:rPr>
  </w:style>
  <w:style w:type="paragraph" w:styleId="Textodecomentrio">
    <w:name w:val="Texto de comentário"/>
    <w:basedOn w:val="Normal"/>
    <w:qFormat/>
    <w:pPr>
      <w:spacing w:lineRule="exact" w:line="240"/>
    </w:pPr>
    <w:rPr>
      <w:sz w:val="20"/>
      <w:szCs w:val="20"/>
    </w:rPr>
  </w:style>
  <w:style w:type="paragraph" w:styleId="Reviso">
    <w:name w:val="Revisão"/>
    <w:qFormat/>
    <w:pPr>
      <w:widowControl/>
      <w:suppressAutoHyphens w:val="true"/>
      <w:overflowPunct w:val="true"/>
      <w:bidi w:val="0"/>
      <w:spacing w:lineRule="auto" w:line="276" w:before="0" w:after="0"/>
      <w:jc w:val="left"/>
    </w:pPr>
    <w:rPr>
      <w:rFonts w:ascii="Calibri" w:hAnsi="Calibri" w:eastAsia="Calibri" w:cs="Tahoma"/>
      <w:color w:val="00000A"/>
      <w:kern w:val="2"/>
      <w:sz w:val="22"/>
      <w:szCs w:val="22"/>
      <w:lang w:val="pt-BR" w:eastAsia="zh-CN" w:bidi="ar-SA"/>
    </w:rPr>
  </w:style>
  <w:style w:type="paragraph" w:styleId="PargrafodaLista">
    <w:name w:val="Parágrafo da Lista"/>
    <w:basedOn w:val="Normal"/>
    <w:qFormat/>
    <w:pPr>
      <w:spacing w:before="0" w:after="200"/>
      <w:ind w:hanging="0" w:left="720" w:right="0"/>
      <w:contextualSpacing/>
    </w:pPr>
    <w:rPr/>
  </w:style>
  <w:style w:type="paragraph" w:styleId="Textodebalo">
    <w:name w:val="Texto de balão"/>
    <w:basedOn w:val="Normal"/>
    <w:qFormat/>
    <w:pPr>
      <w:spacing w:lineRule="exact" w:line="240" w:before="0" w:after="0"/>
    </w:pPr>
    <w:rPr>
      <w:rFonts w:ascii="Tahoma" w:hAnsi="Tahoma" w:cs="Tahoma"/>
      <w:sz w:val="16"/>
      <w:szCs w:val="16"/>
    </w:rPr>
  </w:style>
  <w:style w:type="paragraph" w:styleId="Nivel2-Opcional">
    <w:name w:val="Nivel 2-Opcional"/>
    <w:basedOn w:val="Normal"/>
    <w:qFormat/>
    <w:pPr>
      <w:numPr>
        <w:ilvl w:val="0"/>
        <w:numId w:val="2"/>
      </w:numPr>
      <w:shd w:val="clear" w:fill="76923C"/>
      <w:spacing w:lineRule="auto" w:line="276" w:before="120" w:after="120"/>
      <w:ind w:hanging="0" w:left="0" w:right="0"/>
      <w:jc w:val="both"/>
    </w:pPr>
    <w:rPr>
      <w:rFonts w:ascii="Arial" w:hAnsi="Arial" w:eastAsia="Arial" w:cs="Arial"/>
      <w:i/>
      <w:color w:val="FF0000"/>
      <w:sz w:val="20"/>
      <w:szCs w:val="20"/>
    </w:rPr>
  </w:style>
  <w:style w:type="paragraph" w:styleId="Nvel02">
    <w:name w:val="Nível 02"/>
    <w:basedOn w:val="Nivel2-Opcional"/>
    <w:qFormat/>
    <w:pPr>
      <w:shd w:val="clear" w:fill="auto"/>
      <w:bidi w:val="0"/>
    </w:pPr>
    <w:rPr>
      <w:i w:val="false"/>
      <w:iCs/>
      <w:color w:val="auto"/>
    </w:rPr>
  </w:style>
  <w:style w:type="paragraph" w:styleId="Nvel2-Opcional">
    <w:name w:val="Nível 2-Opcional"/>
    <w:basedOn w:val="Nvel02"/>
    <w:qFormat/>
    <w:pPr/>
    <w:rPr>
      <w:i/>
      <w:color w:val="FF0000"/>
    </w:rPr>
  </w:style>
  <w:style w:type="numbering" w:styleId="Semlista">
    <w:name w:val="Sem lista"/>
    <w:qFormat/>
  </w:style>
  <w:style w:type="numbering" w:styleId="WW8Num19">
    <w:name w:val="WW8Num19"/>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504</TotalTime>
  <Application>LibreOffice/24.2.1.2$Windows_X86_64 LibreOffice_project/db4def46b0453cc22e2d0305797cf981b68ef5ac</Application>
  <AppVersion>15.0000</AppVersion>
  <Pages>23</Pages>
  <Words>6205</Words>
  <Characters>38808</Characters>
  <CharactersWithSpaces>44521</CharactersWithSpaces>
  <Paragraphs>405</Paragraphs>
  <Company>AGU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dc:creator>
  <dc:description/>
  <dc:language>pt-BR</dc:language>
  <cp:lastModifiedBy/>
  <dcterms:modified xsi:type="dcterms:W3CDTF">2026-07-02T16:18:58Z</dcterms:modified>
  <cp:revision>136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