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E08D4" w14:textId="77777777" w:rsidR="00454373" w:rsidRDefault="006B523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ANEXO VIII - REGRAS PARA COMPATIBILIDADE EM CARACTERÍSTICAS DE ITENS DOS ATESTADOS DE CAPACIDADE TÉCNICA</w:t>
      </w:r>
    </w:p>
    <w:p w14:paraId="4055770C" w14:textId="77777777" w:rsidR="00454373" w:rsidRDefault="00454373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29C4CC85" w14:textId="77777777" w:rsidR="00454373" w:rsidRDefault="00454373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DE6D6E4" w14:textId="77777777" w:rsidR="00454373" w:rsidRDefault="006B523B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1.</w:t>
      </w:r>
      <w:r>
        <w:rPr>
          <w:rFonts w:ascii="Arial" w:eastAsia="Arial" w:hAnsi="Arial" w:cs="Arial"/>
          <w:sz w:val="24"/>
          <w:szCs w:val="24"/>
          <w:lang w:eastAsia="en-US"/>
        </w:rPr>
        <w:tab/>
        <w:t xml:space="preserve">Só serão aceitos como compatíveis em características os itens de um </w:t>
      </w:r>
      <w:r>
        <w:rPr>
          <w:rFonts w:ascii="Arial" w:eastAsia="Arial" w:hAnsi="Arial" w:cs="Arial"/>
          <w:b/>
          <w:sz w:val="24"/>
          <w:szCs w:val="24"/>
          <w:lang w:eastAsia="en-US"/>
        </w:rPr>
        <w:t>mesmo</w:t>
      </w:r>
      <w:r>
        <w:rPr>
          <w:rFonts w:ascii="Arial" w:eastAsia="Arial" w:hAnsi="Arial" w:cs="Arial"/>
          <w:sz w:val="24"/>
          <w:szCs w:val="24"/>
          <w:lang w:eastAsia="en-US"/>
        </w:rPr>
        <w:t xml:space="preserve"> subgrupo e com grau de complexidade </w:t>
      </w:r>
      <w:r>
        <w:rPr>
          <w:rFonts w:ascii="Arial" w:eastAsia="Arial" w:hAnsi="Arial" w:cs="Arial"/>
          <w:b/>
          <w:sz w:val="24"/>
          <w:szCs w:val="24"/>
          <w:lang w:eastAsia="en-US"/>
        </w:rPr>
        <w:t>igual ou superior</w:t>
      </w:r>
      <w:r>
        <w:rPr>
          <w:rFonts w:ascii="Arial" w:eastAsia="Arial" w:hAnsi="Arial" w:cs="Arial"/>
          <w:sz w:val="24"/>
          <w:szCs w:val="24"/>
          <w:lang w:eastAsia="en-US"/>
        </w:rPr>
        <w:t xml:space="preserve"> ao do item licitado.</w:t>
      </w:r>
    </w:p>
    <w:p w14:paraId="1BCEDB19" w14:textId="77777777" w:rsidR="00454373" w:rsidRDefault="006B523B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1.1.</w:t>
      </w:r>
      <w:r>
        <w:rPr>
          <w:rFonts w:ascii="Arial" w:eastAsia="Arial" w:hAnsi="Arial" w:cs="Arial"/>
          <w:sz w:val="24"/>
          <w:szCs w:val="24"/>
          <w:lang w:eastAsia="en-US"/>
        </w:rPr>
        <w:tab/>
        <w:t>Exemplo:</w:t>
      </w:r>
    </w:p>
    <w:p w14:paraId="69B801B5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O item licitado é uma calça camuflada. A calça camuflada pertence ao Grupo I – fardamento, Subgrupo Vestuário e grau de complexidade médio.</w:t>
      </w:r>
    </w:p>
    <w:p w14:paraId="53265C5D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Logo, um atestado de:</w:t>
      </w:r>
    </w:p>
    <w:p w14:paraId="01B22CF0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b/>
          <w:sz w:val="22"/>
          <w:szCs w:val="22"/>
          <w:lang w:eastAsia="en-US"/>
        </w:rPr>
        <w:t>- Macacão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pode ser aceito, pois é do mesmo subgrupo (vestuário) e possui grau de complexidade alto, que é superior </w:t>
      </w:r>
      <w:proofErr w:type="gram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gram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2B729BCD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b/>
          <w:sz w:val="22"/>
          <w:szCs w:val="22"/>
          <w:lang w:eastAsia="en-US"/>
        </w:rPr>
        <w:t>- Blusa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pode ser aceito, pois é do mesmo subgrupo (vestuário) e possui grau de complexidade médio, que é igual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66CFCC2F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-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Meia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não pode ser aceito, pois, embora seja do mesmo subgrupo (vestuário), possui grau de complexidade baixo, que é inferior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spellEnd"/>
      <w:proofErr w:type="gram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4CD90735" w14:textId="77777777" w:rsidR="00454373" w:rsidRDefault="006B523B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-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Boina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não pode ser aceito, pois é do subgrupo cobertura, diferente do subgrupo do objeto licitado (vestuário).</w:t>
      </w:r>
    </w:p>
    <w:p w14:paraId="3CF657D1" w14:textId="77777777" w:rsidR="00454373" w:rsidRDefault="006B523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2.</w:t>
      </w:r>
      <w:r>
        <w:rPr>
          <w:rFonts w:ascii="Arial" w:eastAsia="Arial" w:hAnsi="Arial" w:cs="Arial"/>
          <w:sz w:val="22"/>
          <w:szCs w:val="22"/>
          <w:lang w:eastAsia="en-US"/>
        </w:rPr>
        <w:tab/>
        <w:t xml:space="preserve">Para os subgrupos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EQUIPAMENTOS TÁTICOS INDIVIDUAIS NÃO BALÍSTICOS, EQUIPAMENTOS TÁTICOS INDIVIDUAIS BALÍSTICOS e ÓCULOS TÁTICOS do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Grupo II – EQUIPAMENTOS, só serão aceitos como compatíveis em características itens táticos / operacionais ou esportivos,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não sendo aceitos itens administrativos ou de uso comum</w:t>
      </w:r>
      <w:r>
        <w:rPr>
          <w:rFonts w:ascii="Arial" w:eastAsia="Arial" w:hAnsi="Arial" w:cs="Arial"/>
          <w:sz w:val="22"/>
          <w:szCs w:val="22"/>
          <w:lang w:eastAsia="en-US"/>
        </w:rPr>
        <w:t>.</w:t>
      </w:r>
    </w:p>
    <w:p w14:paraId="5193C56A" w14:textId="77777777" w:rsidR="00454373" w:rsidRDefault="006B523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3.</w:t>
      </w:r>
      <w:r>
        <w:rPr>
          <w:rFonts w:ascii="Arial" w:eastAsia="Arial" w:hAnsi="Arial" w:cs="Arial"/>
          <w:sz w:val="22"/>
          <w:szCs w:val="22"/>
          <w:lang w:eastAsia="en-US"/>
        </w:rPr>
        <w:tab/>
        <w:t>A seguir se encontram as tabelas de compatibilidade em características dos grupos Fardamentos, Equipamentos e Alojamento.</w:t>
      </w:r>
    </w:p>
    <w:p w14:paraId="2D096134" w14:textId="77777777" w:rsidR="00454373" w:rsidRDefault="006B523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3.1</w:t>
      </w:r>
      <w:r>
        <w:rPr>
          <w:rFonts w:ascii="Arial" w:eastAsia="Arial" w:hAnsi="Arial" w:cs="Arial"/>
          <w:sz w:val="22"/>
          <w:szCs w:val="22"/>
          <w:lang w:eastAsia="en-US"/>
        </w:rPr>
        <w:tab/>
        <w:t>Destaca-se que as tabelas apresentadas a seguir constituem um rol exemplificativo e não taxativo. Bens que não se encontram listados nas tabelas a seguir poderão ser considerados compatíveis em características com o item licitado desde que sejam confeccionados em processos produtivos semelhantes e possuam grau de complexidade similar ou superior ao objeto licitado. Tais situações serão avaliadas pela Equipe de Apoio da licitação, podendo ser subsidiada pela Divisão Técnica da C Sup.</w:t>
      </w:r>
    </w:p>
    <w:p w14:paraId="5BE2DEBB" w14:textId="77777777" w:rsidR="00454373" w:rsidRDefault="006B523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Tabela 1 – Compatibilidade em características do Grupo I – Fardamentos.</w:t>
      </w:r>
    </w:p>
    <w:p w14:paraId="298799C8" w14:textId="77777777" w:rsidR="00454373" w:rsidRDefault="00454373">
      <w:pPr>
        <w:jc w:val="center"/>
        <w:rPr>
          <w:rFonts w:ascii="Arial" w:eastAsia="Arial" w:hAnsi="Arial" w:cs="Arial"/>
        </w:rPr>
      </w:pPr>
    </w:p>
    <w:p w14:paraId="52234C12" w14:textId="77777777" w:rsidR="00454373" w:rsidRDefault="00454373">
      <w:pPr>
        <w:jc w:val="center"/>
        <w:rPr>
          <w:rFonts w:ascii="Arial" w:eastAsia="Arial" w:hAnsi="Arial" w:cs="Arial"/>
        </w:rPr>
      </w:pPr>
    </w:p>
    <w:tbl>
      <w:tblPr>
        <w:tblStyle w:val="Tabelacomgrade4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6"/>
        <w:gridCol w:w="7320"/>
      </w:tblGrid>
      <w:tr w:rsidR="00454373" w14:paraId="244BCEDF" w14:textId="77777777">
        <w:trPr>
          <w:tblHeader/>
        </w:trPr>
        <w:tc>
          <w:tcPr>
            <w:tcW w:w="1559" w:type="dxa"/>
            <w:shd w:val="clear" w:color="auto" w:fill="000000" w:themeFill="text1"/>
            <w:vAlign w:val="center"/>
          </w:tcPr>
          <w:p w14:paraId="2F2A3425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8" w:type="dxa"/>
            <w:shd w:val="clear" w:color="auto" w:fill="000000" w:themeFill="text1"/>
            <w:vAlign w:val="center"/>
          </w:tcPr>
          <w:p w14:paraId="011F2E9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 - FARDAMENTOS</w:t>
            </w:r>
          </w:p>
        </w:tc>
      </w:tr>
      <w:tr w:rsidR="00454373" w14:paraId="7868D743" w14:textId="77777777">
        <w:trPr>
          <w:tblHeader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B4BFD55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7D426D52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VESTUÁRIO</w:t>
            </w:r>
          </w:p>
        </w:tc>
      </w:tr>
      <w:tr w:rsidR="00454373" w14:paraId="022F918A" w14:textId="77777777">
        <w:trPr>
          <w:tblHeader/>
        </w:trPr>
        <w:tc>
          <w:tcPr>
            <w:tcW w:w="1559" w:type="dxa"/>
            <w:vAlign w:val="center"/>
          </w:tcPr>
          <w:p w14:paraId="6917204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373EE04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31806DAF" w14:textId="77777777">
        <w:tc>
          <w:tcPr>
            <w:tcW w:w="1559" w:type="dxa"/>
            <w:vAlign w:val="center"/>
          </w:tcPr>
          <w:p w14:paraId="75EF0B02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8" w:type="dxa"/>
          </w:tcPr>
          <w:p w14:paraId="6E864E8D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Blazer, blusa de combate (gandola), blusa de combate leve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gandoleta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), casaco,</w:t>
            </w:r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combat</w:t>
            </w:r>
            <w:proofErr w:type="spellEnd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shirt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conjunto operacional (blusa e calça), japona, jaqueta, macacão, terno, túnica e vestido.</w:t>
            </w:r>
          </w:p>
        </w:tc>
      </w:tr>
      <w:tr w:rsidR="00454373" w14:paraId="77596842" w14:textId="77777777">
        <w:tc>
          <w:tcPr>
            <w:tcW w:w="1559" w:type="dxa"/>
            <w:vAlign w:val="center"/>
          </w:tcPr>
          <w:p w14:paraId="26FCB329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Médio</w:t>
            </w:r>
          </w:p>
        </w:tc>
        <w:tc>
          <w:tcPr>
            <w:tcW w:w="7148" w:type="dxa"/>
          </w:tcPr>
          <w:p w14:paraId="4771E48A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Agasalho, bermuda, blusa, calça, calção para atividade física, camisa, camiseta, ceroula, conjunto ou peças individuais do tipo 2° pele, jaleco,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moleton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saia, short, suéter e véstia.</w:t>
            </w:r>
          </w:p>
        </w:tc>
      </w:tr>
      <w:tr w:rsidR="00454373" w14:paraId="11EAB076" w14:textId="77777777">
        <w:tc>
          <w:tcPr>
            <w:tcW w:w="1559" w:type="dxa"/>
            <w:vAlign w:val="center"/>
          </w:tcPr>
          <w:p w14:paraId="3C019BEC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8" w:type="dxa"/>
          </w:tcPr>
          <w:p w14:paraId="24C76E99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Avental, braçal, cachecol, calção de banho, capuz, cinto, gravata, luva, maiô, meia, roupas de baixo, sunga e top.</w:t>
            </w:r>
          </w:p>
        </w:tc>
      </w:tr>
    </w:tbl>
    <w:p w14:paraId="73806047" w14:textId="77777777" w:rsidR="00454373" w:rsidRDefault="00454373">
      <w:pPr>
        <w:jc w:val="center"/>
        <w:rPr>
          <w:rFonts w:ascii="Arial" w:eastAsia="Arial" w:hAnsi="Arial" w:cs="Arial"/>
        </w:rPr>
      </w:pPr>
    </w:p>
    <w:p w14:paraId="1EFA7397" w14:textId="77777777" w:rsidR="00454373" w:rsidRDefault="00454373">
      <w:pPr>
        <w:jc w:val="center"/>
        <w:rPr>
          <w:rFonts w:ascii="Arial" w:eastAsia="Arial" w:hAnsi="Arial" w:cs="Arial"/>
        </w:rPr>
      </w:pPr>
    </w:p>
    <w:p w14:paraId="09311BA2" w14:textId="77777777" w:rsidR="00454373" w:rsidRDefault="00454373">
      <w:pPr>
        <w:jc w:val="center"/>
        <w:rPr>
          <w:rFonts w:ascii="Arial" w:eastAsia="Arial" w:hAnsi="Arial" w:cs="Arial"/>
        </w:rPr>
      </w:pPr>
    </w:p>
    <w:tbl>
      <w:tblPr>
        <w:tblStyle w:val="Tabelacomgrade4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2315"/>
        <w:gridCol w:w="6601"/>
      </w:tblGrid>
      <w:tr w:rsidR="00454373" w14:paraId="71BD6D12" w14:textId="77777777">
        <w:trPr>
          <w:tblHeader/>
        </w:trPr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3BFDDD09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6446" w:type="dxa"/>
            <w:shd w:val="clear" w:color="auto" w:fill="D9D9D9" w:themeFill="background1" w:themeFillShade="D9"/>
            <w:vAlign w:val="center"/>
          </w:tcPr>
          <w:p w14:paraId="15156B2D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COBERTURA</w:t>
            </w:r>
          </w:p>
        </w:tc>
      </w:tr>
      <w:tr w:rsidR="00454373" w14:paraId="5352A409" w14:textId="77777777">
        <w:trPr>
          <w:tblHeader/>
        </w:trPr>
        <w:tc>
          <w:tcPr>
            <w:tcW w:w="2261" w:type="dxa"/>
            <w:vAlign w:val="center"/>
          </w:tcPr>
          <w:p w14:paraId="0B0E2F92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6446" w:type="dxa"/>
            <w:vAlign w:val="center"/>
          </w:tcPr>
          <w:p w14:paraId="3A43BA66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02CA2E74" w14:textId="77777777">
        <w:tc>
          <w:tcPr>
            <w:tcW w:w="2261" w:type="dxa"/>
            <w:vAlign w:val="center"/>
          </w:tcPr>
          <w:p w14:paraId="246BC3F7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6446" w:type="dxa"/>
          </w:tcPr>
          <w:p w14:paraId="55499446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Boina, boné, chapéu, gorro e quepe.</w:t>
            </w:r>
          </w:p>
        </w:tc>
      </w:tr>
      <w:tr w:rsidR="00454373" w14:paraId="4B9CF6DC" w14:textId="77777777"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2164D6A2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3</w:t>
            </w:r>
          </w:p>
        </w:tc>
        <w:tc>
          <w:tcPr>
            <w:tcW w:w="6446" w:type="dxa"/>
            <w:shd w:val="clear" w:color="auto" w:fill="D9D9D9" w:themeFill="background1" w:themeFillShade="D9"/>
            <w:vAlign w:val="center"/>
          </w:tcPr>
          <w:p w14:paraId="348ACB10" w14:textId="4995FC8D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DISTINTIVOS E INSÍGN</w:t>
            </w:r>
            <w:r w:rsidR="00AD724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AS</w:t>
            </w:r>
          </w:p>
        </w:tc>
      </w:tr>
      <w:tr w:rsidR="00454373" w14:paraId="57D517C6" w14:textId="77777777">
        <w:tc>
          <w:tcPr>
            <w:tcW w:w="2261" w:type="dxa"/>
            <w:vAlign w:val="center"/>
          </w:tcPr>
          <w:p w14:paraId="5FB72BCA" w14:textId="4AB7CFFD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Grau de Complexidade </w:t>
            </w:r>
          </w:p>
        </w:tc>
        <w:tc>
          <w:tcPr>
            <w:tcW w:w="6446" w:type="dxa"/>
            <w:vAlign w:val="center"/>
          </w:tcPr>
          <w:p w14:paraId="1117C45F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7D64867D" w14:textId="77777777">
        <w:tc>
          <w:tcPr>
            <w:tcW w:w="2261" w:type="dxa"/>
            <w:vAlign w:val="center"/>
          </w:tcPr>
          <w:p w14:paraId="24FDE7AA" w14:textId="77777777" w:rsidR="00454373" w:rsidRPr="006B523B" w:rsidRDefault="006B523B">
            <w:pPr>
              <w:widowControl w:val="0"/>
              <w:jc w:val="center"/>
              <w:rPr>
                <w:rFonts w:ascii="Calibri" w:eastAsia="Calibri" w:hAnsi="Calibri"/>
                <w:bCs/>
              </w:rPr>
            </w:pPr>
            <w:r w:rsidRPr="006B523B">
              <w:rPr>
                <w:rFonts w:ascii="Calibri" w:eastAsia="Calibri" w:hAnsi="Calibri"/>
                <w:bCs/>
                <w:sz w:val="22"/>
                <w:szCs w:val="22"/>
                <w:lang w:eastAsia="en-US"/>
              </w:rPr>
              <w:t>3.1 Metálicos</w:t>
            </w:r>
          </w:p>
        </w:tc>
        <w:tc>
          <w:tcPr>
            <w:tcW w:w="6446" w:type="dxa"/>
          </w:tcPr>
          <w:p w14:paraId="3BAD2B57" w14:textId="77777777" w:rsidR="00454373" w:rsidRPr="006B523B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 w:rsidRPr="006B523B">
              <w:rPr>
                <w:rFonts w:ascii="Calibri" w:eastAsia="Calibri" w:hAnsi="Calibri"/>
                <w:sz w:val="22"/>
                <w:szCs w:val="22"/>
                <w:lang w:eastAsia="en-US"/>
              </w:rPr>
              <w:t>Distintivo, fivela e insígnia (todos metálicos).</w:t>
            </w:r>
          </w:p>
        </w:tc>
      </w:tr>
      <w:tr w:rsidR="00454373" w14:paraId="5D1BC2C6" w14:textId="77777777">
        <w:tc>
          <w:tcPr>
            <w:tcW w:w="2261" w:type="dxa"/>
            <w:vAlign w:val="center"/>
          </w:tcPr>
          <w:p w14:paraId="14885A1B" w14:textId="77777777" w:rsidR="00454373" w:rsidRPr="006B523B" w:rsidRDefault="006B523B">
            <w:pPr>
              <w:widowControl w:val="0"/>
              <w:jc w:val="center"/>
            </w:pPr>
            <w:r w:rsidRPr="006B523B">
              <w:rPr>
                <w:rFonts w:ascii="Calibri" w:eastAsia="Calibri" w:hAnsi="Calibri"/>
                <w:bCs/>
                <w:sz w:val="22"/>
                <w:szCs w:val="22"/>
                <w:lang w:eastAsia="en-US"/>
              </w:rPr>
              <w:t>3.2 Emborrachados e têxteis</w:t>
            </w:r>
          </w:p>
        </w:tc>
        <w:tc>
          <w:tcPr>
            <w:tcW w:w="6446" w:type="dxa"/>
          </w:tcPr>
          <w:p w14:paraId="4DF5787A" w14:textId="77777777" w:rsidR="00454373" w:rsidRPr="006B523B" w:rsidRDefault="006B523B">
            <w:pPr>
              <w:widowControl w:val="0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B523B">
              <w:rPr>
                <w:rFonts w:ascii="Calibri" w:eastAsia="Calibri" w:hAnsi="Calibri"/>
                <w:sz w:val="22"/>
                <w:szCs w:val="22"/>
                <w:lang w:eastAsia="en-US"/>
              </w:rPr>
              <w:t>Bandeira, braçal e insígnia (todos bordados ou emborrachados).</w:t>
            </w:r>
          </w:p>
        </w:tc>
      </w:tr>
      <w:tr w:rsidR="00454373" w14:paraId="283AEDB9" w14:textId="77777777"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0D0C19B3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4</w:t>
            </w:r>
          </w:p>
        </w:tc>
        <w:tc>
          <w:tcPr>
            <w:tcW w:w="6446" w:type="dxa"/>
            <w:shd w:val="clear" w:color="auto" w:fill="D9D9D9" w:themeFill="background1" w:themeFillShade="D9"/>
            <w:vAlign w:val="center"/>
          </w:tcPr>
          <w:p w14:paraId="24428D7E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CAMA, MESA E BANHO</w:t>
            </w:r>
          </w:p>
        </w:tc>
      </w:tr>
      <w:tr w:rsidR="00454373" w14:paraId="7868D815" w14:textId="77777777">
        <w:tc>
          <w:tcPr>
            <w:tcW w:w="2261" w:type="dxa"/>
            <w:vAlign w:val="center"/>
          </w:tcPr>
          <w:p w14:paraId="77BE889A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6446" w:type="dxa"/>
            <w:vAlign w:val="center"/>
          </w:tcPr>
          <w:p w14:paraId="638B7733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79BCBD91" w14:textId="77777777">
        <w:tc>
          <w:tcPr>
            <w:tcW w:w="2261" w:type="dxa"/>
            <w:vAlign w:val="center"/>
          </w:tcPr>
          <w:p w14:paraId="6936A7CB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6446" w:type="dxa"/>
          </w:tcPr>
          <w:p w14:paraId="70D014D9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Toalha, manta, lençol, fronha,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edredon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colcha e cobertor.</w:t>
            </w:r>
          </w:p>
        </w:tc>
      </w:tr>
      <w:tr w:rsidR="00454373" w14:paraId="364AF568" w14:textId="77777777"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58C163E0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5</w:t>
            </w:r>
          </w:p>
        </w:tc>
        <w:tc>
          <w:tcPr>
            <w:tcW w:w="6446" w:type="dxa"/>
            <w:shd w:val="clear" w:color="auto" w:fill="D9D9D9" w:themeFill="background1" w:themeFillShade="D9"/>
            <w:vAlign w:val="center"/>
          </w:tcPr>
          <w:p w14:paraId="0E21807D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CALÇADOS</w:t>
            </w:r>
          </w:p>
        </w:tc>
      </w:tr>
      <w:tr w:rsidR="00454373" w14:paraId="184D7FAD" w14:textId="77777777">
        <w:tc>
          <w:tcPr>
            <w:tcW w:w="2261" w:type="dxa"/>
            <w:vAlign w:val="center"/>
          </w:tcPr>
          <w:p w14:paraId="74B560E2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6446" w:type="dxa"/>
            <w:vAlign w:val="center"/>
          </w:tcPr>
          <w:p w14:paraId="6D52B097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1D7F83E5" w14:textId="77777777">
        <w:tc>
          <w:tcPr>
            <w:tcW w:w="2261" w:type="dxa"/>
            <w:vAlign w:val="center"/>
          </w:tcPr>
          <w:p w14:paraId="7027DC32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6446" w:type="dxa"/>
          </w:tcPr>
          <w:p w14:paraId="44376DE3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Bota e coturno.</w:t>
            </w:r>
          </w:p>
        </w:tc>
      </w:tr>
      <w:tr w:rsidR="00454373" w14:paraId="263E2231" w14:textId="77777777">
        <w:tc>
          <w:tcPr>
            <w:tcW w:w="2261" w:type="dxa"/>
            <w:vAlign w:val="center"/>
          </w:tcPr>
          <w:p w14:paraId="3FF3A748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6446" w:type="dxa"/>
          </w:tcPr>
          <w:p w14:paraId="01654CC0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Botina, sapato e tênis.</w:t>
            </w:r>
          </w:p>
        </w:tc>
      </w:tr>
      <w:tr w:rsidR="00454373" w14:paraId="091264ED" w14:textId="77777777">
        <w:tc>
          <w:tcPr>
            <w:tcW w:w="2261" w:type="dxa"/>
            <w:vAlign w:val="center"/>
          </w:tcPr>
          <w:p w14:paraId="38B26D5F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6446" w:type="dxa"/>
          </w:tcPr>
          <w:p w14:paraId="301AA400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Chinelo e sandália.</w:t>
            </w:r>
          </w:p>
        </w:tc>
      </w:tr>
    </w:tbl>
    <w:p w14:paraId="21B6922B" w14:textId="77777777" w:rsidR="00454373" w:rsidRDefault="00454373">
      <w:pPr>
        <w:jc w:val="center"/>
        <w:rPr>
          <w:rFonts w:ascii="Arial" w:eastAsia="Arial" w:hAnsi="Arial" w:cs="Arial"/>
        </w:rPr>
      </w:pPr>
    </w:p>
    <w:p w14:paraId="74124CB1" w14:textId="77777777" w:rsidR="00454373" w:rsidRDefault="00454373">
      <w:pPr>
        <w:jc w:val="center"/>
        <w:rPr>
          <w:rFonts w:ascii="Arial" w:eastAsia="Arial" w:hAnsi="Arial" w:cs="Arial"/>
          <w:shd w:val="clear" w:color="auto" w:fill="01FD55"/>
        </w:rPr>
      </w:pPr>
    </w:p>
    <w:p w14:paraId="7D1510AB" w14:textId="77777777" w:rsidR="00454373" w:rsidRDefault="006B523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Tabela 2 – Compatibilidade em características do Grupo II – Equipamentos.</w:t>
      </w:r>
    </w:p>
    <w:p w14:paraId="2C2D5F64" w14:textId="77777777" w:rsidR="00454373" w:rsidRDefault="00454373">
      <w:pPr>
        <w:jc w:val="center"/>
        <w:rPr>
          <w:rFonts w:ascii="Arial" w:eastAsia="Arial" w:hAnsi="Arial" w:cs="Arial"/>
        </w:rPr>
      </w:pPr>
    </w:p>
    <w:p w14:paraId="63B14F20" w14:textId="77777777" w:rsidR="00454373" w:rsidRDefault="00454373">
      <w:pPr>
        <w:jc w:val="center"/>
        <w:rPr>
          <w:rFonts w:ascii="Arial" w:eastAsia="Arial" w:hAnsi="Arial" w:cs="Arial"/>
        </w:rPr>
      </w:pPr>
    </w:p>
    <w:tbl>
      <w:tblPr>
        <w:tblStyle w:val="Tabelacomgrade5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6"/>
        <w:gridCol w:w="7320"/>
      </w:tblGrid>
      <w:tr w:rsidR="00454373" w14:paraId="1ECC9646" w14:textId="77777777" w:rsidTr="00EC444F">
        <w:trPr>
          <w:tblHeader/>
        </w:trPr>
        <w:tc>
          <w:tcPr>
            <w:tcW w:w="1559" w:type="dxa"/>
            <w:shd w:val="clear" w:color="auto" w:fill="000000" w:themeFill="text1"/>
            <w:vAlign w:val="center"/>
          </w:tcPr>
          <w:p w14:paraId="243569A0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8" w:type="dxa"/>
            <w:shd w:val="clear" w:color="auto" w:fill="000000" w:themeFill="text1"/>
            <w:vAlign w:val="center"/>
          </w:tcPr>
          <w:p w14:paraId="3021E14A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II - EQUIPAMENTOS</w:t>
            </w:r>
          </w:p>
        </w:tc>
      </w:tr>
      <w:tr w:rsidR="00454373" w14:paraId="2B1218C0" w14:textId="77777777" w:rsidTr="00EC444F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9ADAC5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06BA105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EQUIPAMENTOS TÁTICOS INDIVIDUAIS NÃO BALÍSTICOS</w:t>
            </w:r>
          </w:p>
        </w:tc>
      </w:tr>
      <w:tr w:rsidR="00454373" w14:paraId="2BB45F0B" w14:textId="77777777" w:rsidTr="00EC444F">
        <w:tc>
          <w:tcPr>
            <w:tcW w:w="1559" w:type="dxa"/>
            <w:vAlign w:val="center"/>
          </w:tcPr>
          <w:p w14:paraId="704C3F3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3822D78F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5D774F68" w14:textId="77777777" w:rsidTr="00EC444F">
        <w:tc>
          <w:tcPr>
            <w:tcW w:w="1559" w:type="dxa"/>
            <w:vAlign w:val="center"/>
          </w:tcPr>
          <w:p w14:paraId="41AEF785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8" w:type="dxa"/>
          </w:tcPr>
          <w:p w14:paraId="705A90F1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Chest</w:t>
            </w:r>
            <w:proofErr w:type="spellEnd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rig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colete (capa), colete de munição química, colete tático, traje GLO (completo).</w:t>
            </w:r>
          </w:p>
        </w:tc>
      </w:tr>
      <w:tr w:rsidR="00454373" w14:paraId="1E261A08" w14:textId="77777777" w:rsidTr="00EC444F">
        <w:tc>
          <w:tcPr>
            <w:tcW w:w="1559" w:type="dxa"/>
            <w:vAlign w:val="center"/>
          </w:tcPr>
          <w:p w14:paraId="452E2B50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7148" w:type="dxa"/>
          </w:tcPr>
          <w:p w14:paraId="1740706F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Mochila, partes de proteção individual para GLO (capacete, colete, membros, luva e escudo), rede de dormir tática, rede de selva e saco de dormir.</w:t>
            </w:r>
          </w:p>
        </w:tc>
      </w:tr>
      <w:tr w:rsidR="00454373" w14:paraId="7FE71759" w14:textId="77777777" w:rsidTr="00EC444F">
        <w:tc>
          <w:tcPr>
            <w:tcW w:w="1559" w:type="dxa"/>
            <w:vAlign w:val="center"/>
          </w:tcPr>
          <w:p w14:paraId="36C1783A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8" w:type="dxa"/>
          </w:tcPr>
          <w:p w14:paraId="372E2250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Bolsa de hidratação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camelback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), bolsa, bornal, cassetete, cinto tático ou de campanha, coifa (cobertura para capacete), coldre, cotoveleira tática, estojo tático (cantil e caneco, carregador, munição, primeiros-socorros, pá, marmita e talher etc.), fiel, joelheira tática, luva tática, poncho, porta utensílios (munição, carregador, torniquete, lanterna, utensílios, primeiros-socorros etc.), saco de descarte, saco e suspensório.</w:t>
            </w:r>
          </w:p>
        </w:tc>
      </w:tr>
      <w:tr w:rsidR="00454373" w14:paraId="31A6B2D7" w14:textId="77777777" w:rsidTr="00EC444F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F77ABB0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0D02709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EQUIPAMENTOS TÁTICOS INDIVIDUAIS BALÍSTICOS</w:t>
            </w:r>
          </w:p>
        </w:tc>
      </w:tr>
      <w:tr w:rsidR="00454373" w14:paraId="11226182" w14:textId="77777777" w:rsidTr="00EC444F">
        <w:tc>
          <w:tcPr>
            <w:tcW w:w="1559" w:type="dxa"/>
            <w:vAlign w:val="center"/>
          </w:tcPr>
          <w:p w14:paraId="6327B559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05650FF8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247FAC5B" w14:textId="77777777" w:rsidTr="00EC444F">
        <w:tc>
          <w:tcPr>
            <w:tcW w:w="1559" w:type="dxa"/>
            <w:vAlign w:val="center"/>
          </w:tcPr>
          <w:p w14:paraId="6F03657B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8" w:type="dxa"/>
          </w:tcPr>
          <w:p w14:paraId="705914CB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Capacete balístico, colete balístico, escudo balístico, placas balísticas e vestimentas balísticas.</w:t>
            </w:r>
          </w:p>
        </w:tc>
      </w:tr>
      <w:tr w:rsidR="00454373" w14:paraId="0761E382" w14:textId="77777777" w:rsidTr="00EC444F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103D53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lastRenderedPageBreak/>
              <w:t>SUBGRUPO 3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1B181ECA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ÓCULOS TÁTICOS</w:t>
            </w:r>
          </w:p>
        </w:tc>
      </w:tr>
      <w:tr w:rsidR="00454373" w14:paraId="3D01E278" w14:textId="77777777" w:rsidTr="00EC444F">
        <w:tc>
          <w:tcPr>
            <w:tcW w:w="1559" w:type="dxa"/>
            <w:vAlign w:val="center"/>
          </w:tcPr>
          <w:p w14:paraId="5161A793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2A6698D5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50C7154E" w14:textId="77777777" w:rsidTr="00EC444F">
        <w:tc>
          <w:tcPr>
            <w:tcW w:w="1559" w:type="dxa"/>
            <w:vAlign w:val="center"/>
          </w:tcPr>
          <w:p w14:paraId="0C59ED30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8" w:type="dxa"/>
          </w:tcPr>
          <w:p w14:paraId="70ED0AE0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Lentes, óculos e viseiras.</w:t>
            </w:r>
          </w:p>
        </w:tc>
      </w:tr>
      <w:tr w:rsidR="00454373" w14:paraId="3730B577" w14:textId="77777777" w:rsidTr="00EC444F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0893AC4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4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2BA0141F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LANTERNA TÁTICA</w:t>
            </w:r>
          </w:p>
        </w:tc>
      </w:tr>
      <w:tr w:rsidR="00454373" w14:paraId="4FF1647C" w14:textId="77777777" w:rsidTr="00EC444F">
        <w:tc>
          <w:tcPr>
            <w:tcW w:w="1559" w:type="dxa"/>
            <w:vAlign w:val="center"/>
          </w:tcPr>
          <w:p w14:paraId="62AE7127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5937E24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27DD4C34" w14:textId="77777777" w:rsidTr="00EC444F">
        <w:tc>
          <w:tcPr>
            <w:tcW w:w="1559" w:type="dxa"/>
            <w:vAlign w:val="center"/>
          </w:tcPr>
          <w:p w14:paraId="7AA8D1F1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8" w:type="dxa"/>
          </w:tcPr>
          <w:p w14:paraId="398B1625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Lanterna.</w:t>
            </w:r>
          </w:p>
        </w:tc>
      </w:tr>
    </w:tbl>
    <w:p w14:paraId="6FC13AA8" w14:textId="77777777" w:rsidR="00454373" w:rsidRDefault="00454373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F44214" w14:textId="77777777" w:rsidR="00454373" w:rsidRDefault="00454373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Tabelacomgrade5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6"/>
        <w:gridCol w:w="7320"/>
      </w:tblGrid>
      <w:tr w:rsidR="00454373" w14:paraId="7067A95D" w14:textId="77777777">
        <w:trPr>
          <w:tblHeader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F97EDA1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5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128416B4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MATERIAL DE ACAMPAMENTO</w:t>
            </w:r>
          </w:p>
        </w:tc>
      </w:tr>
      <w:tr w:rsidR="00454373" w14:paraId="00BA7DA0" w14:textId="77777777">
        <w:tc>
          <w:tcPr>
            <w:tcW w:w="1559" w:type="dxa"/>
            <w:vAlign w:val="center"/>
          </w:tcPr>
          <w:p w14:paraId="53D95AE8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54815584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7DBFCF12" w14:textId="77777777">
        <w:tc>
          <w:tcPr>
            <w:tcW w:w="1559" w:type="dxa"/>
            <w:vAlign w:val="center"/>
          </w:tcPr>
          <w:p w14:paraId="0D722058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8" w:type="dxa"/>
          </w:tcPr>
          <w:p w14:paraId="6E4F92CE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Barraca coletiva, tenda e toldo.</w:t>
            </w:r>
          </w:p>
        </w:tc>
      </w:tr>
      <w:tr w:rsidR="00454373" w14:paraId="32DC893F" w14:textId="77777777">
        <w:tc>
          <w:tcPr>
            <w:tcW w:w="1559" w:type="dxa"/>
            <w:vAlign w:val="center"/>
          </w:tcPr>
          <w:p w14:paraId="4277F33B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7148" w:type="dxa"/>
          </w:tcPr>
          <w:p w14:paraId="0EBAE47F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Barraca individual, cama de campanha, maca, marmita térmica para alimentos do tipo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termobox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rede de dormir tática, rede de selva, reservatório flexível de água, saco de dormir e saco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lister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</w:tr>
      <w:tr w:rsidR="00454373" w14:paraId="46BF106E" w14:textId="77777777">
        <w:tc>
          <w:tcPr>
            <w:tcW w:w="1559" w:type="dxa"/>
            <w:vAlign w:val="center"/>
          </w:tcPr>
          <w:p w14:paraId="5189F6B3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8" w:type="dxa"/>
          </w:tcPr>
          <w:p w14:paraId="34CA0F70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Caneco, cantil, garrafa, marmita individual, mosquiteiro, pá e talher.</w:t>
            </w:r>
          </w:p>
        </w:tc>
      </w:tr>
    </w:tbl>
    <w:p w14:paraId="2AE63683" w14:textId="77777777" w:rsidR="00454373" w:rsidRDefault="00454373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5CC5FE4E" w14:textId="77777777" w:rsidR="00454373" w:rsidRDefault="00454373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32B9D173" w14:textId="77777777" w:rsidR="00454373" w:rsidRDefault="006B523B">
      <w:pPr>
        <w:jc w:val="center"/>
      </w:pPr>
      <w:r>
        <w:rPr>
          <w:rFonts w:ascii="Arial" w:eastAsia="Arial" w:hAnsi="Arial" w:cs="Arial"/>
        </w:rPr>
        <w:t>Tabela 3 – Compatibilidade em características do Grupo III – Alojamento.</w:t>
      </w:r>
    </w:p>
    <w:p w14:paraId="1DA4FDD3" w14:textId="77777777" w:rsidR="00454373" w:rsidRDefault="00454373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tbl>
      <w:tblPr>
        <w:tblStyle w:val="Tabelacomgrade6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6"/>
        <w:gridCol w:w="7320"/>
      </w:tblGrid>
      <w:tr w:rsidR="00454373" w14:paraId="1197ABB6" w14:textId="77777777">
        <w:trPr>
          <w:tblHeader/>
        </w:trPr>
        <w:tc>
          <w:tcPr>
            <w:tcW w:w="1559" w:type="dxa"/>
            <w:shd w:val="clear" w:color="auto" w:fill="000000" w:themeFill="text1"/>
            <w:vAlign w:val="center"/>
          </w:tcPr>
          <w:p w14:paraId="5DAA4158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8" w:type="dxa"/>
            <w:shd w:val="clear" w:color="auto" w:fill="000000" w:themeFill="text1"/>
            <w:vAlign w:val="center"/>
          </w:tcPr>
          <w:p w14:paraId="6799C7ED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III - ALOJAMENTO</w:t>
            </w:r>
          </w:p>
        </w:tc>
      </w:tr>
      <w:tr w:rsidR="00454373" w14:paraId="21F69FCB" w14:textId="77777777">
        <w:trPr>
          <w:tblHeader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2A32C14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48DEAF44" w14:textId="211C84D3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MOB</w:t>
            </w:r>
            <w:r w:rsidR="009D438D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LIÁRIO</w:t>
            </w:r>
          </w:p>
        </w:tc>
      </w:tr>
      <w:tr w:rsidR="00454373" w14:paraId="2A0649D5" w14:textId="77777777">
        <w:tc>
          <w:tcPr>
            <w:tcW w:w="1559" w:type="dxa"/>
            <w:vAlign w:val="center"/>
          </w:tcPr>
          <w:p w14:paraId="0D5D024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442DBF07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39311BBB" w14:textId="77777777">
        <w:tc>
          <w:tcPr>
            <w:tcW w:w="1559" w:type="dxa"/>
            <w:vAlign w:val="center"/>
          </w:tcPr>
          <w:p w14:paraId="4E4B457F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8" w:type="dxa"/>
          </w:tcPr>
          <w:p w14:paraId="38B6002A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Armário, cama (exceto cama de campanha ou maca), mobílias.</w:t>
            </w:r>
          </w:p>
        </w:tc>
      </w:tr>
      <w:tr w:rsidR="00454373" w14:paraId="7C7653BD" w14:textId="77777777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C01B1EC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7148" w:type="dxa"/>
            <w:shd w:val="clear" w:color="auto" w:fill="D9D9D9" w:themeFill="background1" w:themeFillShade="D9"/>
            <w:vAlign w:val="center"/>
          </w:tcPr>
          <w:p w14:paraId="58136E2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COLCHÃO E TRAVESSEIRO</w:t>
            </w:r>
          </w:p>
        </w:tc>
      </w:tr>
      <w:tr w:rsidR="00454373" w14:paraId="48A4E41F" w14:textId="77777777">
        <w:tc>
          <w:tcPr>
            <w:tcW w:w="1559" w:type="dxa"/>
            <w:vAlign w:val="center"/>
          </w:tcPr>
          <w:p w14:paraId="62777DFB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8" w:type="dxa"/>
            <w:vAlign w:val="center"/>
          </w:tcPr>
          <w:p w14:paraId="1D28FDFF" w14:textId="77777777" w:rsidR="00454373" w:rsidRDefault="006B523B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454373" w14:paraId="4FE62132" w14:textId="77777777">
        <w:tc>
          <w:tcPr>
            <w:tcW w:w="1559" w:type="dxa"/>
            <w:vAlign w:val="center"/>
          </w:tcPr>
          <w:p w14:paraId="78D053D9" w14:textId="77777777" w:rsidR="00454373" w:rsidRDefault="006B523B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8" w:type="dxa"/>
          </w:tcPr>
          <w:p w14:paraId="6B2D9CD2" w14:textId="77777777" w:rsidR="00454373" w:rsidRDefault="006B523B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Colchão ou travesseiro.</w:t>
            </w:r>
          </w:p>
        </w:tc>
      </w:tr>
    </w:tbl>
    <w:p w14:paraId="4A944D36" w14:textId="77777777" w:rsidR="00454373" w:rsidRDefault="00454373"/>
    <w:sectPr w:rsidR="00454373">
      <w:pgSz w:w="11906" w:h="16838"/>
      <w:pgMar w:top="1417" w:right="1134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373"/>
    <w:rsid w:val="00181B9D"/>
    <w:rsid w:val="001B7652"/>
    <w:rsid w:val="00454373"/>
    <w:rsid w:val="00601436"/>
    <w:rsid w:val="006B523B"/>
    <w:rsid w:val="009D438D"/>
    <w:rsid w:val="00AD7245"/>
    <w:rsid w:val="00BE0D95"/>
    <w:rsid w:val="00EC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9D24"/>
  <w15:docId w15:val="{ED5E411E-7AA5-444B-AB6C-442DBC10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E1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44E1D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4E1D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4E1D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4E1D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4E1D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4E1D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4E1D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4E1D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4E1D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844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844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844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844E1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844E1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844E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844E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844E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844E1D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844E1D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4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844E1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844E1D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844E1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4E1D"/>
    <w:rPr>
      <w:b/>
      <w:bCs/>
      <w:smallCaps/>
      <w:color w:val="0F4761" w:themeColor="accent1" w:themeShade="BF"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844E1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  <w14:ligatures w14:val="standardContextual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4E1D"/>
    <w:p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844E1D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844E1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4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table" w:customStyle="1" w:styleId="Tabelacomgrade4">
    <w:name w:val="Tabela com grade4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814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dc:description/>
  <cp:lastModifiedBy>Paolo de Souza Lima</cp:lastModifiedBy>
  <cp:revision>6</cp:revision>
  <dcterms:created xsi:type="dcterms:W3CDTF">2025-09-25T16:54:00Z</dcterms:created>
  <dcterms:modified xsi:type="dcterms:W3CDTF">2025-11-24T16:55:00Z</dcterms:modified>
  <dc:language>pt-BR</dc:language>
</cp:coreProperties>
</file>