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rFonts w:ascii="Arial" w:hAnsi="Arial" w:eastAsia="Arial" w:cs="Arial"/>
          <w:b/>
          <w:sz w:val="24"/>
          <w:szCs w:val="24"/>
        </w:rPr>
      </w:pPr>
      <w:r>
        <w:rPr>
          <w:rFonts w:eastAsia="Arial" w:cs="Arial" w:ascii="Arial" w:hAnsi="Arial"/>
          <w:b/>
          <w:sz w:val="24"/>
          <w:szCs w:val="24"/>
        </w:rPr>
        <w:t>ANEXO V - ESPECIFICAÇÕES TÉCNICAS</w:t>
      </w:r>
    </w:p>
    <w:p>
      <w:pPr>
        <w:pStyle w:val="Normal"/>
        <w:widowControl w:val="false"/>
        <w:jc w:val="center"/>
        <w:rPr>
          <w:rFonts w:ascii="Arial" w:hAnsi="Arial" w:eastAsia="Arial" w:cs="Arial"/>
          <w:b/>
          <w:sz w:val="24"/>
          <w:szCs w:val="24"/>
          <w:u w:val="single"/>
        </w:rPr>
      </w:pPr>
      <w:r>
        <w:rPr>
          <w:rFonts w:eastAsia="Arial" w:cs="Arial" w:ascii="Arial" w:hAnsi="Arial"/>
          <w:b/>
          <w:sz w:val="24"/>
          <w:szCs w:val="24"/>
          <w:u w:val="single"/>
        </w:rPr>
      </w:r>
    </w:p>
    <w:p>
      <w:pPr>
        <w:pStyle w:val="Normal"/>
        <w:widowControl w:val="false"/>
        <w:jc w:val="center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>(Item e Especificação Técnica, Laudo Laboratorial e Catalogação)</w:t>
      </w:r>
    </w:p>
    <w:p>
      <w:pPr>
        <w:pStyle w:val="Normal"/>
        <w:widowControl w:val="false"/>
        <w:numPr>
          <w:ilvl w:val="0"/>
          <w:numId w:val="1"/>
        </w:numPr>
        <w:spacing w:lineRule="auto" w:line="276" w:before="240" w:after="240"/>
        <w:ind w:hanging="403" w:left="403"/>
        <w:rPr>
          <w:rFonts w:ascii="Arial" w:hAnsi="Arial" w:eastAsia="Arial" w:cs="Arial"/>
          <w:b/>
          <w:color w:val="000000"/>
          <w:sz w:val="24"/>
          <w:szCs w:val="24"/>
        </w:rPr>
      </w:pPr>
      <w:r>
        <w:rPr>
          <w:rFonts w:eastAsia="Arial" w:cs="Arial" w:ascii="Arial" w:hAnsi="Arial"/>
          <w:b/>
          <w:color w:val="000000"/>
          <w:sz w:val="24"/>
          <w:szCs w:val="24"/>
        </w:rPr>
        <w:t>ITENS E ESPECIFICAÇÃO TÉCNICA</w:t>
      </w:r>
    </w:p>
    <w:p>
      <w:pPr>
        <w:pStyle w:val="Normal"/>
        <w:widowControl w:val="false"/>
        <w:numPr>
          <w:ilvl w:val="1"/>
          <w:numId w:val="1"/>
        </w:numPr>
        <w:spacing w:lineRule="auto" w:line="276" w:before="120" w:after="120"/>
        <w:ind w:firstLine="567" w:left="0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  <w:t>Tabela 1. Relação de item e suas respectivas Especificações Técnicas.</w:t>
      </w:r>
    </w:p>
    <w:tbl>
      <w:tblPr>
        <w:tblW w:w="9567" w:type="dxa"/>
        <w:jc w:val="left"/>
        <w:tblInd w:w="-74" w:type="dxa"/>
        <w:tblLayout w:type="fixed"/>
        <w:tblCellMar>
          <w:top w:w="0" w:type="dxa"/>
          <w:left w:w="2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741"/>
        <w:gridCol w:w="3612"/>
        <w:gridCol w:w="5214"/>
      </w:tblGrid>
      <w:tr>
        <w:trPr>
          <w:trHeight w:val="70" w:hRule="atLeast"/>
        </w:trPr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sz w:val="24"/>
                <w:szCs w:val="24"/>
              </w:rPr>
              <w:t>ITEM</w:t>
            </w:r>
          </w:p>
        </w:tc>
        <w:tc>
          <w:tcPr>
            <w:tcW w:w="3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sz w:val="24"/>
                <w:szCs w:val="24"/>
              </w:rPr>
              <w:t>DESCRIÇÃO</w:t>
            </w:r>
          </w:p>
        </w:tc>
        <w:tc>
          <w:tcPr>
            <w:tcW w:w="52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pacing w:before="240" w:after="240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sz w:val="24"/>
                <w:szCs w:val="24"/>
              </w:rPr>
              <w:t>ESPECIFICAÇÕES TÉCNICAS</w:t>
            </w:r>
          </w:p>
        </w:tc>
      </w:tr>
      <w:tr>
        <w:trPr>
          <w:trHeight w:val="70" w:hRule="atLeast"/>
        </w:trPr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eastAsia="Arial" w:cs="Arial" w:ascii="Arial" w:hAnsi="Arial"/>
                <w:sz w:val="24"/>
                <w:szCs w:val="24"/>
              </w:rPr>
              <w:t>1</w:t>
            </w:r>
          </w:p>
        </w:tc>
        <w:tc>
          <w:tcPr>
            <w:tcW w:w="3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Camiseta meia-manga camuflada</w:t>
            </w:r>
          </w:p>
        </w:tc>
        <w:tc>
          <w:tcPr>
            <w:tcW w:w="52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BT 30.950-06 (3ª Ed).</w:t>
            </w:r>
          </w:p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BT 30.950-20 (2ª Ed).</w:t>
            </w:r>
          </w:p>
        </w:tc>
      </w:tr>
      <w:tr>
        <w:trPr>
          <w:trHeight w:val="70" w:hRule="atLeast"/>
        </w:trPr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eastAsia="Arial" w:cs="Arial" w:ascii="Arial" w:hAnsi="Arial"/>
                <w:sz w:val="24"/>
                <w:szCs w:val="24"/>
              </w:rPr>
              <w:t>2</w:t>
            </w:r>
          </w:p>
        </w:tc>
        <w:tc>
          <w:tcPr>
            <w:tcW w:w="3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Conjunto segunda pele preto</w:t>
            </w:r>
          </w:p>
        </w:tc>
        <w:tc>
          <w:tcPr>
            <w:tcW w:w="52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BT 30.950-35 (2ª Ed).</w:t>
            </w:r>
          </w:p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BT 30.950-75 (2ª Ed).</w:t>
            </w:r>
          </w:p>
        </w:tc>
      </w:tr>
      <w:tr>
        <w:trPr>
          <w:trHeight w:val="70" w:hRule="atLeast"/>
        </w:trPr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eastAsia="Arial" w:cs="Arial" w:ascii="Arial" w:hAnsi="Arial"/>
                <w:sz w:val="24"/>
                <w:szCs w:val="24"/>
              </w:rPr>
              <w:t>3</w:t>
            </w:r>
          </w:p>
        </w:tc>
        <w:tc>
          <w:tcPr>
            <w:tcW w:w="3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Gandoleta (Blusa de cambate camuflada leve)</w:t>
            </w:r>
          </w:p>
        </w:tc>
        <w:tc>
          <w:tcPr>
            <w:tcW w:w="52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BT 30.950-41 (5ª Ed).</w:t>
            </w:r>
          </w:p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BT 30.950-74 (1ª Ed).</w:t>
            </w:r>
          </w:p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BT 30.950-18 (5ª Ed).</w:t>
            </w:r>
          </w:p>
        </w:tc>
      </w:tr>
      <w:tr>
        <w:trPr>
          <w:trHeight w:val="249" w:hRule="atLeast"/>
        </w:trPr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eastAsia="Arial" w:cs="Arial" w:ascii="Arial" w:hAnsi="Arial"/>
                <w:sz w:val="24"/>
                <w:szCs w:val="24"/>
              </w:rPr>
              <w:t>4</w:t>
            </w:r>
          </w:p>
        </w:tc>
        <w:tc>
          <w:tcPr>
            <w:tcW w:w="3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Japona de campanha</w:t>
            </w:r>
          </w:p>
        </w:tc>
        <w:tc>
          <w:tcPr>
            <w:tcW w:w="52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BT 30.950-36 (4ª Ed).</w:t>
            </w:r>
          </w:p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BT 30.950-37 (3ª Ed).</w:t>
            </w:r>
          </w:p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BT 30.950-73 (</w:t>
            </w:r>
            <w:r>
              <w:rPr>
                <w:rFonts w:cs="Arial" w:ascii="Arial" w:hAnsi="Arial"/>
                <w:sz w:val="24"/>
                <w:szCs w:val="24"/>
              </w:rPr>
              <w:t>2</w:t>
            </w:r>
            <w:r>
              <w:rPr>
                <w:rFonts w:cs="Arial" w:ascii="Arial" w:hAnsi="Arial"/>
                <w:sz w:val="24"/>
                <w:szCs w:val="24"/>
              </w:rPr>
              <w:t>ª Ed).</w:t>
            </w:r>
          </w:p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BT 30.950-70 (1ª Ed).</w:t>
            </w:r>
          </w:p>
        </w:tc>
      </w:tr>
    </w:tbl>
    <w:p>
      <w:pPr>
        <w:pStyle w:val="Normal"/>
        <w:widowControl w:val="false"/>
        <w:numPr>
          <w:ilvl w:val="1"/>
          <w:numId w:val="1"/>
        </w:numPr>
        <w:spacing w:lineRule="auto" w:line="276" w:before="120" w:after="120"/>
        <w:ind w:firstLine="567" w:left="0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  <w:t xml:space="preserve">As especificações / boletins técnicos, ou informações sobre as mesmas, podem ser obtidas no site da </w:t>
      </w:r>
      <w:r>
        <w:rPr>
          <w:rFonts w:eastAsia="Arial" w:cs="Arial" w:ascii="Arial" w:hAnsi="Arial"/>
          <w:sz w:val="24"/>
          <w:szCs w:val="24"/>
        </w:rPr>
        <w:t>Chefia de Suprimento</w:t>
      </w:r>
      <w:r>
        <w:rPr>
          <w:rFonts w:eastAsia="Arial" w:cs="Arial" w:ascii="Arial" w:hAnsi="Arial"/>
          <w:color w:val="000000"/>
          <w:sz w:val="24"/>
          <w:szCs w:val="24"/>
        </w:rPr>
        <w:t xml:space="preserve"> – </w:t>
      </w:r>
      <w:bookmarkStart w:id="0" w:name="bookmark=id.2et92p0"/>
      <w:bookmarkEnd w:id="0"/>
      <w:r>
        <w:rPr>
          <w:rFonts w:eastAsia="Arial" w:cs="Arial" w:ascii="Arial" w:hAnsi="Arial"/>
          <w:color w:val="000000"/>
          <w:sz w:val="24"/>
          <w:szCs w:val="24"/>
        </w:rPr>
        <w:t>site (https://www.colog.eb.mil.br/index.php/biblioteca-tecnica) ou na Chefia de Suprimento (C Sup) – QGEx bloco “C” – 3º piso, segunda, quarta e quinta-feira das 10:00 às 11:30 e das 13:30 às 16:00 horas, mediante agendamento prévio, devendo os interessados comparecerem munidos de uma mídia digital.</w:t>
      </w:r>
    </w:p>
    <w:p>
      <w:pPr>
        <w:pStyle w:val="Normal"/>
        <w:widowControl w:val="false"/>
        <w:numPr>
          <w:ilvl w:val="0"/>
          <w:numId w:val="1"/>
        </w:numPr>
        <w:spacing w:lineRule="auto" w:line="276" w:before="240" w:after="240"/>
        <w:ind w:hanging="403" w:left="403"/>
        <w:rPr>
          <w:rFonts w:ascii="Arial" w:hAnsi="Arial" w:eastAsia="Arial" w:cs="Arial"/>
          <w:b/>
          <w:color w:val="000000"/>
          <w:sz w:val="24"/>
          <w:szCs w:val="24"/>
        </w:rPr>
      </w:pPr>
      <w:r>
        <w:rPr>
          <w:rFonts w:eastAsia="Arial" w:cs="Arial" w:ascii="Arial" w:hAnsi="Arial"/>
          <w:b/>
          <w:color w:val="000000"/>
          <w:sz w:val="24"/>
          <w:szCs w:val="24"/>
        </w:rPr>
        <w:t>LAUDO LABORATORIAL</w:t>
      </w:r>
    </w:p>
    <w:p>
      <w:pPr>
        <w:pStyle w:val="Normal"/>
        <w:widowControl w:val="false"/>
        <w:numPr>
          <w:ilvl w:val="1"/>
          <w:numId w:val="1"/>
        </w:numPr>
        <w:spacing w:lineRule="auto" w:line="276" w:before="120" w:after="0"/>
        <w:ind w:firstLine="588" w:left="0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  <w:t>As amostras deverão ser submetidas aos ensaios previstos na Tabela 2 (abaixo).</w:t>
      </w:r>
    </w:p>
    <w:p>
      <w:pPr>
        <w:pStyle w:val="Normal"/>
        <w:widowControl w:val="false"/>
        <w:ind w:left="405"/>
        <w:jc w:val="both"/>
        <w:rPr>
          <w:rFonts w:ascii="Arial" w:hAnsi="Arial" w:eastAsia="Arial" w:cs="Arial"/>
          <w:strike/>
          <w:color w:val="000000"/>
          <w:sz w:val="4"/>
          <w:szCs w:val="4"/>
        </w:rPr>
      </w:pPr>
      <w:r>
        <w:rPr>
          <w:rFonts w:eastAsia="Arial" w:cs="Arial" w:ascii="Arial" w:hAnsi="Arial"/>
          <w:strike/>
          <w:color w:val="000000"/>
          <w:sz w:val="4"/>
          <w:szCs w:val="4"/>
        </w:rPr>
      </w:r>
    </w:p>
    <w:p>
      <w:pPr>
        <w:pStyle w:val="Normal"/>
        <w:widowControl w:val="false"/>
        <w:spacing w:lineRule="auto" w:line="276" w:before="0" w:after="120"/>
        <w:ind w:firstLine="567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  <w:t>Tabela 2: Ensaios laboratoriais que devem constar no laudo de laboratório acreditado pelo INMETRO.</w:t>
      </w:r>
    </w:p>
    <w:tbl>
      <w:tblPr>
        <w:tblW w:w="9517" w:type="dxa"/>
        <w:jc w:val="left"/>
        <w:tblInd w:w="-2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1123"/>
        <w:gridCol w:w="2837"/>
        <w:gridCol w:w="5557"/>
      </w:tblGrid>
      <w:tr>
        <w:trPr>
          <w:trHeight w:val="60" w:hRule="atLeast"/>
        </w:trPr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  <w:tab w:val="left" w:pos="1134" w:leader="none"/>
              </w:tabs>
              <w:jc w:val="center"/>
              <w:rPr>
                <w:rFonts w:ascii="Arial" w:hAnsi="Arial" w:eastAsia="Arial" w:cs="Arial"/>
                <w:b/>
                <w:color w:val="000000"/>
              </w:rPr>
            </w:pPr>
            <w:r>
              <w:rPr>
                <w:rFonts w:eastAsia="Arial" w:cs="Arial" w:ascii="Arial" w:hAnsi="Arial"/>
                <w:b/>
                <w:color w:val="000000"/>
              </w:rPr>
              <w:t>Ordem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  <w:tab w:val="left" w:pos="1134" w:leader="none"/>
              </w:tabs>
              <w:jc w:val="center"/>
              <w:rPr>
                <w:rFonts w:ascii="Arial" w:hAnsi="Arial" w:eastAsia="Arial" w:cs="Arial"/>
                <w:b/>
                <w:color w:val="000000"/>
              </w:rPr>
            </w:pPr>
            <w:r>
              <w:rPr>
                <w:rFonts w:eastAsia="Arial" w:cs="Arial" w:ascii="Arial" w:hAnsi="Arial"/>
                <w:b/>
                <w:color w:val="000000"/>
              </w:rPr>
              <w:t>Item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4" w:leader="none"/>
                <w:tab w:val="left" w:pos="1134" w:leader="none"/>
              </w:tabs>
              <w:jc w:val="center"/>
              <w:rPr>
                <w:rFonts w:ascii="Arial" w:hAnsi="Arial" w:eastAsia="Arial" w:cs="Arial"/>
                <w:b/>
                <w:color w:val="000000"/>
              </w:rPr>
            </w:pPr>
            <w:r>
              <w:rPr>
                <w:rFonts w:eastAsia="Arial" w:cs="Arial" w:ascii="Arial" w:hAnsi="Arial"/>
                <w:b/>
                <w:color w:val="000000"/>
              </w:rPr>
              <w:t>Especificação Técnica</w:t>
            </w:r>
          </w:p>
        </w:tc>
      </w:tr>
      <w:tr>
        <w:trPr>
          <w:trHeight w:val="130" w:hRule="atLeast"/>
        </w:trPr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67" w:leader="none"/>
                <w:tab w:val="left" w:pos="993" w:leader="none"/>
              </w:tabs>
              <w:jc w:val="center"/>
              <w:rPr>
                <w:rFonts w:ascii="Arial" w:hAnsi="Arial" w:eastAsia="Arial" w:cs="Arial"/>
                <w:color w:val="000000"/>
              </w:rPr>
            </w:pPr>
            <w:r>
              <w:rPr>
                <w:rFonts w:eastAsia="Arial" w:cs="Arial" w:ascii="Arial" w:hAnsi="Arial"/>
                <w:color w:val="000000"/>
              </w:rPr>
              <w:t>1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Camiseta meia-manga camuflada</w:t>
            </w:r>
          </w:p>
        </w:tc>
        <w:tc>
          <w:tcPr>
            <w:tcW w:w="5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left w:w="100" w:type="dxa"/>
              <w:right w:w="100" w:type="dxa"/>
            </w:tcMar>
          </w:tcPr>
          <w:p>
            <w:pPr>
              <w:pStyle w:val="Normal"/>
              <w:jc w:val="both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" w:cs="Arial" w:ascii="Arial" w:hAnsi="Arial"/>
                <w:bCs/>
                <w:color w:val="000000"/>
                <w:shd w:fill="auto" w:val="clear"/>
              </w:rPr>
              <w:t>- Submeter a amostra aos ensaios previstos no item 10.2 do BT 30.950-06 e no item 10.1 do BT 30.950-20. Para os ensaios dimensionais, se houver mais de um tamanho, realizar o ensaio de dimensão para cada tamanho.</w:t>
            </w:r>
          </w:p>
        </w:tc>
      </w:tr>
      <w:tr>
        <w:trPr>
          <w:trHeight w:val="647" w:hRule="atLeast"/>
        </w:trPr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67" w:leader="none"/>
                <w:tab w:val="left" w:pos="993" w:leader="none"/>
              </w:tabs>
              <w:jc w:val="center"/>
              <w:rPr>
                <w:rFonts w:ascii="Arial" w:hAnsi="Arial" w:eastAsia="Arial" w:cs="Arial"/>
                <w:color w:val="000000"/>
              </w:rPr>
            </w:pPr>
            <w:r>
              <w:rPr>
                <w:rFonts w:eastAsia="Arial" w:cs="Arial" w:ascii="Arial" w:hAnsi="Arial"/>
                <w:color w:val="000000"/>
              </w:rPr>
              <w:t>2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Conjunto segunda pele preto</w:t>
            </w:r>
          </w:p>
        </w:tc>
        <w:tc>
          <w:tcPr>
            <w:tcW w:w="5557" w:type="dxa"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left w:w="100" w:type="dxa"/>
              <w:right w:w="100" w:type="dxa"/>
            </w:tcMar>
          </w:tcPr>
          <w:p>
            <w:pPr>
              <w:pStyle w:val="Normal"/>
              <w:jc w:val="both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" w:cs="Arial" w:ascii="Arial" w:hAnsi="Arial"/>
                <w:bCs/>
                <w:color w:val="000000"/>
                <w:shd w:fill="auto" w:val="clear"/>
              </w:rPr>
              <w:t>- Submeter a amostra aos ensaios previstos no item 10.2 do BT 30.950-35 e no item 10.1 do BT 30.950-75. Para os ensaios dimensionais, se houver mais de um tamanho, realizar o ensaio de dimensão para cada tamanho.</w:t>
            </w:r>
          </w:p>
        </w:tc>
      </w:tr>
      <w:tr>
        <w:trPr>
          <w:trHeight w:val="130" w:hRule="atLeast"/>
        </w:trPr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  <w:t>3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Gandoleta (Blusa de cambate camuflada leve)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0" w:type="dxa"/>
              <w:right w:w="100" w:type="dxa"/>
            </w:tcMar>
          </w:tcPr>
          <w:p>
            <w:pPr>
              <w:pStyle w:val="Normal"/>
              <w:jc w:val="both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" w:cs="Arial" w:ascii="Arial" w:hAnsi="Arial"/>
                <w:bCs/>
                <w:color w:val="000000"/>
                <w:shd w:fill="auto" w:val="clear"/>
              </w:rPr>
              <w:t>- Submeter a amostra aos ensaios previstos no item 10.2 do BT 30.950-41, e no item 10.1 dos BT 30.950-74 e BT 30.950-18. Para os ensaios dimensionais, se houver mais de um tamanho, realizar o ensaio de dimensão para cada tamanho.</w:t>
            </w:r>
          </w:p>
        </w:tc>
      </w:tr>
      <w:tr>
        <w:trPr>
          <w:trHeight w:val="130" w:hRule="atLeast"/>
        </w:trPr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  <w:t>4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Japona de campanha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0" w:type="dxa"/>
              <w:right w:w="100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567" w:leader="none"/>
                <w:tab w:val="left" w:pos="993" w:leader="none"/>
              </w:tabs>
              <w:jc w:val="both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" w:cs="Arial" w:ascii="Arial" w:hAnsi="Arial"/>
                <w:bCs/>
                <w:color w:val="000000"/>
                <w:shd w:fill="auto" w:val="clear"/>
              </w:rPr>
              <w:t>-  Submeter a amostra aos ensaios previstos no item 10.2 dos BT 30.950-36 e BT 30.950-37, e no item 10.1 dos BT 30.950-73 e BT 30.950-70. Para os ensaios dimensionais, se houver mais de um tamanho, realizar o ensaio de dimensão para cada tamanho.</w:t>
            </w:r>
          </w:p>
        </w:tc>
      </w:tr>
    </w:tbl>
    <w:p>
      <w:pPr>
        <w:pStyle w:val="Normal"/>
        <w:widowControl w:val="false"/>
        <w:spacing w:lineRule="auto" w:line="276" w:before="120" w:after="120"/>
        <w:ind w:left="567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76" w:before="120" w:after="240"/>
        <w:ind w:hanging="403" w:left="403"/>
        <w:rPr>
          <w:rFonts w:ascii="Arial" w:hAnsi="Arial" w:eastAsia="Arial" w:cs="Arial"/>
          <w:b/>
          <w:color w:val="000000"/>
          <w:sz w:val="24"/>
          <w:szCs w:val="24"/>
        </w:rPr>
      </w:pPr>
      <w:r>
        <w:rPr>
          <w:rFonts w:eastAsia="Arial" w:cs="Arial" w:ascii="Arial" w:hAnsi="Arial"/>
          <w:b/>
          <w:color w:val="000000"/>
          <w:sz w:val="24"/>
          <w:szCs w:val="24"/>
        </w:rPr>
        <w:t>EMBALAGEM.</w:t>
      </w:r>
    </w:p>
    <w:p>
      <w:pPr>
        <w:pStyle w:val="Normal"/>
        <w:widowControl w:val="false"/>
        <w:numPr>
          <w:ilvl w:val="1"/>
          <w:numId w:val="1"/>
        </w:numPr>
        <w:spacing w:lineRule="auto" w:line="276" w:before="120" w:after="120"/>
        <w:ind w:firstLine="567" w:left="0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  <w:t xml:space="preserve">O material, citado na tabela 1, </w:t>
      </w:r>
      <w:r>
        <w:rPr>
          <w:rFonts w:eastAsia="Arial" w:cs="Arial" w:ascii="Arial" w:hAnsi="Arial"/>
          <w:b/>
          <w:bCs/>
          <w:color w:val="000000"/>
          <w:sz w:val="24"/>
          <w:szCs w:val="24"/>
        </w:rPr>
        <w:t>deverá ser acondicionado, individualmente, em sacos plásticos transparentes a fim de facilitar a verificação e conferência</w:t>
      </w:r>
      <w:r>
        <w:rPr>
          <w:rFonts w:eastAsia="Arial" w:cs="Arial" w:ascii="Arial" w:hAnsi="Arial"/>
          <w:color w:val="000000"/>
          <w:sz w:val="24"/>
          <w:szCs w:val="24"/>
        </w:rPr>
        <w:t>.</w:t>
      </w:r>
    </w:p>
    <w:p>
      <w:pPr>
        <w:pStyle w:val="Normal"/>
        <w:widowControl w:val="false"/>
        <w:numPr>
          <w:ilvl w:val="1"/>
          <w:numId w:val="1"/>
        </w:numPr>
        <w:spacing w:lineRule="auto" w:line="276" w:before="120" w:after="120"/>
        <w:ind w:firstLine="567" w:left="0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  <w:t>Deverão ser observadas, também, as orientações específicas que porventura existam nas respectivas especificações técnicas de cada item.</w:t>
      </w:r>
    </w:p>
    <w:p>
      <w:pPr>
        <w:pStyle w:val="Normal"/>
        <w:widowControl w:val="false"/>
        <w:numPr>
          <w:ilvl w:val="1"/>
          <w:numId w:val="1"/>
        </w:numPr>
        <w:spacing w:lineRule="auto" w:line="276" w:before="120" w:after="120"/>
        <w:ind w:firstLine="567" w:left="0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  <w:t>O item deverá, ainda, ser reunido em embalagens de papelão, conforme descrito na Especificação Técnica Nr 82/2020 C Sup – Embalagem de Material de Intendência (disponível no sítio da Chefia de Suprimento em https://www.colog.eb.mil.br/index.php/biblioteca-tecnica, não ultrapassando os pesos e tamanhos máximos estipulados na referida norma.</w:t>
      </w:r>
    </w:p>
    <w:p>
      <w:pPr>
        <w:pStyle w:val="Normal"/>
        <w:widowControl w:val="false"/>
        <w:numPr>
          <w:ilvl w:val="0"/>
          <w:numId w:val="1"/>
        </w:numPr>
        <w:spacing w:lineRule="auto" w:line="276" w:before="240" w:after="240"/>
        <w:ind w:hanging="403" w:left="403"/>
        <w:rPr>
          <w:rFonts w:ascii="Arial" w:hAnsi="Arial" w:eastAsia="Arial" w:cs="Arial"/>
          <w:b/>
          <w:color w:val="000000"/>
          <w:sz w:val="24"/>
          <w:szCs w:val="24"/>
        </w:rPr>
      </w:pPr>
      <w:r>
        <w:rPr>
          <w:rFonts w:eastAsia="Arial" w:cs="Arial" w:ascii="Arial" w:hAnsi="Arial"/>
          <w:b/>
          <w:color w:val="000000"/>
          <w:sz w:val="24"/>
          <w:szCs w:val="24"/>
        </w:rPr>
        <w:t>CATALOGAÇÃO</w:t>
      </w:r>
    </w:p>
    <w:p>
      <w:pPr>
        <w:pStyle w:val="Normal"/>
        <w:widowControl w:val="false"/>
        <w:numPr>
          <w:ilvl w:val="1"/>
          <w:numId w:val="1"/>
        </w:numPr>
        <w:spacing w:lineRule="auto" w:line="276" w:before="120" w:after="120"/>
        <w:ind w:firstLine="567" w:left="0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  <w:t>Os itens já se encontram catalogados no Sistema de Catalogação Brasileiro (SISCAT-BR), ou identificado no Sistema Integrado de Gestão Logística (SIGELOG), conforme o Nato Stock Number (NSN) ou Número de Estoque do Exército (NEE), ou ainda, ID-SIGELOG.</w:t>
      </w:r>
    </w:p>
    <w:p>
      <w:pPr>
        <w:pStyle w:val="Normal"/>
        <w:widowControl w:val="false"/>
        <w:numPr>
          <w:ilvl w:val="1"/>
          <w:numId w:val="1"/>
        </w:numPr>
        <w:spacing w:lineRule="auto" w:line="276" w:before="120" w:after="120"/>
        <w:ind w:firstLine="567" w:left="0"/>
        <w:jc w:val="both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  <w:t>Em virtude do descrito no item 4.1, a Contratada, fica dispensada de fornecer os dados técnicos de identificação dos itens licitados para a catalogação.</w:t>
      </w:r>
    </w:p>
    <w:p>
      <w:pPr>
        <w:pStyle w:val="Normal"/>
        <w:jc w:val="both"/>
        <w:rPr/>
      </w:pPr>
      <w:r>
        <w:rPr>
          <w:rFonts w:eastAsia="Arial" w:cs="Arial" w:ascii="Arial" w:hAnsi="Arial"/>
          <w:color w:val="000000"/>
          <w:sz w:val="24"/>
          <w:szCs w:val="24"/>
        </w:rPr>
        <w:t>É obrigatório, por ocasião da assinatura do contrato, por parte da empresa vencedora do certame Licitatório, o fornecimento da Ficha de Dados para Catalogação – Dados da CONTRATADA ou Subcontratada, conforme anexo VI.</w:t>
      </w:r>
    </w:p>
    <w:sectPr>
      <w:type w:val="nextPage"/>
      <w:pgSz w:w="11906" w:h="16838"/>
      <w:pgMar w:left="1701" w:right="1134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ptos">
    <w:charset w:val="00"/>
    <w:family w:val="roman"/>
    <w:pitch w:val="variable"/>
  </w:font>
  <w:font w:name="Aptos Display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"/>
      <w:lvlJc w:val="left"/>
      <w:pPr>
        <w:tabs>
          <w:tab w:val="num" w:pos="0"/>
        </w:tabs>
        <w:ind w:left="405" w:hanging="405"/>
      </w:pPr>
      <w:rPr/>
    </w:lvl>
    <w:lvl w:ilvl="1">
      <w:start w:val="1"/>
      <w:numFmt w:val="decimal"/>
      <w:lvlText w:val="%1.%2"/>
      <w:lvlJc w:val="left"/>
      <w:pPr>
        <w:tabs>
          <w:tab w:val="num" w:pos="0"/>
        </w:tabs>
        <w:ind w:left="405" w:hanging="405"/>
      </w:pPr>
      <w:rPr/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/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/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/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/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11d1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pt-BR" w:bidi="ar-SA"/>
      <w14:ligatures w14:val="none"/>
    </w:rPr>
  </w:style>
  <w:style w:type="paragraph" w:styleId="Heading1">
    <w:name w:val="Heading 1"/>
    <w:basedOn w:val="Normal"/>
    <w:next w:val="Normal"/>
    <w:link w:val="Ttulo1Char"/>
    <w:uiPriority w:val="9"/>
    <w:qFormat/>
    <w:rsid w:val="00d11d16"/>
    <w:pPr>
      <w:keepNext w:val="true"/>
      <w:keepLines/>
      <w:spacing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paragraph" w:styleId="Heading2">
    <w:name w:val="Heading 2"/>
    <w:basedOn w:val="Normal"/>
    <w:next w:val="Normal"/>
    <w:link w:val="Ttulo2Char"/>
    <w:uiPriority w:val="9"/>
    <w:semiHidden/>
    <w:unhideWhenUsed/>
    <w:qFormat/>
    <w:rsid w:val="00d11d16"/>
    <w:pPr>
      <w:keepNext w:val="true"/>
      <w:keepLines/>
      <w:spacing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d11d16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0F4761"/>
      <w:sz w:val="28"/>
      <w:szCs w:val="28"/>
    </w:rPr>
  </w:style>
  <w:style w:type="paragraph" w:styleId="Heading4">
    <w:name w:val="Heading 4"/>
    <w:basedOn w:val="Normal"/>
    <w:next w:val="Normal"/>
    <w:link w:val="Ttulo4Char"/>
    <w:uiPriority w:val="9"/>
    <w:semiHidden/>
    <w:unhideWhenUsed/>
    <w:qFormat/>
    <w:rsid w:val="00d11d16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0F4761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d11d16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0F4761"/>
    </w:rPr>
  </w:style>
  <w:style w:type="paragraph" w:styleId="Heading6">
    <w:name w:val="Heading 6"/>
    <w:basedOn w:val="Normal"/>
    <w:next w:val="Normal"/>
    <w:link w:val="Ttulo6Char"/>
    <w:uiPriority w:val="9"/>
    <w:semiHidden/>
    <w:unhideWhenUsed/>
    <w:qFormat/>
    <w:rsid w:val="00d11d16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Ttulo7Char"/>
    <w:uiPriority w:val="9"/>
    <w:semiHidden/>
    <w:unhideWhenUsed/>
    <w:qFormat/>
    <w:rsid w:val="00d11d16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Ttulo8Char"/>
    <w:uiPriority w:val="9"/>
    <w:semiHidden/>
    <w:unhideWhenUsed/>
    <w:qFormat/>
    <w:rsid w:val="00d11d16"/>
    <w:pPr>
      <w:keepNext w:val="true"/>
      <w:keepLines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Ttulo9Char"/>
    <w:uiPriority w:val="9"/>
    <w:semiHidden/>
    <w:unhideWhenUsed/>
    <w:qFormat/>
    <w:rsid w:val="00d11d16"/>
    <w:pPr>
      <w:keepNext w:val="true"/>
      <w:keepLines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d11d16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character" w:styleId="Ttulo2Char" w:customStyle="1">
    <w:name w:val="Título 2 Char"/>
    <w:basedOn w:val="DefaultParagraphFont"/>
    <w:uiPriority w:val="9"/>
    <w:semiHidden/>
    <w:qFormat/>
    <w:rsid w:val="00d11d16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character" w:styleId="Ttulo3Char" w:customStyle="1">
    <w:name w:val="Título 3 Char"/>
    <w:basedOn w:val="DefaultParagraphFont"/>
    <w:uiPriority w:val="9"/>
    <w:semiHidden/>
    <w:qFormat/>
    <w:rsid w:val="00d11d16"/>
    <w:rPr>
      <w:rFonts w:eastAsia="" w:cs="" w:cstheme="majorBidi" w:eastAsiaTheme="majorEastAsia"/>
      <w:color w:themeColor="accent1" w:themeShade="bf" w:val="0F4761"/>
      <w:sz w:val="28"/>
      <w:szCs w:val="28"/>
    </w:rPr>
  </w:style>
  <w:style w:type="character" w:styleId="Ttulo4Char" w:customStyle="1">
    <w:name w:val="Título 4 Char"/>
    <w:basedOn w:val="DefaultParagraphFont"/>
    <w:uiPriority w:val="9"/>
    <w:semiHidden/>
    <w:qFormat/>
    <w:rsid w:val="00d11d16"/>
    <w:rPr>
      <w:rFonts w:eastAsia="" w:cs="" w:cstheme="majorBidi" w:eastAsiaTheme="majorEastAsia"/>
      <w:i/>
      <w:iCs/>
      <w:color w:themeColor="accent1" w:themeShade="bf" w:val="0F4761"/>
    </w:rPr>
  </w:style>
  <w:style w:type="character" w:styleId="Ttulo5Char" w:customStyle="1">
    <w:name w:val="Título 5 Char"/>
    <w:basedOn w:val="DefaultParagraphFont"/>
    <w:uiPriority w:val="9"/>
    <w:semiHidden/>
    <w:qFormat/>
    <w:rsid w:val="00d11d16"/>
    <w:rPr>
      <w:rFonts w:eastAsia="" w:cs="" w:cstheme="majorBidi" w:eastAsiaTheme="majorEastAsia"/>
      <w:color w:themeColor="accent1" w:themeShade="bf" w:val="0F4761"/>
    </w:rPr>
  </w:style>
  <w:style w:type="character" w:styleId="Ttulo6Char" w:customStyle="1">
    <w:name w:val="Título 6 Char"/>
    <w:basedOn w:val="DefaultParagraphFont"/>
    <w:uiPriority w:val="9"/>
    <w:semiHidden/>
    <w:qFormat/>
    <w:rsid w:val="00d11d16"/>
    <w:rPr>
      <w:rFonts w:eastAsia="" w:cs="" w:cstheme="majorBidi" w:eastAsiaTheme="majorEastAsia"/>
      <w:i/>
      <w:iCs/>
      <w:color w:themeColor="text1" w:themeTint="a6" w:val="595959"/>
    </w:rPr>
  </w:style>
  <w:style w:type="character" w:styleId="Ttulo7Char" w:customStyle="1">
    <w:name w:val="Título 7 Char"/>
    <w:basedOn w:val="DefaultParagraphFont"/>
    <w:uiPriority w:val="9"/>
    <w:semiHidden/>
    <w:qFormat/>
    <w:rsid w:val="00d11d16"/>
    <w:rPr>
      <w:rFonts w:eastAsia="" w:cs="" w:cstheme="majorBidi" w:eastAsiaTheme="majorEastAsia"/>
      <w:color w:themeColor="text1" w:themeTint="a6" w:val="595959"/>
    </w:rPr>
  </w:style>
  <w:style w:type="character" w:styleId="Ttulo8Char" w:customStyle="1">
    <w:name w:val="Título 8 Char"/>
    <w:basedOn w:val="DefaultParagraphFont"/>
    <w:uiPriority w:val="9"/>
    <w:semiHidden/>
    <w:qFormat/>
    <w:rsid w:val="00d11d16"/>
    <w:rPr>
      <w:rFonts w:eastAsia="" w:cs="" w:cstheme="majorBidi" w:eastAsiaTheme="majorEastAsia"/>
      <w:i/>
      <w:iCs/>
      <w:color w:themeColor="text1" w:themeTint="d8" w:val="272727"/>
    </w:rPr>
  </w:style>
  <w:style w:type="character" w:styleId="Ttulo9Char" w:customStyle="1">
    <w:name w:val="Título 9 Char"/>
    <w:basedOn w:val="DefaultParagraphFont"/>
    <w:uiPriority w:val="9"/>
    <w:semiHidden/>
    <w:qFormat/>
    <w:rsid w:val="00d11d16"/>
    <w:rPr>
      <w:rFonts w:eastAsia="" w:cs="" w:cstheme="majorBidi" w:eastAsiaTheme="majorEastAsia"/>
      <w:color w:themeColor="text1" w:themeTint="d8" w:val="272727"/>
    </w:rPr>
  </w:style>
  <w:style w:type="character" w:styleId="TtuloChar" w:customStyle="1">
    <w:name w:val="Título Char"/>
    <w:basedOn w:val="DefaultParagraphFont"/>
    <w:uiPriority w:val="10"/>
    <w:qFormat/>
    <w:rsid w:val="00d11d16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tuloChar" w:customStyle="1">
    <w:name w:val="Subtítulo Char"/>
    <w:basedOn w:val="DefaultParagraphFont"/>
    <w:uiPriority w:val="11"/>
    <w:qFormat/>
    <w:rsid w:val="00d11d16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itaoChar" w:customStyle="1">
    <w:name w:val="Citação Char"/>
    <w:basedOn w:val="DefaultParagraphFont"/>
    <w:link w:val="Quote"/>
    <w:uiPriority w:val="29"/>
    <w:qFormat/>
    <w:rsid w:val="00d11d16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d11d16"/>
    <w:rPr>
      <w:i/>
      <w:iCs/>
      <w:color w:themeColor="accent1" w:themeShade="bf" w:val="0F4761"/>
    </w:rPr>
  </w:style>
  <w:style w:type="character" w:styleId="CitaoIntensaChar" w:customStyle="1">
    <w:name w:val="Citação Intensa Char"/>
    <w:basedOn w:val="DefaultParagraphFont"/>
    <w:link w:val="IntenseQuote"/>
    <w:uiPriority w:val="30"/>
    <w:qFormat/>
    <w:rsid w:val="00d11d16"/>
    <w:rPr>
      <w:i/>
      <w:iCs/>
      <w:color w:themeColor="accent1" w:themeShade="bf" w:val="0F4761"/>
    </w:rPr>
  </w:style>
  <w:style w:type="character" w:styleId="IntenseReference">
    <w:name w:val="Intense Reference"/>
    <w:basedOn w:val="DefaultParagraphFont"/>
    <w:uiPriority w:val="32"/>
    <w:qFormat/>
    <w:rsid w:val="00d11d16"/>
    <w:rPr>
      <w:b/>
      <w:bCs/>
      <w:smallCaps/>
      <w:color w:themeColor="accent1" w:themeShade="bf" w:val="0F4761"/>
      <w:spacing w:val="5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Noto Sans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Title">
    <w:name w:val="Title"/>
    <w:basedOn w:val="Normal"/>
    <w:next w:val="BodyText"/>
    <w:link w:val="TtuloChar"/>
    <w:uiPriority w:val="10"/>
    <w:qFormat/>
    <w:rsid w:val="00d11d16"/>
    <w:pPr>
      <w:spacing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tuloChar"/>
    <w:uiPriority w:val="11"/>
    <w:qFormat/>
    <w:rsid w:val="00d11d16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itaoChar"/>
    <w:uiPriority w:val="29"/>
    <w:qFormat/>
    <w:rsid w:val="00d11d16"/>
    <w:pPr>
      <w:spacing w:before="160" w:after="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uiPriority w:val="34"/>
    <w:qFormat/>
    <w:rsid w:val="00d11d16"/>
    <w:pPr>
      <w:spacing w:before="0" w:after="0"/>
      <w:ind w:left="720"/>
      <w:contextualSpacing/>
    </w:pPr>
    <w:rPr/>
  </w:style>
  <w:style w:type="paragraph" w:styleId="IntenseQuote">
    <w:name w:val="Intense Quote"/>
    <w:basedOn w:val="Normal"/>
    <w:next w:val="Normal"/>
    <w:link w:val="CitaoIntensaChar"/>
    <w:uiPriority w:val="30"/>
    <w:qFormat/>
    <w:rsid w:val="00d11d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themeColor="accent1" w:themeShade="bf" w:val="0F4761"/>
    </w:rPr>
  </w:style>
  <w:style w:type="paragraph" w:styleId="Contedodatabela" w:customStyle="1">
    <w:name w:val="Conteúdo da tabela"/>
    <w:basedOn w:val="Normal"/>
    <w:qFormat/>
    <w:pPr>
      <w:widowControl w:val="false"/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Application>LibreOffice/24.2.1.2$Windows_X86_64 LibreOffice_project/db4def46b0453cc22e2d0305797cf981b68ef5ac</Application>
  <AppVersion>15.0000</AppVersion>
  <Pages>2</Pages>
  <Words>557</Words>
  <Characters>3052</Characters>
  <CharactersWithSpaces>3550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2025-09-25T16:57:00Z</dcterms:created>
  <dc:creator>Paolo de Souza Lima</dc:creator>
  <dc:description/>
  <dc:language>pt-BR</dc:language>
  <cp:lastModifiedBy/>
  <dcterms:modified xsi:type="dcterms:W3CDTF">2026-08-11T14:53:07Z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