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eastAsia="Arial" w:cs="Arial"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>ANEXO VIII - REGRAS PARA COMPATIBILIDADE EM CARACTERÍSTICAS DE ITENS DOS ATESTADOS DE CAPACIDADE TÉCNICA</w:t>
      </w:r>
    </w:p>
    <w:p>
      <w:pPr>
        <w:pStyle w:val="Normal"/>
        <w:jc w:val="center"/>
        <w:rPr>
          <w:rFonts w:ascii="Arial" w:hAnsi="Arial" w:eastAsia="Arial" w:cs="Arial"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eastAsia="Arial" w:cs="Arial"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"/>
        <w:spacing w:lineRule="auto" w:line="276" w:before="0" w:after="200"/>
        <w:jc w:val="both"/>
        <w:rPr>
          <w:rFonts w:ascii="Arial" w:hAnsi="Arial" w:eastAsia="Arial" w:cs="Arial"/>
          <w:sz w:val="24"/>
          <w:szCs w:val="24"/>
          <w:lang w:eastAsia="en-US"/>
        </w:rPr>
      </w:pPr>
      <w:r>
        <w:rPr>
          <w:rFonts w:eastAsia="Arial" w:cs="Arial" w:ascii="Arial" w:hAnsi="Arial"/>
          <w:sz w:val="24"/>
          <w:szCs w:val="24"/>
          <w:lang w:eastAsia="en-US"/>
        </w:rPr>
        <w:t>1.</w:t>
        <w:tab/>
        <w:t xml:space="preserve">Só serão aceitos como compatíveis em características os itens de um </w:t>
      </w:r>
      <w:r>
        <w:rPr>
          <w:rFonts w:eastAsia="Arial" w:cs="Arial" w:ascii="Arial" w:hAnsi="Arial"/>
          <w:b/>
          <w:sz w:val="24"/>
          <w:szCs w:val="24"/>
          <w:lang w:eastAsia="en-US"/>
        </w:rPr>
        <w:t>mesmo</w:t>
      </w:r>
      <w:r>
        <w:rPr>
          <w:rFonts w:eastAsia="Arial" w:cs="Arial" w:ascii="Arial" w:hAnsi="Arial"/>
          <w:sz w:val="24"/>
          <w:szCs w:val="24"/>
          <w:lang w:eastAsia="en-US"/>
        </w:rPr>
        <w:t xml:space="preserve"> subgrupo e com grau de complexidade </w:t>
      </w:r>
      <w:r>
        <w:rPr>
          <w:rFonts w:eastAsia="Arial" w:cs="Arial" w:ascii="Arial" w:hAnsi="Arial"/>
          <w:b/>
          <w:sz w:val="24"/>
          <w:szCs w:val="24"/>
          <w:lang w:eastAsia="en-US"/>
        </w:rPr>
        <w:t>igual ou superior</w:t>
      </w:r>
      <w:r>
        <w:rPr>
          <w:rFonts w:eastAsia="Arial" w:cs="Arial" w:ascii="Arial" w:hAnsi="Arial"/>
          <w:sz w:val="24"/>
          <w:szCs w:val="24"/>
          <w:lang w:eastAsia="en-US"/>
        </w:rPr>
        <w:t xml:space="preserve"> ao do item licitado.</w:t>
      </w:r>
    </w:p>
    <w:p>
      <w:pPr>
        <w:pStyle w:val="Normal"/>
        <w:spacing w:lineRule="auto" w:line="276" w:before="0" w:after="200"/>
        <w:jc w:val="both"/>
        <w:rPr>
          <w:rFonts w:ascii="Arial" w:hAnsi="Arial" w:eastAsia="Arial" w:cs="Arial"/>
          <w:sz w:val="24"/>
          <w:szCs w:val="24"/>
          <w:lang w:eastAsia="en-US"/>
        </w:rPr>
      </w:pPr>
      <w:r>
        <w:rPr>
          <w:rFonts w:eastAsia="Arial" w:cs="Arial" w:ascii="Arial" w:hAnsi="Arial"/>
          <w:sz w:val="24"/>
          <w:szCs w:val="24"/>
          <w:lang w:eastAsia="en-US"/>
        </w:rPr>
        <w:t>1.1.</w:t>
        <w:tab/>
        <w:t>Exemplo:</w:t>
      </w:r>
    </w:p>
    <w:p>
      <w:pPr>
        <w:pStyle w:val="Normal"/>
        <w:spacing w:lineRule="auto" w:line="276" w:before="0" w:after="200"/>
        <w:ind w:left="1418"/>
        <w:jc w:val="both"/>
        <w:rPr>
          <w:rFonts w:ascii="Arial" w:hAnsi="Arial" w:eastAsia="Arial" w:cs="Arial"/>
          <w:sz w:val="22"/>
          <w:szCs w:val="22"/>
          <w:lang w:eastAsia="en-US"/>
        </w:rPr>
      </w:pPr>
      <w:r>
        <w:rPr>
          <w:rFonts w:eastAsia="Arial" w:cs="Arial" w:ascii="Arial" w:hAnsi="Arial"/>
          <w:sz w:val="22"/>
          <w:szCs w:val="22"/>
          <w:lang w:eastAsia="en-US"/>
        </w:rPr>
        <w:t>O item licitado é uma calça camuflada. A calça camuflada pertence ao Grupo I – fardamento, Subgrupo Vestuário e grau de complexidade médio.</w:t>
      </w:r>
    </w:p>
    <w:p>
      <w:pPr>
        <w:pStyle w:val="Normal"/>
        <w:spacing w:lineRule="auto" w:line="276" w:before="0" w:after="200"/>
        <w:ind w:left="1418"/>
        <w:jc w:val="both"/>
        <w:rPr>
          <w:rFonts w:ascii="Arial" w:hAnsi="Arial" w:eastAsia="Arial" w:cs="Arial"/>
          <w:sz w:val="22"/>
          <w:szCs w:val="22"/>
          <w:lang w:eastAsia="en-US"/>
        </w:rPr>
      </w:pPr>
      <w:r>
        <w:rPr>
          <w:rFonts w:eastAsia="Arial" w:cs="Arial" w:ascii="Arial" w:hAnsi="Arial"/>
          <w:sz w:val="22"/>
          <w:szCs w:val="22"/>
          <w:lang w:eastAsia="en-US"/>
        </w:rPr>
        <w:t>Logo, um atestado de:</w:t>
      </w:r>
    </w:p>
    <w:p>
      <w:pPr>
        <w:pStyle w:val="Normal"/>
        <w:spacing w:lineRule="auto" w:line="276" w:before="0" w:after="200"/>
        <w:ind w:left="1418"/>
        <w:jc w:val="both"/>
        <w:rPr>
          <w:rFonts w:ascii="Arial" w:hAnsi="Arial" w:eastAsia="Arial" w:cs="Arial"/>
          <w:sz w:val="22"/>
          <w:szCs w:val="22"/>
          <w:lang w:eastAsia="en-US"/>
        </w:rPr>
      </w:pPr>
      <w:r>
        <w:rPr>
          <w:rFonts w:eastAsia="Arial" w:cs="Arial" w:ascii="Arial" w:hAnsi="Arial"/>
          <w:b/>
          <w:sz w:val="22"/>
          <w:szCs w:val="22"/>
          <w:lang w:eastAsia="en-US"/>
        </w:rPr>
        <w:t>- Macacão</w:t>
      </w:r>
      <w:r>
        <w:rPr>
          <w:rFonts w:eastAsia="Arial" w:cs="Arial" w:ascii="Arial" w:hAnsi="Arial"/>
          <w:sz w:val="22"/>
          <w:szCs w:val="22"/>
          <w:lang w:eastAsia="en-US"/>
        </w:rPr>
        <w:t xml:space="preserve"> pode ser aceito, pois é do mesmo subgrupo (vestuário) e possui grau de complexidade alto, que é superior a do objeto licitado (médio).</w:t>
      </w:r>
    </w:p>
    <w:p>
      <w:pPr>
        <w:pStyle w:val="Normal"/>
        <w:spacing w:lineRule="auto" w:line="276" w:before="0" w:after="200"/>
        <w:ind w:left="1418"/>
        <w:jc w:val="both"/>
        <w:rPr>
          <w:rFonts w:ascii="Arial" w:hAnsi="Arial" w:eastAsia="Arial" w:cs="Arial"/>
          <w:sz w:val="22"/>
          <w:szCs w:val="22"/>
          <w:lang w:eastAsia="en-US"/>
        </w:rPr>
      </w:pPr>
      <w:r>
        <w:rPr>
          <w:rFonts w:eastAsia="Arial" w:cs="Arial" w:ascii="Arial" w:hAnsi="Arial"/>
          <w:b/>
          <w:sz w:val="22"/>
          <w:szCs w:val="22"/>
          <w:lang w:eastAsia="en-US"/>
        </w:rPr>
        <w:t>- Blusa</w:t>
      </w:r>
      <w:r>
        <w:rPr>
          <w:rFonts w:eastAsia="Arial" w:cs="Arial" w:ascii="Arial" w:hAnsi="Arial"/>
          <w:sz w:val="22"/>
          <w:szCs w:val="22"/>
          <w:lang w:eastAsia="en-US"/>
        </w:rPr>
        <w:t xml:space="preserve"> pode ser aceito, pois é do mesmo subgrupo (vestuário) e possui grau de complexidade médio, que é igual a do objeto licitado (médio).</w:t>
      </w:r>
    </w:p>
    <w:p>
      <w:pPr>
        <w:pStyle w:val="Normal"/>
        <w:spacing w:lineRule="auto" w:line="276" w:before="0" w:after="200"/>
        <w:ind w:left="1418"/>
        <w:jc w:val="both"/>
        <w:rPr>
          <w:rFonts w:ascii="Arial" w:hAnsi="Arial" w:eastAsia="Arial" w:cs="Arial"/>
          <w:sz w:val="22"/>
          <w:szCs w:val="22"/>
          <w:lang w:eastAsia="en-US"/>
        </w:rPr>
      </w:pPr>
      <w:r>
        <w:rPr>
          <w:rFonts w:eastAsia="Arial" w:cs="Arial" w:ascii="Arial" w:hAnsi="Arial"/>
          <w:sz w:val="22"/>
          <w:szCs w:val="22"/>
          <w:lang w:eastAsia="en-US"/>
        </w:rPr>
        <w:t xml:space="preserve">- </w:t>
      </w:r>
      <w:r>
        <w:rPr>
          <w:rFonts w:eastAsia="Arial" w:cs="Arial" w:ascii="Arial" w:hAnsi="Arial"/>
          <w:b/>
          <w:sz w:val="22"/>
          <w:szCs w:val="22"/>
          <w:lang w:eastAsia="en-US"/>
        </w:rPr>
        <w:t>Meia</w:t>
      </w:r>
      <w:r>
        <w:rPr>
          <w:rFonts w:eastAsia="Arial" w:cs="Arial" w:ascii="Arial" w:hAnsi="Arial"/>
          <w:sz w:val="22"/>
          <w:szCs w:val="22"/>
          <w:lang w:eastAsia="en-US"/>
        </w:rPr>
        <w:t xml:space="preserve"> não pode ser aceito, pois, embora seja do mesmo subgrupo (vestuário), possui grau de complexidade baixo, que é inferior a do objeto licitado (médio).</w:t>
      </w:r>
    </w:p>
    <w:p>
      <w:pPr>
        <w:pStyle w:val="Normal"/>
        <w:spacing w:lineRule="auto" w:line="276" w:before="0" w:after="200"/>
        <w:ind w:left="1418"/>
        <w:jc w:val="both"/>
        <w:rPr>
          <w:rFonts w:ascii="Arial" w:hAnsi="Arial" w:eastAsia="Arial" w:cs="Arial"/>
          <w:sz w:val="22"/>
          <w:szCs w:val="22"/>
          <w:lang w:eastAsia="en-US"/>
        </w:rPr>
      </w:pPr>
      <w:r>
        <w:rPr>
          <w:rFonts w:eastAsia="Arial" w:cs="Arial" w:ascii="Arial" w:hAnsi="Arial"/>
          <w:sz w:val="22"/>
          <w:szCs w:val="22"/>
          <w:lang w:eastAsia="en-US"/>
        </w:rPr>
        <w:t xml:space="preserve">- </w:t>
      </w:r>
      <w:r>
        <w:rPr>
          <w:rFonts w:eastAsia="Arial" w:cs="Arial" w:ascii="Arial" w:hAnsi="Arial"/>
          <w:b/>
          <w:sz w:val="22"/>
          <w:szCs w:val="22"/>
          <w:lang w:eastAsia="en-US"/>
        </w:rPr>
        <w:t>Boina</w:t>
      </w:r>
      <w:r>
        <w:rPr>
          <w:rFonts w:eastAsia="Arial" w:cs="Arial" w:ascii="Arial" w:hAnsi="Arial"/>
          <w:sz w:val="22"/>
          <w:szCs w:val="22"/>
          <w:lang w:eastAsia="en-US"/>
        </w:rPr>
        <w:t xml:space="preserve"> não pode ser aceito, pois é do subgrupo cobertura, diferente do subgrupo do objeto licitado (vestuário).</w:t>
      </w:r>
    </w:p>
    <w:p>
      <w:pPr>
        <w:pStyle w:val="Normal"/>
        <w:spacing w:lineRule="auto" w:line="276" w:before="0" w:after="200"/>
        <w:jc w:val="both"/>
        <w:rPr>
          <w:rFonts w:ascii="Arial" w:hAnsi="Arial" w:eastAsia="Arial" w:cs="Arial"/>
          <w:sz w:val="22"/>
          <w:szCs w:val="22"/>
          <w:lang w:eastAsia="en-US"/>
        </w:rPr>
      </w:pPr>
      <w:r>
        <w:rPr>
          <w:rFonts w:eastAsia="Arial" w:cs="Arial" w:ascii="Arial" w:hAnsi="Arial"/>
          <w:sz w:val="22"/>
          <w:szCs w:val="22"/>
          <w:lang w:eastAsia="en-US"/>
        </w:rPr>
        <w:t>2.</w:t>
        <w:tab/>
        <w:t xml:space="preserve">Para os subgrupos </w:t>
      </w:r>
      <w:r>
        <w:rPr>
          <w:rFonts w:eastAsia="Calibri" w:cs="Arial" w:ascii="Arial" w:hAnsi="Arial"/>
          <w:sz w:val="22"/>
          <w:szCs w:val="22"/>
          <w:lang w:eastAsia="en-US"/>
        </w:rPr>
        <w:t xml:space="preserve">EQUIPAMENTOS TÁTICOS INDIVIDUAIS NÃO BALÍSTICOS, EQUIPAMENTOS TÁTICOS INDIVIDUAIS BALÍSTICOS e ÓCULOS TÁTICOS do </w:t>
      </w:r>
      <w:r>
        <w:rPr>
          <w:rFonts w:eastAsia="Arial" w:cs="Arial" w:ascii="Arial" w:hAnsi="Arial"/>
          <w:sz w:val="22"/>
          <w:szCs w:val="22"/>
          <w:lang w:eastAsia="en-US"/>
        </w:rPr>
        <w:t xml:space="preserve">Grupo II – EQUIPAMENTOS, só serão aceitos como compatíveis em características itens táticos / operacionais ou esportivos, </w:t>
      </w:r>
      <w:r>
        <w:rPr>
          <w:rFonts w:eastAsia="Arial" w:cs="Arial" w:ascii="Arial" w:hAnsi="Arial"/>
          <w:b/>
          <w:sz w:val="22"/>
          <w:szCs w:val="22"/>
          <w:lang w:eastAsia="en-US"/>
        </w:rPr>
        <w:t>não sendo aceitos itens administrativos ou de uso comum</w:t>
      </w:r>
      <w:r>
        <w:rPr>
          <w:rFonts w:eastAsia="Arial" w:cs="Arial" w:ascii="Arial" w:hAnsi="Arial"/>
          <w:sz w:val="22"/>
          <w:szCs w:val="22"/>
          <w:lang w:eastAsia="en-US"/>
        </w:rPr>
        <w:t>.</w:t>
      </w:r>
    </w:p>
    <w:p>
      <w:pPr>
        <w:pStyle w:val="Normal"/>
        <w:spacing w:lineRule="auto" w:line="276" w:before="0" w:after="200"/>
        <w:jc w:val="both"/>
        <w:rPr>
          <w:rFonts w:ascii="Arial" w:hAnsi="Arial" w:eastAsia="Arial" w:cs="Arial"/>
          <w:sz w:val="22"/>
          <w:szCs w:val="22"/>
          <w:lang w:eastAsia="en-US"/>
        </w:rPr>
      </w:pPr>
      <w:r>
        <w:rPr>
          <w:rFonts w:eastAsia="Arial" w:cs="Arial" w:ascii="Arial" w:hAnsi="Arial"/>
          <w:sz w:val="22"/>
          <w:szCs w:val="22"/>
          <w:lang w:eastAsia="en-US"/>
        </w:rPr>
        <w:t>3.</w:t>
        <w:tab/>
        <w:t>A seguir se encontram as tabelas de compatibilidade em características dos grupos Fardamentos, Equipamentos e Alojamento.</w:t>
      </w:r>
    </w:p>
    <w:p>
      <w:pPr>
        <w:pStyle w:val="Normal"/>
        <w:spacing w:lineRule="auto" w:line="276" w:before="0" w:after="200"/>
        <w:jc w:val="both"/>
        <w:rPr>
          <w:rFonts w:ascii="Arial" w:hAnsi="Arial" w:eastAsia="Arial" w:cs="Arial"/>
          <w:sz w:val="22"/>
          <w:szCs w:val="22"/>
          <w:lang w:eastAsia="en-US"/>
        </w:rPr>
      </w:pPr>
      <w:r>
        <w:rPr>
          <w:rFonts w:eastAsia="Arial" w:cs="Arial" w:ascii="Arial" w:hAnsi="Arial"/>
          <w:sz w:val="22"/>
          <w:szCs w:val="22"/>
          <w:lang w:eastAsia="en-US"/>
        </w:rPr>
        <w:t>3.1</w:t>
        <w:tab/>
        <w:t>Destaca-se que as tabelas apresentadas a seguir constituem um rol exemplificativo e não taxativo. Bens que não se encontram listados em determinado subgrupo poderão ser considerados compatíveis em características com o item licitado desde que sejam confeccionados em processos produtivos semelhantes e possuam grau de complexidade similar ou superior ao objeto licitado. Tais situações serão avaliadas pela Equipe de Apoio da licitação, podendo ser subsidiada pela Divisão Técnica da C Sup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Tabela 1 – Compatibilidade em características do Grupo I – Fardamentos.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tbl>
      <w:tblPr>
        <w:tblStyle w:val="Tabelacomgrade4"/>
        <w:tblW w:w="4800" w:type="pct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58"/>
        <w:gridCol w:w="7149"/>
      </w:tblGrid>
      <w:tr>
        <w:trPr>
          <w:tblHeader w:val="true"/>
        </w:trPr>
        <w:tc>
          <w:tcPr>
            <w:tcW w:w="1558" w:type="dxa"/>
            <w:tcBorders/>
            <w:shd w:color="auto" w:fill="000000" w:themeFill="text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GRUPO</w:t>
            </w:r>
          </w:p>
        </w:tc>
        <w:tc>
          <w:tcPr>
            <w:tcW w:w="7149" w:type="dxa"/>
            <w:tcBorders/>
            <w:shd w:color="auto" w:fill="000000" w:themeFill="text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 - FARDAMENTOS</w:t>
            </w:r>
          </w:p>
        </w:tc>
      </w:tr>
      <w:tr>
        <w:trPr>
          <w:tblHeader w:val="true"/>
        </w:trPr>
        <w:tc>
          <w:tcPr>
            <w:tcW w:w="155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SUBGRUPO 1</w:t>
            </w:r>
          </w:p>
        </w:tc>
        <w:tc>
          <w:tcPr>
            <w:tcW w:w="714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VESTUÁRIO</w:t>
            </w:r>
          </w:p>
        </w:tc>
      </w:tr>
      <w:tr>
        <w:trPr>
          <w:tblHeader w:val="true"/>
        </w:trPr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Grau de Complexidade</w:t>
            </w:r>
          </w:p>
        </w:tc>
        <w:tc>
          <w:tcPr>
            <w:tcW w:w="714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Itens Compatíveis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Alto</w:t>
            </w:r>
          </w:p>
        </w:tc>
        <w:tc>
          <w:tcPr>
            <w:tcW w:w="71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Blazer, blusa de combate (gandola), blusa de combate leve (gandoleta), casaco,</w:t>
            </w:r>
            <w:r>
              <w:rPr>
                <w:rFonts w:eastAsia="Calibri" w:ascii="Calibri" w:hAnsi="Calibri"/>
                <w:i/>
                <w:sz w:val="22"/>
                <w:szCs w:val="22"/>
                <w:lang w:val="pt-BR" w:eastAsia="en-US" w:bidi="ar-SA"/>
              </w:rPr>
              <w:t xml:space="preserve"> combat shirt</w:t>
            </w: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, conjunto operacional (blusa e calça), japona, jaqueta, macacão, terno, túnica e vestido.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Médio</w:t>
            </w:r>
          </w:p>
        </w:tc>
        <w:tc>
          <w:tcPr>
            <w:tcW w:w="71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Agasalho, bermuda, blusa, calça, calção para atividade física, camisa, camiseta, ceroula, conjunto ou peças individuais do tipo 2° pele, jaleco, moleton, saia, short, suéter e véstia.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Baixo</w:t>
            </w:r>
          </w:p>
        </w:tc>
        <w:tc>
          <w:tcPr>
            <w:tcW w:w="71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Avental, braçal, cachecol, calção de banho, capuz, cinto, gravata, luva, maiô, meia, roupas de baixo, sunga e top.</w:t>
            </w:r>
          </w:p>
        </w:tc>
      </w:tr>
    </w:tbl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tbl>
      <w:tblPr>
        <w:tblStyle w:val="Tabelacomgrade4"/>
        <w:tblW w:w="4800" w:type="pct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60"/>
        <w:gridCol w:w="6447"/>
      </w:tblGrid>
      <w:tr>
        <w:trPr>
          <w:tblHeader w:val="true"/>
        </w:trPr>
        <w:tc>
          <w:tcPr>
            <w:tcW w:w="226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SUBGRUPO 2</w:t>
            </w:r>
          </w:p>
        </w:tc>
        <w:tc>
          <w:tcPr>
            <w:tcW w:w="644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COBERTURA</w:t>
            </w:r>
          </w:p>
        </w:tc>
      </w:tr>
      <w:tr>
        <w:trPr>
          <w:tblHeader w:val="true"/>
        </w:trPr>
        <w:tc>
          <w:tcPr>
            <w:tcW w:w="22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Grau de Complexidade</w:t>
            </w:r>
          </w:p>
        </w:tc>
        <w:tc>
          <w:tcPr>
            <w:tcW w:w="644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Itens Compatíveis</w:t>
            </w:r>
          </w:p>
        </w:tc>
      </w:tr>
      <w:tr>
        <w:trPr/>
        <w:tc>
          <w:tcPr>
            <w:tcW w:w="22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Único</w:t>
            </w:r>
          </w:p>
        </w:tc>
        <w:tc>
          <w:tcPr>
            <w:tcW w:w="64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Boina, boné, chapéu, gorro e quepe.</w:t>
            </w:r>
          </w:p>
        </w:tc>
      </w:tr>
      <w:tr>
        <w:trPr/>
        <w:tc>
          <w:tcPr>
            <w:tcW w:w="226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SUBGRUPO 3</w:t>
            </w:r>
          </w:p>
        </w:tc>
        <w:tc>
          <w:tcPr>
            <w:tcW w:w="644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DISTINTIVOS E INSÍGNIAS</w:t>
            </w:r>
          </w:p>
        </w:tc>
      </w:tr>
      <w:tr>
        <w:trPr/>
        <w:tc>
          <w:tcPr>
            <w:tcW w:w="22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Grau de Complexidade</w:t>
            </w:r>
          </w:p>
        </w:tc>
        <w:tc>
          <w:tcPr>
            <w:tcW w:w="644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Itens Compatíveis</w:t>
            </w:r>
          </w:p>
        </w:tc>
      </w:tr>
      <w:tr>
        <w:trPr/>
        <w:tc>
          <w:tcPr>
            <w:tcW w:w="22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  <w:bCs/>
              </w:rPr>
            </w:pPr>
            <w:r>
              <w:rPr>
                <w:rFonts w:eastAsia="Calibri" w:ascii="Calibri" w:hAnsi="Calibri"/>
                <w:bCs/>
                <w:sz w:val="22"/>
                <w:szCs w:val="22"/>
                <w:lang w:val="pt-BR" w:eastAsia="en-US" w:bidi="ar-SA"/>
              </w:rPr>
              <w:t>3.1 Metálicos</w:t>
            </w:r>
          </w:p>
        </w:tc>
        <w:tc>
          <w:tcPr>
            <w:tcW w:w="64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Distintivo, fivela e insígnia (todos metálicos).</w:t>
            </w:r>
          </w:p>
        </w:tc>
      </w:tr>
      <w:tr>
        <w:trPr/>
        <w:tc>
          <w:tcPr>
            <w:tcW w:w="22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pt-BR" w:bidi="ar-SA"/>
              </w:rPr>
            </w:pPr>
            <w:r>
              <w:rPr>
                <w:rFonts w:eastAsia="Calibri" w:ascii="Calibri" w:hAnsi="Calibri"/>
                <w:bCs/>
                <w:sz w:val="22"/>
                <w:szCs w:val="22"/>
                <w:lang w:val="pt-BR" w:eastAsia="en-US" w:bidi="ar-SA"/>
              </w:rPr>
              <w:t>3.2 Emborrachados e têxteis</w:t>
            </w:r>
          </w:p>
        </w:tc>
        <w:tc>
          <w:tcPr>
            <w:tcW w:w="64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Bandeira, braçal e insígnia (todos bordados ou emborrachados).</w:t>
            </w:r>
          </w:p>
        </w:tc>
      </w:tr>
      <w:tr>
        <w:trPr/>
        <w:tc>
          <w:tcPr>
            <w:tcW w:w="226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SUBGRUPO 4</w:t>
            </w:r>
          </w:p>
        </w:tc>
        <w:tc>
          <w:tcPr>
            <w:tcW w:w="644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CAMA, MESA E BANHO</w:t>
            </w:r>
          </w:p>
        </w:tc>
      </w:tr>
      <w:tr>
        <w:trPr/>
        <w:tc>
          <w:tcPr>
            <w:tcW w:w="22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Grau de Complexidade</w:t>
            </w:r>
          </w:p>
        </w:tc>
        <w:tc>
          <w:tcPr>
            <w:tcW w:w="644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Itens Compatíveis</w:t>
            </w:r>
          </w:p>
        </w:tc>
      </w:tr>
      <w:tr>
        <w:trPr/>
        <w:tc>
          <w:tcPr>
            <w:tcW w:w="22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Único</w:t>
            </w:r>
          </w:p>
        </w:tc>
        <w:tc>
          <w:tcPr>
            <w:tcW w:w="64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 xml:space="preserve">Toalha, manta, lençol, fronha, </w:t>
            </w:r>
            <w:r>
              <w:rPr>
                <w:rFonts w:eastAsia="Calibri" w:ascii="Calibri" w:hAnsi="Calibri"/>
                <w:i/>
                <w:sz w:val="22"/>
                <w:szCs w:val="22"/>
                <w:lang w:val="pt-BR" w:eastAsia="en-US" w:bidi="ar-SA"/>
              </w:rPr>
              <w:t>edredon</w:t>
            </w: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, colcha e cobertor.</w:t>
            </w:r>
          </w:p>
        </w:tc>
      </w:tr>
      <w:tr>
        <w:trPr/>
        <w:tc>
          <w:tcPr>
            <w:tcW w:w="226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SUBGRUPO 5</w:t>
            </w:r>
          </w:p>
        </w:tc>
        <w:tc>
          <w:tcPr>
            <w:tcW w:w="644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CALÇADOS</w:t>
            </w:r>
          </w:p>
        </w:tc>
      </w:tr>
      <w:tr>
        <w:trPr/>
        <w:tc>
          <w:tcPr>
            <w:tcW w:w="22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Grau de Complexidade</w:t>
            </w:r>
          </w:p>
        </w:tc>
        <w:tc>
          <w:tcPr>
            <w:tcW w:w="644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Itens Compatíveis</w:t>
            </w:r>
          </w:p>
        </w:tc>
      </w:tr>
      <w:tr>
        <w:trPr/>
        <w:tc>
          <w:tcPr>
            <w:tcW w:w="22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Alto</w:t>
            </w:r>
          </w:p>
        </w:tc>
        <w:tc>
          <w:tcPr>
            <w:tcW w:w="64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Bota e coturno.</w:t>
            </w:r>
          </w:p>
        </w:tc>
      </w:tr>
      <w:tr>
        <w:trPr/>
        <w:tc>
          <w:tcPr>
            <w:tcW w:w="22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Médio</w:t>
            </w:r>
          </w:p>
        </w:tc>
        <w:tc>
          <w:tcPr>
            <w:tcW w:w="64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Botina, sapato e tênis.</w:t>
            </w:r>
          </w:p>
        </w:tc>
      </w:tr>
      <w:tr>
        <w:trPr/>
        <w:tc>
          <w:tcPr>
            <w:tcW w:w="22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Baixo</w:t>
            </w:r>
          </w:p>
        </w:tc>
        <w:tc>
          <w:tcPr>
            <w:tcW w:w="644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Chinelo e sandália.</w:t>
            </w:r>
          </w:p>
        </w:tc>
      </w:tr>
    </w:tbl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jc w:val="center"/>
        <w:rPr>
          <w:rFonts w:ascii="Arial" w:hAnsi="Arial" w:eastAsia="Arial" w:cs="Arial"/>
          <w:shd w:fill="01FD55" w:val="clear"/>
        </w:rPr>
      </w:pPr>
      <w:r>
        <w:rPr>
          <w:rFonts w:eastAsia="Arial" w:cs="Arial" w:ascii="Arial" w:hAnsi="Arial"/>
          <w:shd w:fill="01FD55" w:val="clear"/>
        </w:rPr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Tabela 2 – Compatibilidade em características do Grupo II – Equipamentos.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tbl>
      <w:tblPr>
        <w:tblStyle w:val="Tabelacomgrade5"/>
        <w:tblW w:w="4800" w:type="pct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58"/>
        <w:gridCol w:w="7149"/>
      </w:tblGrid>
      <w:tr>
        <w:trPr>
          <w:tblHeader w:val="true"/>
        </w:trPr>
        <w:tc>
          <w:tcPr>
            <w:tcW w:w="1558" w:type="dxa"/>
            <w:tcBorders/>
            <w:shd w:color="auto" w:fill="000000" w:themeFill="text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GRUPO</w:t>
            </w:r>
          </w:p>
        </w:tc>
        <w:tc>
          <w:tcPr>
            <w:tcW w:w="7149" w:type="dxa"/>
            <w:tcBorders/>
            <w:shd w:color="auto" w:fill="000000" w:themeFill="text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II - EQUIPAMENTOS</w:t>
            </w:r>
          </w:p>
        </w:tc>
      </w:tr>
      <w:tr>
        <w:trPr/>
        <w:tc>
          <w:tcPr>
            <w:tcW w:w="155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SUBGRUPO 1</w:t>
            </w:r>
          </w:p>
        </w:tc>
        <w:tc>
          <w:tcPr>
            <w:tcW w:w="714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EQUIPAMENTOS TÁTICOS INDIVIDUAIS NÃO BALÍSTICOS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Grau de Complexidade</w:t>
            </w:r>
          </w:p>
        </w:tc>
        <w:tc>
          <w:tcPr>
            <w:tcW w:w="714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Itens Compatíveis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Alto</w:t>
            </w:r>
          </w:p>
        </w:tc>
        <w:tc>
          <w:tcPr>
            <w:tcW w:w="71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i/>
                <w:sz w:val="22"/>
                <w:szCs w:val="22"/>
                <w:lang w:val="pt-BR" w:eastAsia="en-US" w:bidi="ar-SA"/>
              </w:rPr>
              <w:t>Chest rig</w:t>
            </w: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, colete (capa), colete de munição química, colete tático, traje GLO (completo).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Médio</w:t>
            </w:r>
          </w:p>
        </w:tc>
        <w:tc>
          <w:tcPr>
            <w:tcW w:w="71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Mochila, partes de proteção individual para GLO (capacete, colete, membros, luva e escudo), rede de dormir tática, rede de selva e saco de dormir.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Baixo</w:t>
            </w:r>
          </w:p>
        </w:tc>
        <w:tc>
          <w:tcPr>
            <w:tcW w:w="71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Bolsa de hidratação (camelback), bolsa, bornal, cassetete, cinto tático ou de campanha, coifa (cobertura para capacete), coldre, cotoveleira tática, estojo tático (cantil e caneco, carregador, munição, primeiros-socorros, pá, marmita e talher etc.), fiel, joelheira tática, luva tática, poncho, porta utensílios (munição, carregador, torniquete, lanterna, utensílios, primeiros-socorros etc.), saco de descarte, saco e suspensório.</w:t>
            </w:r>
          </w:p>
        </w:tc>
      </w:tr>
      <w:tr>
        <w:trPr/>
        <w:tc>
          <w:tcPr>
            <w:tcW w:w="155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SUBGRUPO 2</w:t>
            </w:r>
          </w:p>
        </w:tc>
        <w:tc>
          <w:tcPr>
            <w:tcW w:w="714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EQUIPAMENTOS TÁTICOS INDIVIDUAIS BALÍSTICOS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Grau de Complexidade</w:t>
            </w:r>
          </w:p>
        </w:tc>
        <w:tc>
          <w:tcPr>
            <w:tcW w:w="714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Itens Compatíveis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Único</w:t>
            </w:r>
          </w:p>
        </w:tc>
        <w:tc>
          <w:tcPr>
            <w:tcW w:w="71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Capacete balístico, colete balístico, escudo balístico, placas balísticas e vestimentas balísticas.</w:t>
            </w:r>
          </w:p>
        </w:tc>
      </w:tr>
      <w:tr>
        <w:trPr/>
        <w:tc>
          <w:tcPr>
            <w:tcW w:w="155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SUBGRUPO 3</w:t>
            </w:r>
          </w:p>
        </w:tc>
        <w:tc>
          <w:tcPr>
            <w:tcW w:w="714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ÓCULOS TÁTICOS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Grau de Complexidade</w:t>
            </w:r>
          </w:p>
        </w:tc>
        <w:tc>
          <w:tcPr>
            <w:tcW w:w="714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Itens Compatíveis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Único</w:t>
            </w:r>
          </w:p>
        </w:tc>
        <w:tc>
          <w:tcPr>
            <w:tcW w:w="71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Lentes, óculos e viseiras.</w:t>
            </w:r>
          </w:p>
        </w:tc>
      </w:tr>
      <w:tr>
        <w:trPr/>
        <w:tc>
          <w:tcPr>
            <w:tcW w:w="155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SUBGRUPO 4</w:t>
            </w:r>
          </w:p>
        </w:tc>
        <w:tc>
          <w:tcPr>
            <w:tcW w:w="714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LANTERNA TÁTICA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Grau de Complexidade</w:t>
            </w:r>
          </w:p>
        </w:tc>
        <w:tc>
          <w:tcPr>
            <w:tcW w:w="714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Itens Compatíveis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Único</w:t>
            </w:r>
          </w:p>
        </w:tc>
        <w:tc>
          <w:tcPr>
            <w:tcW w:w="71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Lanterna.</w:t>
            </w:r>
          </w:p>
        </w:tc>
      </w:tr>
    </w:tbl>
    <w:p>
      <w:pPr>
        <w:pStyle w:val="Normal"/>
        <w:widowControl w:val="false"/>
        <w:jc w:val="center"/>
        <w:rPr>
          <w:rFonts w:ascii="Arial" w:hAnsi="Arial" w:eastAsia="Arial" w:cs="Arial"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p>
      <w:pPr>
        <w:pStyle w:val="Normal"/>
        <w:widowControl w:val="false"/>
        <w:jc w:val="center"/>
        <w:rPr>
          <w:rFonts w:ascii="Arial" w:hAnsi="Arial" w:eastAsia="Arial" w:cs="Arial"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</w:r>
    </w:p>
    <w:tbl>
      <w:tblPr>
        <w:tblStyle w:val="Tabelacomgrade5"/>
        <w:tblW w:w="4800" w:type="pct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58"/>
        <w:gridCol w:w="7149"/>
      </w:tblGrid>
      <w:tr>
        <w:trPr>
          <w:tblHeader w:val="true"/>
        </w:trPr>
        <w:tc>
          <w:tcPr>
            <w:tcW w:w="155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SUBGRUPO 5</w:t>
            </w:r>
          </w:p>
        </w:tc>
        <w:tc>
          <w:tcPr>
            <w:tcW w:w="714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MATERIAL DE ACAMPAMENTO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Grau de Complexidade</w:t>
            </w:r>
          </w:p>
        </w:tc>
        <w:tc>
          <w:tcPr>
            <w:tcW w:w="714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Itens Compatíveis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Alto</w:t>
            </w:r>
          </w:p>
        </w:tc>
        <w:tc>
          <w:tcPr>
            <w:tcW w:w="71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Barraca coletiva, tenda e toldo.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Médio</w:t>
            </w:r>
          </w:p>
        </w:tc>
        <w:tc>
          <w:tcPr>
            <w:tcW w:w="71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Barraca individual, cama de campanha, maca, marmita térmica para alimentos do tipo termobox, rede de dormir tática, rede de selva, reservatório flexível de água, saco de dormir e saco lister.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Baixo</w:t>
            </w:r>
          </w:p>
        </w:tc>
        <w:tc>
          <w:tcPr>
            <w:tcW w:w="71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Caneco, cantil, garrafa, marmita individual, mosquiteiro, pá e talher.</w:t>
            </w:r>
          </w:p>
        </w:tc>
      </w:tr>
    </w:tbl>
    <w:p>
      <w:pPr>
        <w:pStyle w:val="Normal"/>
        <w:widowControl w:val="false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widowControl w:val="false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jc w:val="center"/>
        <w:rPr/>
      </w:pPr>
      <w:r>
        <w:rPr>
          <w:rFonts w:eastAsia="Arial" w:cs="Arial" w:ascii="Arial" w:hAnsi="Arial"/>
        </w:rPr>
        <w:t>Tabela 3 – Compatibilidade em características do Grupo III – Alojamento.</w:t>
      </w:r>
    </w:p>
    <w:p>
      <w:pPr>
        <w:pStyle w:val="Normal"/>
        <w:widowControl w:val="false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tbl>
      <w:tblPr>
        <w:tblStyle w:val="Tabelacomgrade6"/>
        <w:tblW w:w="4800" w:type="pct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58"/>
        <w:gridCol w:w="7149"/>
      </w:tblGrid>
      <w:tr>
        <w:trPr>
          <w:tblHeader w:val="true"/>
        </w:trPr>
        <w:tc>
          <w:tcPr>
            <w:tcW w:w="1558" w:type="dxa"/>
            <w:tcBorders/>
            <w:shd w:color="auto" w:fill="000000" w:themeFill="text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GRUPO</w:t>
            </w:r>
          </w:p>
        </w:tc>
        <w:tc>
          <w:tcPr>
            <w:tcW w:w="7149" w:type="dxa"/>
            <w:tcBorders/>
            <w:shd w:color="auto" w:fill="000000" w:themeFill="text1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III - ALOJAMENTO</w:t>
            </w:r>
          </w:p>
        </w:tc>
      </w:tr>
      <w:tr>
        <w:trPr>
          <w:tblHeader w:val="true"/>
        </w:trPr>
        <w:tc>
          <w:tcPr>
            <w:tcW w:w="155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SUBGRUPO 1</w:t>
            </w:r>
          </w:p>
        </w:tc>
        <w:tc>
          <w:tcPr>
            <w:tcW w:w="714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MOBILIÁRIO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Grau de Complexidade</w:t>
            </w:r>
          </w:p>
        </w:tc>
        <w:tc>
          <w:tcPr>
            <w:tcW w:w="714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Itens Compatíveis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Único</w:t>
            </w:r>
          </w:p>
        </w:tc>
        <w:tc>
          <w:tcPr>
            <w:tcW w:w="71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Armário, cama (exceto cama de campanha ou maca), mobílias.</w:t>
            </w:r>
          </w:p>
        </w:tc>
      </w:tr>
      <w:tr>
        <w:trPr/>
        <w:tc>
          <w:tcPr>
            <w:tcW w:w="155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SUBGRUPO 2</w:t>
            </w:r>
          </w:p>
        </w:tc>
        <w:tc>
          <w:tcPr>
            <w:tcW w:w="714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COLCHÃO E TRAVESSEIRO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Grau de Complexidade</w:t>
            </w:r>
          </w:p>
        </w:tc>
        <w:tc>
          <w:tcPr>
            <w:tcW w:w="714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</w:rPr>
            </w:pPr>
            <w:r>
              <w:rPr>
                <w:rFonts w:eastAsia="Calibri" w:ascii="Calibri" w:hAnsi="Calibri"/>
                <w:b/>
                <w:sz w:val="22"/>
                <w:szCs w:val="22"/>
                <w:lang w:val="pt-BR" w:eastAsia="en-US" w:bidi="ar-SA"/>
              </w:rPr>
              <w:t>Itens Compatíveis</w:t>
            </w:r>
          </w:p>
        </w:tc>
      </w:tr>
      <w:tr>
        <w:trPr/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Único</w:t>
            </w:r>
          </w:p>
        </w:tc>
        <w:tc>
          <w:tcPr>
            <w:tcW w:w="714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Calibri" w:hAnsi="Calibri" w:eastAsia="Calibri"/>
              </w:rPr>
            </w:pPr>
            <w:r>
              <w:rPr>
                <w:rFonts w:eastAsia="Calibri" w:ascii="Calibri" w:hAnsi="Calibri"/>
                <w:sz w:val="22"/>
                <w:szCs w:val="22"/>
                <w:lang w:val="pt-BR" w:eastAsia="en-US" w:bidi="ar-SA"/>
              </w:rPr>
              <w:t>Colchão ou travesseiro.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1134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  <w:font w:name="Calibri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44e1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t-BR" w:val="pt-BR" w:bidi="ar-SA"/>
      <w14:ligatures w14:val="none"/>
    </w:rPr>
  </w:style>
  <w:style w:type="paragraph" w:styleId="Heading1">
    <w:name w:val="heading 1"/>
    <w:basedOn w:val="Normal"/>
    <w:next w:val="Normal"/>
    <w:link w:val="Ttulo1Char"/>
    <w:uiPriority w:val="9"/>
    <w:qFormat/>
    <w:rsid w:val="00844e1d"/>
    <w:pPr>
      <w:keepNext w:val="true"/>
      <w:keepLines/>
      <w:suppressAutoHyphens w:val="false"/>
      <w:spacing w:lineRule="auto" w:line="259"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844e1d"/>
    <w:pPr>
      <w:keepNext w:val="true"/>
      <w:keepLines/>
      <w:suppressAutoHyphens w:val="false"/>
      <w:spacing w:lineRule="auto" w:line="259"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844e1d"/>
    <w:pPr>
      <w:keepNext w:val="true"/>
      <w:keepLines/>
      <w:suppressAutoHyphens w:val="false"/>
      <w:spacing w:lineRule="auto" w:line="259" w:before="160" w:after="80"/>
      <w:outlineLvl w:val="2"/>
    </w:pPr>
    <w:rPr>
      <w:rFonts w:ascii="Aptos" w:hAnsi="Aptos" w:eastAsia="" w:cs="" w:asciiTheme="minorHAnsi" w:cstheme="majorBidi" w:eastAsiaTheme="majorEastAsia" w:hAnsiTheme="minorHAnsi"/>
      <w:color w:themeColor="accent1" w:themeShade="bf" w:val="0F4761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844e1d"/>
    <w:pPr>
      <w:keepNext w:val="true"/>
      <w:keepLines/>
      <w:suppressAutoHyphens w:val="false"/>
      <w:spacing w:lineRule="auto" w:line="259" w:before="80" w:after="40"/>
      <w:outlineLvl w:val="3"/>
    </w:pPr>
    <w:rPr>
      <w:rFonts w:ascii="Aptos" w:hAnsi="Aptos" w:eastAsia="" w:cs="" w:asciiTheme="minorHAnsi" w:cstheme="majorBidi" w:eastAsiaTheme="majorEastAsia" w:hAnsiTheme="minorHAnsi"/>
      <w:i/>
      <w:iCs/>
      <w:color w:themeColor="accent1" w:themeShade="bf" w:val="0F4761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844e1d"/>
    <w:pPr>
      <w:keepNext w:val="true"/>
      <w:keepLines/>
      <w:suppressAutoHyphens w:val="false"/>
      <w:spacing w:lineRule="auto" w:line="259" w:before="80" w:after="40"/>
      <w:outlineLvl w:val="4"/>
    </w:pPr>
    <w:rPr>
      <w:rFonts w:ascii="Aptos" w:hAnsi="Aptos" w:eastAsia="" w:cs="" w:asciiTheme="minorHAnsi" w:cstheme="majorBidi" w:eastAsiaTheme="majorEastAsia" w:hAnsiTheme="minorHAnsi"/>
      <w:color w:themeColor="accent1" w:themeShade="bf" w:val="0F4761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844e1d"/>
    <w:pPr>
      <w:keepNext w:val="true"/>
      <w:keepLines/>
      <w:suppressAutoHyphens w:val="false"/>
      <w:spacing w:lineRule="auto" w:line="259" w:before="40" w:after="0"/>
      <w:outlineLvl w:val="5"/>
    </w:pPr>
    <w:rPr>
      <w:rFonts w:ascii="Aptos" w:hAnsi="Aptos" w:eastAsia="" w:cs="" w:asciiTheme="minorHAnsi" w:cstheme="majorBidi" w:eastAsiaTheme="majorEastAsia" w:hAnsiTheme="minorHAnsi"/>
      <w:i/>
      <w:iCs/>
      <w:color w:themeColor="text1" w:themeTint="a6" w:val="595959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844e1d"/>
    <w:pPr>
      <w:keepNext w:val="true"/>
      <w:keepLines/>
      <w:suppressAutoHyphens w:val="false"/>
      <w:spacing w:lineRule="auto" w:line="259" w:before="40" w:after="0"/>
      <w:outlineLvl w:val="6"/>
    </w:pPr>
    <w:rPr>
      <w:rFonts w:ascii="Aptos" w:hAnsi="Aptos" w:eastAsia="" w:cs="" w:asciiTheme="minorHAnsi" w:cstheme="majorBidi" w:eastAsiaTheme="majorEastAsia" w:hAnsiTheme="minorHAnsi"/>
      <w:color w:themeColor="text1" w:themeTint="a6" w:val="595959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844e1d"/>
    <w:pPr>
      <w:keepNext w:val="true"/>
      <w:keepLines/>
      <w:suppressAutoHyphens w:val="false"/>
      <w:spacing w:lineRule="auto" w:line="259"/>
      <w:outlineLvl w:val="7"/>
    </w:pPr>
    <w:rPr>
      <w:rFonts w:ascii="Aptos" w:hAnsi="Aptos" w:eastAsia="" w:cs="" w:asciiTheme="minorHAnsi" w:cstheme="majorBidi" w:eastAsiaTheme="majorEastAsia" w:hAnsiTheme="minorHAnsi"/>
      <w:i/>
      <w:iCs/>
      <w:color w:themeColor="text1" w:themeTint="d8" w:val="272727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844e1d"/>
    <w:pPr>
      <w:keepNext w:val="true"/>
      <w:keepLines/>
      <w:suppressAutoHyphens w:val="false"/>
      <w:spacing w:lineRule="auto" w:line="259"/>
      <w:outlineLvl w:val="8"/>
    </w:pPr>
    <w:rPr>
      <w:rFonts w:ascii="Aptos" w:hAnsi="Aptos" w:eastAsia="" w:cs="" w:asciiTheme="minorHAnsi" w:cstheme="majorBidi" w:eastAsiaTheme="majorEastAsia" w:hAnsiTheme="minorHAnsi"/>
      <w:color w:themeColor="text1" w:themeTint="d8" w:val="272727"/>
      <w:kern w:val="2"/>
      <w:sz w:val="22"/>
      <w:szCs w:val="22"/>
      <w:lang w:eastAsia="en-US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844e1d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844e1d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844e1d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844e1d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har" w:customStyle="1">
    <w:name w:val="Título 5 Char"/>
    <w:basedOn w:val="DefaultParagraphFont"/>
    <w:uiPriority w:val="9"/>
    <w:semiHidden/>
    <w:qFormat/>
    <w:rsid w:val="00844e1d"/>
    <w:rPr>
      <w:rFonts w:eastAsia="" w:cs="" w:cstheme="majorBidi" w:eastAsiaTheme="majorEastAsia"/>
      <w:color w:themeColor="accent1" w:themeShade="bf" w:val="0F4761"/>
    </w:rPr>
  </w:style>
  <w:style w:type="character" w:styleId="Ttulo6Char" w:customStyle="1">
    <w:name w:val="Título 6 Char"/>
    <w:basedOn w:val="DefaultParagraphFont"/>
    <w:uiPriority w:val="9"/>
    <w:semiHidden/>
    <w:qFormat/>
    <w:rsid w:val="00844e1d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844e1d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844e1d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844e1d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844e1d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844e1d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844e1d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844e1d"/>
    <w:rPr>
      <w:i/>
      <w:iCs/>
      <w:color w:themeColor="accent1" w:themeShade="bf" w:val="0F4761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844e1d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844e1d"/>
    <w:rPr>
      <w:b/>
      <w:bCs/>
      <w:smallCaps/>
      <w:color w:themeColor="accent1" w:themeShade="bf" w:val="0F4761"/>
      <w:spacing w:val="5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link w:val="TtuloChar"/>
    <w:uiPriority w:val="10"/>
    <w:qFormat/>
    <w:rsid w:val="00844e1d"/>
    <w:pPr>
      <w:suppressAutoHyphens w:val="false"/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  <w:lang w:eastAsia="en-US"/>
      <w14:ligatures w14:val="standardContextual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Subtitle">
    <w:name w:val="Subtitle"/>
    <w:basedOn w:val="Normal"/>
    <w:next w:val="Normal"/>
    <w:link w:val="SubttuloChar"/>
    <w:uiPriority w:val="11"/>
    <w:qFormat/>
    <w:rsid w:val="00844e1d"/>
    <w:pPr>
      <w:suppressAutoHyphens w:val="false"/>
      <w:spacing w:lineRule="auto" w:line="259" w:before="0" w:after="160"/>
    </w:pPr>
    <w:rPr>
      <w:rFonts w:ascii="Aptos" w:hAnsi="Aptos" w:eastAsia="" w:cs="" w:asciiTheme="minorHAnsi" w:cstheme="majorBidi" w:eastAsiaTheme="majorEastAsia" w:hAnsiTheme="minorHAnsi"/>
      <w:color w:themeColor="text1" w:themeTint="a6" w:val="595959"/>
      <w:spacing w:val="15"/>
      <w:kern w:val="2"/>
      <w:sz w:val="28"/>
      <w:szCs w:val="28"/>
      <w:lang w:eastAsia="en-US"/>
      <w14:ligatures w14:val="standardContextual"/>
    </w:rPr>
  </w:style>
  <w:style w:type="paragraph" w:styleId="Quote">
    <w:name w:val="Quote"/>
    <w:basedOn w:val="Normal"/>
    <w:next w:val="Normal"/>
    <w:link w:val="CitaoChar"/>
    <w:uiPriority w:val="29"/>
    <w:qFormat/>
    <w:rsid w:val="00844e1d"/>
    <w:pPr>
      <w:suppressAutoHyphens w:val="false"/>
      <w:spacing w:lineRule="auto" w:line="259" w:before="160" w:after="160"/>
      <w:jc w:val="center"/>
    </w:pPr>
    <w:rPr>
      <w:rFonts w:ascii="Aptos" w:hAnsi="Aptos" w:eastAsia="Aptos" w:cs="" w:asciiTheme="minorHAnsi" w:cstheme="minorBidi" w:eastAsiaTheme="minorHAnsi" w:hAnsiTheme="minorHAnsi"/>
      <w:i/>
      <w:iCs/>
      <w:color w:themeColor="text1" w:themeTint="bf" w:val="404040"/>
      <w:kern w:val="2"/>
      <w:sz w:val="22"/>
      <w:szCs w:val="22"/>
      <w:lang w:eastAsia="en-US"/>
      <w14:ligatures w14:val="standardContextual"/>
    </w:rPr>
  </w:style>
  <w:style w:type="paragraph" w:styleId="ListParagraph">
    <w:name w:val="List Paragraph"/>
    <w:basedOn w:val="Normal"/>
    <w:uiPriority w:val="34"/>
    <w:qFormat/>
    <w:rsid w:val="00844e1d"/>
    <w:pPr>
      <w:suppressAutoHyphens w:val="false"/>
      <w:spacing w:lineRule="auto" w:line="259" w:before="0" w:after="160"/>
      <w:ind w:left="720"/>
      <w:contextualSpacing/>
    </w:pPr>
    <w:rPr>
      <w:rFonts w:ascii="Aptos" w:hAnsi="Aptos" w:eastAsia="Aptos" w:cs="" w:asciiTheme="minorHAnsi" w:cstheme="minorBidi" w:eastAsiaTheme="minorHAnsi" w:hAnsiTheme="minorHAnsi"/>
      <w:kern w:val="2"/>
      <w:sz w:val="22"/>
      <w:szCs w:val="22"/>
      <w:lang w:eastAsia="en-US"/>
      <w14:ligatures w14:val="standardContextual"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844e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false"/>
      <w:spacing w:lineRule="auto" w:line="259" w:before="360" w:after="360"/>
      <w:ind w:left="864" w:right="864"/>
      <w:jc w:val="center"/>
    </w:pPr>
    <w:rPr>
      <w:rFonts w:ascii="Aptos" w:hAnsi="Aptos" w:eastAsia="Aptos" w:cs="" w:asciiTheme="minorHAnsi" w:cstheme="minorBidi" w:eastAsiaTheme="minorHAnsi" w:hAnsiTheme="minorHAnsi"/>
      <w:i/>
      <w:iCs/>
      <w:color w:themeColor="accent1" w:themeShade="bf" w:val="0F4761"/>
      <w:kern w:val="2"/>
      <w:sz w:val="22"/>
      <w:szCs w:val="22"/>
      <w:lang w:eastAsia="en-US"/>
      <w14:ligatures w14:val="standardContextual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uiPriority w:val="59"/>
    <w:rsid w:val="00844e1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comgrade5">
    <w:name w:val="Tabela com grade5"/>
    <w:basedOn w:val="Tabelanormal"/>
    <w:uiPriority w:val="59"/>
    <w:rsid w:val="00844e1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comgrade6">
    <w:name w:val="Tabela com grade6"/>
    <w:basedOn w:val="Tabelanormal"/>
    <w:uiPriority w:val="59"/>
    <w:rsid w:val="00844e1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LibreOffice/25.2.7.2$Windows_X86_64 LibreOffice_project/5cbfd1ab6520636bb5f7b99185aa69bd7456825d</Application>
  <AppVersion>15.0000</AppVersion>
  <Pages>3</Pages>
  <Words>741</Words>
  <Characters>4397</Characters>
  <CharactersWithSpaces>5035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2025-09-25T16:54:00Z</dcterms:created>
  <dc:creator>Paolo de Souza Lima</dc:creator>
  <dc:description/>
  <dc:language>pt-BR</dc:language>
  <cp:lastModifiedBy/>
  <dcterms:modified xsi:type="dcterms:W3CDTF">2026-03-03T10:01:36Z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