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wmf" ContentType="image/x-wmf"/>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color w:val="000000"/>
          <w:sz w:val="24"/>
          <w:szCs w:val="24"/>
          <w:shd w:fill="auto" w:val="clear"/>
        </w:rPr>
        <w:t xml:space="preserve">MODELO DE </w:t>
      </w:r>
      <w:r>
        <w:rPr>
          <w:rFonts w:ascii="Times New Roman" w:hAnsi="Times New Roman"/>
          <w:b/>
          <w:color w:val="000000"/>
          <w:sz w:val="24"/>
          <w:szCs w:val="24"/>
          <w:shd w:fill="auto" w:val="clear"/>
        </w:rPr>
        <w:t xml:space="preserve">TERMO DE </w:t>
      </w:r>
      <w:r>
        <w:rPr>
          <w:rFonts w:cs="Arial" w:ascii="Times New Roman" w:hAnsi="Times New Roman"/>
          <w:b/>
          <w:color w:val="000000"/>
          <w:sz w:val="24"/>
          <w:szCs w:val="24"/>
          <w:shd w:fill="auto" w:val="clear"/>
        </w:rPr>
        <w:t>REFERÊNCIA</w:t>
      </w:r>
      <w:r>
        <w:rPr>
          <w:rFonts w:eastAsia="Times New Roman" w:cs="Arial" w:ascii="Times New Roman" w:hAnsi="Times New Roman"/>
          <w:b/>
          <w:bCs/>
          <w:color w:val="000000"/>
          <w:sz w:val="24"/>
          <w:szCs w:val="24"/>
          <w:shd w:fill="auto" w:val="clear"/>
        </w:rPr>
        <w:t xml:space="preserve"> COMPRAS DE TIC – LEI </w:t>
      </w:r>
      <w:r>
        <w:rPr>
          <w:rFonts w:cs="Arial" w:ascii="Times New Roman" w:hAnsi="Times New Roman"/>
          <w:b/>
          <w:bCs/>
          <w:color w:val="000000"/>
          <w:sz w:val="24"/>
          <w:szCs w:val="24"/>
          <w:shd w:fill="auto" w:val="clear"/>
        </w:rPr>
        <w:br/>
        <w:t xml:space="preserve">Lei nº </w:t>
      </w:r>
      <w:r>
        <w:rPr>
          <w:rFonts w:ascii="Times New Roman" w:hAnsi="Times New Roman"/>
          <w:b/>
          <w:color w:val="000000"/>
          <w:sz w:val="24"/>
          <w:szCs w:val="24"/>
          <w:shd w:fill="auto" w:val="clear"/>
        </w:rPr>
        <w:t>14.133</w:t>
      </w:r>
      <w:r>
        <w:rPr>
          <w:rFonts w:cs="Arial" w:ascii="Times New Roman" w:hAnsi="Times New Roman"/>
          <w:b/>
          <w:bCs/>
          <w:color w:val="000000"/>
          <w:sz w:val="24"/>
          <w:szCs w:val="24"/>
          <w:shd w:fill="auto" w:val="clear"/>
        </w:rPr>
        <w:t xml:space="preserve">, de 1º de abril de </w:t>
      </w:r>
      <w:r>
        <w:rPr>
          <w:rFonts w:ascii="Times New Roman" w:hAnsi="Times New Roman"/>
          <w:b/>
          <w:color w:val="000000"/>
          <w:sz w:val="24"/>
          <w:szCs w:val="24"/>
          <w:shd w:fill="auto" w:val="clear"/>
        </w:rPr>
        <w:t>2021</w:t>
      </w:r>
      <w:r>
        <w:rPr>
          <w:rFonts w:cs="Arial" w:ascii="Times New Roman" w:hAnsi="Times New Roman"/>
          <w:b/>
          <w:bCs/>
          <w:color w:val="000000"/>
          <w:sz w:val="24"/>
          <w:szCs w:val="24"/>
          <w:shd w:fill="auto" w:val="clear"/>
        </w:rPr>
        <w:br/>
        <w:t>LICITAÇÃO E CONTRATAÇÃO DIRETA</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color w:val="000000"/>
          <w:sz w:val="24"/>
          <w:szCs w:val="24"/>
          <w:shd w:fill="auto" w:val="clear"/>
        </w:rPr>
        <w:t>MODELO DE TERMO DE REFERÊNCIA</w:t>
        <w:br/>
        <w:t>Lei nº 14.133, de 1º de abril de 2021</w:t>
        <w:br/>
        <w:t>LICITAÇÃO E CONTRATAÇÃO DIRETA</w:t>
      </w: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1866963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866963775" descr=""/>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r>
        <w:rPr>
          <w:rFonts w:eastAsia="Arial" w:cs="Arial" w:ascii="Times New Roman" w:hAnsi="Times New Roman"/>
          <w:b/>
          <w:bCs/>
          <w:color w:val="000000"/>
          <w:sz w:val="24"/>
          <w:szCs w:val="24"/>
          <w:shd w:fill="auto" w:val="clear"/>
        </w:rPr>
        <w:t>EXÉRCITO BRASILEIRO</w:t>
        <w:br/>
        <w:t>CMNE – 7a RM</w:t>
        <w:br/>
        <w:t>PARQUE REGIONAL DE MANUTENÇÃO/7</w:t>
        <w:br/>
        <w:t>(Pq R MB/7a RM/1947)</w:t>
      </w:r>
    </w:p>
    <w:p>
      <w:pPr>
        <w:pStyle w:val="normal11"/>
        <w:spacing w:lineRule="auto" w:line="360" w:before="0" w:after="170"/>
        <w:ind w:hanging="0" w:left="0" w:right="0"/>
        <w:jc w:val="center"/>
        <w:rPr>
          <w:rFonts w:ascii="Times New Roman" w:hAnsi="Times New Roman"/>
          <w:color w:val="000000"/>
          <w:sz w:val="24"/>
          <w:szCs w:val="24"/>
          <w:highlight w:val="none"/>
          <w:shd w:fill="auto" w:val="clear"/>
        </w:rPr>
      </w:pPr>
      <w:r>
        <w:rPr>
          <w:rFonts w:eastAsia="Arial" w:cs="Arial" w:ascii="Times New Roman" w:hAnsi="Times New Roman"/>
          <w:b/>
          <w:bCs/>
          <w:color w:val="000000"/>
          <w:sz w:val="24"/>
          <w:szCs w:val="24"/>
          <w:shd w:fill="auto" w:val="clear"/>
        </w:rPr>
        <w:t>PARQUE DE MANUTENÇÃO BATALHA DE CASA FORTE</w:t>
        <w:br/>
      </w:r>
      <w:r>
        <w:rPr>
          <w:rFonts w:eastAsia="Arial" w:cs="Arial" w:ascii="Times New Roman" w:hAnsi="Times New Roman"/>
          <w:b w:val="false"/>
          <w:bCs w:val="false"/>
          <w:i/>
          <w:color w:val="000000"/>
          <w:sz w:val="24"/>
          <w:szCs w:val="24"/>
          <w:shd w:fill="auto" w:val="clear"/>
        </w:rPr>
        <w:t>(Av. 17 de Agosto, 784, Casa Forte, Recife – PE, CEP 52.060-590)</w:t>
      </w:r>
    </w:p>
    <w:p>
      <w:pPr>
        <w:pStyle w:val="Normal"/>
        <w:spacing w:lineRule="auto" w:line="360" w:before="0" w:after="170"/>
        <w:ind w:hanging="0" w:left="0" w:right="0"/>
        <w:jc w:val="center"/>
        <w:rPr>
          <w:rFonts w:ascii="Times New Roman" w:hAnsi="Times New Roman" w:eastAsia="Times New Roman" w:cs="Arial"/>
          <w:b/>
          <w:bCs/>
          <w:i/>
          <w:i/>
          <w:color w:val="000000"/>
          <w:sz w:val="24"/>
          <w:szCs w:val="24"/>
          <w:highlight w:val="none"/>
          <w:shd w:fill="auto" w:val="clear"/>
        </w:rPr>
      </w:pPr>
      <w:r>
        <w:rPr>
          <w:rFonts w:eastAsia="Times New Roman" w:cs="Arial" w:ascii="Times New Roman" w:hAnsi="Times New Roman"/>
          <w:b/>
          <w:bCs/>
          <w:i/>
          <w:color w:val="000000"/>
          <w:sz w:val="24"/>
          <w:szCs w:val="24"/>
          <w:shd w:fill="auto" w:val="clear"/>
        </w:rPr>
        <w:t xml:space="preserve">NUP : </w:t>
      </w:r>
      <w:r>
        <w:rPr>
          <w:rFonts w:ascii="Roboto;Helvetica Neue;sans-serif" w:hAnsi="Roboto;Helvetica Neue;sans-serif"/>
          <w:b w:val="false"/>
          <w:i w:val="false"/>
          <w:caps w:val="false"/>
          <w:smallCaps w:val="false"/>
          <w:color w:val="212121"/>
          <w:spacing w:val="0"/>
          <w:sz w:val="21"/>
        </w:rPr>
        <w:t>64621.006284/2026-61</w:t>
      </w:r>
      <w:r>
        <w:rPr/>
        <w:t xml:space="preserve"> </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color w:val="000000"/>
          <w:sz w:val="24"/>
          <w:szCs w:val="24"/>
          <w:shd w:fill="auto" w:val="clear"/>
        </w:rPr>
        <w:t>TERMO DE REFERÊNCIA</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CONDIÇÕES GERAIS DA CONTRATAÇÃO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0" w:name="_Ref172096041"/>
      <w:r>
        <w:rPr>
          <w:rFonts w:ascii="Times New Roman" w:hAnsi="Times New Roman"/>
          <w:color w:val="000000"/>
          <w:sz w:val="24"/>
          <w:szCs w:val="24"/>
          <w:shd w:fill="auto" w:val="clear"/>
        </w:rPr>
        <w:t xml:space="preserve">Aquisição </w:t>
      </w:r>
      <w:bookmarkEnd w:id="0"/>
      <w:r>
        <w:rPr>
          <w:rFonts w:ascii="Times New Roman" w:hAnsi="Times New Roman"/>
          <w:color w:val="000000"/>
          <w:sz w:val="24"/>
          <w:szCs w:val="24"/>
          <w:shd w:fill="auto" w:val="clear"/>
        </w:rPr>
        <w:t>de computadores e acessórios, nos termos da tabela abaixo, conforme condições e exigências estabelecidas neste instrumento.</w:t>
      </w:r>
    </w:p>
    <w:tbl>
      <w:tblPr>
        <w:tblW w:w="9630" w:type="dxa"/>
        <w:jc w:val="left"/>
        <w:tblInd w:w="-113" w:type="dxa"/>
        <w:tblLayout w:type="fixed"/>
        <w:tblCellMar>
          <w:top w:w="0" w:type="dxa"/>
          <w:left w:w="108" w:type="dxa"/>
          <w:bottom w:w="0" w:type="dxa"/>
          <w:right w:w="108" w:type="dxa"/>
        </w:tblCellMar>
        <w:tblLook w:firstRow="0" w:noVBand="0" w:lastRow="0" w:firstColumn="0" w:lastColumn="0" w:noHBand="0" w:val="0000"/>
      </w:tblPr>
      <w:tblGrid>
        <w:gridCol w:w="965"/>
        <w:gridCol w:w="3561"/>
        <w:gridCol w:w="1308"/>
        <w:gridCol w:w="683"/>
        <w:gridCol w:w="622"/>
        <w:gridCol w:w="1246"/>
        <w:gridCol w:w="1244"/>
      </w:tblGrid>
      <w:tr>
        <w:trPr/>
        <w:tc>
          <w:tcPr>
            <w:tcW w:w="965"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Item</w:t>
            </w:r>
          </w:p>
        </w:tc>
        <w:tc>
          <w:tcPr>
            <w:tcW w:w="3561"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Especificação</w:t>
            </w:r>
          </w:p>
        </w:tc>
        <w:tc>
          <w:tcPr>
            <w:tcW w:w="1308"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CATMAT</w:t>
            </w:r>
          </w:p>
        </w:tc>
        <w:tc>
          <w:tcPr>
            <w:tcW w:w="683"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Und</w:t>
            </w:r>
          </w:p>
        </w:tc>
        <w:tc>
          <w:tcPr>
            <w:tcW w:w="622"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Qtd</w:t>
            </w:r>
          </w:p>
        </w:tc>
        <w:tc>
          <w:tcPr>
            <w:tcW w:w="1246"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Valor Unitário</w:t>
            </w:r>
          </w:p>
        </w:tc>
        <w:tc>
          <w:tcPr>
            <w:tcW w:w="1244"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Valor Total</w:t>
            </w:r>
          </w:p>
        </w:tc>
      </w:tr>
      <w:tr>
        <w:trPr/>
        <w:tc>
          <w:tcPr>
            <w:tcW w:w="965"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1</w:t>
            </w:r>
          </w:p>
        </w:tc>
        <w:tc>
          <w:tcPr>
            <w:tcW w:w="3561"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 xml:space="preserve">COMPUTADOR Especificações Técnicas  Processador: i5-14400 Memória: 8GB DDR5 5600MHz  expansível até 64GB.  Armazenamento: SSD 256GB NVMe M.2.  Sistema operacional: Windows 11 Pro.  Conectividade: Wi-Fi 6 AX e Bluetooth 5.3.  Acessórios: </w:t>
            </w:r>
            <w:r>
              <w:rPr>
                <w:rFonts w:ascii="Times New Roman" w:hAnsi="Times New Roman"/>
                <w:color w:val="000000"/>
                <w:sz w:val="24"/>
                <w:szCs w:val="24"/>
                <w:shd w:fill="auto" w:val="clear"/>
              </w:rPr>
              <w:t>1. Mouse ótico USB 1000dpi  2. Teclado USB padrão ABNT-2 .  Garantia: 12 Meses do fabricante</w:t>
            </w:r>
          </w:p>
        </w:tc>
        <w:tc>
          <w:tcPr>
            <w:tcW w:w="1308"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463525</w:t>
            </w:r>
          </w:p>
        </w:tc>
        <w:tc>
          <w:tcPr>
            <w:tcW w:w="683"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Und</w:t>
            </w:r>
          </w:p>
        </w:tc>
        <w:tc>
          <w:tcPr>
            <w:tcW w:w="622"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7</w:t>
            </w:r>
          </w:p>
        </w:tc>
        <w:tc>
          <w:tcPr>
            <w:tcW w:w="1246"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 xml:space="preserve"> </w:t>
            </w:r>
            <w:r>
              <w:rPr>
                <w:rFonts w:cs="Arial" w:ascii="Times New Roman" w:hAnsi="Times New Roman"/>
                <w:color w:val="000000"/>
                <w:sz w:val="24"/>
                <w:szCs w:val="24"/>
                <w:shd w:fill="auto" w:val="clear"/>
              </w:rPr>
              <w:t>5.950,00</w:t>
            </w:r>
          </w:p>
        </w:tc>
        <w:tc>
          <w:tcPr>
            <w:tcW w:w="1244"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R$ 41.650</w:t>
            </w:r>
          </w:p>
        </w:tc>
      </w:tr>
      <w:tr>
        <w:trPr/>
        <w:tc>
          <w:tcPr>
            <w:tcW w:w="965"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color w:val="000000"/>
                <w:sz w:val="24"/>
                <w:szCs w:val="24"/>
                <w:shd w:fill="auto" w:val="clear"/>
              </w:rPr>
              <w:t>2</w:t>
            </w:r>
          </w:p>
        </w:tc>
        <w:tc>
          <w:tcPr>
            <w:tcW w:w="3561"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MONITOR Especificações Técnicas  Tamanho da tela: 24”  Resolução: Full HD.  Tecnologia do painel: IPS.  -Tempo de resposta: 1ms.  Frequência de operação máxima: 100Hz.  Garantia: 12 Meses do fabricante</w:t>
            </w:r>
          </w:p>
        </w:tc>
        <w:tc>
          <w:tcPr>
            <w:tcW w:w="1308"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451812</w:t>
            </w:r>
          </w:p>
        </w:tc>
        <w:tc>
          <w:tcPr>
            <w:tcW w:w="683"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Und</w:t>
            </w:r>
          </w:p>
        </w:tc>
        <w:tc>
          <w:tcPr>
            <w:tcW w:w="622"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7</w:t>
            </w:r>
          </w:p>
        </w:tc>
        <w:tc>
          <w:tcPr>
            <w:tcW w:w="1246"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 xml:space="preserve"> </w:t>
            </w:r>
            <w:r>
              <w:rPr>
                <w:rFonts w:cs="Arial" w:ascii="Times New Roman" w:hAnsi="Times New Roman"/>
                <w:color w:val="000000"/>
                <w:sz w:val="24"/>
                <w:szCs w:val="24"/>
                <w:shd w:fill="auto" w:val="clear"/>
              </w:rPr>
              <w:t>632,72</w:t>
            </w:r>
          </w:p>
        </w:tc>
        <w:tc>
          <w:tcPr>
            <w:tcW w:w="1244" w:type="dxa"/>
            <w:tcBorders>
              <w:top w:val="single" w:sz="4" w:space="0" w:color="000000"/>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R$ 4.429,04</w:t>
            </w:r>
          </w:p>
        </w:tc>
      </w:tr>
      <w:tr>
        <w:trPr/>
        <w:tc>
          <w:tcPr>
            <w:tcW w:w="8385" w:type="dxa"/>
            <w:gridSpan w:val="6"/>
            <w:tcBorders>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Valor Total</w:t>
            </w:r>
          </w:p>
        </w:tc>
        <w:tc>
          <w:tcPr>
            <w:tcW w:w="1244" w:type="dxa"/>
            <w:tcBorders>
              <w:left w:val="single" w:sz="4" w:space="0" w:color="000000"/>
              <w:bottom w:val="single" w:sz="4" w:space="0" w:color="000000"/>
              <w:right w:val="single" w:sz="4" w:space="0" w:color="000000"/>
            </w:tcBorders>
          </w:tcPr>
          <w:p>
            <w:pPr>
              <w:pStyle w:val="Standard"/>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color w:val="000000"/>
                <w:sz w:val="24"/>
                <w:szCs w:val="24"/>
                <w:shd w:fill="auto" w:val="clear"/>
              </w:rPr>
              <w:t>R$ 46079,04</w:t>
            </w:r>
          </w:p>
        </w:tc>
      </w:tr>
    </w:tbl>
    <w:p>
      <w:pPr>
        <w:pStyle w:val="Normal"/>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02"/>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2-Opcional"/>
        <w:numPr>
          <w:ilvl w:val="0"/>
          <w:numId w:val="0"/>
        </w:numPr>
        <w:spacing w:lineRule="auto" w:line="360" w:before="0" w:after="170"/>
        <w:ind w:hanging="0" w:left="0" w:right="0"/>
        <w:rPr>
          <w:rFonts w:ascii="Times New Roman" w:hAnsi="Times New Roman"/>
          <w:b/>
          <w:color w:val="000000"/>
          <w:sz w:val="24"/>
          <w:szCs w:val="24"/>
          <w:highlight w:val="none"/>
          <w:shd w:fill="auto" w:val="clear"/>
        </w:rPr>
      </w:pPr>
      <w:r>
        <w:rPr>
          <w:rFonts w:ascii="Times New Roman" w:hAnsi="Times New Roman"/>
          <w:b/>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Classificação do objeto quanto à heterogeneidade ou complexidade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Os bens objeto desta contratação são caracterizados como comuns, conforme justificativa constante do Estudo Técnico Preliminar.</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bens objeto desta contratação são caracterizados como</w:t>
      </w:r>
      <w:r>
        <w:rPr>
          <w:rFonts w:ascii="Times New Roman" w:hAnsi="Times New Roman"/>
          <w:b/>
          <w:strike/>
          <w:color w:val="000000"/>
          <w:sz w:val="24"/>
          <w:szCs w:val="24"/>
          <w:shd w:fill="auto" w:val="clear"/>
        </w:rPr>
        <w:t xml:space="preserve"> especiais</w:t>
      </w:r>
      <w:r>
        <w:rPr>
          <w:rFonts w:ascii="Times New Roman" w:hAnsi="Times New Roman"/>
          <w:strike/>
          <w:color w:val="000000"/>
          <w:sz w:val="24"/>
          <w:szCs w:val="24"/>
          <w:shd w:fill="auto" w:val="clear"/>
        </w:rPr>
        <w:t>, conforme justificativa constante do Estudo Técnico Preliminar.</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bookmarkStart w:id="1" w:name="_Hlk171371987"/>
      <w:r>
        <w:rPr>
          <w:rFonts w:ascii="Times New Roman" w:hAnsi="Times New Roman"/>
          <w:i/>
          <w:iCs/>
          <w:strike/>
          <w:color w:val="000000"/>
          <w:sz w:val="24"/>
          <w:szCs w:val="24"/>
          <w:shd w:fill="auto" w:val="clear"/>
        </w:rPr>
        <w:t>Classificação do objeto como bem de luxo</w:t>
      </w:r>
      <w:bookmarkEnd w:id="1"/>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objeto desta contratação não se enquadra como bem de luxo, conforme Decreto nº 10.818, de 27 de setembro de 2021.</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iCs/>
          <w:strike/>
          <w:color w:val="000000"/>
          <w:sz w:val="24"/>
          <w:szCs w:val="24"/>
          <w:shd w:fill="auto" w:val="clear"/>
        </w:rPr>
        <w:t>Classificação do objeto quanto ao modelo de execução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fornecimento de bens é enquadrado como continuado tendo em vista que [...], sendo a vigência plurianual mais vantajosa considerando [...] </w:t>
      </w:r>
      <w:r>
        <w:rPr>
          <w:rFonts w:ascii="Times New Roman" w:hAnsi="Times New Roman"/>
          <w:b/>
          <w:strike/>
          <w:color w:val="000000"/>
          <w:sz w:val="24"/>
          <w:szCs w:val="24"/>
          <w:shd w:fill="auto" w:val="clear"/>
        </w:rPr>
        <w:t>OU</w:t>
      </w:r>
      <w:r>
        <w:rPr>
          <w:rFonts w:ascii="Times New Roman" w:hAnsi="Times New Roman"/>
          <w:strike/>
          <w:color w:val="000000"/>
          <w:sz w:val="24"/>
          <w:szCs w:val="24"/>
          <w:shd w:fill="auto" w:val="clear"/>
        </w:rPr>
        <w:t xml:space="preserve"> [o Estudo Técnico Preliminar] </w:t>
      </w:r>
      <w:r>
        <w:rPr>
          <w:rFonts w:ascii="Times New Roman" w:hAnsi="Times New Roman"/>
          <w:b/>
          <w:strike/>
          <w:color w:val="000000"/>
          <w:sz w:val="24"/>
          <w:szCs w:val="24"/>
          <w:shd w:fill="auto" w:val="clear"/>
        </w:rPr>
        <w:t>OU</w:t>
      </w:r>
      <w:r>
        <w:rPr>
          <w:rFonts w:ascii="Times New Roman" w:hAnsi="Times New Roman"/>
          <w:strike/>
          <w:color w:val="000000"/>
          <w:sz w:val="24"/>
          <w:szCs w:val="24"/>
          <w:shd w:fill="auto" w:val="clear"/>
        </w:rPr>
        <w:t xml:space="preserve"> [os termos da Nota Técnica .../...];</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bookmarkStart w:id="2" w:name="_Hlk176363679"/>
      <w:r>
        <w:rPr>
          <w:rFonts w:ascii="Times New Roman" w:hAnsi="Times New Roman"/>
          <w:color w:val="000000"/>
          <w:sz w:val="24"/>
          <w:szCs w:val="24"/>
          <w:shd w:fill="auto" w:val="clear"/>
        </w:rPr>
        <w:t>Prazo de vigência</w:t>
      </w:r>
      <w:bookmarkEnd w:id="2"/>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prazo de vigência da contratação é de </w:t>
      </w:r>
      <w:r>
        <w:rPr>
          <w:rFonts w:ascii="Times New Roman" w:hAnsi="Times New Roman"/>
          <w:b/>
          <w:bCs/>
          <w:color w:val="000000"/>
          <w:sz w:val="24"/>
          <w:szCs w:val="24"/>
          <w:shd w:fill="auto" w:val="clear"/>
        </w:rPr>
        <w:t>12 meses</w:t>
      </w:r>
      <w:r>
        <w:rPr>
          <w:rFonts w:ascii="Times New Roman" w:hAnsi="Times New Roman"/>
          <w:color w:val="000000"/>
          <w:sz w:val="24"/>
          <w:szCs w:val="24"/>
          <w:shd w:fill="auto" w:val="clear"/>
        </w:rPr>
        <w:t xml:space="preserve"> contados da emissão da Nota de Empenho, na forma do artigo 105 da Lei n° 14.133, de 2021.</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prazo de vigência da contratação é de </w:t>
      </w:r>
      <w:r>
        <w:rPr>
          <w:rFonts w:ascii="Times New Roman" w:hAnsi="Times New Roman"/>
          <w:b/>
          <w:bCs/>
          <w:strike/>
          <w:color w:val="000000"/>
          <w:sz w:val="24"/>
          <w:szCs w:val="24"/>
          <w:shd w:fill="auto" w:val="clear"/>
        </w:rPr>
        <w:t>[indicar o prazo, limitado a</w:t>
      </w:r>
      <w:r>
        <w:rPr>
          <w:rFonts w:ascii="Times New Roman" w:hAnsi="Times New Roman"/>
          <w:b/>
          <w:strike/>
          <w:color w:val="000000"/>
          <w:sz w:val="24"/>
          <w:szCs w:val="24"/>
          <w:shd w:fill="auto" w:val="clear"/>
        </w:rPr>
        <w:t xml:space="preserve"> 5 anos</w:t>
      </w:r>
      <w:r>
        <w:rPr>
          <w:rFonts w:ascii="Times New Roman" w:hAnsi="Times New Roman"/>
          <w:b/>
          <w:bCs/>
          <w:strike/>
          <w:color w:val="000000"/>
          <w:sz w:val="24"/>
          <w:szCs w:val="24"/>
          <w:shd w:fill="auto" w:val="clear"/>
        </w:rPr>
        <w:t>]</w:t>
      </w:r>
      <w:r>
        <w:rPr>
          <w:rFonts w:ascii="Times New Roman" w:hAnsi="Times New Roman"/>
          <w:strike/>
          <w:color w:val="000000"/>
          <w:sz w:val="24"/>
          <w:szCs w:val="24"/>
          <w:shd w:fill="auto" w:val="clear"/>
        </w:rPr>
        <w:t xml:space="preserve"> contados do(a) </w:t>
      </w:r>
      <w:r>
        <w:rPr>
          <w:rFonts w:ascii="Times New Roman" w:hAnsi="Times New Roman"/>
          <w:b/>
          <w:bCs/>
          <w:strike/>
          <w:color w:val="000000"/>
          <w:sz w:val="24"/>
          <w:szCs w:val="24"/>
          <w:shd w:fill="auto" w:val="clear"/>
        </w:rPr>
        <w:t>[indicar o termo inicial da vigência]</w:t>
      </w:r>
      <w:r>
        <w:rPr>
          <w:rFonts w:ascii="Times New Roman" w:hAnsi="Times New Roman"/>
          <w:strike/>
          <w:color w:val="000000"/>
          <w:sz w:val="24"/>
          <w:szCs w:val="24"/>
          <w:shd w:fill="auto" w:val="clear"/>
        </w:rPr>
        <w:t>, prorrogável por até 10 anos, na forma dos artigos 106 e 107 da Lei n° 14.133, de 2021.</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Tratando-se de contratação que prevê operação continuada de sistemas estruturantes de tecnologia da informação, o prazo de vigência da contratação é de </w:t>
      </w:r>
      <w:r>
        <w:rPr>
          <w:rFonts w:ascii="Times New Roman" w:hAnsi="Times New Roman"/>
          <w:b/>
          <w:bCs/>
          <w:strike/>
          <w:color w:val="000000"/>
          <w:sz w:val="24"/>
          <w:szCs w:val="24"/>
          <w:shd w:fill="auto" w:val="clear"/>
        </w:rPr>
        <w:t>[indicar o prazo]</w:t>
      </w:r>
      <w:r>
        <w:rPr>
          <w:rFonts w:ascii="Times New Roman" w:hAnsi="Times New Roman"/>
          <w:strike/>
          <w:color w:val="000000"/>
          <w:sz w:val="24"/>
          <w:szCs w:val="24"/>
          <w:shd w:fill="auto" w:val="clear"/>
        </w:rPr>
        <w:t xml:space="preserve">, prorrogável para até 15 anos (máximo de 15 anos, incluindo prorrogações), contados do(a) </w:t>
      </w:r>
      <w:r>
        <w:rPr>
          <w:rFonts w:ascii="Times New Roman" w:hAnsi="Times New Roman"/>
          <w:b/>
          <w:bCs/>
          <w:strike/>
          <w:color w:val="000000"/>
          <w:sz w:val="24"/>
          <w:szCs w:val="24"/>
          <w:shd w:fill="auto" w:val="clear"/>
        </w:rPr>
        <w:t>[indicar o termo inicial da vigência]</w:t>
      </w:r>
      <w:r>
        <w:rPr>
          <w:rFonts w:ascii="Times New Roman" w:hAnsi="Times New Roman"/>
          <w:strike/>
          <w:color w:val="000000"/>
          <w:sz w:val="24"/>
          <w:szCs w:val="24"/>
          <w:shd w:fill="auto" w:val="clear"/>
        </w:rPr>
        <w:t>, na forma do artigo 114 da Lei n° 14.133, de 2021.</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prazo de vigência da contratação é de </w:t>
      </w:r>
      <w:r>
        <w:rPr>
          <w:rFonts w:ascii="Times New Roman" w:hAnsi="Times New Roman"/>
          <w:b/>
          <w:bCs/>
          <w:strike/>
          <w:color w:val="000000"/>
          <w:sz w:val="24"/>
          <w:szCs w:val="24"/>
          <w:shd w:fill="auto" w:val="clear"/>
        </w:rPr>
        <w:t>[indicar o prazo, limitado a</w:t>
      </w:r>
      <w:r>
        <w:rPr>
          <w:rFonts w:ascii="Times New Roman" w:hAnsi="Times New Roman"/>
          <w:b/>
          <w:strike/>
          <w:color w:val="000000"/>
          <w:sz w:val="24"/>
          <w:szCs w:val="24"/>
          <w:shd w:fill="auto" w:val="clear"/>
        </w:rPr>
        <w:t xml:space="preserve"> um ano da ocorrência da emergência ou calamidade</w:t>
      </w:r>
      <w:r>
        <w:rPr>
          <w:rFonts w:ascii="Times New Roman" w:hAnsi="Times New Roman"/>
          <w:b/>
          <w:bCs/>
          <w:strike/>
          <w:color w:val="000000"/>
          <w:sz w:val="24"/>
          <w:szCs w:val="24"/>
          <w:shd w:fill="auto" w:val="clear"/>
        </w:rPr>
        <w:t>]</w:t>
      </w:r>
      <w:r>
        <w:rPr>
          <w:rFonts w:ascii="Times New Roman" w:hAnsi="Times New Roman"/>
          <w:strike/>
          <w:color w:val="000000"/>
          <w:sz w:val="24"/>
          <w:szCs w:val="24"/>
          <w:shd w:fill="auto" w:val="clear"/>
        </w:rPr>
        <w:t xml:space="preserve"> contados do(a) </w:t>
      </w:r>
      <w:r>
        <w:rPr>
          <w:rFonts w:ascii="Times New Roman" w:hAnsi="Times New Roman"/>
          <w:b/>
          <w:bCs/>
          <w:strike/>
          <w:color w:val="000000"/>
          <w:sz w:val="24"/>
          <w:szCs w:val="24"/>
          <w:shd w:fill="auto" w:val="clear"/>
        </w:rPr>
        <w:t>[indicar o termo inicial da vigência]</w:t>
      </w:r>
      <w:r>
        <w:rPr>
          <w:rFonts w:ascii="Times New Roman" w:hAnsi="Times New Roman"/>
          <w:strike/>
          <w:color w:val="000000"/>
          <w:sz w:val="24"/>
          <w:szCs w:val="24"/>
          <w:shd w:fill="auto" w:val="clear"/>
        </w:rPr>
        <w:t>, improrrogável, na forma do art. 75, inciso VIII, da Lei n° 14.133/2021.</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contrato ou outro instrumento hábil que o substitua oferece maior detalhamento das regras que serão aplicadas em relação à vigência da contratação.</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FUNDAMENTAÇÃO E DESCRIÇÃO DA NECESSIDADE DA CONTRATAÇÃO</w:t>
      </w:r>
    </w:p>
    <w:p>
      <w:pPr>
        <w:pStyle w:val="Nvel02"/>
        <w:numPr>
          <w:ilvl w:val="1"/>
          <w:numId w:val="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iCs w:val="false"/>
          <w:color w:val="000000"/>
          <w:sz w:val="24"/>
          <w:szCs w:val="24"/>
          <w:shd w:fill="auto" w:val="clear"/>
          <w:lang w:eastAsia="zh-CN" w:bidi="hi-IN"/>
        </w:rPr>
        <w:t>A presente contratação justifica-se pela necessidade de compra de computadores para esta Organização Militar.</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iCs w:val="false"/>
          <w:color w:val="000000"/>
          <w:sz w:val="24"/>
          <w:szCs w:val="24"/>
          <w:shd w:fill="auto" w:val="clear"/>
          <w:lang w:eastAsia="zh-CN"/>
        </w:rPr>
        <w:t>O objeto da contratação está previsto no Plano de Contratações Anual &lt;ANO&gt;, conforme detalhamento a seguir:</w:t>
      </w:r>
    </w:p>
    <w:p>
      <w:pPr>
        <w:pStyle w:val="ListParagraph"/>
        <w:numPr>
          <w:ilvl w:val="0"/>
          <w:numId w:val="7"/>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ID PCA no PNCP: [...];</w:t>
      </w:r>
    </w:p>
    <w:p>
      <w:pPr>
        <w:pStyle w:val="ListParagraph"/>
        <w:numPr>
          <w:ilvl w:val="0"/>
          <w:numId w:val="7"/>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Data de publicação no PNCP: [...];</w:t>
      </w:r>
    </w:p>
    <w:p>
      <w:pPr>
        <w:pStyle w:val="ListParagraph"/>
        <w:numPr>
          <w:ilvl w:val="0"/>
          <w:numId w:val="7"/>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Id do item no PCA: [...];</w:t>
      </w:r>
    </w:p>
    <w:p>
      <w:pPr>
        <w:pStyle w:val="ListParagraph"/>
        <w:numPr>
          <w:ilvl w:val="0"/>
          <w:numId w:val="7"/>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Classe/Grupo: [...];</w:t>
      </w:r>
    </w:p>
    <w:p>
      <w:pPr>
        <w:pStyle w:val="ListParagraph"/>
        <w:numPr>
          <w:ilvl w:val="0"/>
          <w:numId w:val="7"/>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Identificador da Futura Contratação: [...];</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OU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objeto da contratação está previsto no Plano de Contratações Anual [ANO], conforme consta das informações básicas deste termo de referência.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zh-CN"/>
        </w:rPr>
        <w:t xml:space="preserve">O objeto da contratação também está alinhado com a Estratégia de Governo Digital </w:t>
      </w:r>
      <w:r>
        <w:rPr>
          <w:rFonts w:ascii="Times New Roman" w:hAnsi="Times New Roman"/>
          <w:i/>
          <w:strike/>
          <w:color w:val="000000"/>
          <w:sz w:val="24"/>
          <w:szCs w:val="24"/>
          <w:shd w:fill="auto" w:val="clear"/>
          <w:lang w:eastAsia="zh-CN"/>
        </w:rPr>
        <w:t>&lt;ANO</w:t>
      </w:r>
      <w:r>
        <w:rPr>
          <w:rFonts w:ascii="Times New Roman" w:hAnsi="Times New Roman"/>
          <w:strike/>
          <w:color w:val="000000"/>
          <w:sz w:val="24"/>
          <w:szCs w:val="24"/>
          <w:shd w:fill="auto" w:val="clear"/>
          <w:lang w:eastAsia="zh-CN"/>
        </w:rPr>
        <w:t xml:space="preserve">&gt; e em consonância com o Plano Diretor de Tecnologia da Informação e Comunicação (PDTIC) </w:t>
      </w:r>
      <w:r>
        <w:rPr>
          <w:rFonts w:ascii="Times New Roman" w:hAnsi="Times New Roman"/>
          <w:i/>
          <w:strike/>
          <w:color w:val="000000"/>
          <w:sz w:val="24"/>
          <w:szCs w:val="24"/>
          <w:shd w:fill="auto" w:val="clear"/>
          <w:lang w:eastAsia="zh-CN"/>
        </w:rPr>
        <w:t>&lt;ANO&gt;</w:t>
      </w:r>
      <w:r>
        <w:rPr>
          <w:rFonts w:ascii="Times New Roman" w:hAnsi="Times New Roman"/>
          <w:strike/>
          <w:color w:val="000000"/>
          <w:sz w:val="24"/>
          <w:szCs w:val="24"/>
          <w:shd w:fill="auto" w:val="clear"/>
          <w:lang w:eastAsia="zh-CN"/>
        </w:rPr>
        <w:t xml:space="preserve"> do </w:t>
      </w:r>
      <w:r>
        <w:rPr>
          <w:rFonts w:ascii="Times New Roman" w:hAnsi="Times New Roman"/>
          <w:i/>
          <w:strike/>
          <w:color w:val="000000"/>
          <w:sz w:val="24"/>
          <w:szCs w:val="24"/>
          <w:shd w:fill="auto" w:val="clear"/>
          <w:lang w:eastAsia="zh-CN"/>
        </w:rPr>
        <w:t>&lt;NOME DO ÓRGÃO&gt;,</w:t>
      </w:r>
      <w:r>
        <w:rPr>
          <w:rFonts w:ascii="Times New Roman" w:hAnsi="Times New Roman"/>
          <w:strike/>
          <w:color w:val="000000"/>
          <w:sz w:val="24"/>
          <w:szCs w:val="24"/>
          <w:shd w:fill="auto" w:val="clear"/>
          <w:lang w:eastAsia="zh-CN"/>
        </w:rPr>
        <w:t xml:space="preserve"> conforme demonstrado abaixo:</w:t>
      </w:r>
    </w:p>
    <w:tbl>
      <w:tblPr>
        <w:tblW w:w="8374" w:type="dxa"/>
        <w:jc w:val="left"/>
        <w:tblInd w:w="645" w:type="dxa"/>
        <w:tblLayout w:type="fixed"/>
        <w:tblCellMar>
          <w:top w:w="0" w:type="dxa"/>
          <w:left w:w="70" w:type="dxa"/>
          <w:bottom w:w="0" w:type="dxa"/>
          <w:right w:w="70" w:type="dxa"/>
        </w:tblCellMar>
        <w:tblLook w:firstRow="0" w:noVBand="0" w:lastRow="0" w:firstColumn="0" w:lastColumn="0" w:noHBand="0" w:val="0000"/>
      </w:tblPr>
      <w:tblGrid>
        <w:gridCol w:w="488"/>
        <w:gridCol w:w="7885"/>
      </w:tblGrid>
      <w:tr>
        <w:trPr>
          <w:trHeight w:val="313" w:hRule="atLeast"/>
        </w:trPr>
        <w:tc>
          <w:tcPr>
            <w:tcW w:w="8373" w:type="dxa"/>
            <w:gridSpan w:val="2"/>
            <w:tcBorders>
              <w:top w:val="single" w:sz="4" w:space="0" w:color="000000"/>
              <w:left w:val="single" w:sz="4" w:space="0" w:color="000000"/>
              <w:bottom w:val="single" w:sz="4" w:space="0" w:color="000000"/>
              <w:right w:val="single" w:sz="4" w:space="0" w:color="000000"/>
            </w:tcBorders>
            <w:shd w:color="auto" w:fill="DDDDDD" w:val="clear"/>
            <w:vAlign w:val="cente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ALINHAMENTO AOS PLANOS ESTRATÉGICOS</w:t>
            </w:r>
          </w:p>
        </w:tc>
      </w:tr>
      <w:tr>
        <w:trPr>
          <w:trHeight w:val="262" w:hRule="atLeast"/>
        </w:trPr>
        <w:tc>
          <w:tcPr>
            <w:tcW w:w="488" w:type="dxa"/>
            <w:tcBorders>
              <w:left w:val="single" w:sz="4" w:space="0" w:color="000000"/>
              <w:bottom w:val="single" w:sz="4" w:space="0" w:color="000000"/>
              <w:right w:val="single" w:sz="4" w:space="0" w:color="000000"/>
            </w:tcBorders>
            <w:shd w:color="auto" w:fill="EEEEEE" w:val="clear"/>
            <w:vAlign w:val="cente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ID</w:t>
            </w:r>
          </w:p>
        </w:tc>
        <w:tc>
          <w:tcPr>
            <w:tcW w:w="7885" w:type="dxa"/>
            <w:tcBorders>
              <w:left w:val="single" w:sz="4" w:space="0" w:color="000000"/>
              <w:bottom w:val="single" w:sz="4" w:space="0" w:color="000000"/>
              <w:right w:val="single" w:sz="4" w:space="0" w:color="000000"/>
            </w:tcBorders>
            <w:shd w:color="auto" w:fill="EEEEEE" w:val="clear"/>
            <w:vAlign w:val="cente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Objetivos Estratégicos</w:t>
            </w:r>
          </w:p>
        </w:tc>
      </w:tr>
    </w:tbl>
    <w:p>
      <w:pPr>
        <w:pStyle w:val="Textbody1"/>
        <w:spacing w:lineRule="auto" w:line="360" w:before="0" w:after="170"/>
        <w:ind w:hanging="0" w:left="0" w:right="0"/>
        <w:rPr>
          <w:rFonts w:ascii="Times New Roman" w:hAnsi="Times New Roman" w:cs="Arial"/>
          <w:strike/>
          <w:color w:val="000000"/>
          <w:sz w:val="24"/>
          <w:szCs w:val="24"/>
          <w:highlight w:val="none"/>
          <w:shd w:fill="auto" w:val="clear"/>
        </w:rPr>
      </w:pPr>
      <w:r>
        <w:rPr>
          <w:rFonts w:cs="Arial" w:ascii="Times New Roman" w:hAnsi="Times New Roman"/>
          <w:strike/>
          <w:color w:val="000000"/>
          <w:sz w:val="24"/>
          <w:szCs w:val="24"/>
          <w:shd w:fill="auto" w:val="clear"/>
        </w:rPr>
      </w:r>
    </w:p>
    <w:tbl>
      <w:tblPr>
        <w:tblW w:w="9613" w:type="dxa"/>
        <w:jc w:val="left"/>
        <w:tblInd w:w="15" w:type="dxa"/>
        <w:tblLayout w:type="fixed"/>
        <w:tblCellMar>
          <w:top w:w="0" w:type="dxa"/>
          <w:left w:w="70" w:type="dxa"/>
          <w:bottom w:w="0" w:type="dxa"/>
          <w:right w:w="70" w:type="dxa"/>
        </w:tblCellMar>
        <w:tblLook w:firstRow="0" w:noVBand="0" w:lastRow="0" w:firstColumn="0" w:lastColumn="0" w:noHBand="0" w:val="0000"/>
      </w:tblPr>
      <w:tblGrid>
        <w:gridCol w:w="422"/>
        <w:gridCol w:w="3952"/>
        <w:gridCol w:w="489"/>
        <w:gridCol w:w="4749"/>
      </w:tblGrid>
      <w:tr>
        <w:trPr>
          <w:trHeight w:val="175" w:hRule="atLeast"/>
        </w:trPr>
        <w:tc>
          <w:tcPr>
            <w:tcW w:w="9612" w:type="dxa"/>
            <w:gridSpan w:val="4"/>
            <w:tcBorders>
              <w:top w:val="single" w:sz="4" w:space="0" w:color="000000"/>
              <w:left w:val="single" w:sz="4" w:space="0" w:color="000000"/>
              <w:bottom w:val="single" w:sz="4" w:space="0" w:color="000000"/>
              <w:right w:val="single" w:sz="4" w:space="0" w:color="000000"/>
            </w:tcBorders>
            <w:shd w:color="auto" w:fill="EEEEEE" w:val="clear"/>
            <w:vAlign w:val="cente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 xml:space="preserve">ALINHAMENTO AO PDTIC </w:t>
            </w:r>
            <w:r>
              <w:rPr>
                <w:rFonts w:cs="Arial" w:ascii="Times New Roman" w:hAnsi="Times New Roman"/>
                <w:b/>
                <w:i/>
                <w:iCs/>
                <w:strike/>
                <w:color w:val="000000"/>
                <w:sz w:val="24"/>
                <w:szCs w:val="24"/>
                <w:shd w:fill="auto" w:val="clear"/>
              </w:rPr>
              <w:t>&lt;ANO&gt;</w:t>
            </w:r>
          </w:p>
        </w:tc>
      </w:tr>
      <w:tr>
        <w:trPr>
          <w:trHeight w:val="172" w:hRule="atLeast"/>
        </w:trPr>
        <w:tc>
          <w:tcPr>
            <w:tcW w:w="422" w:type="dxa"/>
            <w:tcBorders>
              <w:left w:val="single" w:sz="4" w:space="0" w:color="000000"/>
              <w:bottom w:val="single" w:sz="4" w:space="0" w:color="000000"/>
              <w:right w:val="single" w:sz="4" w:space="0" w:color="000000"/>
            </w:tcBorders>
            <w:shd w:color="auto" w:fill="EEEEEE" w:val="clear"/>
            <w:vAlign w:val="cente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ID</w:t>
            </w:r>
          </w:p>
        </w:tc>
        <w:tc>
          <w:tcPr>
            <w:tcW w:w="3952" w:type="dxa"/>
            <w:tcBorders>
              <w:left w:val="single" w:sz="4" w:space="0" w:color="000000"/>
              <w:bottom w:val="single" w:sz="4" w:space="0" w:color="000000"/>
              <w:right w:val="single" w:sz="4" w:space="0" w:color="000000"/>
            </w:tcBorders>
            <w:shd w:color="auto" w:fill="EEEEEE" w:val="clea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 xml:space="preserve"> </w:t>
            </w:r>
            <w:r>
              <w:rPr>
                <w:rFonts w:cs="Arial" w:ascii="Times New Roman" w:hAnsi="Times New Roman"/>
                <w:b/>
                <w:strike/>
                <w:color w:val="000000"/>
                <w:sz w:val="24"/>
                <w:szCs w:val="24"/>
                <w:shd w:fill="auto" w:val="clear"/>
              </w:rPr>
              <w:t>Ação do PDTIC</w:t>
            </w:r>
          </w:p>
        </w:tc>
        <w:tc>
          <w:tcPr>
            <w:tcW w:w="489" w:type="dxa"/>
            <w:tcBorders>
              <w:left w:val="single" w:sz="4" w:space="0" w:color="000000"/>
              <w:bottom w:val="single" w:sz="4" w:space="0" w:color="000000"/>
              <w:right w:val="single" w:sz="4" w:space="0" w:color="000000"/>
            </w:tcBorders>
            <w:shd w:color="auto" w:fill="EEEEEE" w:val="clea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ID</w:t>
            </w:r>
          </w:p>
        </w:tc>
        <w:tc>
          <w:tcPr>
            <w:tcW w:w="4749" w:type="dxa"/>
            <w:tcBorders>
              <w:left w:val="single" w:sz="4" w:space="0" w:color="000000"/>
              <w:bottom w:val="single" w:sz="4" w:space="0" w:color="000000"/>
              <w:right w:val="single" w:sz="4" w:space="0" w:color="000000"/>
            </w:tcBorders>
            <w:shd w:color="auto" w:fill="EEEEEE" w:val="clear"/>
          </w:tcPr>
          <w:p>
            <w:pPr>
              <w:pStyle w:val="Normal"/>
              <w:snapToGrid w:val="false"/>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strike/>
                <w:color w:val="000000"/>
                <w:sz w:val="24"/>
                <w:szCs w:val="24"/>
                <w:shd w:fill="auto" w:val="clear"/>
              </w:rPr>
              <w:t>Meta do PDTIC associada</w:t>
            </w:r>
          </w:p>
        </w:tc>
      </w:tr>
    </w:tbl>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Por tratar de oferta de serviços públicos digitais, o objeto da contratação será integrado à Plataforma Gov.br, nos termos do Decreto nº 8.936, de 19 de dezembro de 2016, e suas atualizações, de acordo com as especificações deste Termo de Referência.</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DESCRIÇÃO DA SOLUÇÃO COMO UM TODO CONSIDERADO O CICLO DE VIDA DO OBJETO E ESPECIFICAÇÃO DO PRODUTO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 w:name="_Ref121236534"/>
      <w:r>
        <w:rPr>
          <w:rFonts w:ascii="Times New Roman" w:hAnsi="Times New Roman"/>
          <w:color w:val="000000"/>
          <w:sz w:val="24"/>
          <w:szCs w:val="24"/>
          <w:shd w:fill="auto" w:val="clear"/>
        </w:rPr>
        <w:t>A descrição da solução como um todo encontra-se pormenorizada em tópico específico dos Estudos Técnicos Preliminares, apêndice deste Termo de Referência.</w:t>
      </w:r>
      <w:bookmarkEnd w:id="3"/>
    </w:p>
    <w:p>
      <w:pPr>
        <w:pStyle w:val="Nvel02"/>
        <w:numPr>
          <w:ilvl w:val="1"/>
          <w:numId w:val="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solução de TIC consiste na compra de materiais necessários para continuação dos trabalhos administrativos desta OM, a quantidade se justifica levando em consideração a falta de computadores nas seções desta OM.</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DA CONTRATAÇÃO</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Requisitos de Negócio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presente contratação orienta-se pelos seguintes requisitos de negócio:</w:t>
      </w:r>
    </w:p>
    <w:p>
      <w:pPr>
        <w:pStyle w:val="Nvel3-Opcional"/>
        <w:numPr>
          <w:ilvl w:val="2"/>
          <w:numId w:val="15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5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5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Requisitos de Capacitação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Será necessário treinamento à equipe que atuará com a solução. O treinamento deverá ser de no mínimo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xml:space="preserve"> horas de duração.</w:t>
      </w:r>
    </w:p>
    <w:p>
      <w:pPr>
        <w:pStyle w:val="Nvel3-Opcional"/>
        <w:numPr>
          <w:ilvl w:val="2"/>
          <w:numId w:val="15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Não faz parte do escopo da contratação a realização de capacitação técnica na utilização dos recursos relacionados ao objeto da presente contratação;</w:t>
      </w:r>
    </w:p>
    <w:p>
      <w:pPr>
        <w:pStyle w:val="Nvel3-Opcional"/>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Legais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4" w:name="_Hlk131437922"/>
      <w:r>
        <w:rPr>
          <w:rFonts w:ascii="Times New Roman" w:hAnsi="Times New Roman"/>
          <w:color w:val="000000"/>
          <w:sz w:val="24"/>
          <w:szCs w:val="24"/>
          <w:shd w:fill="auto" w:val="clear"/>
        </w:rPr>
        <w:t>O presente processo de contratação deve estar aderente à Constituição Federal, à Lei nº 14.133, de 2021, à Instrução Normativa SGD/ME nº 94, de 2022, Instrução Normativa SEGES/ME nº 65, de 7 de julho de 2021, Lei nº 13.709, de 2018 (Lei Geral de Proteção de Dados Pessoais – LGPD) e a outras legislações aplicáveis;</w:t>
      </w:r>
      <w:bookmarkEnd w:id="4"/>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Manutenção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Devido às características da solução, há necessidade de realização de manutenções </w:t>
      </w:r>
      <w:r>
        <w:rPr>
          <w:rFonts w:ascii="Times New Roman" w:hAnsi="Times New Roman"/>
          <w:b/>
          <w:bCs/>
          <w:i/>
          <w:iCs w:val="false"/>
          <w:strike/>
          <w:color w:val="000000"/>
          <w:sz w:val="24"/>
          <w:szCs w:val="24"/>
          <w:shd w:fill="auto" w:val="clear"/>
        </w:rPr>
        <w:t>[corretivas/preventivas/adaptativa/evolutiva]</w:t>
      </w:r>
      <w:r>
        <w:rPr>
          <w:rFonts w:ascii="Times New Roman" w:hAnsi="Times New Roman"/>
          <w:strike/>
          <w:color w:val="000000"/>
          <w:sz w:val="24"/>
          <w:szCs w:val="24"/>
          <w:shd w:fill="auto" w:val="clear"/>
        </w:rPr>
        <w:t xml:space="preserve"> pela Contratada, visando à manutenção da disponibilidade da solução;</w:t>
      </w:r>
    </w:p>
    <w:p>
      <w:pPr>
        <w:pStyle w:val="Nvel3-Opcional"/>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Temporais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A Entrega dos equipamentos deverá ser efetivada no prazo máximo de </w:t>
      </w:r>
      <w:r>
        <w:rPr>
          <w:rFonts w:ascii="Times New Roman" w:hAnsi="Times New Roman"/>
          <w:b/>
          <w:bCs/>
          <w:i/>
          <w:iCs w:val="false"/>
          <w:color w:val="000000"/>
          <w:sz w:val="24"/>
          <w:szCs w:val="24"/>
          <w:shd w:fill="auto" w:val="clear"/>
        </w:rPr>
        <w:t>10</w:t>
      </w:r>
      <w:r>
        <w:rPr>
          <w:rFonts w:ascii="Times New Roman" w:hAnsi="Times New Roman"/>
          <w:color w:val="000000"/>
          <w:sz w:val="24"/>
          <w:szCs w:val="24"/>
          <w:shd w:fill="auto" w:val="clear"/>
        </w:rPr>
        <w:t xml:space="preserve"> dias corridos  a contar do recebimento do empenho, emitida pela Contratante, podendo ser prorrogada, excepcionalmente, por até igual período, desde que justificado previamente pelo Contratado e autorizado pela Contratante;</w:t>
      </w:r>
    </w:p>
    <w:p>
      <w:pPr>
        <w:pStyle w:val="Nvel3-Opcional"/>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Segurança e Privacidade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solução deverá atender aos princípios e procedimentos elencados na Política de Segurança da Informação do Contratante, e [....]</w:t>
      </w:r>
    </w:p>
    <w:p>
      <w:pPr>
        <w:pStyle w:val="Nvel3-Opcional"/>
        <w:numPr>
          <w:ilvl w:val="2"/>
          <w:numId w:val="15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Sociais, Ambientais e Culturais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equipamentos devem estar aderentes às seguintes diretrizes sociais, ambientais e culturais:</w:t>
      </w:r>
    </w:p>
    <w:p>
      <w:pPr>
        <w:pStyle w:val="Nvel3-Opcional"/>
        <w:numPr>
          <w:ilvl w:val="2"/>
          <w:numId w:val="15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da Arquitetura Tecnológica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Os equipamentos deverão observar integralmente os requisitos de arquitetura tecnológica descritos a seguir: </w:t>
      </w:r>
    </w:p>
    <w:p>
      <w:pPr>
        <w:pStyle w:val="Nvel3-Opcional"/>
        <w:numPr>
          <w:ilvl w:val="2"/>
          <w:numId w:val="15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Projeto e de Implementação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Os equipamentos deverão observar integralmente os requisitos de projeto e de implementação descritos a seguir: </w:t>
      </w:r>
    </w:p>
    <w:p>
      <w:pPr>
        <w:pStyle w:val="Nvel3-Opcional"/>
        <w:numPr>
          <w:ilvl w:val="2"/>
          <w:numId w:val="15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Implantação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Os equipamentos deverão observar integralmente os requisitos de implantação, instalação e fornecimento descritos a seguir: </w:t>
      </w:r>
    </w:p>
    <w:p>
      <w:pPr>
        <w:pStyle w:val="Nvel3-Opcional"/>
        <w:numPr>
          <w:ilvl w:val="2"/>
          <w:numId w:val="16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zh-CN"/>
        </w:rPr>
        <w:t>Requisitos de Garantia, Manutenção e Assistência Técnica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prazo de garantia é aquele estabelecido na Lei nº 8.078, de 11 de setembro de 1990 (Código de Defesa do Consumidor)</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prazo de garantia contratual dos bens, complementar à garantia legal, será de, no mínimo, ___ (____) meses, ou pelo prazo fornecido pelo fabricante, se superior, contado a partir do primeiro dia útil subsequente à data do recebimento definitivo do objeto.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5" w:name="_Hlk175683455"/>
      <w:bookmarkStart w:id="6" w:name="_Hlk175669127"/>
      <w:r>
        <w:rPr>
          <w:rFonts w:ascii="Times New Roman" w:hAnsi="Times New Roman"/>
          <w:strike/>
          <w:color w:val="000000"/>
          <w:sz w:val="24"/>
          <w:szCs w:val="24"/>
          <w:shd w:fill="auto" w:val="clear"/>
        </w:rPr>
        <w:t xml:space="preserve">Caso o prazo da garantia oferecida pelo fabricante seja inferior ao estabelecido nesta cláusula, o fornecedor deverá complementar a garantia do bem ofertado pelo período restante. </w:t>
      </w:r>
      <w:bookmarkEnd w:id="5"/>
      <w:bookmarkEnd w:id="6"/>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A garantia será prestada com vistas a manter os equipamentos fornecidos em perfeitas condições de uso, sem qualquer ônus ou custo adicional para o Contratante.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A garantia abrange a realização da manutenção corretiva dos bens pelo próprio Contratado, ou, se for o caso, por meio de assistência técnica autorizada, de acordo com as normas técnicas específicas.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Entende-se por manutenção corretiva aquela destinada a corrigir os defeitos apresentados pelos bens, compreendendo a substituição de peças, a realização de ajustes, reparos e correções necessárias.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Uma vez notificado, o Contratado realizará a reparação ou substituição dos bens que apresentarem vício ou defeito no prazo de até ___ (_____) dias úteis, contados a partir da data de retirada do equipamento das dependências da Administração pelo Contratado ou pela assistência técnica autorizada.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prazo indicado no subitem anterior, durante seu transcurso, poderá ser prorrogado uma única vez, por igual período, mediante solicitação escrita e justificada do Contratado, aceita pelo Contratante.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custo referente ao transporte dos equipamentos cobertos pela garantia será de responsabilidade do Contratado.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Requisitos de Experiência Profissional</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serviços de [</w:t>
      </w:r>
      <w:r>
        <w:rPr>
          <w:rFonts w:ascii="Times New Roman" w:hAnsi="Times New Roman"/>
          <w:b/>
          <w:bCs/>
          <w:strike/>
          <w:color w:val="000000"/>
          <w:sz w:val="24"/>
          <w:szCs w:val="24"/>
          <w:shd w:fill="auto" w:val="clear"/>
        </w:rPr>
        <w:t>assistência técnica</w:t>
      </w:r>
      <w:r>
        <w:rPr>
          <w:rFonts w:ascii="Times New Roman" w:hAnsi="Times New Roman"/>
          <w:strike/>
          <w:color w:val="000000"/>
          <w:sz w:val="24"/>
          <w:szCs w:val="24"/>
          <w:shd w:fill="auto" w:val="clear"/>
        </w:rPr>
        <w:t>] / [</w:t>
      </w:r>
      <w:r>
        <w:rPr>
          <w:rFonts w:ascii="Times New Roman" w:hAnsi="Times New Roman"/>
          <w:b/>
          <w:bCs/>
          <w:strike/>
          <w:color w:val="000000"/>
          <w:sz w:val="24"/>
          <w:szCs w:val="24"/>
          <w:shd w:fill="auto" w:val="clear"/>
        </w:rPr>
        <w:t>suporte</w:t>
      </w:r>
      <w:r>
        <w:rPr>
          <w:rFonts w:ascii="Times New Roman" w:hAnsi="Times New Roman"/>
          <w:strike/>
          <w:color w:val="000000"/>
          <w:sz w:val="24"/>
          <w:szCs w:val="24"/>
          <w:shd w:fill="auto" w:val="clear"/>
        </w:rPr>
        <w:t>] / [</w:t>
      </w:r>
      <w:r>
        <w:rPr>
          <w:rFonts w:ascii="Times New Roman" w:hAnsi="Times New Roman"/>
          <w:b/>
          <w:bCs/>
          <w:strike/>
          <w:color w:val="000000"/>
          <w:sz w:val="24"/>
          <w:szCs w:val="24"/>
          <w:shd w:fill="auto" w:val="clear"/>
        </w:rPr>
        <w:t>garantia</w:t>
      </w:r>
      <w:r>
        <w:rPr>
          <w:rFonts w:ascii="Times New Roman" w:hAnsi="Times New Roman"/>
          <w:strike/>
          <w:color w:val="000000"/>
          <w:sz w:val="24"/>
          <w:szCs w:val="24"/>
          <w:shd w:fill="auto" w:val="clear"/>
        </w:rPr>
        <w:t>] / [</w:t>
      </w:r>
      <w:r>
        <w:rPr>
          <w:rFonts w:ascii="Times New Roman" w:hAnsi="Times New Roman"/>
          <w:b/>
          <w:bCs/>
          <w:strike/>
          <w:color w:val="000000"/>
          <w:sz w:val="24"/>
          <w:szCs w:val="24"/>
          <w:shd w:fill="auto" w:val="clear"/>
        </w:rPr>
        <w:t>....</w:t>
      </w:r>
      <w:r>
        <w:rPr>
          <w:rFonts w:ascii="Times New Roman" w:hAnsi="Times New Roman"/>
          <w:strike/>
          <w:color w:val="000000"/>
          <w:sz w:val="24"/>
          <w:szCs w:val="24"/>
          <w:shd w:fill="auto" w:val="clear"/>
        </w:rPr>
        <w:t>] deverão ser prestados por técnicos devidamente capacitados nos produtos em questão, bem como com todos os recursos ferramentais necessários para a prestação dos serviços;</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Não serão exigidos requisitos de experiência profissional para a presente a contratação.</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Requisitos de Formação da Equipe</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serviços deverão ser prestados por técnicos devidamente capacitados, de acordo com os critérios estabelecidos a seguir:</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Ou1"/>
        <w:spacing w:lineRule="auto" w:line="360" w:before="0" w:after="170"/>
        <w:ind w:hanging="0" w:left="0" w:right="0"/>
        <w:rPr>
          <w:rFonts w:ascii="Times New Roman" w:hAnsi="Times New Roman"/>
          <w:color w:val="000000"/>
          <w:sz w:val="24"/>
          <w:szCs w:val="24"/>
          <w:highlight w:val="none"/>
          <w:shd w:fill="auto" w:val="clear"/>
        </w:rPr>
      </w:pPr>
      <w:bookmarkStart w:id="7" w:name="_Hlk127381670"/>
      <w:r>
        <w:rPr>
          <w:rFonts w:ascii="Times New Roman" w:hAnsi="Times New Roman"/>
          <w:strike/>
          <w:color w:val="000000"/>
          <w:sz w:val="24"/>
          <w:szCs w:val="24"/>
          <w:shd w:fill="auto" w:val="clear"/>
        </w:rPr>
        <w:t>OU</w:t>
      </w:r>
      <w:bookmarkEnd w:id="7"/>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Não serão exigidos requisitos de formação da equipe para a presente a contratação.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Metodologia de Trabalho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fornecimento dos equipamentos está condicionado ao recebimento pelo Contratado de Ordem de fornecimento de Bens (OFB) emitida pela Contratante.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OFB indicará o tipo de equipamento, a quantidade e a localidade na qual os equipamentos deverão ser entregues.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Contratado deve fornecer meios para contato e registro de ocorrências da seguinte forma: com funcionamento </w:t>
      </w:r>
      <w:r>
        <w:rPr>
          <w:rFonts w:ascii="Times New Roman" w:hAnsi="Times New Roman"/>
          <w:b/>
          <w:bCs/>
          <w:i/>
          <w:iCs w:val="false"/>
          <w:color w:val="000000"/>
          <w:sz w:val="24"/>
          <w:szCs w:val="24"/>
          <w:shd w:fill="auto" w:val="clear"/>
        </w:rPr>
        <w:t>[XX]</w:t>
      </w:r>
      <w:r>
        <w:rPr>
          <w:rFonts w:ascii="Times New Roman" w:hAnsi="Times New Roman"/>
          <w:color w:val="000000"/>
          <w:sz w:val="24"/>
          <w:szCs w:val="24"/>
          <w:shd w:fill="auto" w:val="clear"/>
        </w:rPr>
        <w:t xml:space="preserve"> horas por dia e </w:t>
      </w:r>
      <w:r>
        <w:rPr>
          <w:rFonts w:ascii="Times New Roman" w:hAnsi="Times New Roman"/>
          <w:b/>
          <w:bCs/>
          <w:i/>
          <w:iCs w:val="false"/>
          <w:color w:val="000000"/>
          <w:sz w:val="24"/>
          <w:szCs w:val="24"/>
          <w:shd w:fill="auto" w:val="clear"/>
        </w:rPr>
        <w:t>[XX]</w:t>
      </w:r>
      <w:r>
        <w:rPr>
          <w:rFonts w:ascii="Times New Roman" w:hAnsi="Times New Roman"/>
          <w:color w:val="000000"/>
          <w:sz w:val="24"/>
          <w:szCs w:val="24"/>
          <w:shd w:fill="auto" w:val="clear"/>
        </w:rPr>
        <w:t xml:space="preserve"> dias por semana de maneira eletrônica e </w:t>
      </w:r>
      <w:r>
        <w:rPr>
          <w:rFonts w:ascii="Times New Roman" w:hAnsi="Times New Roman"/>
          <w:b/>
          <w:bCs/>
          <w:i/>
          <w:iCs w:val="false"/>
          <w:color w:val="000000"/>
          <w:sz w:val="24"/>
          <w:szCs w:val="24"/>
          <w:shd w:fill="auto" w:val="clear"/>
        </w:rPr>
        <w:t>[XX]</w:t>
      </w:r>
      <w:r>
        <w:rPr>
          <w:rFonts w:ascii="Times New Roman" w:hAnsi="Times New Roman"/>
          <w:color w:val="000000"/>
          <w:sz w:val="24"/>
          <w:szCs w:val="24"/>
          <w:shd w:fill="auto" w:val="clear"/>
        </w:rPr>
        <w:t xml:space="preserve"> horas por dia e </w:t>
      </w:r>
      <w:r>
        <w:rPr>
          <w:rFonts w:ascii="Times New Roman" w:hAnsi="Times New Roman"/>
          <w:b/>
          <w:bCs/>
          <w:i/>
          <w:iCs w:val="false"/>
          <w:color w:val="000000"/>
          <w:sz w:val="24"/>
          <w:szCs w:val="24"/>
          <w:shd w:fill="auto" w:val="clear"/>
        </w:rPr>
        <w:t>[XX]</w:t>
      </w:r>
      <w:r>
        <w:rPr>
          <w:rFonts w:ascii="Times New Roman" w:hAnsi="Times New Roman"/>
          <w:color w:val="000000"/>
          <w:sz w:val="24"/>
          <w:szCs w:val="24"/>
          <w:shd w:fill="auto" w:val="clear"/>
        </w:rPr>
        <w:t xml:space="preserve"> dias por semana por via telefônica.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andamento do fornecimento dos equipamentos dever ser acompanhado pelo Contratado, que dará ciência de eventuais acontecimentos à Contratante.</w:t>
      </w:r>
    </w:p>
    <w:p>
      <w:pPr>
        <w:pStyle w:val="Nivel2-Opcional"/>
        <w:numPr>
          <w:ilvl w:val="0"/>
          <w:numId w:val="0"/>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Requisitos de Segurança da Informação e Privacidade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Contratado deverá observar integralmente os requisitos de Segurança da Informação e Privacidade descritos a seguir:</w:t>
      </w:r>
    </w:p>
    <w:p>
      <w:pPr>
        <w:pStyle w:val="Nivel2-Opcional"/>
        <w:numPr>
          <w:ilvl w:val="0"/>
          <w:numId w:val="0"/>
        </w:numPr>
        <w:shd w:val="clear" w:color="auto" w:fill="auto"/>
        <w:spacing w:lineRule="auto" w:line="360" w:before="0" w:after="170"/>
        <w:ind w:hanging="0" w:left="0" w:righ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Outros Requisitos Aplicáveis</w:t>
      </w:r>
    </w:p>
    <w:p>
      <w:pPr>
        <w:pStyle w:val="Nivel2-Opcional"/>
        <w:numPr>
          <w:ilvl w:val="1"/>
          <w:numId w:val="4"/>
        </w:numPr>
        <w:shd w:val="clear" w:color="auto" w:fill="aut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val="false"/>
          <w:dstrike w:val="fals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val="false"/>
          <w:dstrike w:val="false"/>
          <w:color w:val="000000"/>
          <w:sz w:val="24"/>
          <w:szCs w:val="24"/>
          <w:shd w:fill="auto" w:val="clear"/>
        </w:rPr>
        <w:t>Sustentabilidade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val="false"/>
          <w:dstrike w:val="false"/>
          <w:color w:val="000000"/>
          <w:sz w:val="24"/>
          <w:szCs w:val="24"/>
          <w:shd w:fill="auto" w:val="clear"/>
        </w:rPr>
        <w:t>Além dos critérios de sustentabilidade eventualmente inseridos na descrição do objeto, devem ser atendidos os seguintes requisitos, que se baseiam no Guia Nacional de Contratações Sustentáveis:</w:t>
      </w:r>
    </w:p>
    <w:p>
      <w:pPr>
        <w:pStyle w:val="Nvel3-Opcional"/>
        <w:numPr>
          <w:ilvl w:val="0"/>
          <w:numId w:val="0"/>
        </w:numPr>
        <w:spacing w:lineRule="auto" w:line="360" w:before="0" w:after="170"/>
        <w:ind w:hanging="0" w:left="0" w:righ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Indicação de marcas ou modelos: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Na presente contratação será admitida a indicação da(s) seguinte(s) marca(s), característica(s) ou modelo(s), de acordo com as justificativas contidas nos Estudos Técnicos Preliminares</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Da vedação de utilização de marca/produto na execução do serviço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Diante das conclusões extraídas do processo administrativo nº </w:t>
      </w:r>
      <w:r>
        <w:rPr>
          <w:rFonts w:ascii="Times New Roman" w:hAnsi="Times New Roman"/>
          <w:b/>
          <w:strike/>
          <w:color w:val="000000"/>
          <w:sz w:val="24"/>
          <w:szCs w:val="24"/>
          <w:shd w:fill="auto" w:val="clear"/>
        </w:rPr>
        <w:t>xxxxx.xxxxxx/xxxx-xx</w:t>
      </w:r>
      <w:r>
        <w:rPr>
          <w:rFonts w:ascii="Times New Roman" w:hAnsi="Times New Roman"/>
          <w:strike/>
          <w:color w:val="000000"/>
          <w:sz w:val="24"/>
          <w:szCs w:val="24"/>
          <w:shd w:fill="auto" w:val="clear"/>
        </w:rPr>
        <w:t>, a Administração não aceitará o fornecimento dos seguintes produtos/marcas:</w:t>
      </w:r>
    </w:p>
    <w:p>
      <w:pPr>
        <w:pStyle w:val="Nvel3-Opcional"/>
        <w:numPr>
          <w:ilvl w:val="2"/>
          <w:numId w:val="16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6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6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Da exigência de carta de solidariedade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Em caso de fornecedor, revendedor ou distribuidor, será exigida do licitante/interessado provisoriamente classificado em primeiro lugar, nos termos do edital ou do aviso de contratação direta, carta de solidariedade emitida pelo fabricante, que assegure a execução do contrato.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Subcontratação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será admitida a subcontratação do objeto contratual.</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zh-CN" w:bidi="hi-IN"/>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É permitida a subcontratação parcial do objeto, até o limite de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w:t>
      </w:r>
      <w:r>
        <w:rPr>
          <w:rFonts w:ascii="Times New Roman" w:hAnsi="Times New Roman"/>
          <w:b/>
          <w:bCs/>
          <w:strike/>
          <w:color w:val="000000"/>
          <w:sz w:val="24"/>
          <w:szCs w:val="24"/>
          <w:shd w:fill="auto" w:val="clear"/>
        </w:rPr>
        <w:t>xxxxx</w:t>
      </w:r>
      <w:r>
        <w:rPr>
          <w:rFonts w:ascii="Times New Roman" w:hAnsi="Times New Roman"/>
          <w:strike/>
          <w:color w:val="000000"/>
          <w:sz w:val="24"/>
          <w:szCs w:val="24"/>
          <w:shd w:fill="auto" w:val="clear"/>
        </w:rPr>
        <w:t xml:space="preserve"> por cento) do valor total do contrato, nas seguintes condições: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 </w:t>
      </w:r>
      <w:r>
        <w:rPr>
          <w:rFonts w:ascii="Times New Roman" w:hAnsi="Times New Roman"/>
          <w:strike/>
          <w:color w:val="000000"/>
          <w:sz w:val="24"/>
          <w:szCs w:val="24"/>
          <w:shd w:fill="auto" w:val="clear"/>
        </w:rPr>
        <w:t>É vedada a subcontratação completa ou da parcela principal da obrigação, abaixo discriminada:</w:t>
      </w:r>
    </w:p>
    <w:p>
      <w:pPr>
        <w:pStyle w:val="Nvel3-Opcional"/>
        <w:numPr>
          <w:ilvl w:val="2"/>
          <w:numId w:val="16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6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6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Poderão ser subcontratadas as seguintes parcelas do objeto: </w:t>
      </w:r>
    </w:p>
    <w:p>
      <w:pPr>
        <w:pStyle w:val="Nvel3-Opcional"/>
        <w:numPr>
          <w:ilvl w:val="2"/>
          <w:numId w:val="16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6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6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subcontratação depende de autorização prévia do Contratante, a quem incumbe avaliar se o subcontratado cumpre os requisitos de qualificação técnica necessários para a execução do objeto.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Contratado apresentará à Administração documentação que comprove a capacidade técnica do subcontratado, que será avaliada e juntada aos autos do processo correspondente.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Da exigência de amostra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Serão exigidas amostras dos seguintes itens:</w:t>
      </w:r>
    </w:p>
    <w:p>
      <w:pPr>
        <w:pStyle w:val="Nvel3-Opcional"/>
        <w:numPr>
          <w:ilvl w:val="2"/>
          <w:numId w:val="17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7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7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As amostras poderão ser entregues no endereço [</w:t>
      </w:r>
      <w:r>
        <w:rPr>
          <w:rFonts w:ascii="Times New Roman" w:hAnsi="Times New Roman"/>
          <w:b/>
          <w:bCs/>
          <w:strike/>
          <w:color w:val="000000"/>
          <w:sz w:val="24"/>
          <w:szCs w:val="24"/>
          <w:shd w:fill="auto" w:val="clear"/>
        </w:rPr>
        <w:t>indicar o endereço</w:t>
      </w:r>
      <w:r>
        <w:rPr>
          <w:rFonts w:ascii="Times New Roman" w:hAnsi="Times New Roman"/>
          <w:strike/>
          <w:color w:val="000000"/>
          <w:sz w:val="24"/>
          <w:szCs w:val="24"/>
          <w:shd w:fill="auto" w:val="clear"/>
        </w:rPr>
        <w:t>], no prazo limite de [</w:t>
      </w:r>
      <w:r>
        <w:rPr>
          <w:rFonts w:ascii="Times New Roman" w:hAnsi="Times New Roman"/>
          <w:b/>
          <w:bCs/>
          <w:strike/>
          <w:color w:val="000000"/>
          <w:sz w:val="24"/>
          <w:szCs w:val="24"/>
          <w:shd w:fill="auto" w:val="clear"/>
        </w:rPr>
        <w:t>indicar o prazo</w:t>
      </w:r>
      <w:r>
        <w:rPr>
          <w:rFonts w:ascii="Times New Roman" w:hAnsi="Times New Roman"/>
          <w:strike/>
          <w:color w:val="000000"/>
          <w:sz w:val="24"/>
          <w:szCs w:val="24"/>
          <w:shd w:fill="auto" w:val="clear"/>
        </w:rPr>
        <w:t>], sendo que a empresa assume total responsabilidade pelo envio e por eventual atraso na entrega.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É facultada prorrogação o prazo estabelecido, a partir de solicitação fundamentada no chat pelo interessado, antes de findo o prazo.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No caso de não haver entrega da amostra ou ocorrer atraso na entrega, sem justificativa aceita, ou havendo entrega de amostra fora das especificações previstas, a proposta será recusada.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Serão avaliados os seguintes aspectos e padrões mínimos de aceitabilidade:</w:t>
      </w:r>
    </w:p>
    <w:p>
      <w:pPr>
        <w:pStyle w:val="Nvel3-Opcional"/>
        <w:numPr>
          <w:ilvl w:val="2"/>
          <w:numId w:val="17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Itens (....): ...........;</w:t>
      </w:r>
    </w:p>
    <w:p>
      <w:pPr>
        <w:pStyle w:val="Nvel3-Opcional"/>
        <w:numPr>
          <w:ilvl w:val="2"/>
          <w:numId w:val="17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Itens (....):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resultados das avaliações serão divulgados por meio de mensagem no sistema.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exemplares colocados à disposição da Administração serão tratados como protótipos, podendo ser manuseados e desmontados pela equipe técnica responsável pela análise, não gerando direito a ressarcimento.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Após a divulgação do resultado final do certame, as amostras entregues deverão ser recolhidas pelos fornecedores no prazo de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xml:space="preserve"> (</w:t>
      </w:r>
      <w:r>
        <w:rPr>
          <w:rFonts w:ascii="Times New Roman" w:hAnsi="Times New Roman"/>
          <w:b/>
          <w:bCs/>
          <w:strike/>
          <w:color w:val="000000"/>
          <w:sz w:val="24"/>
          <w:szCs w:val="24"/>
          <w:shd w:fill="auto" w:val="clear"/>
        </w:rPr>
        <w:t>xxxxx</w:t>
      </w:r>
      <w:r>
        <w:rPr>
          <w:rFonts w:ascii="Times New Roman" w:hAnsi="Times New Roman"/>
          <w:strike/>
          <w:color w:val="000000"/>
          <w:sz w:val="24"/>
          <w:szCs w:val="24"/>
          <w:shd w:fill="auto" w:val="clear"/>
        </w:rPr>
        <w:t>) dias, após o qual poderão ser descartadas pela Administração, sem direito a ressarcimento.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interessados deverão colocar à disposição da Administração todas as condições indispensáveis à realização de testes e fornecer, sem ônus, os manuais impressos em língua portuguesa, necessários ao seu perfeito manuseio, quando for o caso.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Garantia da contratação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8" w:name="_Hlk170740922"/>
      <w:bookmarkEnd w:id="8"/>
      <w:r>
        <w:rPr>
          <w:rFonts w:ascii="Times New Roman" w:hAnsi="Times New Roman"/>
          <w:color w:val="000000"/>
          <w:sz w:val="24"/>
          <w:szCs w:val="24"/>
          <w:shd w:fill="auto" w:val="clear"/>
        </w:rPr>
        <w:t>Não haverá exigência da garantia da contratação dos art. 96 e seguintes da Lei nº 14.133, de 2021, pelas razões constantes do Estudo Técnico Preliminar.</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9" w:name="_Hlk190940364"/>
      <w:bookmarkStart w:id="10" w:name="_Hlk170740922_Copia_1"/>
      <w:bookmarkEnd w:id="10"/>
      <w:r>
        <w:rPr>
          <w:rFonts w:ascii="Times New Roman" w:hAnsi="Times New Roman"/>
          <w:strike/>
          <w:color w:val="000000"/>
          <w:sz w:val="24"/>
          <w:szCs w:val="24"/>
          <w:shd w:fill="auto" w:val="clear"/>
        </w:rPr>
        <w:t>Será exigida a garantia da contratação de que tratam os arts. 96 e seguintes da Lei nº 14.133, de 2021,</w:t>
      </w:r>
      <w:bookmarkStart w:id="11" w:name="_Hlk190335120"/>
      <w:r>
        <w:rPr>
          <w:rFonts w:ascii="Times New Roman" w:hAnsi="Times New Roman"/>
          <w:strike/>
          <w:color w:val="000000"/>
          <w:sz w:val="24"/>
          <w:szCs w:val="24"/>
          <w:shd w:fill="auto" w:val="clear"/>
        </w:rPr>
        <w:t xml:space="preserve"> com validade durante a execução do contrato e 90 (noventa) dias após término da vigência contratual, </w:t>
      </w:r>
      <w:bookmarkEnd w:id="11"/>
      <w:r>
        <w:rPr>
          <w:rFonts w:ascii="Times New Roman" w:hAnsi="Times New Roman"/>
          <w:strike/>
          <w:color w:val="000000"/>
          <w:sz w:val="24"/>
          <w:szCs w:val="24"/>
          <w:shd w:fill="auto" w:val="clear"/>
        </w:rPr>
        <w:t xml:space="preserve">podendo o Contratado optar pela caução em dinheiro ou em títulos da dívida pública, seguro-garantia, fiança bancária ou título de capitalização, em valor correspondente a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w:t>
      </w:r>
      <w:r>
        <w:rPr>
          <w:rFonts w:ascii="Times New Roman" w:hAnsi="Times New Roman"/>
          <w:b/>
          <w:bCs/>
          <w:strike/>
          <w:color w:val="000000"/>
          <w:sz w:val="24"/>
          <w:szCs w:val="24"/>
          <w:shd w:fill="auto" w:val="clear"/>
        </w:rPr>
        <w:t>xxxxx</w:t>
      </w:r>
      <w:r>
        <w:rPr>
          <w:rFonts w:ascii="Times New Roman" w:hAnsi="Times New Roman"/>
          <w:strike/>
          <w:color w:val="000000"/>
          <w:sz w:val="24"/>
          <w:szCs w:val="24"/>
          <w:shd w:fill="auto" w:val="clear"/>
        </w:rPr>
        <w:t xml:space="preserve"> por cento) do valor </w:t>
      </w:r>
      <w:r>
        <w:rPr>
          <w:rFonts w:ascii="Times New Roman" w:hAnsi="Times New Roman"/>
          <w:b/>
          <w:strike/>
          <w:color w:val="000000"/>
          <w:sz w:val="24"/>
          <w:szCs w:val="24"/>
          <w:shd w:fill="auto" w:val="clear"/>
        </w:rPr>
        <w:t>[total]</w:t>
      </w:r>
      <w:r>
        <w:rPr>
          <w:rFonts w:ascii="Times New Roman" w:hAnsi="Times New Roman"/>
          <w:strike/>
          <w:color w:val="000000"/>
          <w:sz w:val="24"/>
          <w:szCs w:val="24"/>
          <w:shd w:fill="auto" w:val="clear"/>
        </w:rPr>
        <w:t xml:space="preserve"> </w:t>
      </w:r>
      <w:r>
        <w:rPr>
          <w:rFonts w:ascii="Times New Roman" w:hAnsi="Times New Roman"/>
          <w:b/>
          <w:bCs/>
          <w:strike/>
          <w:color w:val="000000"/>
          <w:sz w:val="24"/>
          <w:szCs w:val="24"/>
          <w:shd w:fill="auto" w:val="clear"/>
        </w:rPr>
        <w:t>OU</w:t>
      </w:r>
      <w:r>
        <w:rPr>
          <w:rFonts w:ascii="Times New Roman" w:hAnsi="Times New Roman"/>
          <w:strike/>
          <w:color w:val="000000"/>
          <w:sz w:val="24"/>
          <w:szCs w:val="24"/>
          <w:shd w:fill="auto" w:val="clear"/>
        </w:rPr>
        <w:t xml:space="preserve"> </w:t>
      </w:r>
      <w:r>
        <w:rPr>
          <w:rFonts w:ascii="Times New Roman" w:hAnsi="Times New Roman"/>
          <w:b/>
          <w:strike/>
          <w:color w:val="000000"/>
          <w:sz w:val="24"/>
          <w:szCs w:val="24"/>
          <w:shd w:fill="auto" w:val="clear"/>
        </w:rPr>
        <w:t>[anual]</w:t>
      </w:r>
      <w:r>
        <w:rPr>
          <w:rFonts w:ascii="Times New Roman" w:hAnsi="Times New Roman"/>
          <w:strike/>
          <w:color w:val="000000"/>
          <w:sz w:val="24"/>
          <w:szCs w:val="24"/>
          <w:shd w:fill="auto" w:val="clear"/>
        </w:rPr>
        <w:t xml:space="preserve"> da contratação. </w:t>
      </w:r>
      <w:bookmarkEnd w:id="9"/>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Em caso de opção pelo seguro-garantia, a parte adjudicatária deverá apresentá-la, no máximo, até a data de assinatura do contrato.</w:t>
      </w:r>
    </w:p>
    <w:p>
      <w:pPr>
        <w:pStyle w:val="Nvel3-Opcional"/>
        <w:numPr>
          <w:ilvl w:val="2"/>
          <w:numId w:val="175"/>
        </w:numPr>
        <w:spacing w:lineRule="auto" w:line="360" w:before="0" w:after="170"/>
        <w:ind w:hanging="0" w:left="0" w:right="0"/>
        <w:rPr/>
      </w:pPr>
      <w:bookmarkStart w:id="12" w:name="_Hlk190940390"/>
      <w:r>
        <w:rPr>
          <w:rStyle w:val="normaltextrun"/>
          <w:rFonts w:ascii="Times New Roman" w:hAnsi="Times New Roman"/>
          <w:strike/>
          <w:color w:val="000000"/>
          <w:sz w:val="24"/>
          <w:szCs w:val="24"/>
          <w:shd w:fill="auto" w:val="clear"/>
        </w:rPr>
        <w:t>A apólice de seguro-garantia permanecerá em vigor mesmo que o Contratado não pague o prêmio nas datas convencionadas.</w:t>
      </w:r>
      <w:r>
        <w:rPr>
          <w:rStyle w:val="normaltextrun"/>
          <w:rFonts w:ascii="Times New Roman" w:hAnsi="Times New Roman"/>
          <w:iCs/>
          <w:strike/>
          <w:color w:val="000000"/>
          <w:sz w:val="24"/>
          <w:szCs w:val="24"/>
          <w:shd w:fill="auto" w:val="clear"/>
        </w:rPr>
        <w:t> </w:t>
      </w:r>
      <w:bookmarkEnd w:id="12"/>
    </w:p>
    <w:p>
      <w:pPr>
        <w:pStyle w:val="Nvel3-Opcional"/>
        <w:numPr>
          <w:ilvl w:val="2"/>
          <w:numId w:val="176"/>
        </w:numPr>
        <w:spacing w:lineRule="auto" w:line="360" w:before="0" w:after="170"/>
        <w:ind w:hanging="0" w:left="0" w:right="0"/>
        <w:rPr/>
      </w:pPr>
      <w:r>
        <w:rPr>
          <w:rStyle w:val="normaltextrun"/>
          <w:rFonts w:ascii="Times New Roman" w:hAnsi="Times New Roman"/>
          <w:strike/>
          <w:color w:val="000000"/>
          <w:sz w:val="24"/>
          <w:szCs w:val="24"/>
          <w:shd w:fill="auto" w:val="clear"/>
        </w:rPr>
        <w:t>Caso o adjudicatário não apresente a apólice de seguro de garantia antes da assinatura do contrato, ocorrerá a preclusão do direito de escolha dessa modalidade de garantia.</w:t>
      </w:r>
    </w:p>
    <w:p>
      <w:pPr>
        <w:pStyle w:val="Nvel3-Opcional"/>
        <w:numPr>
          <w:ilvl w:val="2"/>
          <w:numId w:val="177"/>
        </w:numPr>
        <w:spacing w:lineRule="auto" w:line="360" w:before="0" w:after="170"/>
        <w:ind w:hanging="0" w:left="0" w:right="0"/>
        <w:rPr/>
      </w:pPr>
      <w:r>
        <w:rPr>
          <w:rStyle w:val="normaltextrun"/>
          <w:rFonts w:ascii="Times New Roman" w:hAnsi="Times New Roman"/>
          <w:strike/>
          <w:color w:val="000000"/>
          <w:sz w:val="24"/>
          <w:szCs w:val="24"/>
          <w:shd w:fill="auto" w:val="clear"/>
        </w:rPr>
        <w:t>A apólice de seguro-garantia deverá acompanhar as modificações referentes à vigência do contrato principal mediante a emissão do respectivo endosso pela seguradora.</w:t>
      </w:r>
      <w:r>
        <w:rPr>
          <w:rStyle w:val="normaltextrun"/>
          <w:rFonts w:ascii="Times New Roman" w:hAnsi="Times New Roman"/>
          <w:iCs/>
          <w:strike/>
          <w:color w:val="000000"/>
          <w:sz w:val="24"/>
          <w:szCs w:val="24"/>
          <w:shd w:fill="auto" w:val="clear"/>
        </w:rPr>
        <w:t> </w:t>
      </w:r>
    </w:p>
    <w:p>
      <w:pPr>
        <w:pStyle w:val="Nvel3-Opcional"/>
        <w:numPr>
          <w:ilvl w:val="2"/>
          <w:numId w:val="178"/>
        </w:numPr>
        <w:spacing w:lineRule="auto" w:line="360" w:before="0" w:after="170"/>
        <w:ind w:hanging="0" w:left="0" w:right="0"/>
        <w:rPr/>
      </w:pPr>
      <w:r>
        <w:rPr>
          <w:rStyle w:val="normaltextrun"/>
          <w:rFonts w:ascii="Times New Roman" w:hAnsi="Times New Roman"/>
          <w:strike/>
          <w:color w:val="000000"/>
          <w:sz w:val="24"/>
          <w:szCs w:val="24"/>
          <w:shd w:fill="auto" w:val="clear"/>
        </w:rPr>
        <w:t>Será permitida a substituição da apólice de seguro-garantia na data de renovação ou de aniversário, desde que mantidas as condições e coberturas da apólice vigente e nenhum período fique descoberto, ressalvados os períodos de suspensão contratual.</w:t>
      </w:r>
      <w:r>
        <w:rPr>
          <w:rStyle w:val="normaltextrun"/>
          <w:rFonts w:ascii="Times New Roman" w:hAnsi="Times New Roman"/>
          <w:iCs/>
          <w:strike/>
          <w:color w:val="000000"/>
          <w:sz w:val="24"/>
          <w:szCs w:val="24"/>
          <w:shd w:fill="auto" w:val="clear"/>
        </w:rPr>
        <w:t> </w:t>
      </w:r>
    </w:p>
    <w:p>
      <w:pPr>
        <w:pStyle w:val="Nvel3-Opcional"/>
        <w:numPr>
          <w:ilvl w:val="2"/>
          <w:numId w:val="179"/>
        </w:numPr>
        <w:spacing w:lineRule="auto" w:line="360" w:before="0" w:after="170"/>
        <w:ind w:hanging="0" w:left="0" w:right="0"/>
        <w:rPr/>
      </w:pPr>
      <w:r>
        <w:rPr>
          <w:rStyle w:val="CommentReference"/>
          <w:rFonts w:ascii="Times New Roman" w:hAnsi="Times New Roman"/>
          <w:strike/>
          <w:color w:val="000000"/>
          <w:sz w:val="24"/>
          <w:szCs w:val="24"/>
          <w:shd w:fill="auto" w:val="clear"/>
        </w:rPr>
        <w:t xml:space="preserve">Caso o </w:t>
      </w:r>
      <w:r>
        <w:rPr>
          <w:rStyle w:val="normaltextrun"/>
          <w:rFonts w:ascii="Times New Roman" w:hAnsi="Times New Roman"/>
          <w:strike/>
          <w:color w:val="000000"/>
          <w:sz w:val="24"/>
          <w:szCs w:val="24"/>
          <w:shd w:fill="auto" w:val="clear"/>
        </w:rPr>
        <w:t>adjudicatário</w:t>
      </w:r>
      <w:r>
        <w:rPr>
          <w:rStyle w:val="CommentReference"/>
          <w:rFonts w:ascii="Times New Roman" w:hAnsi="Times New Roman"/>
          <w:strike/>
          <w:color w:val="000000"/>
          <w:sz w:val="24"/>
          <w:szCs w:val="24"/>
          <w:shd w:fill="auto" w:val="clear"/>
        </w:rPr>
        <w:t xml:space="preserve"> não opte pelo seguro-garantia ou não apresente a apólice de seguro de garantia antes da assinatura do contrato, deverá apresentar, no prazo máximo de 10 (dez) dias úteis, prorrogáveis por igual período, a critério do Contratante, contado da assinatura do contrato, comprovante de prestação de garantia nas modalidades de caução em dinheiro ou títulos da dívida pública, fiança bancária ou títulos de capitalização</w:t>
      </w:r>
      <w:r>
        <w:rPr>
          <w:rFonts w:ascii="Times New Roman" w:hAnsi="Times New Roman"/>
          <w:strike/>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Caso seja a garantia em dinheiro a modalidade de garantia escolhida pelo Contratado, deverá ser efetuada em favor do Contratante, em conta específica na Caixa Econômica Federal, com correção monetária.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pPr>
        <w:pStyle w:val="Nvel3-Opcional"/>
        <w:numPr>
          <w:ilvl w:val="2"/>
          <w:numId w:val="18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título de capitalização deverá ser apresentado ao Contratante juntamente com as condições gerais e o número do processo administrativo sob o qual o plano de capitalização foi aprovado pela Susep (art. 8º, III, da Circular SUSEP nº 656, de 11 de março de 2022).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garantia assegurará, qualquer que seja a modalidade escolhida, sob pena de não aceitação, o pagamento de: </w:t>
      </w:r>
    </w:p>
    <w:p>
      <w:pPr>
        <w:pStyle w:val="Nvel3-Opcional"/>
        <w:numPr>
          <w:ilvl w:val="2"/>
          <w:numId w:val="181"/>
        </w:numPr>
        <w:spacing w:lineRule="auto" w:line="360" w:before="0" w:after="170"/>
        <w:ind w:hanging="0" w:left="0" w:right="0"/>
        <w:rPr/>
      </w:pPr>
      <w:r>
        <w:rPr>
          <w:rStyle w:val="normaltextrun"/>
          <w:rFonts w:ascii="Times New Roman" w:hAnsi="Times New Roman"/>
          <w:strike/>
          <w:color w:val="000000"/>
          <w:sz w:val="24"/>
          <w:szCs w:val="24"/>
          <w:shd w:fill="auto" w:val="clear"/>
        </w:rPr>
        <w:t>prejuízos</w:t>
      </w:r>
      <w:r>
        <w:rPr>
          <w:rFonts w:ascii="Times New Roman" w:hAnsi="Times New Roman"/>
          <w:strike/>
          <w:color w:val="000000"/>
          <w:sz w:val="24"/>
          <w:szCs w:val="24"/>
          <w:shd w:fill="auto" w:val="clear"/>
        </w:rPr>
        <w:t xml:space="preserve"> advindos do não cumprimento do objeto do contrato e do não adimplemento das demais obrigações nele previstas; e</w:t>
      </w:r>
    </w:p>
    <w:p>
      <w:pPr>
        <w:pStyle w:val="Nvel3-Opcional"/>
        <w:numPr>
          <w:ilvl w:val="2"/>
          <w:numId w:val="182"/>
        </w:numPr>
        <w:spacing w:lineRule="auto" w:line="360" w:before="0" w:after="170"/>
        <w:ind w:hanging="0" w:left="0" w:right="0"/>
        <w:rPr/>
      </w:pPr>
      <w:r>
        <w:rPr>
          <w:rStyle w:val="normaltextrun"/>
          <w:rFonts w:ascii="Times New Roman" w:hAnsi="Times New Roman"/>
          <w:strike/>
          <w:color w:val="000000"/>
          <w:sz w:val="24"/>
          <w:szCs w:val="24"/>
          <w:shd w:fill="auto" w:val="clear"/>
        </w:rPr>
        <w:t>multas</w:t>
      </w:r>
      <w:r>
        <w:rPr>
          <w:rFonts w:ascii="Times New Roman" w:hAnsi="Times New Roman"/>
          <w:strike/>
          <w:color w:val="000000"/>
          <w:sz w:val="24"/>
          <w:szCs w:val="24"/>
          <w:shd w:fill="auto" w:val="clear"/>
        </w:rPr>
        <w:t xml:space="preserve"> moratórias e punitivas aplicadas pela Administração ao Contratado.</w:t>
      </w:r>
    </w:p>
    <w:p>
      <w:pPr>
        <w:pStyle w:val="Nvel2-Opcional"/>
        <w:numPr>
          <w:ilvl w:val="1"/>
          <w:numId w:val="4"/>
        </w:numPr>
        <w:spacing w:lineRule="auto" w:line="360" w:before="0" w:after="170"/>
        <w:ind w:hanging="0" w:left="0" w:right="0"/>
        <w:rPr/>
      </w:pPr>
      <w:r>
        <w:rPr>
          <w:rFonts w:ascii="Times New Roman" w:hAnsi="Times New Roman"/>
          <w:strike/>
          <w:color w:val="000000"/>
          <w:sz w:val="24"/>
          <w:szCs w:val="24"/>
          <w:shd w:fill="auto" w:val="clear"/>
        </w:rPr>
        <w:t xml:space="preserve">No caso de alteração do valor do contrato, ou prorrogação de sua vigência, a garantia deverá ser ajustada ou renovada, no prazo máximo de 10 (dez) dias úteis, prorrogáveis por igual período, </w:t>
      </w:r>
      <w:r>
        <w:rPr>
          <w:rStyle w:val="CommentReference"/>
          <w:rFonts w:ascii="Times New Roman" w:hAnsi="Times New Roman"/>
          <w:strike/>
          <w:color w:val="000000"/>
          <w:sz w:val="24"/>
          <w:szCs w:val="24"/>
          <w:shd w:fill="auto" w:val="clear"/>
        </w:rPr>
        <w:t xml:space="preserve">contado da data de assinatura do termo aditivo ou da emissão do apostilamento, </w:t>
      </w:r>
      <w:r>
        <w:rPr>
          <w:rFonts w:ascii="Times New Roman" w:hAnsi="Times New Roman"/>
          <w:strike/>
          <w:color w:val="000000"/>
          <w:sz w:val="24"/>
          <w:szCs w:val="24"/>
          <w:shd w:fill="auto" w:val="clear"/>
        </w:rPr>
        <w:t>seguindo os mesmos parâmetros utilizados quando da contratação.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Na hipótese de suspensão do contrato por ordem ou inadimplemento da Administração, o Contratado ficará desobrigado de renovar a garantia ou de endossar a apólice de seguro até a ordem de reinício da execução ou o adimplemento pela Administração.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Contratante executará a garantia na forma prevista na legislação que rege a matéria.</w:t>
      </w:r>
    </w:p>
    <w:p>
      <w:pPr>
        <w:pStyle w:val="Nvel3-Opcional"/>
        <w:numPr>
          <w:ilvl w:val="2"/>
          <w:numId w:val="18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emitente da garantia ofertada pelo Contratado deverá ser notificado pelo Contratante quanto ao início de processo administrativo para apuração de descumprimento de cláusulas contratuais.</w:t>
      </w:r>
    </w:p>
    <w:p>
      <w:pPr>
        <w:pStyle w:val="Nvel3-Opcional"/>
        <w:numPr>
          <w:ilvl w:val="2"/>
          <w:numId w:val="18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pPr>
        <w:pStyle w:val="Nvel3-Opcional"/>
        <w:numPr>
          <w:ilvl w:val="2"/>
          <w:numId w:val="185"/>
        </w:numPr>
        <w:spacing w:lineRule="auto" w:line="360" w:before="0" w:after="170"/>
        <w:ind w:hanging="0" w:left="0" w:right="0"/>
        <w:rPr/>
      </w:pPr>
      <w:r>
        <w:rPr>
          <w:rFonts w:ascii="Times New Roman" w:hAnsi="Times New Roman"/>
          <w:strike/>
          <w:color w:val="000000"/>
          <w:sz w:val="24"/>
          <w:szCs w:val="24"/>
          <w:shd w:fill="auto" w:val="clear"/>
        </w:rPr>
        <w:t xml:space="preserve">A </w:t>
      </w:r>
      <w:r>
        <w:rPr>
          <w:rStyle w:val="normaltextrun"/>
          <w:rFonts w:ascii="Times New Roman" w:hAnsi="Times New Roman"/>
          <w:strike/>
          <w:color w:val="000000"/>
          <w:sz w:val="24"/>
          <w:szCs w:val="24"/>
          <w:shd w:fill="auto" w:val="clear"/>
        </w:rPr>
        <w:t>extinção</w:t>
      </w:r>
      <w:r>
        <w:rPr>
          <w:rFonts w:ascii="Times New Roman" w:hAnsi="Times New Roman"/>
          <w:strike/>
          <w:color w:val="000000"/>
          <w:sz w:val="24"/>
          <w:szCs w:val="24"/>
          <w:shd w:fill="auto" w:val="clear"/>
        </w:rPr>
        <w:t xml:space="preserve"> da garantia na modalidade seguro-garantia observará a regulamentação da Susep.</w:t>
      </w:r>
    </w:p>
    <w:p>
      <w:pPr>
        <w:pStyle w:val="Nvel3-Opcional"/>
        <w:numPr>
          <w:ilvl w:val="2"/>
          <w:numId w:val="186"/>
        </w:numPr>
        <w:spacing w:lineRule="auto" w:line="360" w:before="0" w:after="170"/>
        <w:ind w:hanging="0" w:left="0" w:right="0"/>
        <w:rPr/>
      </w:pPr>
      <w:r>
        <w:rPr>
          <w:rFonts w:ascii="Times New Roman" w:hAnsi="Times New Roman"/>
          <w:strike/>
          <w:color w:val="000000"/>
          <w:sz w:val="24"/>
          <w:szCs w:val="24"/>
          <w:shd w:fill="auto" w:val="clear"/>
        </w:rPr>
        <w:t xml:space="preserve">A </w:t>
      </w:r>
      <w:r>
        <w:rPr>
          <w:rStyle w:val="normaltextrun"/>
          <w:rFonts w:ascii="Times New Roman" w:hAnsi="Times New Roman"/>
          <w:strike/>
          <w:color w:val="000000"/>
          <w:sz w:val="24"/>
          <w:szCs w:val="24"/>
          <w:shd w:fill="auto" w:val="clear"/>
        </w:rPr>
        <w:t>Administração</w:t>
      </w:r>
      <w:r>
        <w:rPr>
          <w:rFonts w:ascii="Times New Roman" w:hAnsi="Times New Roman"/>
          <w:strike/>
          <w:color w:val="000000"/>
          <w:sz w:val="24"/>
          <w:szCs w:val="24"/>
          <w:shd w:fill="auto" w:val="clear"/>
        </w:rPr>
        <w:t xml:space="preserve"> deverá apurar se há alguma pendência contratual antes do término da vigência da apólice.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garantia somente será liberada ou restituída após a fiel execução do contrato ou após a sua extinção por culpa exclusiva da Administração e, quando em dinheiro, será atualizada monetariamente.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Contratado autoriza o Contratante a reter, a qualquer tempo, a garantia, na forma prevista neste Termo de Referência.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garantidor não é parte para figurar em processo administrativo instaurado pelo Contratante com o objetivo de apurar prejuízos e/ou aplicar sanções ao Contratado.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garantia de execução é independente de eventual garantia do produto ou serviço prevista neste Termo de Referência.</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Informações relevantes para o [dimensionamento </w:t>
      </w:r>
      <w:r>
        <w:rPr>
          <w:rFonts w:ascii="Times New Roman" w:hAnsi="Times New Roman"/>
          <w:strike/>
          <w:color w:val="000000"/>
          <w:sz w:val="24"/>
          <w:szCs w:val="24"/>
          <w:u w:val="single"/>
          <w:shd w:fill="auto" w:val="clear"/>
        </w:rPr>
        <w:t>E/OU</w:t>
      </w:r>
      <w:r>
        <w:rPr>
          <w:rFonts w:ascii="Times New Roman" w:hAnsi="Times New Roman"/>
          <w:strike/>
          <w:color w:val="000000"/>
          <w:sz w:val="24"/>
          <w:szCs w:val="24"/>
          <w:shd w:fill="auto" w:val="clear"/>
        </w:rPr>
        <w:t xml:space="preserve"> apresentação] da proposta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demanda do órgão tem como base as seguintes características:</w:t>
      </w:r>
    </w:p>
    <w:p>
      <w:pPr>
        <w:pStyle w:val="Nvel3-Opcional"/>
        <w:numPr>
          <w:ilvl w:val="2"/>
          <w:numId w:val="18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8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8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2-Red"/>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b/>
          <w:bCs/>
          <w:strike/>
          <w:color w:val="000000"/>
          <w:sz w:val="24"/>
          <w:szCs w:val="24"/>
          <w:u w:val="single"/>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demanda dos órgãos partícipes tem como base as seguintes características:</w:t>
      </w:r>
    </w:p>
    <w:p>
      <w:pPr>
        <w:pStyle w:val="Nvel3-Opcional"/>
        <w:numPr>
          <w:ilvl w:val="2"/>
          <w:numId w:val="19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19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19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Reserva de cotas para microempresas e empresas de pequeno porte: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Na presente licitação, nenhum dos itens são destinados a microempresas e empresas de pequeno porte.</w:t>
      </w:r>
    </w:p>
    <w:p>
      <w:pPr>
        <w:pStyle w:val="Nvel3-Opcional"/>
        <w:numPr>
          <w:ilvl w:val="2"/>
          <w:numId w:val="19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Na hipótese de não haver vencedor para a cota reservada, esta poderá ser adjudicada ao vencedor da cota principal ou, diante de sua recusa, aos fornecedores remanescentes, desde que pratiquem o preço do primeiro colocado da cota principal.</w:t>
      </w:r>
    </w:p>
    <w:p>
      <w:pPr>
        <w:pStyle w:val="Nvel3-Opcional"/>
        <w:numPr>
          <w:ilvl w:val="2"/>
          <w:numId w:val="19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 a mesma empresa vencer a cota reservada e a cota principal, a contratação das cotas deverá ocorrer pelo menor preço.</w:t>
      </w:r>
    </w:p>
    <w:p>
      <w:pPr>
        <w:pStyle w:val="Nvel3-Opcional"/>
        <w:numPr>
          <w:ilvl w:val="2"/>
          <w:numId w:val="19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Margem de Preferência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objeto da contratação enquadra-se na margem de preferência </w:t>
      </w:r>
      <w:r>
        <w:rPr>
          <w:rFonts w:ascii="Times New Roman" w:hAnsi="Times New Roman"/>
          <w:b/>
          <w:bCs/>
          <w:strike/>
          <w:color w:val="000000"/>
          <w:sz w:val="24"/>
          <w:szCs w:val="24"/>
          <w:shd w:fill="auto" w:val="clear"/>
        </w:rPr>
        <w:t xml:space="preserve">[normal] </w:t>
      </w:r>
      <w:r>
        <w:rPr>
          <w:rFonts w:ascii="Times New Roman" w:hAnsi="Times New Roman"/>
          <w:b/>
          <w:bCs/>
          <w:strike/>
          <w:color w:val="000000"/>
          <w:sz w:val="24"/>
          <w:szCs w:val="24"/>
          <w:u w:val="single"/>
          <w:shd w:fill="auto" w:val="clear"/>
        </w:rPr>
        <w:t>OU</w:t>
      </w:r>
      <w:r>
        <w:rPr>
          <w:rFonts w:ascii="Times New Roman" w:hAnsi="Times New Roman"/>
          <w:b/>
          <w:bCs/>
          <w:strike/>
          <w:color w:val="000000"/>
          <w:sz w:val="24"/>
          <w:szCs w:val="24"/>
          <w:shd w:fill="auto" w:val="clear"/>
        </w:rPr>
        <w:t xml:space="preserve"> [adicional]</w:t>
      </w:r>
      <w:r>
        <w:rPr>
          <w:rFonts w:ascii="Times New Roman" w:hAnsi="Times New Roman"/>
          <w:strike/>
          <w:color w:val="000000"/>
          <w:sz w:val="24"/>
          <w:szCs w:val="24"/>
          <w:shd w:fill="auto" w:val="clear"/>
        </w:rPr>
        <w:t xml:space="preserve"> de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xml:space="preserve"> %, prevista no Decreto n.º....................., conforme disposto na Resolução n.º ......................... da Comissão Interministerial de Contratações Públicas para o Desenvolvimento Sustentável – CICS, por se tratar de </w:t>
      </w:r>
      <w:r>
        <w:rPr>
          <w:rFonts w:ascii="Times New Roman" w:hAnsi="Times New Roman"/>
          <w:b/>
          <w:bCs/>
          <w:strike/>
          <w:color w:val="000000"/>
          <w:sz w:val="24"/>
          <w:szCs w:val="24"/>
          <w:shd w:fill="auto" w:val="clear"/>
        </w:rPr>
        <w:t xml:space="preserve">[bens manufaturados nacionais que atendam a normas técnicas brasileiras] </w:t>
      </w:r>
      <w:r>
        <w:rPr>
          <w:rFonts w:ascii="Times New Roman" w:hAnsi="Times New Roman"/>
          <w:b/>
          <w:bCs/>
          <w:strike/>
          <w:color w:val="000000"/>
          <w:sz w:val="24"/>
          <w:szCs w:val="24"/>
          <w:u w:val="single"/>
          <w:shd w:fill="auto" w:val="clear"/>
        </w:rPr>
        <w:t>OU</w:t>
      </w:r>
      <w:r>
        <w:rPr>
          <w:rFonts w:ascii="Times New Roman" w:hAnsi="Times New Roman"/>
          <w:b/>
          <w:bCs/>
          <w:strike/>
          <w:color w:val="000000"/>
          <w:sz w:val="24"/>
          <w:szCs w:val="24"/>
          <w:shd w:fill="auto" w:val="clear"/>
        </w:rPr>
        <w:t xml:space="preserve"> [bens reciclados, recicláveis ou biodegradáveis].</w:t>
      </w:r>
      <w:r>
        <w:rPr>
          <w:rFonts w:ascii="Times New Roman" w:hAnsi="Times New Roman"/>
          <w:strike/>
          <w:color w:val="000000"/>
          <w:sz w:val="24"/>
          <w:szCs w:val="24"/>
          <w:shd w:fill="auto" w:val="clear"/>
        </w:rPr>
        <w:t xml:space="preserve"> </w:t>
      </w:r>
    </w:p>
    <w:p>
      <w:pPr>
        <w:pStyle w:val="Nivel01"/>
        <w:keepNext w:val="true"/>
        <w:keepLines/>
        <w:numPr>
          <w:ilvl w:val="0"/>
          <w:numId w:val="4"/>
        </w:numPr>
        <w:tabs>
          <w:tab w:val="clear" w:pos="709"/>
          <w:tab w:val="left" w:pos="-389" w:leader="none"/>
        </w:tabs>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PAPÉIS E RESPONSABILIDADES </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São obrigações da CONTRATANTE:</w:t>
      </w:r>
    </w:p>
    <w:p>
      <w:pPr>
        <w:pStyle w:val="Nivel3"/>
        <w:numPr>
          <w:ilvl w:val="2"/>
          <w:numId w:val="19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nomear Gestor e Fiscais Técnico, Administrativo e Requisitante do contrato para acompanhar e fiscalizar a execução dos contratos;</w:t>
      </w:r>
    </w:p>
    <w:p>
      <w:pPr>
        <w:pStyle w:val="Nivel3"/>
        <w:numPr>
          <w:ilvl w:val="2"/>
          <w:numId w:val="19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encaminhar formalmente a demanda por meio de Ordem de Serviço ou de Fornecimento de Bens, de acordo com os critérios estabelecidos no Termo de Referência;</w:t>
      </w:r>
    </w:p>
    <w:p>
      <w:pPr>
        <w:pStyle w:val="Nivel3"/>
        <w:numPr>
          <w:ilvl w:val="2"/>
          <w:numId w:val="19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receber o objeto fornecido pelo Contratado que esteja em conformidade com a proposta aceita, conforme inspeções realizadas;</w:t>
      </w:r>
    </w:p>
    <w:p>
      <w:pPr>
        <w:pStyle w:val="Nivel3"/>
        <w:numPr>
          <w:ilvl w:val="2"/>
          <w:numId w:val="19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aplicar à contratada as sanções administrativas regulamentares e contratuais cabíveis, comunicando ao órgão gerenciador da Ata de Registro de Preços, quando aplicável;</w:t>
      </w:r>
    </w:p>
    <w:p>
      <w:pPr>
        <w:pStyle w:val="Nivel3"/>
        <w:numPr>
          <w:ilvl w:val="2"/>
          <w:numId w:val="20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liquidar o empenho e efetuar o pagamento à contratada, dentro dos prazos preestabelecidos em contrato;</w:t>
      </w:r>
    </w:p>
    <w:p>
      <w:pPr>
        <w:pStyle w:val="Nivel3"/>
        <w:numPr>
          <w:ilvl w:val="2"/>
          <w:numId w:val="20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comunicar à contratada todas e quaisquer ocorrências relacionadas com o fornecimento da solução de TIC;</w:t>
      </w:r>
    </w:p>
    <w:p>
      <w:pPr>
        <w:pStyle w:val="Nivel3"/>
        <w:numPr>
          <w:ilvl w:val="2"/>
          <w:numId w:val="20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definir produtividade ou capacidade mínima de fornecimento da solução de TIC por parte do Contratado, com base em pesquisas de mercado, quando aplicável; e</w:t>
      </w:r>
    </w:p>
    <w:p>
      <w:pPr>
        <w:pStyle w:val="Nivel3"/>
        <w:numPr>
          <w:ilvl w:val="2"/>
          <w:numId w:val="20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prever que os direitos de propriedade intelectual e direitos autorais da solução de TIC sobre os diversos artefatos e produtos cuja criação ou alteração seja objeto da relação contratual pertençam à Administração, incluindo a documentação, o código-fonte de aplicações, os modelos de dados e as bases de dados, justificando os casos em que isso não ocorrer.</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São obrigações do CONTRATADO:</w:t>
      </w:r>
    </w:p>
    <w:p>
      <w:pPr>
        <w:pStyle w:val="Nivel3"/>
        <w:numPr>
          <w:ilvl w:val="2"/>
          <w:numId w:val="20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indicar formalmente preposto apto a representá-la junto à Contratante, que deverá responder pela fiel execução do contrato;</w:t>
      </w:r>
    </w:p>
    <w:p>
      <w:pPr>
        <w:pStyle w:val="Nivel3"/>
        <w:numPr>
          <w:ilvl w:val="2"/>
          <w:numId w:val="20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atender prontamente quaisquer orientações e exigências da Equipe de Fiscalização do Contrato, inerentes à execução do objeto contratual;</w:t>
      </w:r>
    </w:p>
    <w:p>
      <w:pPr>
        <w:pStyle w:val="Nivel3"/>
        <w:numPr>
          <w:ilvl w:val="2"/>
          <w:numId w:val="20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 contrato pela Contratante;</w:t>
      </w:r>
    </w:p>
    <w:p>
      <w:pPr>
        <w:pStyle w:val="Nivel3"/>
        <w:numPr>
          <w:ilvl w:val="2"/>
          <w:numId w:val="20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propiciar todos os meios necessários à fiscalização do contrato pela Contratante, cujo representante terá poderes para sustar o fornecimento, total ou parcial, em qualquer tempo, desde que motivadas as causas e justificativas desta decisão;</w:t>
      </w:r>
    </w:p>
    <w:p>
      <w:pPr>
        <w:pStyle w:val="Nivel3"/>
        <w:numPr>
          <w:ilvl w:val="2"/>
          <w:numId w:val="20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manter, durante toda a execução do contrato, as mesmas condições da habilitação;</w:t>
      </w:r>
    </w:p>
    <w:p>
      <w:pPr>
        <w:pStyle w:val="Nivel3"/>
        <w:numPr>
          <w:ilvl w:val="2"/>
          <w:numId w:val="20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quando especificada, manter, durante a execução do contrato, equipe técnica composta por profissionais devidamente habilitados, treinados e qualificados para fornecimento da solução de TIC;</w:t>
      </w:r>
    </w:p>
    <w:p>
      <w:pPr>
        <w:pStyle w:val="Nivel3"/>
        <w:numPr>
          <w:ilvl w:val="2"/>
          <w:numId w:val="21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quando especificado, manter a produtividade ou a capacidade mínima de fornecimento da solução de TIC durante a execução do contrato;</w:t>
      </w:r>
    </w:p>
    <w:p>
      <w:pPr>
        <w:pStyle w:val="Nivel3"/>
        <w:numPr>
          <w:ilvl w:val="2"/>
          <w:numId w:val="21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ceder os direitos de propriedade intelectual e direitos autorais da solução de TIC sobre os diversos artefatos e produtos produzidos em decorrência da relação contratual, incluindo a documentação, os modelos de dados e as bases de dados à Administração; e</w:t>
      </w:r>
    </w:p>
    <w:p>
      <w:pPr>
        <w:pStyle w:val="Nivel3"/>
        <w:numPr>
          <w:ilvl w:val="2"/>
          <w:numId w:val="21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fazer a transição contratual, com transferência de conhecimento, tecnologia e técnicas empregadas, sem perda de informações, podendo exigir, inclusive, a capacitação dos técnicos do contratante ou da nova empresa que continuará a execução do contrato, quando for o caso.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São obrigações do órgão gerenciador do registro de preços:</w:t>
      </w:r>
    </w:p>
    <w:p>
      <w:pPr>
        <w:pStyle w:val="Nvel3-Opcional"/>
        <w:numPr>
          <w:ilvl w:val="2"/>
          <w:numId w:val="21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efetuar o registro do licitante fornecedor e firmar a correspondente Ata de Registro de Preços;</w:t>
      </w:r>
    </w:p>
    <w:p>
      <w:pPr>
        <w:pStyle w:val="Nvel3-Opcional"/>
        <w:numPr>
          <w:ilvl w:val="2"/>
          <w:numId w:val="21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conduzir os procedimentos relativos a eventuais renegociações de condições, produtos ou preços registrados;</w:t>
      </w:r>
    </w:p>
    <w:p>
      <w:pPr>
        <w:pStyle w:val="Nvel3-Opcional"/>
        <w:numPr>
          <w:ilvl w:val="2"/>
          <w:numId w:val="21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definir mecanismos de comunicação com os órgãos participantes e não participantes, contendo:</w:t>
      </w:r>
    </w:p>
    <w:p>
      <w:pPr>
        <w:pStyle w:val="Nvel4-R"/>
        <w:numPr>
          <w:ilvl w:val="3"/>
          <w:numId w:val="21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formas de comunicação entre os envolvidos, a exemplo de ofício, telefone, e-mail, ou sistema informatizado, quando disponível; e</w:t>
      </w:r>
    </w:p>
    <w:p>
      <w:pPr>
        <w:pStyle w:val="Nvel4-R"/>
        <w:numPr>
          <w:ilvl w:val="3"/>
          <w:numId w:val="21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definição dos eventos a serem reportados ao órgão gerenciador, com a indicação de prazo e responsável;</w:t>
      </w:r>
    </w:p>
    <w:p>
      <w:pPr>
        <w:pStyle w:val="Nvel3-Opcional"/>
        <w:numPr>
          <w:ilvl w:val="2"/>
          <w:numId w:val="21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definir mecanismos de controle de fornecimento da solução de TIC, observando, dentre outros:</w:t>
      </w:r>
    </w:p>
    <w:p>
      <w:pPr>
        <w:pStyle w:val="Nvel4-R"/>
        <w:numPr>
          <w:ilvl w:val="3"/>
          <w:numId w:val="21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definição da produtividade ou da capacidade mínima de fornecimento da solução de TIC;</w:t>
      </w:r>
    </w:p>
    <w:p>
      <w:pPr>
        <w:pStyle w:val="Nvel4-R"/>
        <w:numPr>
          <w:ilvl w:val="3"/>
          <w:numId w:val="22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regras para gerenciamento da fila de fornecimento da solução de TIC aos órgãos participantes e não participantes, contendo prazos e formas de negociação e redistribuição da demanda, quando esta ultrapassar a produtividade definida ou a capacidade mínima de fornecimento e for requerida pelo Contratado; e</w:t>
      </w:r>
    </w:p>
    <w:p>
      <w:pPr>
        <w:pStyle w:val="Nvel4-R"/>
        <w:numPr>
          <w:ilvl w:val="3"/>
          <w:numId w:val="22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regras para a substituição da solução registrada na Ata de Registro de Preços, garantida a verificação de Amostra do Objeto, observado o disposto no inciso III, alínea "c", item 2 deste artigo, em função de fatores supervenientes que tornem necessária e imperativa a substituição da solução tecnológica.</w:t>
      </w:r>
    </w:p>
    <w:p>
      <w:pPr>
        <w:pStyle w:val="Nivel01"/>
        <w:keepNext w:val="true"/>
        <w:keepLines/>
        <w:numPr>
          <w:ilvl w:val="0"/>
          <w:numId w:val="4"/>
        </w:numPr>
        <w:tabs>
          <w:tab w:val="clear" w:pos="709"/>
          <w:tab w:val="left" w:pos="-389" w:leader="none"/>
        </w:tabs>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MODELO DE EXECUÇÃO DO CONTRATO </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Rotinas de Execução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Do Encaminhamento Formal de Demandas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gestor do contrato emitirá a Ordem de fornecimento de bens (OFB) para a entrega dos bens desejados.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Contratado deverá fornecer equipamentos com as mesmas configurações e quantidades definidas na OFB. </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recebimento provisório e definitivo dos bens é disciplinado em tópico próprio deste TR.</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 de execução e acompanhamento do contrato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Condições de Entrega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prazo de entrega dos bens é de </w:t>
      </w:r>
      <w:r>
        <w:rPr>
          <w:rFonts w:ascii="Times New Roman" w:hAnsi="Times New Roman"/>
          <w:b/>
          <w:bCs/>
          <w:color w:val="000000"/>
          <w:sz w:val="24"/>
          <w:szCs w:val="24"/>
          <w:shd w:fill="auto" w:val="clear"/>
        </w:rPr>
        <w:t>[10 ]</w:t>
      </w:r>
      <w:r>
        <w:rPr>
          <w:rFonts w:ascii="Times New Roman" w:hAnsi="Times New Roman"/>
          <w:color w:val="000000"/>
          <w:sz w:val="24"/>
          <w:szCs w:val="24"/>
          <w:shd w:fill="auto" w:val="clear"/>
        </w:rPr>
        <w:t xml:space="preserve"> dias, contados do recebimento da nota de empenho, em remessa única. </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As parcelas serão entregues nos seguintes prazos e condições:</w:t>
      </w:r>
    </w:p>
    <w:tbl>
      <w:tblPr>
        <w:tblStyle w:val="Tabelacomgrade"/>
        <w:tblW w:w="963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413"/>
        <w:gridCol w:w="4623"/>
        <w:gridCol w:w="3598"/>
      </w:tblGrid>
      <w:tr>
        <w:trPr/>
        <w:tc>
          <w:tcPr>
            <w:tcW w:w="141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Parcela</w:t>
            </w:r>
          </w:p>
        </w:tc>
        <w:tc>
          <w:tcPr>
            <w:tcW w:w="462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Composição da parcela</w:t>
            </w:r>
          </w:p>
        </w:tc>
        <w:tc>
          <w:tcPr>
            <w:tcW w:w="3598"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Prazo de entrega</w:t>
            </w:r>
          </w:p>
        </w:tc>
      </w:tr>
      <w:tr>
        <w:trPr/>
        <w:tc>
          <w:tcPr>
            <w:tcW w:w="141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1ª</w:t>
            </w:r>
          </w:p>
        </w:tc>
        <w:tc>
          <w:tcPr>
            <w:tcW w:w="462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 unidades do item ..., ... unidades do item ...</w:t>
            </w:r>
          </w:p>
        </w:tc>
        <w:tc>
          <w:tcPr>
            <w:tcW w:w="3598" w:type="dxa"/>
            <w:tcBorders/>
          </w:tcPr>
          <w:p>
            <w:pPr>
              <w:pStyle w:val="Normal"/>
              <w:widowControl/>
              <w:suppressAutoHyphens w:val="true"/>
              <w:spacing w:lineRule="auto" w:line="360" w:before="0" w:after="170"/>
              <w:ind w:hanging="0" w:left="0" w:right="0"/>
              <w:jc w:val="left"/>
              <w:rPr>
                <w:rFonts w:ascii="Times New Roman" w:hAnsi="Times New Roman" w:eastAsia="ＭＳ 明朝" w:cs="Arial"/>
                <w:strike/>
                <w:color w:val="000000"/>
                <w:kern w:val="0"/>
                <w:sz w:val="24"/>
                <w:szCs w:val="24"/>
                <w:highlight w:val="none"/>
                <w:shd w:fill="auto" w:val="clear"/>
                <w:lang w:val="pt-BR" w:bidi="ar-SA"/>
              </w:rPr>
            </w:pPr>
            <w:r>
              <w:rPr>
                <w:rFonts w:eastAsia="ＭＳ 明朝" w:cs="Arial" w:ascii="Times New Roman" w:hAnsi="Times New Roman"/>
                <w:strike/>
                <w:color w:val="000000"/>
                <w:kern w:val="0"/>
                <w:sz w:val="24"/>
                <w:szCs w:val="24"/>
                <w:shd w:fill="auto" w:val="clear"/>
                <w:lang w:val="pt-BR" w:bidi="ar-SA"/>
              </w:rPr>
            </w:r>
          </w:p>
        </w:tc>
      </w:tr>
      <w:tr>
        <w:trPr/>
        <w:tc>
          <w:tcPr>
            <w:tcW w:w="141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2ª</w:t>
            </w:r>
          </w:p>
        </w:tc>
        <w:tc>
          <w:tcPr>
            <w:tcW w:w="462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 unidades do item ..., ... unidades do item ...</w:t>
            </w:r>
          </w:p>
        </w:tc>
        <w:tc>
          <w:tcPr>
            <w:tcW w:w="3598" w:type="dxa"/>
            <w:tcBorders/>
          </w:tcPr>
          <w:p>
            <w:pPr>
              <w:pStyle w:val="Normal"/>
              <w:widowControl/>
              <w:suppressAutoHyphens w:val="true"/>
              <w:spacing w:lineRule="auto" w:line="360" w:before="0" w:after="170"/>
              <w:ind w:hanging="0" w:left="0" w:right="0"/>
              <w:jc w:val="left"/>
              <w:rPr>
                <w:rFonts w:ascii="Times New Roman" w:hAnsi="Times New Roman" w:eastAsia="ＭＳ 明朝" w:cs="Arial"/>
                <w:strike/>
                <w:color w:val="000000"/>
                <w:kern w:val="0"/>
                <w:sz w:val="24"/>
                <w:szCs w:val="24"/>
                <w:highlight w:val="none"/>
                <w:shd w:fill="auto" w:val="clear"/>
                <w:lang w:val="pt-BR" w:bidi="ar-SA"/>
              </w:rPr>
            </w:pPr>
            <w:r>
              <w:rPr>
                <w:rFonts w:eastAsia="ＭＳ 明朝" w:cs="Arial" w:ascii="Times New Roman" w:hAnsi="Times New Roman"/>
                <w:strike/>
                <w:color w:val="000000"/>
                <w:kern w:val="0"/>
                <w:sz w:val="24"/>
                <w:szCs w:val="24"/>
                <w:shd w:fill="auto" w:val="clear"/>
                <w:lang w:val="pt-BR" w:bidi="ar-SA"/>
              </w:rPr>
            </w:r>
          </w:p>
        </w:tc>
      </w:tr>
      <w:tr>
        <w:trPr/>
        <w:tc>
          <w:tcPr>
            <w:tcW w:w="141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3ª</w:t>
            </w:r>
          </w:p>
        </w:tc>
        <w:tc>
          <w:tcPr>
            <w:tcW w:w="462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 unidades do item ..., ... unidades do item ...</w:t>
            </w:r>
          </w:p>
        </w:tc>
        <w:tc>
          <w:tcPr>
            <w:tcW w:w="3598" w:type="dxa"/>
            <w:tcBorders/>
          </w:tcPr>
          <w:p>
            <w:pPr>
              <w:pStyle w:val="Normal"/>
              <w:widowControl/>
              <w:suppressAutoHyphens w:val="true"/>
              <w:spacing w:lineRule="auto" w:line="360" w:before="0" w:after="170"/>
              <w:ind w:hanging="0" w:left="0" w:right="0"/>
              <w:jc w:val="left"/>
              <w:rPr>
                <w:rFonts w:ascii="Times New Roman" w:hAnsi="Times New Roman" w:eastAsia="ＭＳ 明朝" w:cs="Arial"/>
                <w:strike/>
                <w:color w:val="000000"/>
                <w:kern w:val="0"/>
                <w:sz w:val="24"/>
                <w:szCs w:val="24"/>
                <w:highlight w:val="none"/>
                <w:shd w:fill="auto" w:val="clear"/>
                <w:lang w:val="pt-BR" w:bidi="ar-SA"/>
              </w:rPr>
            </w:pPr>
            <w:r>
              <w:rPr>
                <w:rFonts w:eastAsia="ＭＳ 明朝" w:cs="Arial" w:ascii="Times New Roman" w:hAnsi="Times New Roman"/>
                <w:strike/>
                <w:color w:val="000000"/>
                <w:kern w:val="0"/>
                <w:sz w:val="24"/>
                <w:szCs w:val="24"/>
                <w:shd w:fill="auto" w:val="clear"/>
                <w:lang w:val="pt-BR" w:bidi="ar-SA"/>
              </w:rPr>
            </w:r>
          </w:p>
        </w:tc>
      </w:tr>
      <w:tr>
        <w:trPr>
          <w:trHeight w:val="695" w:hRule="atLeast"/>
        </w:trPr>
        <w:tc>
          <w:tcPr>
            <w:tcW w:w="141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w:t>
            </w:r>
          </w:p>
        </w:tc>
        <w:tc>
          <w:tcPr>
            <w:tcW w:w="4623" w:type="dxa"/>
            <w:tcBorders/>
          </w:tcPr>
          <w:p>
            <w:pPr>
              <w:pStyle w:val="Normal"/>
              <w:widowControl/>
              <w:suppressAutoHyphens w:val="true"/>
              <w:spacing w:lineRule="auto" w:line="360" w:before="0" w:after="170"/>
              <w:ind w:hanging="0" w:left="0" w:right="0"/>
              <w:jc w:val="left"/>
              <w:rPr>
                <w:rFonts w:ascii="Times New Roman" w:hAnsi="Times New Roman"/>
                <w:color w:val="000000"/>
                <w:sz w:val="24"/>
                <w:szCs w:val="24"/>
                <w:highlight w:val="none"/>
                <w:shd w:fill="auto" w:val="clear"/>
              </w:rPr>
            </w:pPr>
            <w:r>
              <w:rPr>
                <w:rFonts w:eastAsia="ＭＳ 明朝" w:cs="Arial" w:ascii="Times New Roman" w:hAnsi="Times New Roman"/>
                <w:i/>
                <w:iCs/>
                <w:strike/>
                <w:color w:val="000000"/>
                <w:kern w:val="0"/>
                <w:sz w:val="24"/>
                <w:szCs w:val="24"/>
                <w:shd w:fill="auto" w:val="clear"/>
                <w:lang w:val="pt-BR" w:bidi="ar-SA"/>
              </w:rPr>
              <w:t>... unidades do item ..., ... unidades do item ...</w:t>
            </w:r>
          </w:p>
        </w:tc>
        <w:tc>
          <w:tcPr>
            <w:tcW w:w="3598" w:type="dxa"/>
            <w:tcBorders/>
          </w:tcPr>
          <w:p>
            <w:pPr>
              <w:pStyle w:val="Normal"/>
              <w:widowControl/>
              <w:suppressAutoHyphens w:val="true"/>
              <w:spacing w:lineRule="auto" w:line="360" w:before="0" w:after="170"/>
              <w:ind w:hanging="0" w:left="0" w:right="0"/>
              <w:jc w:val="left"/>
              <w:rPr>
                <w:rFonts w:ascii="Times New Roman" w:hAnsi="Times New Roman" w:eastAsia="ＭＳ 明朝" w:cs="Arial"/>
                <w:strike/>
                <w:color w:val="000000"/>
                <w:kern w:val="0"/>
                <w:sz w:val="24"/>
                <w:szCs w:val="24"/>
                <w:highlight w:val="none"/>
                <w:shd w:fill="auto" w:val="clear"/>
                <w:lang w:val="pt-BR" w:bidi="ar-SA"/>
              </w:rPr>
            </w:pPr>
            <w:r>
              <w:rPr>
                <w:rFonts w:eastAsia="ＭＳ 明朝" w:cs="Arial" w:ascii="Times New Roman" w:hAnsi="Times New Roman"/>
                <w:strike/>
                <w:color w:val="000000"/>
                <w:kern w:val="0"/>
                <w:sz w:val="24"/>
                <w:szCs w:val="24"/>
                <w:shd w:fill="auto" w:val="clear"/>
                <w:lang w:val="pt-BR" w:bidi="ar-SA"/>
              </w:rPr>
            </w:r>
          </w:p>
        </w:tc>
      </w:tr>
    </w:tbl>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Caso não seja possível a entrega na data assinalada, a empresa deverá comunicar as razões respectivas com pelo menos03 dias de antecedência para que qualquer pleito de prorrogação de prazo seja analisado, ressalvadas situações de caso fortuito e força maior.</w:t>
      </w:r>
    </w:p>
    <w:p>
      <w:pPr>
        <w:pStyle w:val="Nvel2-Opcional"/>
        <w:numPr>
          <w:ilvl w:val="1"/>
          <w:numId w:val="4"/>
        </w:numPr>
        <w:spacing w:lineRule="auto" w:line="360" w:before="0" w:after="170"/>
        <w:ind w:hanging="0" w:left="0" w:right="0"/>
        <w:rPr/>
      </w:pPr>
      <w:r>
        <w:rPr>
          <w:rFonts w:ascii="Times New Roman" w:hAnsi="Times New Roman"/>
          <w:color w:val="000000"/>
          <w:sz w:val="24"/>
          <w:szCs w:val="24"/>
          <w:shd w:fill="auto" w:val="clear"/>
        </w:rPr>
        <w:t xml:space="preserve">Os bens deverão ser entregues no seguinte endereço: </w:t>
      </w:r>
      <w:r>
        <w:rPr>
          <w:rStyle w:val="Strong"/>
          <w:rFonts w:eastAsia="Arial" w:cs="Arial" w:ascii="Times New Roman" w:hAnsi="Times New Roman"/>
          <w:b/>
          <w:i/>
          <w:iCs/>
          <w:strike w:val="false"/>
          <w:dstrike w:val="false"/>
          <w:color w:val="000000"/>
          <w:sz w:val="24"/>
          <w:szCs w:val="24"/>
          <w:u w:val="none"/>
          <w:effect w:val="none"/>
          <w:shd w:fill="auto" w:val="clear"/>
        </w:rPr>
        <w:t>Endereço:</w:t>
      </w:r>
      <w:r>
        <w:rPr>
          <w:rFonts w:eastAsia="Arial" w:cs="Arial" w:ascii="Times New Roman" w:hAnsi="Times New Roman"/>
          <w:b w:val="false"/>
          <w:i/>
          <w:iCs/>
          <w:strike w:val="false"/>
          <w:dstrike w:val="false"/>
          <w:color w:val="000000"/>
          <w:sz w:val="24"/>
          <w:szCs w:val="24"/>
          <w:u w:val="none"/>
          <w:effect w:val="none"/>
          <w:shd w:fill="auto" w:val="clear"/>
        </w:rPr>
        <w:t xml:space="preserve"> Av. Dezessete de Agosto, 784 - Casa Forte, Recife - PE - </w:t>
      </w:r>
      <w:r>
        <w:rPr>
          <w:rStyle w:val="Strong"/>
          <w:rFonts w:eastAsia="Arial" w:cs="Arial" w:ascii="Times New Roman" w:hAnsi="Times New Roman"/>
          <w:b/>
          <w:i/>
          <w:iCs/>
          <w:strike w:val="false"/>
          <w:dstrike w:val="false"/>
          <w:color w:val="000000"/>
          <w:sz w:val="24"/>
          <w:szCs w:val="24"/>
          <w:u w:val="none"/>
          <w:effect w:val="none"/>
          <w:shd w:fill="auto" w:val="clear"/>
        </w:rPr>
        <w:t>CEP:</w:t>
      </w:r>
      <w:r>
        <w:rPr>
          <w:rFonts w:eastAsia="Arial" w:cs="Arial" w:ascii="Times New Roman" w:hAnsi="Times New Roman"/>
          <w:b w:val="false"/>
          <w:i/>
          <w:iCs/>
          <w:strike w:val="false"/>
          <w:dstrike w:val="false"/>
          <w:color w:val="000000"/>
          <w:sz w:val="24"/>
          <w:szCs w:val="24"/>
          <w:u w:val="none"/>
          <w:effect w:val="none"/>
          <w:shd w:fill="auto" w:val="clear"/>
        </w:rPr>
        <w:t xml:space="preserve"> 52060-590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No caso de produtos perecíveis, o prazo de validade na data da entrega não poderá ser inferior a </w:t>
      </w:r>
      <w:r>
        <w:rPr>
          <w:rFonts w:ascii="Times New Roman" w:hAnsi="Times New Roman"/>
          <w:b/>
          <w:bCs/>
          <w:strike/>
          <w:color w:val="000000"/>
          <w:sz w:val="24"/>
          <w:szCs w:val="24"/>
          <w:shd w:fill="auto" w:val="clear"/>
        </w:rPr>
        <w:t>[XX]</w:t>
      </w:r>
      <w:r>
        <w:rPr>
          <w:rFonts w:ascii="Times New Roman" w:hAnsi="Times New Roman"/>
          <w:strike/>
          <w:color w:val="000000"/>
          <w:sz w:val="24"/>
          <w:szCs w:val="24"/>
          <w:shd w:fill="auto" w:val="clear"/>
        </w:rPr>
        <w:t xml:space="preserve"> </w:t>
      </w:r>
      <w:r>
        <w:rPr>
          <w:rFonts w:ascii="Times New Roman" w:hAnsi="Times New Roman"/>
          <w:b/>
          <w:bCs/>
          <w:strike/>
          <w:color w:val="000000"/>
          <w:sz w:val="24"/>
          <w:szCs w:val="24"/>
          <w:shd w:fill="auto" w:val="clear"/>
        </w:rPr>
        <w:t>[dias]</w:t>
      </w:r>
      <w:r>
        <w:rPr>
          <w:rFonts w:ascii="Times New Roman" w:hAnsi="Times New Roman"/>
          <w:strike/>
          <w:color w:val="000000"/>
          <w:sz w:val="24"/>
          <w:szCs w:val="24"/>
          <w:shd w:fill="auto" w:val="clear"/>
        </w:rPr>
        <w:t xml:space="preserve"> / </w:t>
      </w:r>
      <w:r>
        <w:rPr>
          <w:rFonts w:ascii="Times New Roman" w:hAnsi="Times New Roman"/>
          <w:b/>
          <w:bCs/>
          <w:strike/>
          <w:color w:val="000000"/>
          <w:sz w:val="24"/>
          <w:szCs w:val="24"/>
          <w:shd w:fill="auto" w:val="clear"/>
        </w:rPr>
        <w:t>[meses]</w:t>
      </w:r>
      <w:r>
        <w:rPr>
          <w:rFonts w:ascii="Times New Roman" w:hAnsi="Times New Roman"/>
          <w:strike/>
          <w:color w:val="000000"/>
          <w:sz w:val="24"/>
          <w:szCs w:val="24"/>
          <w:shd w:fill="auto" w:val="clear"/>
        </w:rPr>
        <w:t xml:space="preserve"> </w:t>
      </w:r>
      <w:r>
        <w:rPr>
          <w:rFonts w:ascii="Times New Roman" w:hAnsi="Times New Roman"/>
          <w:b/>
          <w:bCs/>
          <w:strike/>
          <w:color w:val="000000"/>
          <w:sz w:val="24"/>
          <w:szCs w:val="24"/>
          <w:shd w:fill="auto" w:val="clear"/>
        </w:rPr>
        <w:t>[anos]</w:t>
      </w:r>
      <w:r>
        <w:rPr>
          <w:rFonts w:ascii="Times New Roman" w:hAnsi="Times New Roman"/>
          <w:strike/>
          <w:color w:val="000000"/>
          <w:sz w:val="24"/>
          <w:szCs w:val="24"/>
          <w:shd w:fill="auto" w:val="clear"/>
        </w:rPr>
        <w:t xml:space="preserve">, ou a </w:t>
      </w:r>
      <w:r>
        <w:rPr>
          <w:rFonts w:ascii="Times New Roman" w:hAnsi="Times New Roman"/>
          <w:b/>
          <w:bCs/>
          <w:strike/>
          <w:color w:val="000000"/>
          <w:sz w:val="24"/>
          <w:szCs w:val="24"/>
          <w:shd w:fill="auto" w:val="clear"/>
        </w:rPr>
        <w:t>[indicar a fração, ex.: metade, um terço, dois terços etc.]</w:t>
      </w:r>
      <w:r>
        <w:rPr>
          <w:rFonts w:ascii="Times New Roman" w:hAnsi="Times New Roman"/>
          <w:strike/>
          <w:color w:val="000000"/>
          <w:sz w:val="24"/>
          <w:szCs w:val="24"/>
          <w:shd w:fill="auto" w:val="clear"/>
        </w:rPr>
        <w:t xml:space="preserve"> do prazo total recomendado pelo fabricante.</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Formas de transferência de conhecimento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transferência do conhecimento deverá ser realizada observando-se o que segue:</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será necessária transferência de conhecimento devido às características do objeto.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Procedimentos de transição e finalização do contrato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procedimentos de transição e finalização do contrato constituem-se das seguintes etapas:</w:t>
      </w:r>
    </w:p>
    <w:p>
      <w:pPr>
        <w:pStyle w:val="Nvel3-Opcional"/>
        <w:numPr>
          <w:ilvl w:val="2"/>
          <w:numId w:val="22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22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3-Opcional"/>
        <w:numPr>
          <w:ilvl w:val="2"/>
          <w:numId w:val="22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serão necessários procedimentos de transição e finalização do contrato devido às características do objeto.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Quantidade mínima de bens ou serviços para comparação e controle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Cada OFB conterá a quantidade a ser fornecida, incluindo a sua localização e o prazo, conforme definições deste TR.</w:t>
      </w:r>
    </w:p>
    <w:p>
      <w:pPr>
        <w:pStyle w:val="Nvel2-Opcional"/>
        <w:numPr>
          <w:ilvl w:val="0"/>
          <w:numId w:val="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Mecanismos formais de comunicação</w:t>
      </w:r>
    </w:p>
    <w:p>
      <w:pPr>
        <w:pStyle w:val="Nvel2-Opcional"/>
        <w:numPr>
          <w:ilvl w:val="1"/>
          <w:numId w:val="4"/>
        </w:numPr>
        <w:spacing w:lineRule="auto" w:line="360" w:before="0" w:after="170"/>
        <w:ind w:hanging="0" w:left="0" w:right="0"/>
        <w:rPr/>
      </w:pPr>
      <w:r>
        <w:rPr>
          <w:rStyle w:val="cf01"/>
          <w:rFonts w:cs="Arial" w:ascii="Times New Roman" w:hAnsi="Times New Roman"/>
          <w:b w:val="false"/>
          <w:bCs w:val="false"/>
          <w:i/>
          <w:iCs/>
          <w:color w:val="000000"/>
          <w:sz w:val="24"/>
          <w:szCs w:val="24"/>
          <w:shd w:fill="auto" w:val="clear"/>
        </w:rPr>
        <w:t>São definidos como mecanismos formais de Comunicação, entre a Contratante e o Contratado, os seguintes:</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Ordem de Fornecimento de Bens;</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Ata de Reunião;</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Ofício;</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Sistema de abertura de chamados;</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E-mails e Cartas;</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Formas de Pagamento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 xml:space="preserve">Os </w:t>
      </w:r>
      <w:r>
        <w:rPr>
          <w:rFonts w:ascii="Times New Roman" w:hAnsi="Times New Roman"/>
          <w:color w:val="000000"/>
          <w:sz w:val="24"/>
          <w:szCs w:val="24"/>
          <w:shd w:fill="auto" w:val="clear"/>
        </w:rPr>
        <w:t>critérios</w:t>
      </w:r>
      <w:r>
        <w:rPr>
          <w:rFonts w:ascii="Times New Roman" w:hAnsi="Times New Roman"/>
          <w:color w:val="000000"/>
          <w:sz w:val="24"/>
          <w:szCs w:val="24"/>
          <w:shd w:fill="auto" w:val="clear"/>
          <w:lang w:eastAsia="en-US"/>
        </w:rPr>
        <w:t xml:space="preserve"> de medição e pagamento serão tratados em tópico próprio do Modelo de Gestão do Contrato.</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Manutenção de Sigilo e Normas de Segurança</w:t>
      </w:r>
      <w:bookmarkStart w:id="13" w:name="_Hlk127352562"/>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Contratado deverá manter sigilo absoluto sobre quaisquer dados e informações contidos em quaisquer documentos e mídias, incluindo os equipamentos e seus meios de armazenamento, de que venha a ter conhecimento durante a execução do contrato, não podendo, sob qualquer pretexto, divulgar, reproduzir ou utilizar, sob pena de lei, independentemente da classificação de sigilo conferida pelo Contratante a tais documentos.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Termo de Compromisso e Manutenção de Sigilo, contendo declaração de manutenção de sigilo e respeito às normas de segurança vigentes na entidade, a ser assinado pelo representante legal do Contratado, e Termo de Ciência, a ser assinado por todos os empregados do Contratado diretamente envolvidos na contratação, encontram-se nos ANEXOS [....] e [...].</w:t>
      </w:r>
      <w:bookmarkEnd w:id="13"/>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MODELO DE GESTÃO DO CONTRATO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contrato deverá ser executado fielmente pelas partes, de acordo com as cláusulas avençadas e as normas da Lei nº 14.133, de 2021, e cada parte responderá pelas consequências de sua inexecução total ou parcial.</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Em caso de impedimento, ordem de paralisação ou suspensão do contrato, o cronograma de execução será prorrogado automaticamente pelo tempo correspondente, anotadas tais circunstâncias mediante simples apostila.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comunicações entre o órgão ou entidade e o Contratado devem ser realizadas por escrito sempre que o ato exigir tal formalidade, admitindo-se o uso de mensagem eletrônica para esse fim.</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órgão ou entidade poderá convocar representante da empresa para adoção de providências que devam ser cumpridas de imediato.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Reunião Inicial</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Após a assinatura do Contrato e a nomeação do Gestor e Fiscais do Contrato, será realizada a Reunião Inicial de alinhamento com o objetivo de nivelar os entendimentos acerca das condições estabelecidas no Contrato, Edital e seus anexos, e esclarecer possíveis dúvidas acerca da execução do contrato.</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A reunião será realizada em conformidade com o previsto no inciso I do Art. 31 da </w:t>
      </w:r>
      <w:r>
        <w:rPr>
          <w:rFonts w:ascii="Times New Roman" w:hAnsi="Times New Roman"/>
          <w:color w:val="000000"/>
          <w:sz w:val="24"/>
          <w:szCs w:val="24"/>
          <w:shd w:fill="auto" w:val="clear"/>
        </w:rPr>
        <w:t>IN SGD/ME nº 94, de 2022</w:t>
      </w:r>
      <w:r>
        <w:rPr>
          <w:rStyle w:val="normaltextrun"/>
          <w:rFonts w:ascii="Times New Roman" w:hAnsi="Times New Roman"/>
          <w:color w:val="000000"/>
          <w:sz w:val="24"/>
          <w:szCs w:val="24"/>
          <w:shd w:fill="auto" w:val="clear"/>
        </w:rPr>
        <w:t>, e ocorrerá em até 0</w:t>
      </w:r>
      <w:r>
        <w:rPr>
          <w:rStyle w:val="normaltextrun"/>
          <w:rFonts w:ascii="Times New Roman" w:hAnsi="Times New Roman"/>
          <w:i/>
          <w:iCs w:val="false"/>
          <w:color w:val="000000"/>
          <w:sz w:val="24"/>
          <w:szCs w:val="24"/>
          <w:shd w:fill="auto" w:val="clear"/>
        </w:rPr>
        <w:t>5</w:t>
      </w:r>
      <w:r>
        <w:rPr>
          <w:rStyle w:val="normaltextrun"/>
          <w:rFonts w:ascii="Times New Roman" w:hAnsi="Times New Roman"/>
          <w:color w:val="000000"/>
          <w:sz w:val="24"/>
          <w:szCs w:val="24"/>
          <w:shd w:fill="auto" w:val="clear"/>
        </w:rPr>
        <w:t xml:space="preserve"> dias úteis da assinatura do Contrato, podendo ser prorrogada a critério da Contratante.</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A pauta desta reunião observará, pelo menos:</w:t>
      </w:r>
    </w:p>
    <w:p>
      <w:pPr>
        <w:pStyle w:val="Nivel3"/>
        <w:numPr>
          <w:ilvl w:val="2"/>
          <w:numId w:val="22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Presença do representante legal da contratada, que apresentará o seu preposto;</w:t>
      </w:r>
    </w:p>
    <w:p>
      <w:pPr>
        <w:pStyle w:val="Nivel3"/>
        <w:numPr>
          <w:ilvl w:val="2"/>
          <w:numId w:val="22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Entrega, por parte da Contratada, do Termo de Compromisso e dos Termos de Ciência;</w:t>
      </w:r>
    </w:p>
    <w:p>
      <w:pPr>
        <w:pStyle w:val="Nivel3"/>
        <w:numPr>
          <w:ilvl w:val="2"/>
          <w:numId w:val="22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esclarecimentos relativos a questões operacionais, administrativas e de gestão do contrato;</w:t>
      </w:r>
    </w:p>
    <w:p>
      <w:pPr>
        <w:pStyle w:val="Nivel3"/>
        <w:numPr>
          <w:ilvl w:val="2"/>
          <w:numId w:val="22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Carta de apresentação do Preposto deverá conter no mínimo o nome completo e CPF do funcionário da empresa designado para acompanhar a execução do contrato e atuar como interlocutor principal junto à Contratante, incumbido de receber, diligenciar, encaminhar e responder as principais questões técnicas, legais e administrativas referentes ao andamento contratual;</w:t>
      </w:r>
    </w:p>
    <w:p>
      <w:pPr>
        <w:pStyle w:val="Nivel3"/>
        <w:numPr>
          <w:ilvl w:val="2"/>
          <w:numId w:val="22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Apresentação das declarações/certificados do fabricante, comprovando que o produto ofertado possui a garantia solicitada neste termo de referência.</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Fiscalização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execução do contrato deverá ser acompanhada e fiscalizada pelo(s) fiscal(is) do contrato, ou pelos respectivos substitutos, nos termos do art. 33 da IN SGD nº 94, de 2022, observando-se, em especial, as rotinas a seguir.</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Fiscalização Técnica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técnico do contrato, além de exercer as atribuições previstas no art. 33, II, da IN SGD nº 94, de 2022, acompanhará a execução do contrato, para que sejam cumpridas todas as condições estabelecidas no contrato, de modo a assegurar os melhores resultados para a Administração.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técnico do contrato anotará no histórico de gerenciamento do contrato todas as ocorrências relacionadas à execução do contrato, com a descrição do que for necessário para a regularização das faltas ou dos defeitos observados.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Identificada qualquer inexatidão ou irregularidade, o fiscal técnico do contrato emitirá notificações para a correção da execução do contrato, determinando prazo para a correção.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técnico do contrato informará ao gestor do contato, em tempo hábil, a situação que demandar decisão ou adoção de medidas que ultrapassem sua competência, para que adote as medidas necessárias e saneadoras, se for o caso.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 caso de ocorrências que possam inviabilizar a execução do contrato nas datas aprazadas, o fiscal técnico do contrato comunicará o fato imediatamente ao gestor do contrato.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técnico do contrato comunicará ao gestor do contrato, em tempo hábil, o término do contrato sob sua responsabilidade, com vistas à renovação tempestiva ou à prorrogação contratual.</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Fiscalização Administrativa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administrativo do contrato, além de exercer as atribuições previstas no art. 33, IV, da IN SGD nº 94, de 2022,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Caso ocorra descumprimento das obrigações contratuais, o fiscal administrativo do contrato atuará tempestivamente na solução do problema, reportando ao gestor do contrato para que tome as providências cabíveis, quando ultrapassar a sua competência.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Além do disposto acima, a fiscalização contratual obedecerá às seguintes rotinas:</w:t>
      </w:r>
    </w:p>
    <w:p>
      <w:pPr>
        <w:pStyle w:val="Nvel3-Opcional"/>
        <w:numPr>
          <w:ilvl w:val="2"/>
          <w:numId w:val="23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w:t>
      </w:r>
    </w:p>
    <w:p>
      <w:pPr>
        <w:pStyle w:val="Nvel3-Opcional"/>
        <w:numPr>
          <w:ilvl w:val="2"/>
          <w:numId w:val="23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e</w:t>
      </w:r>
    </w:p>
    <w:p>
      <w:pPr>
        <w:pStyle w:val="Nvel3-Opcional"/>
        <w:numPr>
          <w:ilvl w:val="2"/>
          <w:numId w:val="23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Gestor do Contrato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Cabe ao gestor do contrato, além de exercer as atribuições previstas no art. 33, I, da IN SGD nº 94, de 2022:</w:t>
      </w:r>
    </w:p>
    <w:p>
      <w:pPr>
        <w:pStyle w:val="Nivel3"/>
        <w:numPr>
          <w:ilvl w:val="2"/>
          <w:numId w:val="23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pStyle w:val="Nivel3"/>
        <w:numPr>
          <w:ilvl w:val="2"/>
          <w:numId w:val="23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acompanhar os registros realizados pelos fiscais do contrato, de todas as ocorrências relacionadas à execução do contrato e as medidas adotadas, informando, se for o caso, à autoridade superior àquelas que ultrapassarem a sua competência.</w:t>
      </w:r>
    </w:p>
    <w:p>
      <w:pPr>
        <w:pStyle w:val="Nivel3"/>
        <w:numPr>
          <w:ilvl w:val="2"/>
          <w:numId w:val="23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acompanhar a manutenção das condições de habilitação da contratada, para fins de empenho de despesa e pagamento, e anotará os problemas que obstem o fluxo normal da liquidação e do pagamento da despesa no relatório de riscos eventuais.</w:t>
      </w:r>
    </w:p>
    <w:p>
      <w:pPr>
        <w:pStyle w:val="Nivel3"/>
        <w:numPr>
          <w:ilvl w:val="2"/>
          <w:numId w:val="23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Nivel3"/>
        <w:numPr>
          <w:ilvl w:val="2"/>
          <w:numId w:val="23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Nivel3"/>
        <w:numPr>
          <w:ilvl w:val="2"/>
          <w:numId w:val="23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elaborar relatório final com informações sobre a consecução dos objetivos que tenham justificado a contratação e eventuais condutas a serem adotadas para o aprimoramento das atividades da Administração.</w:t>
      </w:r>
    </w:p>
    <w:p>
      <w:pPr>
        <w:pStyle w:val="Nivel3"/>
        <w:numPr>
          <w:ilvl w:val="2"/>
          <w:numId w:val="23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enviar a documentação pertinente ao setor de contratos para a formalização dos procedimentos de liquidação e pagamento, no valor dimensionado pela fiscalização e gestão nos termos do contrato.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fiscal técnico do contrato comunicará ao gestor do contrato, em tempo hábil, o término do contrato sob sua responsabilidade, com vistas à tempestiva renovação ou prorrogação contratual.</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Critérios de Aceitação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rPr>
        <w:t>A avaliação da qualidade dos produtos entregues, para fins de aceitação, consiste na verificação dos critérios relacionados a seguir:</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Todos os equipamentos fornecidos deverão ser novos (incluindo todas as peças e componentes presentes nos produtos), de primeiro uso (sem sinais de utilização anterior), não recondicionados e em fase de comercialização normal através dos canais de venda do fabricante no Brasil (não serão aceitos produtos end-of-life).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Todos os componentes do(s) equipamento(s) e respectivas funcionalidades deverão ser compatíveis entre si, sem a utilização de adaptadores, frisagens, pinturas, usinagens em geral, furações, emprego de adesivos, fitas adesivas ou quaisquer outros procedimentos não previstos nas especificações técnicas ou, ainda, com emprego de materiais inadequados ou que visem adaptar forçadamente o produto ou suas partes que sejam fisicamente ou logicamente incompatíveis.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Todos os componentes internos do(s) equipamento(s) deverá(ão) estar instalado(s) de forma organizada e livres de pressões ocasionados por outros componentes ou cabos, que possam causar desconexões, instabilidade, ou funcionamento inadequado.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número de série de cada equipamento deve ser obrigatório e único, afixado em local visível, na parte externa do gabinete e na embalagem que o contém. Esse número deverá ser identificado pelo fabricante, como válido para o produto entregue e para as condições do mercado brasileiro no que se refere à garantia e assistência técnica no Brasil.</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Serão recusados os produtos que possuam componentes ou acessórios com sinais claros de oxidação, danos físicos, sujeira, riscos ou outro sinal de desgaste, mesmo sendo o componente ou acessório considerado como novos pelo fornecedor dos produtos.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Os produtos, considerando a marca e modelo apresentados na licitação, não poderão estar fora de linha comercial, considerando a data de LICITAÇÃO (abertura das propostas). Os produtos devem ser fornecidos completos e prontos para a utilização, com todos os acessórios, componentes, cabos etc.</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Todas as licenças, referentes aos softwares e drivers solicitados, devem estar registrados para utilização do Contratante, em modo definitivo (licenças perpétuas), legalizado, não sendo admitidas versões “shareware” ou “trial”. O modelo do produto ofertado pelo licitante deverá estar em fase de produção pelo fabricante (no Brasil ou no exterior), sem previsão de encerramento de produção, até a data de entrega da proposta.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Contratante poderá optar por avaliar a qualidade de todos os equipamentos fornecidos ou uma amostra dos equipamentos, atentando para a inclusão nos autos do processo administrativo de todos os documentos que evidenciem a realização dos testes de aceitação em cada equipamento selecionado, para posterior rastreabilidade.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Só haverá o recebimento definitivo, após a análise da qualidade dos bens e/ou serviços, em face da aplicação dos critérios de aceitação, resguardando-se ao Contratante o direito de não receber o OBJETO cuja qualidade seja comprovadamente baixa ou em desacordo com as especificações definidas neste Termo de Referência – situação em que poderão ser aplicadas à CONTRATADA as penalidades previstas em lei, neste Termo de Referência e no CONTRATO. Quando for o caso, a empresa será convocada a refazer todos os serviços rejeitados, sem custo adicional.</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Procedimentos de Teste e Inspeção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Serão adotados como procedimentos de teste e inspeção, para fins de elaboração dos Termos de Recebimento Provisório e Definitivo: </w:t>
      </w:r>
    </w:p>
    <w:p>
      <w:pPr>
        <w:pStyle w:val="Nvel3-Opcional"/>
        <w:numPr>
          <w:ilvl w:val="2"/>
          <w:numId w:val="24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w:t>
      </w:r>
    </w:p>
    <w:p>
      <w:pPr>
        <w:pStyle w:val="Nvel3-Opcional"/>
        <w:numPr>
          <w:ilvl w:val="2"/>
          <w:numId w:val="24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e</w:t>
      </w:r>
    </w:p>
    <w:p>
      <w:pPr>
        <w:pStyle w:val="Nvel3-Opcional"/>
        <w:numPr>
          <w:ilvl w:val="2"/>
          <w:numId w:val="24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Níveis Mínimos de Serviço Exigidos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Os níveis mínimos de serviço são indicadores mensuráveis estabelecidos pelo Contratante para aferir objetivamente os resultados pretendidos com a contratação. São considerados para a presente contratação os seguintes indicadores:</w:t>
      </w:r>
    </w:p>
    <w:tbl>
      <w:tblPr>
        <w:tblW w:w="5000" w:type="pct"/>
        <w:jc w:val="left"/>
        <w:tblInd w:w="0" w:type="dxa"/>
        <w:tblLayout w:type="fixed"/>
        <w:tblCellMar>
          <w:top w:w="15" w:type="dxa"/>
          <w:left w:w="15" w:type="dxa"/>
          <w:bottom w:w="15" w:type="dxa"/>
          <w:right w:w="15" w:type="dxa"/>
        </w:tblCellMar>
        <w:tblLook w:firstRow="1" w:noVBand="1" w:lastRow="0" w:firstColumn="1" w:lastColumn="0" w:noHBand="0" w:val="04a0"/>
      </w:tblPr>
      <w:tblGrid>
        <w:gridCol w:w="1862"/>
        <w:gridCol w:w="694"/>
        <w:gridCol w:w="7082"/>
      </w:tblGrid>
      <w:tr>
        <w:trPr>
          <w:trHeight w:val="306" w:hRule="atLeast"/>
        </w:trPr>
        <w:tc>
          <w:tcPr>
            <w:tcW w:w="9638" w:type="dxa"/>
            <w:gridSpan w:val="3"/>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jc w:val="center"/>
              <w:rPr/>
            </w:pPr>
            <w:r>
              <w:rPr>
                <w:rStyle w:val="Strong"/>
                <w:rFonts w:cs="Arial"/>
                <w:i/>
                <w:iCs/>
                <w:color w:val="000000"/>
                <w:sz w:val="24"/>
                <w:szCs w:val="24"/>
                <w:shd w:fill="auto" w:val="clear"/>
              </w:rPr>
              <w:t>IAE – INDICADOR DE ATRASO NO FORNECIMENTO DO EQUIPAMENTO</w:t>
            </w:r>
          </w:p>
        </w:tc>
      </w:tr>
      <w:tr>
        <w:trPr>
          <w:trHeight w:val="413"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Tópico</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tabelatextocentralizado"/>
              <w:spacing w:lineRule="auto" w:line="360" w:before="0" w:after="170"/>
              <w:ind w:hanging="0" w:left="0" w:right="0"/>
              <w:jc w:val="center"/>
              <w:rPr/>
            </w:pPr>
            <w:r>
              <w:rPr>
                <w:rStyle w:val="Strong"/>
                <w:rFonts w:cs="Arial" w:ascii="Times New Roman" w:hAnsi="Times New Roman"/>
                <w:i/>
                <w:iCs/>
                <w:color w:val="000000"/>
                <w:sz w:val="24"/>
                <w:szCs w:val="24"/>
                <w:shd w:fill="auto" w:val="clear"/>
              </w:rPr>
              <w:t>Descrição</w:t>
            </w:r>
          </w:p>
        </w:tc>
      </w:tr>
      <w:tr>
        <w:trPr>
          <w:trHeight w:val="582"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Finalidade</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Medir o tempo de atraso na entrega dos produtos e serviços constantes na Ordem de Fornecimento de Bens.</w:t>
            </w:r>
          </w:p>
        </w:tc>
      </w:tr>
      <w:tr>
        <w:trPr>
          <w:trHeight w:val="582"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Meta a cumprir</w:t>
            </w:r>
          </w:p>
        </w:tc>
        <w:tc>
          <w:tcPr>
            <w:tcW w:w="694"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IAE &lt; = 0</w:t>
            </w:r>
          </w:p>
        </w:tc>
        <w:tc>
          <w:tcPr>
            <w:tcW w:w="7082" w:type="dxa"/>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 meta definida visa garantir a entrega dos produtos e serviços constantes nas Ordens de Fornecimento de Bens dentro do prazo previsto.</w:t>
            </w:r>
          </w:p>
        </w:tc>
      </w:tr>
      <w:tr>
        <w:trPr>
          <w:trHeight w:val="582"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Instrumento de medição</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OFB, Termo de Recebimento Provisório (TRP)</w:t>
            </w:r>
          </w:p>
        </w:tc>
      </w:tr>
      <w:tr>
        <w:trPr>
          <w:trHeight w:val="1135"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Forma de acompanhamento</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 avaliação será feita conforme linha de base do cronograma registrada na OFB.</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Será subtraída a data de entrega dos produtos da OFB (desde que o fiscal técnico reconheça aquela data, com registro em Termo de Recebimento Provisório) pela data de início da execução da OFB.</w:t>
            </w:r>
          </w:p>
        </w:tc>
      </w:tr>
      <w:tr>
        <w:trPr>
          <w:trHeight w:val="582"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Periodicidade</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Para cada Ordem de Fornecimento de Bens encerrada e com Termo de Recebimento Definitivo.</w:t>
            </w:r>
          </w:p>
        </w:tc>
      </w:tr>
      <w:tr>
        <w:trPr>
          <w:trHeight w:val="4450"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Mecanismo de Cálculo (métrica)</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s="Arial"/>
                <w:i/>
                <w:i/>
                <w:iCs/>
                <w:color w:val="000000"/>
                <w:sz w:val="24"/>
                <w:szCs w:val="24"/>
                <w:highlight w:val="none"/>
                <w:shd w:fill="auto" w:val="clear"/>
              </w:rPr>
            </w:pPr>
            <w:r>
              <w:rPr>
                <w:rFonts w:cs="Arial" w:ascii="Times New Roman" w:hAnsi="Times New Roman"/>
                <w:i/>
                <w:iCs/>
                <w:color w:val="000000"/>
                <w:sz w:val="24"/>
                <w:szCs w:val="24"/>
                <w:shd w:fill="auto" w:val="clear"/>
              </w:rPr>
            </w:r>
          </w:p>
          <w:p>
            <w:pPr>
              <w:pStyle w:val="NormalWeb"/>
              <w:spacing w:lineRule="auto" w:line="360" w:before="0" w:after="170"/>
              <w:ind w:hanging="0" w:left="0" w:right="0"/>
              <w:rPr/>
            </w:pPr>
            <w:r>
              <w:rPr>
                <w:rStyle w:val="Strong"/>
                <w:rFonts w:cs="Arial"/>
                <w:i/>
                <w:iCs/>
                <w:color w:val="000000"/>
                <w:sz w:val="24"/>
                <w:szCs w:val="24"/>
                <w:shd w:fill="auto" w:val="clear"/>
              </w:rPr>
              <w:t> </w:t>
            </w:r>
            <w:r>
              <w:rPr>
                <w:rStyle w:val="Strong"/>
                <w:rFonts w:cs="Arial"/>
                <w:i/>
                <w:iCs/>
                <w:color w:val="000000"/>
                <w:sz w:val="24"/>
                <w:szCs w:val="24"/>
                <w:shd w:fill="auto" w:val="clear"/>
              </w:rPr>
              <w:t>IAE =</w:t>
            </w:r>
            <w:r>
              <w:rPr>
                <w:rStyle w:val="contentpasted01"/>
                <w:rFonts w:cs="Arial"/>
                <w:b/>
                <w:bCs/>
                <w:i/>
                <w:iCs/>
                <w:color w:val="000000"/>
                <w:sz w:val="24"/>
                <w:szCs w:val="24"/>
                <w:shd w:fill="auto" w:val="clear"/>
              </w:rPr>
              <w:t> </w:t>
            </w:r>
            <w:r>
              <w:rPr>
                <w:rStyle w:val="Strong"/>
                <w:rFonts w:cs="Arial"/>
                <w:i/>
                <w:iCs/>
                <w:color w:val="000000"/>
                <w:sz w:val="24"/>
                <w:szCs w:val="24"/>
                <w:u w:val="single"/>
                <w:shd w:fill="auto" w:val="clear"/>
              </w:rPr>
              <w:t>TEX – TEST</w:t>
            </w:r>
          </w:p>
          <w:p>
            <w:pPr>
              <w:pStyle w:val="contentpasted0"/>
              <w:spacing w:lineRule="auto" w:line="360" w:before="0" w:after="170"/>
              <w:ind w:hanging="0" w:left="0" w:right="0"/>
              <w:rPr>
                <w:rFonts w:ascii="Times New Roman" w:hAnsi="Times New Roman" w:cs="Arial"/>
                <w:i/>
                <w:i/>
                <w:iCs/>
                <w:color w:val="000000"/>
                <w:sz w:val="24"/>
                <w:szCs w:val="24"/>
                <w:highlight w:val="none"/>
                <w:shd w:fill="auto" w:val="clear"/>
              </w:rPr>
            </w:pPr>
            <w:r>
              <w:rPr>
                <w:rFonts w:cs="Arial" w:ascii="Times New Roman" w:hAnsi="Times New Roman"/>
                <w:i/>
                <w:iCs/>
                <w:color w:val="000000"/>
                <w:sz w:val="24"/>
                <w:szCs w:val="24"/>
                <w:shd w:fill="auto" w:val="clear"/>
              </w:rPr>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Onde:</w:t>
            </w:r>
          </w:p>
          <w:p>
            <w:pPr>
              <w:pStyle w:val="contentpasted0"/>
              <w:spacing w:lineRule="auto" w:line="360" w:before="0" w:after="170"/>
              <w:ind w:hanging="0" w:left="0" w:right="0"/>
              <w:rPr/>
            </w:pPr>
            <w:r>
              <w:rPr>
                <w:rStyle w:val="Strong"/>
                <w:rFonts w:cs="Arial" w:ascii="Times New Roman" w:hAnsi="Times New Roman"/>
                <w:i/>
                <w:iCs/>
                <w:color w:val="000000"/>
                <w:sz w:val="24"/>
                <w:szCs w:val="24"/>
                <w:shd w:fill="auto" w:val="clear"/>
              </w:rPr>
              <w:t>IAE</w:t>
            </w:r>
            <w:r>
              <w:rPr>
                <w:rStyle w:val="contentpasted01"/>
                <w:rFonts w:cs="Arial" w:ascii="Times New Roman" w:hAnsi="Times New Roman"/>
                <w:i/>
                <w:iCs/>
                <w:color w:val="000000"/>
                <w:sz w:val="24"/>
                <w:szCs w:val="24"/>
                <w:shd w:fill="auto" w:val="clear"/>
              </w:rPr>
              <w:t> </w:t>
            </w:r>
            <w:r>
              <w:rPr>
                <w:rFonts w:cs="Arial" w:ascii="Times New Roman" w:hAnsi="Times New Roman"/>
                <w:i/>
                <w:iCs/>
                <w:color w:val="000000"/>
                <w:sz w:val="24"/>
                <w:szCs w:val="24"/>
                <w:shd w:fill="auto" w:val="clear"/>
              </w:rPr>
              <w:t>– Indicador de Atraso de Entrega da OFB;</w:t>
            </w:r>
          </w:p>
          <w:p>
            <w:pPr>
              <w:pStyle w:val="contentpasted0"/>
              <w:spacing w:lineRule="auto" w:line="360" w:before="0" w:after="170"/>
              <w:ind w:hanging="0" w:left="0" w:right="0"/>
              <w:rPr/>
            </w:pPr>
            <w:r>
              <w:rPr>
                <w:rStyle w:val="Strong"/>
                <w:rFonts w:cs="Arial" w:ascii="Times New Roman" w:hAnsi="Times New Roman"/>
                <w:i/>
                <w:iCs/>
                <w:color w:val="000000"/>
                <w:sz w:val="24"/>
                <w:szCs w:val="24"/>
                <w:shd w:fill="auto" w:val="clear"/>
              </w:rPr>
              <w:t>TEX</w:t>
            </w:r>
            <w:r>
              <w:rPr>
                <w:rStyle w:val="contentpasted01"/>
                <w:rFonts w:cs="Arial" w:ascii="Times New Roman" w:hAnsi="Times New Roman"/>
                <w:i/>
                <w:iCs/>
                <w:color w:val="000000"/>
                <w:sz w:val="24"/>
                <w:szCs w:val="24"/>
                <w:shd w:fill="auto" w:val="clear"/>
              </w:rPr>
              <w:t> </w:t>
            </w:r>
            <w:r>
              <w:rPr>
                <w:rFonts w:cs="Arial" w:ascii="Times New Roman" w:hAnsi="Times New Roman"/>
                <w:i/>
                <w:iCs/>
                <w:color w:val="000000"/>
                <w:sz w:val="24"/>
                <w:szCs w:val="24"/>
                <w:shd w:fill="auto" w:val="clear"/>
              </w:rPr>
              <w:t>– Tempo de Execução – corresponde ao período de execução da OFB, da sua data de início até a data de entrega dos produtos da OFB.</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 data de início será aquela constante na OFB; caso não esteja explícita, será o primeiro dia útil após a emissão da OFB.</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 data de entrega da OFB deverá ser aquela reconhecida pelo fiscal técnico, conforme critérios constantes neste Termo de Referência. Para os casos em que o fiscal técnico rejeita a entrega, o prazo de execução da OFB continua a correr, findando-se apenas quanto o Contratado entrega os produtos da OFB e haja aceitação por parte do fiscal técnico.</w:t>
            </w:r>
          </w:p>
          <w:p>
            <w:pPr>
              <w:pStyle w:val="contentpasted0"/>
              <w:spacing w:lineRule="auto" w:line="360" w:before="0" w:after="170"/>
              <w:ind w:hanging="0" w:left="0" w:right="0"/>
              <w:rPr/>
            </w:pPr>
            <w:r>
              <w:rPr>
                <w:rStyle w:val="Strong"/>
                <w:rFonts w:cs="Arial" w:ascii="Times New Roman" w:hAnsi="Times New Roman"/>
                <w:i/>
                <w:iCs/>
                <w:color w:val="000000"/>
                <w:sz w:val="24"/>
                <w:szCs w:val="24"/>
                <w:shd w:fill="auto" w:val="clear"/>
              </w:rPr>
              <w:t>TEST</w:t>
            </w:r>
            <w:r>
              <w:rPr>
                <w:rStyle w:val="contentpasted01"/>
                <w:rFonts w:cs="Arial" w:ascii="Times New Roman" w:hAnsi="Times New Roman"/>
                <w:i/>
                <w:iCs/>
                <w:color w:val="000000"/>
                <w:sz w:val="24"/>
                <w:szCs w:val="24"/>
                <w:shd w:fill="auto" w:val="clear"/>
              </w:rPr>
              <w:t> </w:t>
            </w:r>
            <w:r>
              <w:rPr>
                <w:rFonts w:cs="Arial" w:ascii="Times New Roman" w:hAnsi="Times New Roman"/>
                <w:i/>
                <w:iCs/>
                <w:color w:val="000000"/>
                <w:sz w:val="24"/>
                <w:szCs w:val="24"/>
                <w:shd w:fill="auto" w:val="clear"/>
              </w:rPr>
              <w:t>– Tempo Estimado para a execução da OFB – constante na OFB, conforme estipulado no Termo de Referência.</w:t>
            </w:r>
          </w:p>
        </w:tc>
      </w:tr>
      <w:tr>
        <w:trPr>
          <w:trHeight w:val="858"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Observações</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Obs1: Serão utilizados dias corridos na medição.</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Obs2: Os dias com expediente parcial no órgão/entidade serão considerados como dias corridos no cômputo do indicador.</w:t>
            </w:r>
          </w:p>
        </w:tc>
      </w:tr>
      <w:tr>
        <w:trPr>
          <w:trHeight w:val="306"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Início de Vigência</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 partir da emissão da OFB.</w:t>
            </w:r>
          </w:p>
        </w:tc>
      </w:tr>
      <w:tr>
        <w:trPr>
          <w:trHeight w:val="1687" w:hRule="atLeast"/>
        </w:trPr>
        <w:tc>
          <w:tcPr>
            <w:tcW w:w="1862" w:type="dxa"/>
            <w:tcBorders>
              <w:top w:val="single" w:sz="4" w:space="0" w:color="000000"/>
              <w:left w:val="single" w:sz="4" w:space="0" w:color="000000"/>
              <w:bottom w:val="single" w:sz="4" w:space="0" w:color="000000"/>
              <w:right w:val="single" w:sz="4" w:space="0" w:color="000000"/>
            </w:tcBorders>
            <w:vAlign w:val="center"/>
          </w:tcPr>
          <w:p>
            <w:pPr>
              <w:pStyle w:val="NormalWeb"/>
              <w:spacing w:lineRule="auto" w:line="360" w:before="0" w:after="170"/>
              <w:ind w:hanging="0" w:left="0" w:right="0"/>
              <w:rPr/>
            </w:pPr>
            <w:r>
              <w:rPr>
                <w:rStyle w:val="Strong"/>
                <w:rFonts w:cs="Arial"/>
                <w:i/>
                <w:iCs/>
                <w:color w:val="000000"/>
                <w:sz w:val="24"/>
                <w:szCs w:val="24"/>
                <w:shd w:fill="auto" w:val="clear"/>
              </w:rPr>
              <w:t>Faixas de ajuste no pagamento e Sanções</w:t>
            </w:r>
          </w:p>
        </w:tc>
        <w:tc>
          <w:tcPr>
            <w:tcW w:w="7776" w:type="dxa"/>
            <w:gridSpan w:val="2"/>
            <w:tcBorders>
              <w:top w:val="single" w:sz="4" w:space="0" w:color="000000"/>
              <w:left w:val="single" w:sz="4" w:space="0" w:color="000000"/>
              <w:bottom w:val="single" w:sz="4" w:space="0" w:color="000000"/>
              <w:right w:val="single" w:sz="4" w:space="0" w:color="000000"/>
            </w:tcBorders>
            <w:vAlign w:val="center"/>
          </w:tcPr>
          <w:p>
            <w:pPr>
              <w:pStyle w:val="contentpasted0"/>
              <w:spacing w:lineRule="auto" w:line="360" w:before="0" w:after="170"/>
              <w:ind w:hanging="0" w:left="0" w:right="0"/>
              <w:rPr/>
            </w:pPr>
            <w:r>
              <w:rPr>
                <w:rFonts w:cs="Arial" w:ascii="Times New Roman" w:hAnsi="Times New Roman"/>
                <w:i/>
                <w:iCs/>
                <w:color w:val="000000"/>
                <w:sz w:val="24"/>
                <w:szCs w:val="24"/>
                <w:shd w:fill="auto" w:val="clear"/>
              </w:rPr>
              <w:t>Para valores do indicador</w:t>
            </w:r>
            <w:r>
              <w:rPr>
                <w:rStyle w:val="contentpasted01"/>
                <w:rFonts w:cs="Arial" w:ascii="Times New Roman" w:hAnsi="Times New Roman"/>
                <w:i/>
                <w:iCs/>
                <w:color w:val="000000"/>
                <w:sz w:val="24"/>
                <w:szCs w:val="24"/>
                <w:shd w:fill="auto" w:val="clear"/>
              </w:rPr>
              <w:t> </w:t>
            </w:r>
            <w:r>
              <w:rPr>
                <w:rStyle w:val="Strong"/>
                <w:rFonts w:cs="Arial" w:ascii="Times New Roman" w:hAnsi="Times New Roman"/>
                <w:i/>
                <w:iCs/>
                <w:color w:val="000000"/>
                <w:sz w:val="24"/>
                <w:szCs w:val="24"/>
                <w:shd w:fill="auto" w:val="clear"/>
              </w:rPr>
              <w:t>IAE</w:t>
            </w:r>
            <w:r>
              <w:rPr>
                <w:rFonts w:cs="Arial" w:ascii="Times New Roman" w:hAnsi="Times New Roman"/>
                <w:i/>
                <w:iCs/>
                <w:color w:val="000000"/>
                <w:sz w:val="24"/>
                <w:szCs w:val="24"/>
                <w:shd w:fill="auto" w:val="clear"/>
              </w:rPr>
              <w:t>:</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Menor ou igual a 0  – Pagamento integral da OFB;</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De 1 a 60 - aplicar-se-á glosa de 0,1666% por dia de atraso sobre o valor da OFB ou fração em atraso.</w:t>
            </w:r>
          </w:p>
          <w:p>
            <w:pPr>
              <w:pStyle w:val="contentpasted0"/>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Acima de 60 - aplicar-se-á glosa de 10% bem como multa de 2% sobre o valor OFB ou fração em atraso.</w:t>
            </w:r>
          </w:p>
        </w:tc>
      </w:tr>
    </w:tbl>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INFRAÇÕES E SANÇÕES ADMINISTRATIVAS E PROCEDIMENTOS PARA RETENÇÃO OU GLOSA NOS PAGAMENTOS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Nos casos de inadimplemento na execução do objeto, as ocorrências serão registradas pela Contratante, conforme a tabela abaixo:</w:t>
      </w:r>
    </w:p>
    <w:tbl>
      <w:tblPr>
        <w:tblW w:w="9644" w:type="dxa"/>
        <w:jc w:val="left"/>
        <w:tblInd w:w="5" w:type="dxa"/>
        <w:tblLayout w:type="fixed"/>
        <w:tblCellMar>
          <w:top w:w="70" w:type="dxa"/>
          <w:left w:w="70" w:type="dxa"/>
          <w:bottom w:w="70" w:type="dxa"/>
          <w:right w:w="70" w:type="dxa"/>
        </w:tblCellMar>
        <w:tblLook w:firstRow="0" w:noVBand="0" w:lastRow="0" w:firstColumn="0" w:lastColumn="0" w:noHBand="0" w:val="0000"/>
      </w:tblPr>
      <w:tblGrid>
        <w:gridCol w:w="426"/>
        <w:gridCol w:w="4238"/>
        <w:gridCol w:w="4980"/>
      </w:tblGrid>
      <w:tr>
        <w:trPr>
          <w:trHeight w:val="75" w:hRule="atLeast"/>
        </w:trPr>
        <w:tc>
          <w:tcPr>
            <w:tcW w:w="426" w:type="dxa"/>
            <w:tcBorders>
              <w:top w:val="single" w:sz="4" w:space="0" w:color="000000"/>
              <w:left w:val="single" w:sz="4" w:space="0" w:color="000000"/>
              <w:bottom w:val="single" w:sz="4" w:space="0" w:color="000000"/>
            </w:tcBorders>
            <w:shd w:color="auto" w:fill="E6E6E6" w:val="clear"/>
            <w:vAlign w:val="center"/>
          </w:tcPr>
          <w:p>
            <w:pPr>
              <w:pStyle w:val="Standard"/>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i/>
                <w:iCs/>
                <w:color w:val="000000"/>
                <w:sz w:val="24"/>
                <w:szCs w:val="24"/>
                <w:shd w:fill="auto" w:val="clear"/>
              </w:rPr>
              <w:t>Id</w:t>
            </w:r>
          </w:p>
        </w:tc>
        <w:tc>
          <w:tcPr>
            <w:tcW w:w="4238" w:type="dxa"/>
            <w:tcBorders>
              <w:top w:val="single" w:sz="4" w:space="0" w:color="000000"/>
              <w:left w:val="single" w:sz="4" w:space="0" w:color="000000"/>
              <w:bottom w:val="single" w:sz="4" w:space="0" w:color="000000"/>
            </w:tcBorders>
            <w:shd w:color="auto" w:fill="E6E6E6" w:val="clear"/>
            <w:vAlign w:val="center"/>
          </w:tcPr>
          <w:p>
            <w:pPr>
              <w:pStyle w:val="Standard"/>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i/>
                <w:iCs/>
                <w:color w:val="000000"/>
                <w:sz w:val="24"/>
                <w:szCs w:val="24"/>
                <w:shd w:fill="auto" w:val="clear"/>
              </w:rPr>
              <w:t>Ocorrência</w:t>
            </w:r>
          </w:p>
        </w:tc>
        <w:tc>
          <w:tcPr>
            <w:tcW w:w="4980" w:type="dxa"/>
            <w:tcBorders>
              <w:top w:val="single" w:sz="4" w:space="0" w:color="000000"/>
              <w:left w:val="single" w:sz="4" w:space="0" w:color="000000"/>
              <w:bottom w:val="single" w:sz="4" w:space="0" w:color="000000"/>
              <w:right w:val="single" w:sz="4" w:space="0" w:color="000000"/>
            </w:tcBorders>
            <w:shd w:color="auto" w:fill="E6E6E6" w:val="clear"/>
            <w:vAlign w:val="center"/>
          </w:tcPr>
          <w:p>
            <w:pPr>
              <w:pStyle w:val="Standard"/>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b/>
                <w:bCs/>
                <w:i/>
                <w:iCs/>
                <w:color w:val="000000"/>
                <w:sz w:val="24"/>
                <w:szCs w:val="24"/>
                <w:shd w:fill="auto" w:val="clear"/>
              </w:rPr>
              <w:t>Glosa / Sanção</w:t>
            </w:r>
          </w:p>
        </w:tc>
      </w:tr>
      <w:tr>
        <w:trPr>
          <w:trHeight w:val="1349" w:hRule="atLeast"/>
        </w:trPr>
        <w:tc>
          <w:tcPr>
            <w:tcW w:w="426" w:type="dxa"/>
            <w:vMerge w:val="restar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1</w:t>
            </w:r>
          </w:p>
        </w:tc>
        <w:tc>
          <w:tcPr>
            <w:tcW w:w="4238" w:type="dxa"/>
            <w:vMerge w:val="restar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Não prestar os esclarecimentos imediatamente, referente à execução do contrato, salvo quando implicarem em indagações de caráter técnico, hipótese em que serão respondidos no prazo máximo de (02) horas úteis.</w:t>
            </w:r>
          </w:p>
        </w:tc>
        <w:tc>
          <w:tcPr>
            <w:tcW w:w="4980" w:type="dxa"/>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Multa de (1 ) % sobre o valor total do Contrato por dia útil de atraso em prestar as informações por escrito, ou por outro meio quando autorizado pela Contratante, até o limite de (10) dias úteis.</w:t>
            </w:r>
          </w:p>
        </w:tc>
      </w:tr>
      <w:tr>
        <w:trPr>
          <w:trHeight w:val="616" w:hRule="atLeast"/>
        </w:trPr>
        <w:tc>
          <w:tcPr>
            <w:tcW w:w="426"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238"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Após o limite de (10) dias úteis, aplicar-se-á multa de (20) % do valor total do Contrato.</w:t>
            </w:r>
          </w:p>
        </w:tc>
      </w:tr>
      <w:tr>
        <w:trPr>
          <w:trHeight w:val="555" w:hRule="atLeast"/>
        </w:trPr>
        <w:tc>
          <w:tcPr>
            <w:tcW w:w="426" w:type="dxa"/>
            <w:vMerge w:val="restar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2</w:t>
            </w:r>
          </w:p>
        </w:tc>
        <w:tc>
          <w:tcPr>
            <w:tcW w:w="4238" w:type="dxa"/>
            <w:vMerge w:val="restart"/>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Não atender ao indicador de nível de serviço IAE (Indicador de Atraso de Entrega de OS)</w:t>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Glosa de (10) % sobre o valor da OS para valores do indicador IAE de 0,11 a 0,20.</w:t>
            </w:r>
          </w:p>
        </w:tc>
      </w:tr>
      <w:tr>
        <w:trPr>
          <w:trHeight w:val="552" w:hRule="atLeast"/>
        </w:trPr>
        <w:tc>
          <w:tcPr>
            <w:tcW w:w="426"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238"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980" w:type="dxa"/>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Glosa de 10 % sobre o valor da OS para valores do indicador IAE de 0,21 a 0,30.</w:t>
            </w:r>
          </w:p>
        </w:tc>
      </w:tr>
      <w:tr>
        <w:trPr>
          <w:trHeight w:val="395" w:hRule="atLeast"/>
        </w:trPr>
        <w:tc>
          <w:tcPr>
            <w:tcW w:w="426"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238"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Glosa de 10 % sobre o valor da OS para valores do indicador IAE de 0,31 a 0,50.</w:t>
            </w:r>
          </w:p>
        </w:tc>
      </w:tr>
      <w:tr>
        <w:trPr>
          <w:trHeight w:val="308" w:hRule="atLeast"/>
        </w:trPr>
        <w:tc>
          <w:tcPr>
            <w:tcW w:w="426"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238"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Glosa de 10 % sobre o valor da OS para valores do indicador IAE de 0,51 a 1,00.</w:t>
            </w:r>
          </w:p>
        </w:tc>
      </w:tr>
      <w:tr>
        <w:trPr>
          <w:trHeight w:val="875" w:hRule="atLeast"/>
        </w:trPr>
        <w:tc>
          <w:tcPr>
            <w:tcW w:w="426"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238" w:type="dxa"/>
            <w:vMerge w:val="continue"/>
            <w:tcBorders>
              <w:top w:val="single" w:sz="4" w:space="0" w:color="000000"/>
              <w:left w:val="single" w:sz="4" w:space="0" w:color="000000"/>
              <w:bottom w:val="single" w:sz="4" w:space="0" w:color="000000"/>
              <w:right w:val="single" w:sz="4" w:space="0" w:color="000000"/>
            </w:tcBorders>
            <w:tcMar>
              <w:top w:w="0" w:type="dxa"/>
              <w:bottom w:w="0" w:type="dxa"/>
            </w:tcMar>
            <w:vAlign w:val="center"/>
          </w:tcPr>
          <w:p>
            <w:pPr>
              <w:pStyle w:val="Normal"/>
              <w:spacing w:lineRule="auto" w:line="360" w:before="0" w:after="170"/>
              <w:ind w:hanging="0" w:left="0" w:right="0"/>
              <w:rPr>
                <w:rFonts w:ascii="Times New Roman" w:hAnsi="Times New Roman" w:eastAsia="Calibri" w:cs="Arial"/>
                <w:i/>
                <w:i/>
                <w:iCs/>
                <w:color w:val="000000"/>
                <w:sz w:val="24"/>
                <w:szCs w:val="24"/>
                <w:highlight w:val="none"/>
                <w:shd w:fill="auto" w:val="clear"/>
                <w:lang w:eastAsia="en-US"/>
              </w:rPr>
            </w:pPr>
            <w:r>
              <w:rPr>
                <w:rFonts w:eastAsia="Calibri" w:cs="Arial" w:ascii="Times New Roman" w:hAnsi="Times New Roman"/>
                <w:i/>
                <w:iCs/>
                <w:color w:val="000000"/>
                <w:sz w:val="24"/>
                <w:szCs w:val="24"/>
                <w:shd w:fill="auto" w:val="clear"/>
                <w:lang w:eastAsia="en-US"/>
              </w:rPr>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Contedodatabelauser"/>
              <w:spacing w:lineRule="auto" w:line="360" w:before="0" w:after="170"/>
              <w:ind w:hanging="0" w:left="0" w:right="0"/>
              <w:jc w:val="both"/>
              <w:rPr>
                <w:rFonts w:ascii="Times New Roman" w:hAnsi="Times New Roman"/>
                <w:color w:val="000000"/>
                <w:sz w:val="24"/>
                <w:szCs w:val="24"/>
                <w:highlight w:val="none"/>
                <w:shd w:fill="auto" w:val="clear"/>
              </w:rPr>
            </w:pPr>
            <w:r>
              <w:rPr>
                <w:rFonts w:cs="Arial"/>
                <w:i/>
                <w:iCs/>
                <w:color w:val="000000"/>
                <w:sz w:val="24"/>
                <w:szCs w:val="24"/>
                <w:shd w:fill="auto" w:val="clear"/>
              </w:rPr>
              <w:t>Multa de 10 % sobre o valor do Contrato e Glosa de 10 % sobre o valor da OS, para valores do indicador IAE maiores que 1,00.</w:t>
            </w:r>
          </w:p>
        </w:tc>
      </w:tr>
      <w:tr>
        <w:trPr>
          <w:trHeight w:val="485" w:hRule="atLeast"/>
        </w:trPr>
        <w:tc>
          <w:tcPr>
            <w:tcW w:w="426" w:type="dxa"/>
            <w:tcBorders>
              <w:top w:val="single" w:sz="4" w:space="0" w:color="000000"/>
              <w:left w:val="single" w:sz="4" w:space="0" w:color="000000"/>
              <w:bottom w:val="single" w:sz="4" w:space="0" w:color="000000"/>
            </w:tcBorders>
            <w:tcMar>
              <w:top w:w="0" w:type="dxa"/>
              <w:bottom w:w="0" w:type="dxa"/>
            </w:tcMar>
            <w:vAlign w:val="center"/>
          </w:tcPr>
          <w:p>
            <w:pPr>
              <w:pStyle w:val="Standard"/>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w:t>
            </w:r>
          </w:p>
        </w:tc>
        <w:tc>
          <w:tcPr>
            <w:tcW w:w="4238" w:type="dxa"/>
            <w:tcBorders>
              <w:top w:val="single" w:sz="4" w:space="0" w:color="000000"/>
              <w:left w:val="single" w:sz="4" w:space="0" w:color="000000"/>
              <w:bottom w:val="single" w:sz="4" w:space="0" w:color="000000"/>
            </w:tcBorders>
            <w:tcMar>
              <w:top w:w="0" w:type="dxa"/>
              <w:bottom w:w="0" w:type="dxa"/>
            </w:tcMar>
            <w:vAlign w:val="center"/>
          </w:tcPr>
          <w:p>
            <w:pPr>
              <w:pStyle w:val="Standard"/>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w:t>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Contedodatabelauser"/>
              <w:spacing w:lineRule="auto" w:line="360" w:before="0" w:after="170"/>
              <w:ind w:hanging="0" w:left="0" w:right="0"/>
              <w:jc w:val="both"/>
              <w:rPr>
                <w:rFonts w:ascii="Times New Roman" w:hAnsi="Times New Roman"/>
                <w:color w:val="000000"/>
                <w:sz w:val="24"/>
                <w:szCs w:val="24"/>
                <w:highlight w:val="none"/>
                <w:shd w:fill="auto" w:val="clear"/>
              </w:rPr>
            </w:pPr>
            <w:r>
              <w:rPr>
                <w:rFonts w:cs="Arial"/>
                <w:i/>
                <w:iCs/>
                <w:color w:val="000000"/>
                <w:sz w:val="24"/>
                <w:szCs w:val="24"/>
                <w:shd w:fill="auto" w:val="clear"/>
              </w:rPr>
              <w:t>…</w:t>
            </w:r>
          </w:p>
        </w:tc>
      </w:tr>
      <w:tr>
        <w:trPr/>
        <w:tc>
          <w:tcPr>
            <w:tcW w:w="426" w:type="dxa"/>
            <w:tcBorders>
              <w:left w:val="single" w:sz="4" w:space="0" w:color="000000"/>
              <w:bottom w:val="single" w:sz="4" w:space="0" w:color="000000"/>
            </w:tcBorders>
            <w:tcMar>
              <w:top w:w="0" w:type="dxa"/>
              <w:bottom w:w="0" w:type="dxa"/>
            </w:tcMar>
            <w:vAlign w:val="center"/>
          </w:tcPr>
          <w:p>
            <w:pPr>
              <w:pStyle w:val="Standard"/>
              <w:spacing w:lineRule="auto" w:line="360" w:before="0" w:after="170"/>
              <w:ind w:hanging="0" w:left="0" w:right="0"/>
              <w:jc w:val="center"/>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N</w:t>
            </w:r>
          </w:p>
        </w:tc>
        <w:tc>
          <w:tcPr>
            <w:tcW w:w="4238" w:type="dxa"/>
            <w:tcBorders>
              <w:left w:val="single" w:sz="4" w:space="0" w:color="000000"/>
              <w:bottom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Não cumprir qualquer outra obrigação contratual não citada nesta tabela.</w:t>
            </w:r>
          </w:p>
        </w:tc>
        <w:tc>
          <w:tcPr>
            <w:tcW w:w="4980" w:type="dxa"/>
            <w:tcBorders>
              <w:left w:val="single" w:sz="4" w:space="0" w:color="000000"/>
              <w:bottom w:val="single" w:sz="4" w:space="0" w:color="000000"/>
              <w:right w:val="single" w:sz="4" w:space="0" w:color="000000"/>
            </w:tcBorders>
            <w:tcMar>
              <w:top w:w="0" w:type="dxa"/>
              <w:bottom w:w="0" w:type="dxa"/>
            </w:tcMar>
            <w:vAlign w:val="center"/>
          </w:tcPr>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Advertência.</w:t>
            </w:r>
          </w:p>
          <w:p>
            <w:pPr>
              <w:pStyle w:val="Standard"/>
              <w:spacing w:lineRule="auto" w:line="360" w:before="0" w:after="170"/>
              <w:ind w:hanging="0" w:left="0" w:right="0"/>
              <w:jc w:val="both"/>
              <w:rPr>
                <w:rFonts w:ascii="Times New Roman" w:hAnsi="Times New Roman"/>
                <w:color w:val="000000"/>
                <w:sz w:val="24"/>
                <w:szCs w:val="24"/>
                <w:highlight w:val="none"/>
                <w:shd w:fill="auto" w:val="clear"/>
              </w:rPr>
            </w:pPr>
            <w:r>
              <w:rPr>
                <w:rFonts w:cs="Arial" w:ascii="Times New Roman" w:hAnsi="Times New Roman"/>
                <w:i/>
                <w:iCs/>
                <w:color w:val="000000"/>
                <w:sz w:val="24"/>
                <w:szCs w:val="24"/>
                <w:shd w:fill="auto" w:val="clear"/>
              </w:rPr>
              <w:t>Em caso de reincidência ou configurado prejuízo aos resultados pretendidos com a contratação, aplica-se multa de 10 % do valor total do Contrato.</w:t>
            </w:r>
          </w:p>
        </w:tc>
      </w:tr>
    </w:tbl>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Nos termos do art. 19, inciso III da Instrução Normativa SGD/ME nº 94, de 2022, será efetuada a retenção ou glosa no pagamento, proporcional à irregularidade verificada, sem prejuízo das sanções cabíveis, nos casos em que o Contratado:</w:t>
      </w:r>
    </w:p>
    <w:p>
      <w:pPr>
        <w:pStyle w:val="Nvel3-Opcional"/>
        <w:numPr>
          <w:ilvl w:val="2"/>
          <w:numId w:val="24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atingir os valores mínimos aceitáveis fixados nos critérios de aceitação, não produzir os resultados ou deixar de executar as atividades contratadas; ou</w:t>
      </w:r>
    </w:p>
    <w:p>
      <w:pPr>
        <w:pStyle w:val="Nvel3-Opcional"/>
        <w:numPr>
          <w:ilvl w:val="2"/>
          <w:numId w:val="24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deixar de utilizar materiais e recursos humanos exigidos para fornecimento da solução de TIC, ou utilizá-los com qualidade ou quantidade inferior à demandada;</w:t>
      </w:r>
    </w:p>
    <w:p>
      <w:pPr>
        <w:pStyle w:val="Nvel02"/>
        <w:numPr>
          <w:ilvl w:val="1"/>
          <w:numId w:val="4"/>
        </w:numPr>
        <w:spacing w:lineRule="auto" w:line="360" w:before="0" w:after="170"/>
        <w:ind w:hanging="0" w:left="0" w:right="0"/>
        <w:rPr/>
      </w:pPr>
      <w:bookmarkStart w:id="14" w:name="_Hlk114498447"/>
      <w:bookmarkStart w:id="15" w:name="_Hlk114498479"/>
      <w:bookmarkEnd w:id="14"/>
      <w:bookmarkEnd w:id="15"/>
      <w:r>
        <w:rPr>
          <w:rStyle w:val="normaltextrun"/>
          <w:rFonts w:ascii="Times New Roman" w:hAnsi="Times New Roman"/>
          <w:color w:val="000000"/>
          <w:sz w:val="24"/>
          <w:szCs w:val="24"/>
          <w:shd w:fill="auto" w:val="clear"/>
        </w:rPr>
        <w:t xml:space="preserve">Comete </w:t>
      </w:r>
      <w:r>
        <w:rPr>
          <w:rFonts w:ascii="Times New Roman" w:hAnsi="Times New Roman"/>
          <w:color w:val="000000"/>
          <w:sz w:val="24"/>
          <w:szCs w:val="24"/>
          <w:shd w:fill="auto" w:val="clear"/>
        </w:rPr>
        <w:t>infração</w:t>
      </w:r>
      <w:r>
        <w:rPr>
          <w:rStyle w:val="normaltextrun"/>
          <w:rFonts w:ascii="Times New Roman" w:hAnsi="Times New Roman"/>
          <w:color w:val="000000"/>
          <w:sz w:val="24"/>
          <w:szCs w:val="24"/>
          <w:shd w:fill="auto" w:val="clear"/>
        </w:rPr>
        <w:t xml:space="preserve"> administrativa, nos termos da Lei nº 14.133, de 2021, o Contratado que:</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der causa à inexecução parcial do contrato;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der causa à inexecução parcial do contrato que cause grave dano à Administração ou ao funcionamento dos serviços públicos ou ao interesse coletivo;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der causa à inexecução total do contrato;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ensejar o retardamento da execução ou da entrega do objeto da contratação sem motivo justificado;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apresentar documentação falsa ou prestar declaração falsa durante a execução do contrato;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praticar ato fraudulento na execução do contrato;</w:t>
      </w:r>
    </w:p>
    <w:p>
      <w:pPr>
        <w:pStyle w:val="paragraph"/>
        <w:numPr>
          <w:ilvl w:val="0"/>
          <w:numId w:val="6"/>
        </w:numPr>
        <w:spacing w:lineRule="auto" w:line="360" w:beforeAutospacing="0" w:before="0" w:afterAutospacing="0" w:after="0"/>
        <w:ind w:hanging="0" w:left="0" w:right="0"/>
        <w:jc w:val="both"/>
        <w:textAlignment w:val="baseline"/>
        <w:rPr/>
      </w:pPr>
      <w:r>
        <w:rPr>
          <w:rStyle w:val="normaltextrun"/>
          <w:color w:val="000000"/>
          <w:sz w:val="24"/>
          <w:szCs w:val="24"/>
          <w:shd w:fill="auto" w:val="clear"/>
        </w:rPr>
        <w:t>comportar-se de modo inidôneo ou cometer fraude de qualquer natureza;</w:t>
      </w:r>
    </w:p>
    <w:p>
      <w:pPr>
        <w:pStyle w:val="paragraph"/>
        <w:numPr>
          <w:ilvl w:val="0"/>
          <w:numId w:val="6"/>
        </w:numPr>
        <w:spacing w:lineRule="auto" w:line="360" w:beforeAutospacing="0" w:before="0" w:afterAutospacing="0" w:after="170"/>
        <w:ind w:hanging="0" w:left="0" w:right="0"/>
        <w:jc w:val="both"/>
        <w:textAlignment w:val="baseline"/>
        <w:rPr/>
      </w:pPr>
      <w:r>
        <w:rPr>
          <w:rStyle w:val="normaltextrun"/>
          <w:color w:val="000000"/>
          <w:sz w:val="24"/>
          <w:szCs w:val="24"/>
          <w:shd w:fill="auto" w:val="clear"/>
        </w:rPr>
        <w:t>praticar ato lesivo previsto no art. 5º da Lei nº 12.846, de 1º de agosto de 2013.</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Serão </w:t>
      </w:r>
      <w:r>
        <w:rPr>
          <w:rFonts w:ascii="Times New Roman" w:hAnsi="Times New Roman"/>
          <w:color w:val="000000"/>
          <w:sz w:val="24"/>
          <w:szCs w:val="24"/>
          <w:shd w:fill="auto" w:val="clear"/>
        </w:rPr>
        <w:t>aplicadas</w:t>
      </w:r>
      <w:r>
        <w:rPr>
          <w:rStyle w:val="normaltextrun"/>
          <w:rFonts w:ascii="Times New Roman" w:hAnsi="Times New Roman"/>
          <w:color w:val="000000"/>
          <w:sz w:val="24"/>
          <w:szCs w:val="24"/>
          <w:shd w:fill="auto" w:val="clear"/>
        </w:rPr>
        <w:t xml:space="preserve"> ao Contratado que incorrer nas infrações acima descritas as seguintes sanções:</w:t>
      </w:r>
    </w:p>
    <w:p>
      <w:pPr>
        <w:pStyle w:val="Nivel3"/>
        <w:numPr>
          <w:ilvl w:val="2"/>
          <w:numId w:val="245"/>
        </w:numPr>
        <w:spacing w:lineRule="auto" w:line="360" w:before="0" w:after="170"/>
        <w:ind w:hanging="0" w:left="0" w:right="0"/>
        <w:rPr/>
      </w:pPr>
      <w:r>
        <w:rPr>
          <w:rStyle w:val="normaltextrun"/>
          <w:rFonts w:ascii="Times New Roman" w:hAnsi="Times New Roman"/>
          <w:color w:val="000000"/>
          <w:sz w:val="24"/>
          <w:szCs w:val="24"/>
          <w:shd w:fill="auto" w:val="clear"/>
        </w:rPr>
        <w:t>Advertência, quando o Contratado der causa à inexecução parcial do contrato, sempre que não se justificar a imposição de penalidade mais grave;</w:t>
      </w:r>
    </w:p>
    <w:p>
      <w:pPr>
        <w:pStyle w:val="Nivel3"/>
        <w:numPr>
          <w:ilvl w:val="2"/>
          <w:numId w:val="246"/>
        </w:numPr>
        <w:spacing w:lineRule="auto" w:line="360" w:before="0" w:after="170"/>
        <w:ind w:hanging="0" w:left="0" w:right="0"/>
        <w:rPr/>
      </w:pPr>
      <w:r>
        <w:rPr>
          <w:rStyle w:val="normaltextrun"/>
          <w:rFonts w:ascii="Times New Roman" w:hAnsi="Times New Roman"/>
          <w:color w:val="000000"/>
          <w:sz w:val="24"/>
          <w:szCs w:val="24"/>
          <w:shd w:fill="auto" w:val="clear"/>
        </w:rPr>
        <w:t>Impedimento de licitar e contratar, quando praticadas as condutas descritas nas alíneas “b”, “c” e “d” do subitem acima, sempre que não se justificar a imposição de penalidade mais grave;</w:t>
      </w:r>
    </w:p>
    <w:p>
      <w:pPr>
        <w:pStyle w:val="Nivel3"/>
        <w:numPr>
          <w:ilvl w:val="2"/>
          <w:numId w:val="247"/>
        </w:numPr>
        <w:spacing w:lineRule="auto" w:line="360" w:before="0" w:after="170"/>
        <w:ind w:hanging="0" w:left="0" w:right="0"/>
        <w:rPr/>
      </w:pPr>
      <w:r>
        <w:rPr>
          <w:rStyle w:val="normaltextrun"/>
          <w:rFonts w:ascii="Times New Roman" w:hAnsi="Times New Roman"/>
          <w:color w:val="000000"/>
          <w:sz w:val="24"/>
          <w:szCs w:val="24"/>
          <w:shd w:fill="auto" w:val="clear"/>
        </w:rPr>
        <w:t>Declaração de inidoneidade para licitar e contratar, quando praticadas as condutas descritas nas alíneas “e”, “f”, “g” e “h” do subitem acima, bem como nas alíneas “b”, “c” e “d”, que justifiquem a imposição de penalidade mais grave.</w:t>
      </w:r>
    </w:p>
    <w:p>
      <w:pPr>
        <w:pStyle w:val="Nivel3"/>
        <w:numPr>
          <w:ilvl w:val="2"/>
          <w:numId w:val="248"/>
        </w:numPr>
        <w:spacing w:lineRule="auto" w:line="360" w:before="0" w:after="170"/>
        <w:ind w:hanging="0" w:left="0" w:right="0"/>
        <w:rPr/>
      </w:pPr>
      <w:r>
        <w:rPr>
          <w:rStyle w:val="normaltextrun"/>
          <w:rFonts w:ascii="Times New Roman" w:hAnsi="Times New Roman"/>
          <w:color w:val="000000"/>
          <w:sz w:val="24"/>
          <w:szCs w:val="24"/>
          <w:shd w:fill="auto" w:val="clear"/>
        </w:rPr>
        <w:t>Multa</w:t>
      </w:r>
      <w:r>
        <w:rPr>
          <w:rStyle w:val="normaltextrun"/>
          <w:rFonts w:cs="Arial" w:ascii="Times New Roman" w:hAnsi="Times New Roman"/>
          <w:color w:val="000000"/>
          <w:sz w:val="24"/>
          <w:szCs w:val="24"/>
          <w:shd w:fill="auto" w:val="clear"/>
        </w:rPr>
        <w:t>:</w:t>
      </w:r>
    </w:p>
    <w:p>
      <w:pPr>
        <w:pStyle w:val="Nvel4-R"/>
        <w:numPr>
          <w:ilvl w:val="3"/>
          <w:numId w:val="249"/>
        </w:numPr>
        <w:spacing w:lineRule="auto" w:line="360" w:before="0" w:after="170"/>
        <w:ind w:hanging="0" w:left="0" w:right="0"/>
        <w:rPr/>
      </w:pPr>
      <w:r>
        <w:rPr>
          <w:rStyle w:val="normaltextrun"/>
          <w:rFonts w:ascii="Times New Roman" w:hAnsi="Times New Roman"/>
          <w:color w:val="000000"/>
          <w:sz w:val="24"/>
          <w:szCs w:val="24"/>
          <w:shd w:fill="auto" w:val="clear"/>
        </w:rPr>
        <w:t xml:space="preserve">Moratória, para as infrações descritas no item “d”, de </w:t>
      </w:r>
      <w:r>
        <w:rPr>
          <w:rStyle w:val="normaltextrun"/>
          <w:rFonts w:ascii="Times New Roman" w:hAnsi="Times New Roman"/>
          <w:b/>
          <w:bCs w:val="false"/>
          <w:iCs/>
          <w:color w:val="000000"/>
          <w:sz w:val="24"/>
          <w:szCs w:val="24"/>
          <w:shd w:fill="auto" w:val="clear"/>
        </w:rPr>
        <w:t>XX</w:t>
      </w:r>
      <w:r>
        <w:rPr>
          <w:rStyle w:val="normaltextrun"/>
          <w:rFonts w:ascii="Times New Roman" w:hAnsi="Times New Roman"/>
          <w:iCs/>
          <w:color w:val="000000"/>
          <w:sz w:val="24"/>
          <w:szCs w:val="24"/>
          <w:shd w:fill="auto" w:val="clear"/>
        </w:rPr>
        <w:t>% (</w:t>
      </w:r>
      <w:r>
        <w:rPr>
          <w:rStyle w:val="normaltextrun"/>
          <w:rFonts w:ascii="Times New Roman" w:hAnsi="Times New Roman"/>
          <w:b/>
          <w:bCs w:val="false"/>
          <w:iCs/>
          <w:color w:val="000000"/>
          <w:sz w:val="24"/>
          <w:szCs w:val="24"/>
          <w:shd w:fill="auto" w:val="clear"/>
        </w:rPr>
        <w:t>xxxxx</w:t>
      </w:r>
      <w:r>
        <w:rPr>
          <w:rStyle w:val="normaltextrun"/>
          <w:rFonts w:ascii="Times New Roman" w:hAnsi="Times New Roman"/>
          <w:color w:val="000000"/>
          <w:sz w:val="24"/>
          <w:szCs w:val="24"/>
          <w:shd w:fill="auto" w:val="clear"/>
        </w:rPr>
        <w:t xml:space="preserve"> por cento) por dia de atraso injustificado sobre o valor da parcela inadimplida, até o limite de </w:t>
      </w:r>
      <w:r>
        <w:rPr>
          <w:rStyle w:val="normaltextrun"/>
          <w:rFonts w:ascii="Times New Roman" w:hAnsi="Times New Roman"/>
          <w:b/>
          <w:bCs w:val="false"/>
          <w:color w:val="000000"/>
          <w:sz w:val="24"/>
          <w:szCs w:val="24"/>
          <w:shd w:fill="auto" w:val="clear"/>
        </w:rPr>
        <w:t>XX</w:t>
      </w:r>
      <w:r>
        <w:rPr>
          <w:rStyle w:val="normaltextrun"/>
          <w:rFonts w:ascii="Times New Roman" w:hAnsi="Times New Roman"/>
          <w:iCs/>
          <w:color w:val="000000"/>
          <w:sz w:val="24"/>
          <w:szCs w:val="24"/>
          <w:shd w:fill="auto" w:val="clear"/>
        </w:rPr>
        <w:t xml:space="preserve"> (</w:t>
      </w:r>
      <w:r>
        <w:rPr>
          <w:rStyle w:val="normaltextrun"/>
          <w:rFonts w:ascii="Times New Roman" w:hAnsi="Times New Roman"/>
          <w:b/>
          <w:bCs w:val="false"/>
          <w:iCs/>
          <w:color w:val="000000"/>
          <w:sz w:val="24"/>
          <w:szCs w:val="24"/>
          <w:shd w:fill="auto" w:val="clear"/>
        </w:rPr>
        <w:t>xxxxx</w:t>
      </w:r>
      <w:r>
        <w:rPr>
          <w:rStyle w:val="normaltextrun"/>
          <w:rFonts w:ascii="Times New Roman" w:hAnsi="Times New Roman"/>
          <w:iCs/>
          <w:color w:val="000000"/>
          <w:sz w:val="24"/>
          <w:szCs w:val="24"/>
          <w:shd w:fill="auto" w:val="clear"/>
        </w:rPr>
        <w:t>)</w:t>
      </w:r>
      <w:r>
        <w:rPr>
          <w:rStyle w:val="normaltextrun"/>
          <w:rFonts w:ascii="Times New Roman" w:hAnsi="Times New Roman"/>
          <w:color w:val="000000"/>
          <w:sz w:val="24"/>
          <w:szCs w:val="24"/>
          <w:shd w:fill="auto" w:val="clear"/>
        </w:rPr>
        <w:t xml:space="preserve"> dias</w:t>
      </w:r>
    </w:p>
    <w:p>
      <w:pPr>
        <w:pStyle w:val="Nvel4-R"/>
        <w:numPr>
          <w:ilvl w:val="3"/>
          <w:numId w:val="4"/>
        </w:numPr>
        <w:spacing w:lineRule="auto" w:line="360" w:before="0" w:after="170"/>
        <w:ind w:hanging="0" w:left="0" w:right="0"/>
        <w:rPr/>
      </w:pPr>
      <w:r>
        <w:rPr>
          <w:rStyle w:val="normaltextrun"/>
          <w:rFonts w:ascii="Times New Roman" w:hAnsi="Times New Roman"/>
          <w:color w:val="000000"/>
          <w:sz w:val="24"/>
          <w:szCs w:val="24"/>
          <w:shd w:fill="auto" w:val="clear"/>
        </w:rPr>
        <w:t>Moratória de 0,07% (sete centésimos por cento) por dia de atraso injustificado sobre o valor total do contrato, até o máximo de 2% (dois por cento), pela inobservância do prazo fixado para apresentação, suplementação ou reposição da garantia;</w:t>
      </w:r>
    </w:p>
    <w:p>
      <w:pPr>
        <w:pStyle w:val="Nvel4-R"/>
        <w:numPr>
          <w:ilvl w:val="4"/>
          <w:numId w:val="1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pPr>
        <w:pStyle w:val="Nvel4-R"/>
        <w:numPr>
          <w:ilvl w:val="3"/>
          <w:numId w:val="250"/>
        </w:numPr>
        <w:spacing w:lineRule="auto" w:line="360" w:before="0" w:after="170"/>
        <w:ind w:hanging="0" w:left="0" w:right="0"/>
        <w:rPr/>
      </w:pPr>
      <w:r>
        <w:rPr>
          <w:rStyle w:val="normaltextrun"/>
          <w:rFonts w:ascii="Times New Roman" w:hAnsi="Times New Roman"/>
          <w:bCs w:val="false"/>
          <w:color w:val="000000"/>
          <w:sz w:val="24"/>
          <w:szCs w:val="24"/>
          <w:shd w:fill="auto" w:val="clear"/>
        </w:rPr>
        <w:t>Compensatória</w:t>
      </w:r>
      <w:r>
        <w:rPr>
          <w:rStyle w:val="normaltextrun"/>
          <w:rFonts w:ascii="Times New Roman" w:hAnsi="Times New Roman"/>
          <w:color w:val="000000"/>
          <w:sz w:val="24"/>
          <w:szCs w:val="24"/>
          <w:shd w:fill="auto" w:val="clear"/>
        </w:rPr>
        <w:t>, para as infrações descritas acima alíneas “</w:t>
      </w:r>
      <w:r>
        <w:rPr>
          <w:rStyle w:val="normaltextrun"/>
          <w:rFonts w:ascii="Times New Roman" w:hAnsi="Times New Roman"/>
          <w:b/>
          <w:color w:val="000000"/>
          <w:sz w:val="24"/>
          <w:szCs w:val="24"/>
          <w:shd w:fill="auto" w:val="clear"/>
        </w:rPr>
        <w:t>e</w:t>
      </w:r>
      <w:r>
        <w:rPr>
          <w:rStyle w:val="normaltextrun"/>
          <w:rFonts w:ascii="Times New Roman" w:hAnsi="Times New Roman"/>
          <w:color w:val="000000"/>
          <w:sz w:val="24"/>
          <w:szCs w:val="24"/>
          <w:shd w:fill="auto" w:val="clear"/>
        </w:rPr>
        <w:t>” a “</w:t>
      </w:r>
      <w:r>
        <w:rPr>
          <w:rStyle w:val="normaltextrun"/>
          <w:rFonts w:ascii="Times New Roman" w:hAnsi="Times New Roman"/>
          <w:b/>
          <w:color w:val="000000"/>
          <w:sz w:val="24"/>
          <w:szCs w:val="24"/>
          <w:shd w:fill="auto" w:val="clear"/>
        </w:rPr>
        <w:t>h</w:t>
      </w:r>
      <w:r>
        <w:rPr>
          <w:rStyle w:val="normaltextrun"/>
          <w:rFonts w:ascii="Times New Roman" w:hAnsi="Times New Roman"/>
          <w:color w:val="000000"/>
          <w:sz w:val="24"/>
          <w:szCs w:val="24"/>
          <w:shd w:fill="auto" w:val="clear"/>
        </w:rPr>
        <w:t>” de 1</w:t>
      </w:r>
      <w:r>
        <w:rPr>
          <w:rStyle w:val="normaltextrun"/>
          <w:rFonts w:ascii="Times New Roman" w:hAnsi="Times New Roman"/>
          <w:b/>
          <w:bCs w:val="false"/>
          <w:iCs/>
          <w:color w:val="000000"/>
          <w:sz w:val="24"/>
          <w:szCs w:val="24"/>
          <w:shd w:fill="auto" w:val="clear"/>
        </w:rPr>
        <w:t>0</w:t>
      </w:r>
      <w:r>
        <w:rPr>
          <w:rStyle w:val="normaltextrun"/>
          <w:rFonts w:ascii="Times New Roman" w:hAnsi="Times New Roman"/>
          <w:iCs/>
          <w:color w:val="000000"/>
          <w:sz w:val="24"/>
          <w:szCs w:val="24"/>
          <w:shd w:fill="auto" w:val="clear"/>
        </w:rPr>
        <w:t>% (d</w:t>
      </w:r>
      <w:r>
        <w:rPr>
          <w:rStyle w:val="normaltextrun"/>
          <w:rFonts w:ascii="Times New Roman" w:hAnsi="Times New Roman"/>
          <w:b/>
          <w:bCs w:val="false"/>
          <w:iCs/>
          <w:color w:val="000000"/>
          <w:sz w:val="24"/>
          <w:szCs w:val="24"/>
          <w:shd w:fill="auto" w:val="clear"/>
        </w:rPr>
        <w:t>ez</w:t>
      </w:r>
      <w:r>
        <w:rPr>
          <w:rStyle w:val="normaltextrun"/>
          <w:rFonts w:ascii="Times New Roman" w:hAnsi="Times New Roman"/>
          <w:iCs/>
          <w:color w:val="000000"/>
          <w:sz w:val="24"/>
          <w:szCs w:val="24"/>
          <w:shd w:fill="auto" w:val="clear"/>
        </w:rPr>
        <w:t xml:space="preserve"> por cento) </w:t>
      </w:r>
      <w:r>
        <w:rPr>
          <w:rStyle w:val="normaltextrun"/>
          <w:rFonts w:ascii="Times New Roman" w:hAnsi="Times New Roman"/>
          <w:color w:val="000000"/>
          <w:sz w:val="24"/>
          <w:szCs w:val="24"/>
          <w:shd w:fill="auto" w:val="clear"/>
        </w:rPr>
        <w:t>a</w:t>
      </w:r>
      <w:r>
        <w:rPr>
          <w:rStyle w:val="normaltextrun"/>
          <w:rFonts w:ascii="Times New Roman" w:hAnsi="Times New Roman"/>
          <w:iCs/>
          <w:color w:val="000000"/>
          <w:sz w:val="24"/>
          <w:szCs w:val="24"/>
          <w:shd w:fill="auto" w:val="clear"/>
        </w:rPr>
        <w:t xml:space="preserve"> 1</w:t>
      </w:r>
      <w:r>
        <w:rPr>
          <w:rStyle w:val="normaltextrun"/>
          <w:rFonts w:ascii="Times New Roman" w:hAnsi="Times New Roman"/>
          <w:b/>
          <w:bCs w:val="false"/>
          <w:iCs/>
          <w:color w:val="000000"/>
          <w:sz w:val="24"/>
          <w:szCs w:val="24"/>
          <w:shd w:fill="auto" w:val="clear"/>
        </w:rPr>
        <w:t>5</w:t>
      </w:r>
      <w:r>
        <w:rPr>
          <w:rStyle w:val="normaltextrun"/>
          <w:rFonts w:ascii="Times New Roman" w:hAnsi="Times New Roman"/>
          <w:iCs/>
          <w:color w:val="000000"/>
          <w:sz w:val="24"/>
          <w:szCs w:val="24"/>
          <w:shd w:fill="auto" w:val="clear"/>
        </w:rPr>
        <w:t>% (q</w:t>
      </w:r>
      <w:r>
        <w:rPr>
          <w:rStyle w:val="normaltextrun"/>
          <w:rFonts w:ascii="Times New Roman" w:hAnsi="Times New Roman"/>
          <w:b/>
          <w:bCs w:val="false"/>
          <w:iCs/>
          <w:color w:val="000000"/>
          <w:sz w:val="24"/>
          <w:szCs w:val="24"/>
          <w:shd w:fill="auto" w:val="clear"/>
        </w:rPr>
        <w:t>uinze</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do valor da contratação.</w:t>
      </w:r>
    </w:p>
    <w:p>
      <w:pPr>
        <w:pStyle w:val="Nvel4-R"/>
        <w:numPr>
          <w:ilvl w:val="3"/>
          <w:numId w:val="251"/>
        </w:numPr>
        <w:spacing w:lineRule="auto" w:line="360" w:before="0" w:after="170"/>
        <w:ind w:hanging="0" w:left="0" w:right="0"/>
        <w:rPr/>
      </w:pPr>
      <w:r>
        <w:rPr>
          <w:rStyle w:val="normaltextrun"/>
          <w:rFonts w:ascii="Times New Roman" w:hAnsi="Times New Roman"/>
          <w:bCs w:val="false"/>
          <w:color w:val="000000"/>
          <w:sz w:val="24"/>
          <w:szCs w:val="24"/>
          <w:shd w:fill="auto" w:val="clear"/>
        </w:rPr>
        <w:t>Compensatória</w:t>
      </w:r>
      <w:r>
        <w:rPr>
          <w:rStyle w:val="normaltextrun"/>
          <w:rFonts w:ascii="Times New Roman" w:hAnsi="Times New Roman"/>
          <w:color w:val="000000"/>
          <w:sz w:val="24"/>
          <w:szCs w:val="24"/>
          <w:shd w:fill="auto" w:val="clear"/>
        </w:rPr>
        <w:t>, para a inexecução total do contrato prevista acima na alínea “</w:t>
      </w:r>
      <w:r>
        <w:rPr>
          <w:rStyle w:val="normaltextrun"/>
          <w:rFonts w:ascii="Times New Roman" w:hAnsi="Times New Roman"/>
          <w:b/>
          <w:color w:val="000000"/>
          <w:sz w:val="24"/>
          <w:szCs w:val="24"/>
          <w:shd w:fill="auto" w:val="clear"/>
        </w:rPr>
        <w:t>c</w:t>
      </w:r>
      <w:r>
        <w:rPr>
          <w:rStyle w:val="normaltextrun"/>
          <w:rFonts w:ascii="Times New Roman" w:hAnsi="Times New Roman"/>
          <w:color w:val="000000"/>
          <w:sz w:val="24"/>
          <w:szCs w:val="24"/>
          <w:shd w:fill="auto" w:val="clear"/>
        </w:rPr>
        <w:t>”, de 1</w:t>
      </w:r>
      <w:r>
        <w:rPr>
          <w:rStyle w:val="normaltextrun"/>
          <w:rFonts w:ascii="Times New Roman" w:hAnsi="Times New Roman"/>
          <w:b/>
          <w:bCs w:val="false"/>
          <w:iCs/>
          <w:color w:val="000000"/>
          <w:sz w:val="24"/>
          <w:szCs w:val="24"/>
          <w:shd w:fill="auto" w:val="clear"/>
        </w:rPr>
        <w:t>0</w:t>
      </w:r>
      <w:r>
        <w:rPr>
          <w:rStyle w:val="normaltextrun"/>
          <w:rFonts w:ascii="Times New Roman" w:hAnsi="Times New Roman"/>
          <w:iCs/>
          <w:color w:val="000000"/>
          <w:sz w:val="24"/>
          <w:szCs w:val="24"/>
          <w:shd w:fill="auto" w:val="clear"/>
        </w:rPr>
        <w:t>% (d</w:t>
      </w:r>
      <w:r>
        <w:rPr>
          <w:rStyle w:val="normaltextrun"/>
          <w:rFonts w:ascii="Times New Roman" w:hAnsi="Times New Roman"/>
          <w:b/>
          <w:bCs w:val="false"/>
          <w:iCs/>
          <w:color w:val="000000"/>
          <w:sz w:val="24"/>
          <w:szCs w:val="24"/>
          <w:shd w:fill="auto" w:val="clear"/>
        </w:rPr>
        <w:t>ez</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a 1</w:t>
      </w:r>
      <w:r>
        <w:rPr>
          <w:rStyle w:val="normaltextrun"/>
          <w:rFonts w:ascii="Times New Roman" w:hAnsi="Times New Roman"/>
          <w:b/>
          <w:bCs w:val="false"/>
          <w:iCs/>
          <w:color w:val="000000"/>
          <w:sz w:val="24"/>
          <w:szCs w:val="24"/>
          <w:shd w:fill="auto" w:val="clear"/>
        </w:rPr>
        <w:t>5</w:t>
      </w:r>
      <w:r>
        <w:rPr>
          <w:rStyle w:val="normaltextrun"/>
          <w:rFonts w:ascii="Times New Roman" w:hAnsi="Times New Roman"/>
          <w:iCs/>
          <w:color w:val="000000"/>
          <w:sz w:val="24"/>
          <w:szCs w:val="24"/>
          <w:shd w:fill="auto" w:val="clear"/>
        </w:rPr>
        <w:t>% (q</w:t>
      </w:r>
      <w:r>
        <w:rPr>
          <w:rStyle w:val="normaltextrun"/>
          <w:rFonts w:ascii="Times New Roman" w:hAnsi="Times New Roman"/>
          <w:b/>
          <w:bCs w:val="false"/>
          <w:iCs/>
          <w:color w:val="000000"/>
          <w:sz w:val="24"/>
          <w:szCs w:val="24"/>
          <w:shd w:fill="auto" w:val="clear"/>
        </w:rPr>
        <w:t>uize</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do valor da contratação.</w:t>
      </w:r>
    </w:p>
    <w:p>
      <w:pPr>
        <w:pStyle w:val="Nvel4-R"/>
        <w:numPr>
          <w:ilvl w:val="3"/>
          <w:numId w:val="252"/>
        </w:numPr>
        <w:spacing w:lineRule="auto" w:line="360" w:before="0" w:after="170"/>
        <w:ind w:hanging="0" w:left="0" w:right="0"/>
        <w:rPr/>
      </w:pPr>
      <w:r>
        <w:rPr>
          <w:rStyle w:val="normaltextrun"/>
          <w:rFonts w:ascii="Times New Roman" w:hAnsi="Times New Roman"/>
          <w:bCs w:val="false"/>
          <w:color w:val="000000"/>
          <w:sz w:val="24"/>
          <w:szCs w:val="24"/>
          <w:shd w:fill="auto" w:val="clear"/>
        </w:rPr>
        <w:t>Compensatória</w:t>
      </w:r>
      <w:r>
        <w:rPr>
          <w:rStyle w:val="normaltextrun"/>
          <w:rFonts w:ascii="Times New Roman" w:hAnsi="Times New Roman"/>
          <w:color w:val="000000"/>
          <w:sz w:val="24"/>
          <w:szCs w:val="24"/>
          <w:shd w:fill="auto" w:val="clear"/>
        </w:rPr>
        <w:t>, para a infração descrita acima na alínea “</w:t>
      </w:r>
      <w:r>
        <w:rPr>
          <w:rStyle w:val="normaltextrun"/>
          <w:rFonts w:ascii="Times New Roman" w:hAnsi="Times New Roman"/>
          <w:b/>
          <w:color w:val="000000"/>
          <w:sz w:val="24"/>
          <w:szCs w:val="24"/>
          <w:shd w:fill="auto" w:val="clear"/>
        </w:rPr>
        <w:t>b</w:t>
      </w:r>
      <w:r>
        <w:rPr>
          <w:rStyle w:val="normaltextrun"/>
          <w:rFonts w:ascii="Times New Roman" w:hAnsi="Times New Roman"/>
          <w:color w:val="000000"/>
          <w:sz w:val="24"/>
          <w:szCs w:val="24"/>
          <w:shd w:fill="auto" w:val="clear"/>
        </w:rPr>
        <w:t>”, de 1</w:t>
      </w:r>
      <w:r>
        <w:rPr>
          <w:rStyle w:val="normaltextrun"/>
          <w:rFonts w:ascii="Times New Roman" w:hAnsi="Times New Roman"/>
          <w:b/>
          <w:bCs w:val="false"/>
          <w:iCs/>
          <w:color w:val="000000"/>
          <w:sz w:val="24"/>
          <w:szCs w:val="24"/>
          <w:shd w:fill="auto" w:val="clear"/>
        </w:rPr>
        <w:t>0</w:t>
      </w:r>
      <w:r>
        <w:rPr>
          <w:rStyle w:val="normaltextrun"/>
          <w:rFonts w:ascii="Times New Roman" w:hAnsi="Times New Roman"/>
          <w:iCs/>
          <w:color w:val="000000"/>
          <w:sz w:val="24"/>
          <w:szCs w:val="24"/>
          <w:shd w:fill="auto" w:val="clear"/>
        </w:rPr>
        <w:t>% (d</w:t>
      </w:r>
      <w:r>
        <w:rPr>
          <w:rStyle w:val="normaltextrun"/>
          <w:rFonts w:ascii="Times New Roman" w:hAnsi="Times New Roman"/>
          <w:b/>
          <w:bCs w:val="false"/>
          <w:iCs/>
          <w:color w:val="000000"/>
          <w:sz w:val="24"/>
          <w:szCs w:val="24"/>
          <w:shd w:fill="auto" w:val="clear"/>
        </w:rPr>
        <w:t>ez</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a 1</w:t>
      </w:r>
      <w:r>
        <w:rPr>
          <w:rStyle w:val="normaltextrun"/>
          <w:rFonts w:ascii="Times New Roman" w:hAnsi="Times New Roman"/>
          <w:b/>
          <w:bCs w:val="false"/>
          <w:iCs/>
          <w:color w:val="000000"/>
          <w:sz w:val="24"/>
          <w:szCs w:val="24"/>
          <w:shd w:fill="auto" w:val="clear"/>
        </w:rPr>
        <w:t>5</w:t>
      </w:r>
      <w:r>
        <w:rPr>
          <w:rStyle w:val="normaltextrun"/>
          <w:rFonts w:ascii="Times New Roman" w:hAnsi="Times New Roman"/>
          <w:iCs/>
          <w:color w:val="000000"/>
          <w:sz w:val="24"/>
          <w:szCs w:val="24"/>
          <w:shd w:fill="auto" w:val="clear"/>
        </w:rPr>
        <w:t>% (q</w:t>
      </w:r>
      <w:r>
        <w:rPr>
          <w:rStyle w:val="normaltextrun"/>
          <w:rFonts w:ascii="Times New Roman" w:hAnsi="Times New Roman"/>
          <w:b/>
          <w:bCs w:val="false"/>
          <w:iCs/>
          <w:color w:val="000000"/>
          <w:sz w:val="24"/>
          <w:szCs w:val="24"/>
          <w:shd w:fill="auto" w:val="clear"/>
        </w:rPr>
        <w:t>uinze</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do valor da contratação.</w:t>
      </w:r>
    </w:p>
    <w:p>
      <w:pPr>
        <w:pStyle w:val="Nvel4-R"/>
        <w:numPr>
          <w:ilvl w:val="3"/>
          <w:numId w:val="253"/>
        </w:numPr>
        <w:spacing w:lineRule="auto" w:line="360" w:before="0" w:after="170"/>
        <w:ind w:hanging="0" w:left="0" w:right="0"/>
        <w:rPr/>
      </w:pPr>
      <w:bookmarkStart w:id="16" w:name="_Hlk175669195"/>
      <w:r>
        <w:rPr>
          <w:rStyle w:val="normaltextrun"/>
          <w:rFonts w:ascii="Times New Roman" w:hAnsi="Times New Roman"/>
          <w:color w:val="000000"/>
          <w:sz w:val="24"/>
          <w:szCs w:val="24"/>
          <w:shd w:fill="auto" w:val="clear"/>
        </w:rPr>
        <w:t>Compensatória, em substituição à multa moratória para a infração descrita acima na alínea “d”, de 1</w:t>
      </w:r>
      <w:r>
        <w:rPr>
          <w:rStyle w:val="normaltextrun"/>
          <w:rFonts w:ascii="Times New Roman" w:hAnsi="Times New Roman"/>
          <w:b/>
          <w:color w:val="000000"/>
          <w:sz w:val="24"/>
          <w:szCs w:val="24"/>
          <w:shd w:fill="auto" w:val="clear"/>
        </w:rPr>
        <w:t>0</w:t>
      </w:r>
      <w:r>
        <w:rPr>
          <w:rStyle w:val="normaltextrun"/>
          <w:rFonts w:ascii="Times New Roman" w:hAnsi="Times New Roman"/>
          <w:color w:val="000000"/>
          <w:sz w:val="24"/>
          <w:szCs w:val="24"/>
          <w:shd w:fill="auto" w:val="clear"/>
        </w:rPr>
        <w:t>% (d</w:t>
      </w:r>
      <w:r>
        <w:rPr>
          <w:rStyle w:val="normaltextrun"/>
          <w:rFonts w:ascii="Times New Roman" w:hAnsi="Times New Roman"/>
          <w:b/>
          <w:color w:val="000000"/>
          <w:sz w:val="24"/>
          <w:szCs w:val="24"/>
          <w:shd w:fill="auto" w:val="clear"/>
        </w:rPr>
        <w:t>ez</w:t>
      </w:r>
      <w:r>
        <w:rPr>
          <w:rStyle w:val="normaltextrun"/>
          <w:rFonts w:ascii="Times New Roman" w:hAnsi="Times New Roman"/>
          <w:color w:val="000000"/>
          <w:sz w:val="24"/>
          <w:szCs w:val="24"/>
          <w:shd w:fill="auto" w:val="clear"/>
        </w:rPr>
        <w:t xml:space="preserve"> por cento) a 1</w:t>
      </w:r>
      <w:r>
        <w:rPr>
          <w:rStyle w:val="normaltextrun"/>
          <w:rFonts w:ascii="Times New Roman" w:hAnsi="Times New Roman"/>
          <w:b/>
          <w:color w:val="000000"/>
          <w:sz w:val="24"/>
          <w:szCs w:val="24"/>
          <w:shd w:fill="auto" w:val="clear"/>
        </w:rPr>
        <w:t>5</w:t>
      </w:r>
      <w:r>
        <w:rPr>
          <w:rStyle w:val="normaltextrun"/>
          <w:rFonts w:ascii="Times New Roman" w:hAnsi="Times New Roman"/>
          <w:color w:val="000000"/>
          <w:sz w:val="24"/>
          <w:szCs w:val="24"/>
          <w:shd w:fill="auto" w:val="clear"/>
        </w:rPr>
        <w:t>% (q</w:t>
      </w:r>
      <w:r>
        <w:rPr>
          <w:rStyle w:val="normaltextrun"/>
          <w:rFonts w:ascii="Times New Roman" w:hAnsi="Times New Roman"/>
          <w:b/>
          <w:color w:val="000000"/>
          <w:sz w:val="24"/>
          <w:szCs w:val="24"/>
          <w:shd w:fill="auto" w:val="clear"/>
        </w:rPr>
        <w:t>uinze</w:t>
      </w:r>
      <w:r>
        <w:rPr>
          <w:rStyle w:val="normaltextrun"/>
          <w:rFonts w:ascii="Times New Roman" w:hAnsi="Times New Roman"/>
          <w:color w:val="000000"/>
          <w:sz w:val="24"/>
          <w:szCs w:val="24"/>
          <w:shd w:fill="auto" w:val="clear"/>
        </w:rPr>
        <w:t xml:space="preserve"> por cento) do valor da contratação.</w:t>
      </w:r>
      <w:bookmarkEnd w:id="16"/>
    </w:p>
    <w:p>
      <w:pPr>
        <w:pStyle w:val="Nvel4-R"/>
        <w:numPr>
          <w:ilvl w:val="3"/>
          <w:numId w:val="254"/>
        </w:numPr>
        <w:spacing w:lineRule="auto" w:line="360" w:before="0" w:after="170"/>
        <w:ind w:hanging="0" w:left="0" w:right="0"/>
        <w:rPr/>
      </w:pPr>
      <w:r>
        <w:rPr>
          <w:rStyle w:val="normaltextrun"/>
          <w:rFonts w:ascii="Times New Roman" w:hAnsi="Times New Roman"/>
          <w:bCs w:val="false"/>
          <w:color w:val="000000"/>
          <w:sz w:val="24"/>
          <w:szCs w:val="24"/>
          <w:shd w:fill="auto" w:val="clear"/>
        </w:rPr>
        <w:t>Compensatória</w:t>
      </w:r>
      <w:r>
        <w:rPr>
          <w:rStyle w:val="normaltextrun"/>
          <w:rFonts w:ascii="Times New Roman" w:hAnsi="Times New Roman"/>
          <w:color w:val="000000"/>
          <w:sz w:val="24"/>
          <w:szCs w:val="24"/>
          <w:shd w:fill="auto" w:val="clear"/>
        </w:rPr>
        <w:t>, para a infração descrita acima na alínea “</w:t>
      </w:r>
      <w:r>
        <w:rPr>
          <w:rStyle w:val="normaltextrun"/>
          <w:rFonts w:ascii="Times New Roman" w:hAnsi="Times New Roman"/>
          <w:b/>
          <w:color w:val="000000"/>
          <w:sz w:val="24"/>
          <w:szCs w:val="24"/>
          <w:shd w:fill="auto" w:val="clear"/>
        </w:rPr>
        <w:t>a</w:t>
      </w:r>
      <w:r>
        <w:rPr>
          <w:rStyle w:val="normaltextrun"/>
          <w:rFonts w:ascii="Times New Roman" w:hAnsi="Times New Roman"/>
          <w:color w:val="000000"/>
          <w:sz w:val="24"/>
          <w:szCs w:val="24"/>
          <w:shd w:fill="auto" w:val="clear"/>
        </w:rPr>
        <w:t>”, de 1</w:t>
      </w:r>
      <w:r>
        <w:rPr>
          <w:rStyle w:val="normaltextrun"/>
          <w:rFonts w:ascii="Times New Roman" w:hAnsi="Times New Roman"/>
          <w:b/>
          <w:bCs w:val="false"/>
          <w:iCs/>
          <w:color w:val="000000"/>
          <w:sz w:val="24"/>
          <w:szCs w:val="24"/>
          <w:shd w:fill="auto" w:val="clear"/>
        </w:rPr>
        <w:t>0</w:t>
      </w:r>
      <w:r>
        <w:rPr>
          <w:rStyle w:val="normaltextrun"/>
          <w:rFonts w:ascii="Times New Roman" w:hAnsi="Times New Roman"/>
          <w:iCs/>
          <w:color w:val="000000"/>
          <w:sz w:val="24"/>
          <w:szCs w:val="24"/>
          <w:shd w:fill="auto" w:val="clear"/>
        </w:rPr>
        <w:t>% (d</w:t>
      </w:r>
      <w:r>
        <w:rPr>
          <w:rStyle w:val="normaltextrun"/>
          <w:rFonts w:ascii="Times New Roman" w:hAnsi="Times New Roman"/>
          <w:b/>
          <w:bCs w:val="false"/>
          <w:iCs/>
          <w:color w:val="000000"/>
          <w:sz w:val="24"/>
          <w:szCs w:val="24"/>
          <w:shd w:fill="auto" w:val="clear"/>
        </w:rPr>
        <w:t>ez</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a 1</w:t>
      </w:r>
      <w:r>
        <w:rPr>
          <w:rStyle w:val="normaltextrun"/>
          <w:rFonts w:ascii="Times New Roman" w:hAnsi="Times New Roman"/>
          <w:b/>
          <w:bCs w:val="false"/>
          <w:iCs/>
          <w:color w:val="000000"/>
          <w:sz w:val="24"/>
          <w:szCs w:val="24"/>
          <w:shd w:fill="auto" w:val="clear"/>
        </w:rPr>
        <w:t>5</w:t>
      </w:r>
      <w:r>
        <w:rPr>
          <w:rStyle w:val="normaltextrun"/>
          <w:rFonts w:ascii="Times New Roman" w:hAnsi="Times New Roman"/>
          <w:iCs/>
          <w:color w:val="000000"/>
          <w:sz w:val="24"/>
          <w:szCs w:val="24"/>
          <w:shd w:fill="auto" w:val="clear"/>
        </w:rPr>
        <w:t>% (q</w:t>
      </w:r>
      <w:r>
        <w:rPr>
          <w:rStyle w:val="normaltextrun"/>
          <w:rFonts w:ascii="Times New Roman" w:hAnsi="Times New Roman"/>
          <w:b/>
          <w:bCs w:val="false"/>
          <w:iCs/>
          <w:color w:val="000000"/>
          <w:sz w:val="24"/>
          <w:szCs w:val="24"/>
          <w:shd w:fill="auto" w:val="clear"/>
        </w:rPr>
        <w:t>uinze</w:t>
      </w:r>
      <w:r>
        <w:rPr>
          <w:rStyle w:val="normaltextrun"/>
          <w:rFonts w:ascii="Times New Roman" w:hAnsi="Times New Roman"/>
          <w:iCs/>
          <w:color w:val="000000"/>
          <w:sz w:val="24"/>
          <w:szCs w:val="24"/>
          <w:shd w:fill="auto" w:val="clear"/>
        </w:rPr>
        <w:t xml:space="preserve"> por cento)</w:t>
      </w:r>
      <w:r>
        <w:rPr>
          <w:rStyle w:val="normaltextrun"/>
          <w:rFonts w:ascii="Times New Roman" w:hAnsi="Times New Roman"/>
          <w:color w:val="000000"/>
          <w:sz w:val="24"/>
          <w:szCs w:val="24"/>
          <w:shd w:fill="auto" w:val="clear"/>
        </w:rPr>
        <w:t xml:space="preserve"> do valor da contratação </w:t>
      </w:r>
      <w:r>
        <w:rPr>
          <w:rStyle w:val="normaltextrun"/>
          <w:rFonts w:ascii="Times New Roman" w:hAnsi="Times New Roman"/>
          <w:iCs/>
          <w:color w:val="000000"/>
          <w:sz w:val="24"/>
          <w:szCs w:val="24"/>
          <w:shd w:fill="auto" w:val="clear"/>
        </w:rPr>
        <w:t>[, ressalvadas as seguintes infrações também enquadráveis nessa alínea:]</w:t>
      </w:r>
    </w:p>
    <w:p>
      <w:pPr>
        <w:pStyle w:val="Nivel5"/>
        <w:numPr>
          <w:ilvl w:val="4"/>
          <w:numId w:val="255"/>
        </w:numPr>
        <w:spacing w:lineRule="auto" w:line="360" w:before="0" w:after="170"/>
        <w:ind w:hanging="0" w:left="0" w:right="0"/>
        <w:rPr/>
      </w:pPr>
      <w:r>
        <w:rPr>
          <w:rStyle w:val="normaltextrun"/>
          <w:rFonts w:ascii="Times New Roman" w:hAnsi="Times New Roman"/>
          <w:iCs/>
          <w:color w:val="000000"/>
          <w:sz w:val="24"/>
          <w:szCs w:val="24"/>
          <w:shd w:fill="auto" w:val="clear"/>
        </w:rPr>
        <w:t>[INDICAR ITENS ESPECÍFICOS DE INEXECUÇÃO PARCIAL QUE JUSTIFIQUEM PENALIDADE DIVERSA</w:t>
      </w:r>
      <w:r>
        <w:rPr>
          <w:rStyle w:val="normaltextrun"/>
          <w:rFonts w:ascii="Times New Roman" w:hAnsi="Times New Roman"/>
          <w:i w:val="false"/>
          <w:iCs/>
          <w:color w:val="000000"/>
          <w:sz w:val="24"/>
          <w:szCs w:val="24"/>
          <w:shd w:fill="auto" w:val="clear"/>
        </w:rPr>
        <w:t>];</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A aplicação das sanções previstas </w:t>
      </w:r>
      <w:bookmarkStart w:id="17" w:name="_Hlk170830409"/>
      <w:r>
        <w:rPr>
          <w:rStyle w:val="normaltextrun"/>
          <w:rFonts w:ascii="Times New Roman" w:hAnsi="Times New Roman"/>
          <w:color w:val="000000"/>
          <w:sz w:val="24"/>
          <w:szCs w:val="24"/>
          <w:shd w:fill="auto" w:val="clear"/>
        </w:rPr>
        <w:t xml:space="preserve">neste </w:t>
      </w:r>
      <w:r>
        <w:rPr>
          <w:rFonts w:ascii="Times New Roman" w:hAnsi="Times New Roman"/>
          <w:color w:val="000000"/>
          <w:sz w:val="24"/>
          <w:szCs w:val="24"/>
          <w:shd w:fill="auto" w:val="clear"/>
        </w:rPr>
        <w:t xml:space="preserve">Termo de Referência </w:t>
      </w:r>
      <w:bookmarkEnd w:id="17"/>
      <w:r>
        <w:rPr>
          <w:rStyle w:val="normaltextrun"/>
          <w:rFonts w:ascii="Times New Roman" w:hAnsi="Times New Roman"/>
          <w:color w:val="000000"/>
          <w:sz w:val="24"/>
          <w:szCs w:val="24"/>
          <w:shd w:fill="auto" w:val="clear"/>
        </w:rPr>
        <w:t>não exclui, em hipótese alguma, a obrigação de reparação integral do dano causado ao Contratante.</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Todas as sanções previstas neste </w:t>
      </w:r>
      <w:r>
        <w:rPr>
          <w:rFonts w:ascii="Times New Roman" w:hAnsi="Times New Roman"/>
          <w:color w:val="000000"/>
          <w:sz w:val="24"/>
          <w:szCs w:val="24"/>
          <w:shd w:fill="auto" w:val="clear"/>
        </w:rPr>
        <w:t>Termo de Referência</w:t>
      </w:r>
      <w:r>
        <w:rPr>
          <w:rStyle w:val="normaltextrun"/>
          <w:rFonts w:ascii="Times New Roman" w:hAnsi="Times New Roman"/>
          <w:color w:val="000000"/>
          <w:sz w:val="24"/>
          <w:szCs w:val="24"/>
          <w:shd w:fill="auto" w:val="clear"/>
        </w:rPr>
        <w:t xml:space="preserve"> poderão ser aplicadas cumulativamente com a multa.</w:t>
      </w:r>
    </w:p>
    <w:p>
      <w:pPr>
        <w:pStyle w:val="Nvel02"/>
        <w:numPr>
          <w:ilvl w:val="1"/>
          <w:numId w:val="4"/>
        </w:numPr>
        <w:spacing w:lineRule="auto" w:line="360" w:before="0" w:after="170"/>
        <w:ind w:hanging="0" w:left="0" w:right="0"/>
        <w:rPr/>
      </w:pPr>
      <w:r>
        <w:rPr>
          <w:rFonts w:ascii="Times New Roman" w:hAnsi="Times New Roman"/>
          <w:color w:val="000000"/>
          <w:sz w:val="24"/>
          <w:szCs w:val="24"/>
          <w:shd w:fill="auto" w:val="clear"/>
        </w:rPr>
        <w:t xml:space="preserve">Antes da aplicação da </w:t>
      </w:r>
      <w:r>
        <w:rPr>
          <w:rStyle w:val="normaltextrun"/>
          <w:rFonts w:ascii="Times New Roman" w:hAnsi="Times New Roman"/>
          <w:color w:val="000000"/>
          <w:sz w:val="24"/>
          <w:szCs w:val="24"/>
          <w:shd w:fill="auto" w:val="clear"/>
        </w:rPr>
        <w:t>multa</w:t>
      </w:r>
      <w:r>
        <w:rPr>
          <w:rFonts w:ascii="Times New Roman" w:hAnsi="Times New Roman"/>
          <w:color w:val="000000"/>
          <w:sz w:val="24"/>
          <w:szCs w:val="24"/>
          <w:shd w:fill="auto" w:val="clear"/>
        </w:rPr>
        <w:t xml:space="preserve"> será facultada a defesa do interessado no prazo de 15 (quinze) dias úteis, contado da data de sua intimação</w:t>
      </w:r>
      <w:r>
        <w:rPr>
          <w:rStyle w:val="normaltextrun"/>
          <w:rFonts w:ascii="Times New Roman" w:hAnsi="Times New Roman"/>
          <w:color w:val="000000"/>
          <w:sz w:val="24"/>
          <w:szCs w:val="24"/>
          <w:shd w:fill="auto" w:val="clear"/>
        </w:rPr>
        <w:t>.</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Se a multa aplicada e as indenizações cabíveis forem superiores ao valor do pagamento </w:t>
      </w:r>
      <w:r>
        <w:rPr>
          <w:rFonts w:ascii="Times New Roman" w:hAnsi="Times New Roman"/>
          <w:color w:val="000000"/>
          <w:sz w:val="24"/>
          <w:szCs w:val="24"/>
          <w:shd w:fill="auto" w:val="clear"/>
        </w:rPr>
        <w:t>eventualmente</w:t>
      </w:r>
      <w:r>
        <w:rPr>
          <w:rStyle w:val="normaltextrun"/>
          <w:rFonts w:ascii="Times New Roman" w:hAnsi="Times New Roman"/>
          <w:color w:val="000000"/>
          <w:sz w:val="24"/>
          <w:szCs w:val="24"/>
          <w:shd w:fill="auto" w:val="clear"/>
        </w:rPr>
        <w:t xml:space="preserve"> devido pelo Contratante ao Contratado, além da perda desse valor, a diferença será descontada da garantia prestada ou será cobrada judicialmente.</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A multa poderá ser recolhida </w:t>
      </w:r>
      <w:r>
        <w:rPr>
          <w:rFonts w:ascii="Times New Roman" w:hAnsi="Times New Roman"/>
          <w:color w:val="000000"/>
          <w:sz w:val="24"/>
          <w:szCs w:val="24"/>
          <w:shd w:fill="auto" w:val="clear"/>
        </w:rPr>
        <w:t>administrativamente</w:t>
      </w:r>
      <w:r>
        <w:rPr>
          <w:rStyle w:val="normaltextrun"/>
          <w:rFonts w:ascii="Times New Roman" w:hAnsi="Times New Roman"/>
          <w:color w:val="000000"/>
          <w:sz w:val="24"/>
          <w:szCs w:val="24"/>
          <w:shd w:fill="auto" w:val="clear"/>
        </w:rPr>
        <w:t xml:space="preserve"> no prazo máximo de </w:t>
      </w:r>
      <w:r>
        <w:rPr>
          <w:rStyle w:val="normaltextrun"/>
          <w:rFonts w:ascii="Times New Roman" w:hAnsi="Times New Roman"/>
          <w:i/>
          <w:color w:val="000000"/>
          <w:sz w:val="24"/>
          <w:szCs w:val="24"/>
          <w:shd w:fill="auto" w:val="clear"/>
        </w:rPr>
        <w:t>XX</w:t>
      </w:r>
      <w:r>
        <w:rPr>
          <w:rStyle w:val="normaltextrun"/>
          <w:rFonts w:ascii="Times New Roman" w:hAnsi="Times New Roman"/>
          <w:color w:val="000000"/>
          <w:sz w:val="24"/>
          <w:szCs w:val="24"/>
          <w:shd w:fill="auto" w:val="clear"/>
        </w:rPr>
        <w:t xml:space="preserve"> (</w:t>
      </w:r>
      <w:r>
        <w:rPr>
          <w:rStyle w:val="normaltextrun"/>
          <w:rFonts w:ascii="Times New Roman" w:hAnsi="Times New Roman"/>
          <w:i/>
          <w:iCs w:val="false"/>
          <w:color w:val="000000"/>
          <w:sz w:val="24"/>
          <w:szCs w:val="24"/>
          <w:shd w:fill="auto" w:val="clear"/>
        </w:rPr>
        <w:t>xxxxx</w:t>
      </w:r>
      <w:r>
        <w:rPr>
          <w:rStyle w:val="normaltextrun"/>
          <w:rFonts w:ascii="Times New Roman" w:hAnsi="Times New Roman"/>
          <w:color w:val="000000"/>
          <w:sz w:val="24"/>
          <w:szCs w:val="24"/>
          <w:shd w:fill="auto" w:val="clear"/>
        </w:rPr>
        <w:t>) dias, a contar da data do recebimento da comunicação enviada pela autoridade competente.</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ivel3"/>
        <w:numPr>
          <w:ilvl w:val="2"/>
          <w:numId w:val="256"/>
        </w:numPr>
        <w:spacing w:lineRule="auto" w:line="360" w:before="0" w:after="170"/>
        <w:ind w:hanging="0" w:left="0" w:right="0"/>
        <w:rPr/>
      </w:pPr>
      <w:r>
        <w:rPr>
          <w:rStyle w:val="normaltextrun"/>
          <w:rFonts w:ascii="Times New Roman" w:hAnsi="Times New Roman"/>
          <w:color w:val="000000"/>
          <w:sz w:val="24"/>
          <w:szCs w:val="24"/>
          <w:shd w:fill="auto" w:val="clear"/>
        </w:rPr>
        <w:t>Para a garantia da ampla defesa e contraditório, as notificações serão enviadas eletronicamente para os endereços de e-mail informados na proposta comercial, bem como os cadastrados pela empresa no SICAF.</w:t>
      </w:r>
    </w:p>
    <w:p>
      <w:pPr>
        <w:pStyle w:val="Nivel3"/>
        <w:numPr>
          <w:ilvl w:val="2"/>
          <w:numId w:val="257"/>
        </w:numPr>
        <w:spacing w:lineRule="auto" w:line="360" w:before="0" w:after="170"/>
        <w:ind w:hanging="0" w:left="0" w:right="0"/>
        <w:rPr/>
      </w:pPr>
      <w:r>
        <w:rPr>
          <w:rStyle w:val="normaltextrun"/>
          <w:rFonts w:ascii="Times New Roman" w:hAnsi="Times New Roman"/>
          <w:color w:val="000000"/>
          <w:sz w:val="24"/>
          <w:szCs w:val="24"/>
          <w:shd w:fill="auto" w:val="clear"/>
        </w:rPr>
        <w:t>Os endereços de e-mail informados na proposta comercial e/ou cadastrados no SICAF serão considerados de uso contínuo da empresa, não cabendo alegação de desconhecimento das comunicações a eles comprovadamente enviadas.</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Na aplicação </w:t>
      </w:r>
      <w:r>
        <w:rPr>
          <w:rFonts w:ascii="Times New Roman" w:hAnsi="Times New Roman"/>
          <w:color w:val="000000"/>
          <w:sz w:val="24"/>
          <w:szCs w:val="24"/>
          <w:shd w:fill="auto" w:val="clear"/>
        </w:rPr>
        <w:t>das</w:t>
      </w:r>
      <w:r>
        <w:rPr>
          <w:rStyle w:val="normaltextrun"/>
          <w:rFonts w:ascii="Times New Roman" w:hAnsi="Times New Roman"/>
          <w:color w:val="000000"/>
          <w:sz w:val="24"/>
          <w:szCs w:val="24"/>
          <w:shd w:fill="auto" w:val="clear"/>
        </w:rPr>
        <w:t xml:space="preserve"> sanções serão considerados:</w:t>
      </w:r>
    </w:p>
    <w:p>
      <w:pPr>
        <w:pStyle w:val="Nivel3"/>
        <w:numPr>
          <w:ilvl w:val="2"/>
          <w:numId w:val="258"/>
        </w:numPr>
        <w:spacing w:lineRule="auto" w:line="360" w:before="0" w:after="170"/>
        <w:ind w:hanging="0" w:left="0" w:right="0"/>
        <w:rPr/>
      </w:pPr>
      <w:r>
        <w:rPr>
          <w:rStyle w:val="normaltextrun"/>
          <w:rFonts w:ascii="Times New Roman" w:hAnsi="Times New Roman"/>
          <w:color w:val="000000"/>
          <w:sz w:val="24"/>
          <w:szCs w:val="24"/>
          <w:shd w:fill="auto" w:val="clear"/>
        </w:rPr>
        <w:t>a natureza e a gravidade da infração cometida;</w:t>
      </w:r>
    </w:p>
    <w:p>
      <w:pPr>
        <w:pStyle w:val="Nivel3"/>
        <w:numPr>
          <w:ilvl w:val="2"/>
          <w:numId w:val="259"/>
        </w:numPr>
        <w:spacing w:lineRule="auto" w:line="360" w:before="0" w:after="170"/>
        <w:ind w:hanging="0" w:left="0" w:right="0"/>
        <w:rPr/>
      </w:pPr>
      <w:r>
        <w:rPr>
          <w:rStyle w:val="normaltextrun"/>
          <w:rFonts w:ascii="Times New Roman" w:hAnsi="Times New Roman"/>
          <w:color w:val="000000"/>
          <w:sz w:val="24"/>
          <w:szCs w:val="24"/>
          <w:shd w:fill="auto" w:val="clear"/>
        </w:rPr>
        <w:t>as peculiaridades do caso concreto;</w:t>
      </w:r>
    </w:p>
    <w:p>
      <w:pPr>
        <w:pStyle w:val="Nivel3"/>
        <w:numPr>
          <w:ilvl w:val="2"/>
          <w:numId w:val="260"/>
        </w:numPr>
        <w:spacing w:lineRule="auto" w:line="360" w:before="0" w:after="170"/>
        <w:ind w:hanging="0" w:left="0" w:right="0"/>
        <w:rPr/>
      </w:pPr>
      <w:r>
        <w:rPr>
          <w:rStyle w:val="normaltextrun"/>
          <w:rFonts w:ascii="Times New Roman" w:hAnsi="Times New Roman"/>
          <w:color w:val="000000"/>
          <w:sz w:val="24"/>
          <w:szCs w:val="24"/>
          <w:shd w:fill="auto" w:val="clear"/>
        </w:rPr>
        <w:t>as circunstâncias agravantes ou atenuantes;</w:t>
      </w:r>
    </w:p>
    <w:p>
      <w:pPr>
        <w:pStyle w:val="Nivel3"/>
        <w:numPr>
          <w:ilvl w:val="2"/>
          <w:numId w:val="261"/>
        </w:numPr>
        <w:spacing w:lineRule="auto" w:line="360" w:before="0" w:after="170"/>
        <w:ind w:hanging="0" w:left="0" w:right="0"/>
        <w:rPr/>
      </w:pPr>
      <w:r>
        <w:rPr>
          <w:rFonts w:ascii="Times New Roman" w:hAnsi="Times New Roman"/>
          <w:color w:val="000000"/>
          <w:sz w:val="24"/>
          <w:szCs w:val="24"/>
          <w:shd w:fill="auto" w:val="clear"/>
        </w:rPr>
        <w:t>os danos que dela provierem para o Contratante;</w:t>
      </w:r>
      <w:r>
        <w:rPr>
          <w:rStyle w:val="normaltextrun"/>
          <w:rFonts w:cs="Arial" w:ascii="Times New Roman" w:hAnsi="Times New Roman"/>
          <w:color w:val="000000"/>
          <w:sz w:val="24"/>
          <w:szCs w:val="24"/>
          <w:shd w:fill="auto" w:val="clear"/>
        </w:rPr>
        <w:t xml:space="preserve"> </w:t>
      </w:r>
      <w:r>
        <w:rPr>
          <w:rStyle w:val="normaltextrun"/>
          <w:rFonts w:ascii="Times New Roman" w:hAnsi="Times New Roman"/>
          <w:color w:val="000000"/>
          <w:sz w:val="24"/>
          <w:szCs w:val="24"/>
          <w:shd w:fill="auto" w:val="clear"/>
        </w:rPr>
        <w:t>e</w:t>
      </w:r>
    </w:p>
    <w:p>
      <w:pPr>
        <w:pStyle w:val="Nivel3"/>
        <w:numPr>
          <w:ilvl w:val="2"/>
          <w:numId w:val="262"/>
        </w:numPr>
        <w:spacing w:lineRule="auto" w:line="360" w:before="0" w:after="170"/>
        <w:ind w:hanging="0" w:left="0" w:right="0"/>
        <w:rPr/>
      </w:pPr>
      <w:r>
        <w:rPr>
          <w:rStyle w:val="normaltextrun"/>
          <w:rFonts w:ascii="Times New Roman" w:hAnsi="Times New Roman"/>
          <w:color w:val="000000"/>
          <w:sz w:val="24"/>
          <w:szCs w:val="24"/>
          <w:shd w:fill="auto" w:val="clear"/>
        </w:rPr>
        <w:t>a implantação ou o aperfeiçoamento de programa de integridade, conforme normas e orientações dos órgãos de controle.</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Os atos previstos como infrações administrativas na Lei nº 14.133, de 2021, ou em outras leis de licitações e contratos da </w:t>
      </w:r>
      <w:r>
        <w:rPr>
          <w:rFonts w:ascii="Times New Roman" w:hAnsi="Times New Roman"/>
          <w:color w:val="000000"/>
          <w:sz w:val="24"/>
          <w:szCs w:val="24"/>
          <w:shd w:fill="auto" w:val="clear"/>
        </w:rPr>
        <w:t>Administração</w:t>
      </w:r>
      <w:r>
        <w:rPr>
          <w:rStyle w:val="normaltextrun"/>
          <w:rFonts w:ascii="Times New Roman" w:hAnsi="Times New Roman"/>
          <w:color w:val="000000"/>
          <w:sz w:val="24"/>
          <w:szCs w:val="24"/>
          <w:shd w:fill="auto" w:val="clear"/>
        </w:rPr>
        <w:t xml:space="preserve"> Pública que também sejam tipificados como atos lesivos na Lei nº 12.846, de 2013, serão apurados e julgados conjuntamente, nos mesmos autos, observados o rito procedimental e autoridade competente definidos na referida Lei.</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A personalidade jurídica do Contratado poderá ser desconsiderada sempre que utilizada com abuso do direito para facilitar, encobrir ou dissimular a prática dos atos ilícitos </w:t>
      </w:r>
      <w:bookmarkStart w:id="18" w:name="_Hlk170830482"/>
      <w:r>
        <w:rPr>
          <w:rStyle w:val="normaltextrun"/>
          <w:rFonts w:ascii="Times New Roman" w:hAnsi="Times New Roman"/>
          <w:color w:val="000000"/>
          <w:sz w:val="24"/>
          <w:szCs w:val="24"/>
          <w:shd w:fill="auto" w:val="clear"/>
        </w:rPr>
        <w:t xml:space="preserve">previstos </w:t>
      </w:r>
      <w:r>
        <w:rPr>
          <w:rFonts w:ascii="Times New Roman" w:hAnsi="Times New Roman"/>
          <w:color w:val="000000"/>
          <w:sz w:val="24"/>
          <w:szCs w:val="24"/>
          <w:shd w:fill="auto" w:val="clear"/>
        </w:rPr>
        <w:t>neste Termo de Referência</w:t>
      </w:r>
      <w:bookmarkEnd w:id="18"/>
      <w:r>
        <w:rPr>
          <w:rStyle w:val="normaltextrun"/>
          <w:rFonts w:ascii="Times New Roman" w:hAnsi="Times New Roman"/>
          <w:color w:val="000000"/>
          <w:sz w:val="24"/>
          <w:szCs w:val="24"/>
          <w:shd w:fill="auto" w:val="clear"/>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O Contratante deverá, no prazo máximo de 15 (quinze) dias úteis, contado da data de aplicação da sanção, </w:t>
      </w:r>
      <w:r>
        <w:rPr>
          <w:rFonts w:ascii="Times New Roman" w:hAnsi="Times New Roman"/>
          <w:color w:val="000000"/>
          <w:sz w:val="24"/>
          <w:szCs w:val="24"/>
          <w:shd w:fill="auto" w:val="clear"/>
        </w:rPr>
        <w:t>informar</w:t>
      </w:r>
      <w:r>
        <w:rPr>
          <w:rStyle w:val="normaltextrun"/>
          <w:rFonts w:ascii="Times New Roman" w:hAnsi="Times New Roman"/>
          <w:color w:val="000000"/>
          <w:sz w:val="24"/>
          <w:szCs w:val="24"/>
          <w:shd w:fill="auto" w:val="clear"/>
        </w:rPr>
        <w:t xml:space="preserve"> e manter atualizados os dados relativos às sanções por ela aplicadas, para fins de publicidade no Cadastro Nacional de Empresas Inidôneas e Suspensas (CEIS) e no Cadastro Nacional de Empresas Punidas (CNEP), instituídos no âmbito do Poder Executivo Federal.</w:t>
      </w:r>
    </w:p>
    <w:p>
      <w:pPr>
        <w:pStyle w:val="Nivel3"/>
        <w:numPr>
          <w:ilvl w:val="2"/>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penalidades serão obrigatoriamente registradas no SICAF.</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As sanções de impedimento de licitar e contratar e declaração de inidoneidade para licitar ou contratar são passíveis </w:t>
      </w:r>
      <w:r>
        <w:rPr>
          <w:rFonts w:ascii="Times New Roman" w:hAnsi="Times New Roman"/>
          <w:color w:val="000000"/>
          <w:sz w:val="24"/>
          <w:szCs w:val="24"/>
          <w:shd w:fill="auto" w:val="clear"/>
        </w:rPr>
        <w:t>de</w:t>
      </w:r>
      <w:r>
        <w:rPr>
          <w:rStyle w:val="normaltextrun"/>
          <w:rFonts w:ascii="Times New Roman" w:hAnsi="Times New Roman"/>
          <w:color w:val="000000"/>
          <w:sz w:val="24"/>
          <w:szCs w:val="24"/>
          <w:shd w:fill="auto" w:val="clear"/>
        </w:rPr>
        <w:t xml:space="preserve"> reabilitação na forma do art. 163 da Lei nº 14.133, de 2021.</w:t>
      </w:r>
    </w:p>
    <w:p>
      <w:pPr>
        <w:pStyle w:val="Nvel02"/>
        <w:numPr>
          <w:ilvl w:val="1"/>
          <w:numId w:val="4"/>
        </w:numPr>
        <w:spacing w:lineRule="auto" w:line="360" w:before="0" w:after="170"/>
        <w:ind w:hanging="0" w:left="0" w:right="0"/>
        <w:rPr/>
      </w:pPr>
      <w:r>
        <w:rPr>
          <w:rFonts w:ascii="Times New Roman" w:hAnsi="Times New Roman"/>
          <w:color w:val="000000"/>
          <w:sz w:val="24"/>
          <w:szCs w:val="24"/>
          <w:shd w:fill="auto" w:val="clear"/>
        </w:rPr>
        <w:t>Os</w:t>
      </w:r>
      <w:r>
        <w:rPr>
          <w:rStyle w:val="normaltextrun"/>
          <w:rFonts w:ascii="Times New Roman" w:hAnsi="Times New Roman"/>
          <w:color w:val="000000"/>
          <w:sz w:val="24"/>
          <w:szCs w:val="24"/>
          <w:shd w:fill="auto" w:val="clear"/>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CRITÉRIOS DE MEDIÇÃO E DE PAGAMENTO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Recebimento do Objeto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19" w:name="_Ref131438929"/>
      <w:r>
        <w:rPr>
          <w:rFonts w:ascii="Times New Roman" w:hAnsi="Times New Roman"/>
          <w:color w:val="000000"/>
          <w:sz w:val="24"/>
          <w:szCs w:val="24"/>
          <w:shd w:fill="auto" w:val="clear"/>
          <w:lang w:eastAsia="en-US"/>
        </w:rPr>
        <w:t xml:space="preserve">Os bens serão recebidos provisoriamente, de forma sumária, no ato da entrega, juntamente com a </w:t>
      </w:r>
      <w:r>
        <w:rPr>
          <w:rFonts w:eastAsia="Calibri" w:ascii="Times New Roman" w:hAnsi="Times New Roman"/>
          <w:color w:val="000000"/>
          <w:sz w:val="24"/>
          <w:szCs w:val="24"/>
          <w:shd w:fill="auto" w:val="clear"/>
          <w:lang w:eastAsia="en-US"/>
        </w:rPr>
        <w:t>nota</w:t>
      </w:r>
      <w:r>
        <w:rPr>
          <w:rFonts w:ascii="Times New Roman" w:hAnsi="Times New Roman"/>
          <w:color w:val="000000"/>
          <w:sz w:val="24"/>
          <w:szCs w:val="24"/>
          <w:shd w:fill="auto" w:val="clea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bookmarkEnd w:id="19"/>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Os bens poderão ser rejeitados, no todo ou em parte, inclusive antes do recebimento provisório, quando em desacordo com as especificações constantes no Termo de Referência</w:t>
      </w: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lang w:eastAsia="en-US"/>
        </w:rPr>
        <w:t>e na proposta, devendo ser substituídos no prazo de 05</w:t>
      </w: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lang w:eastAsia="en-US"/>
        </w:rPr>
        <w:t>dias, a contar da notificação da contratada, às suas custas, sem prejuízo da aplicação das penalidades.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recebimento definitivo ocorrerá no prazo de 05</w:t>
      </w:r>
      <w:r>
        <w:rPr>
          <w:rFonts w:ascii="Times New Roman" w:hAnsi="Times New Roman"/>
          <w:color w:val="000000"/>
          <w:sz w:val="24"/>
          <w:szCs w:val="24"/>
          <w:shd w:fill="auto" w:val="clear"/>
        </w:rPr>
        <w:t xml:space="preserve"> dias úteis, </w:t>
      </w:r>
      <w:r>
        <w:rPr>
          <w:rFonts w:ascii="Times New Roman" w:hAnsi="Times New Roman"/>
          <w:color w:val="000000"/>
          <w:sz w:val="24"/>
          <w:szCs w:val="24"/>
          <w:shd w:fill="auto" w:val="clear"/>
          <w:lang w:eastAsia="en-US"/>
        </w:rPr>
        <w:t>a contar do recebimento da nota fiscal ou instrumento de cobrança equivalente pela Administração, após a verificação da qualidade e quantidade do material e consequente aceitação mediante termo detalhado.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Para as contratações decorrentes de despesas cujos valores não ultrapassem o limite de que trata o inciso II do art. 75 da Lei nº 14.133, de 2021, o prazo máximo para o recebimento definitivo será de até 05</w:t>
      </w: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lang w:eastAsia="en-US"/>
        </w:rPr>
        <w:t>dias úteis.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 xml:space="preserve">O prazo para recebimento definitivo poderá ser excepcionalmente prorrogado, </w:t>
      </w:r>
      <w:r>
        <w:rPr>
          <w:rFonts w:ascii="Times New Roman" w:hAnsi="Times New Roman"/>
          <w:color w:val="000000"/>
          <w:sz w:val="24"/>
          <w:szCs w:val="24"/>
          <w:shd w:fill="auto" w:val="clear"/>
        </w:rPr>
        <w:t>de forma justificada, por igual período, quando houver necessidade de diligências para a aferição do ate</w:t>
      </w:r>
      <w:r>
        <w:rPr>
          <w:rFonts w:ascii="Times New Roman" w:hAnsi="Times New Roman"/>
          <w:color w:val="000000"/>
          <w:sz w:val="24"/>
          <w:szCs w:val="24"/>
          <w:shd w:fill="auto" w:val="clear"/>
          <w:lang w:eastAsia="en-US"/>
        </w:rPr>
        <w:t>ndimento das exigências contratuais.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recebimento provisório ou definitivo não excluirá a responsabilidade civil pela solidez e pela segurança dos bens nem a responsabilidade ético-profissional pela perfeita execução do contrato.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atividades de montagem, instalação e quaisquer outras necessárias para o funcionamento ou uso do bem correrão por conta do Contratado e são condição para o recebimento do objeto.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Liquidação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Recebida a Nota Fiscal ou documento de cobrança equivalente, correrá o prazo de dez dias úteis para fins de liquidação, na forma desta seção, prorrogáveis por igual período, nos termos do art. 7º, §3º da Instrução Normativa SEGES/ME nº 77/2022.</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prazo de que trata o item anterior será reduzido à metade, mantendo-se a possibilidade de prorrogação, no caso de contratações decorrentes de despesas cujos valores não ultrapassem o limite de que trata o inciso II do art. 75 da Lei nº 14.133, de 2021.</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 xml:space="preserve">Para fins de liquidação, o setor competente deverá verificar se a nota fiscal ou instrumento de cobrança equivalente apresentado expressa os elementos necessários e essenciais do documento, tais como: </w:t>
      </w:r>
    </w:p>
    <w:p>
      <w:pPr>
        <w:pStyle w:val="Nivel3"/>
        <w:numPr>
          <w:ilvl w:val="2"/>
          <w:numId w:val="26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prazo de validade;</w:t>
      </w:r>
    </w:p>
    <w:p>
      <w:pPr>
        <w:pStyle w:val="Nivel3"/>
        <w:numPr>
          <w:ilvl w:val="2"/>
          <w:numId w:val="26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a data da emissão; </w:t>
      </w:r>
    </w:p>
    <w:p>
      <w:pPr>
        <w:pStyle w:val="Nivel3"/>
        <w:numPr>
          <w:ilvl w:val="2"/>
          <w:numId w:val="26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os dados do contrato e do órgão contratante; </w:t>
      </w:r>
    </w:p>
    <w:p>
      <w:pPr>
        <w:pStyle w:val="Nivel3"/>
        <w:numPr>
          <w:ilvl w:val="2"/>
          <w:numId w:val="26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período respectivo de execução do contrato; </w:t>
      </w:r>
    </w:p>
    <w:p>
      <w:pPr>
        <w:pStyle w:val="Nivel3"/>
        <w:numPr>
          <w:ilvl w:val="2"/>
          <w:numId w:val="26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valor a pagar; e </w:t>
      </w:r>
    </w:p>
    <w:p>
      <w:pPr>
        <w:pStyle w:val="Nivel3"/>
        <w:numPr>
          <w:ilvl w:val="2"/>
          <w:numId w:val="26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eventual destaque do valor de retenções tributárias cabíveis.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Administração deverá realizar consulta ao SICAF para:</w:t>
      </w:r>
    </w:p>
    <w:p>
      <w:pPr>
        <w:pStyle w:val="Nivel3"/>
        <w:numPr>
          <w:ilvl w:val="2"/>
          <w:numId w:val="26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verificar a manutenção das condições de habilitação exigidas;</w:t>
      </w:r>
    </w:p>
    <w:p>
      <w:pPr>
        <w:pStyle w:val="Nivel3"/>
        <w:numPr>
          <w:ilvl w:val="2"/>
          <w:numId w:val="27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identificar possível razão que impeça a participação em licitação/contratação no âmbito do órgão ou entidade, tais como a proibição de contratar com a Administração ou com o Poder Público, bem como ocorrências impeditivas indiretas.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 xml:space="preserve">Persistindo a irregularidade, o Contratante deverá adotar as medidas necessárias à rescisão contratual nos autos do processo administrativo correspondente, assegurada ao Contratado a ampla defesa. </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Havendo a efetiva execução do objeto, os pagamentos serão realizados normalmente, até que se decida pela rescisão do contrato, caso o Contratado não regularize sua situação junto ao SICAF.</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Prazo de pagamento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pagamento será efetuado no prazo de até 10 (dez) dias úteis contados da finalização da liquidação da despesa, conforme seção anterior, nos termos da Instrução Normativa SEGES/ME nº 77, de 2022.</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i/>
          <w:color w:val="000000"/>
          <w:sz w:val="24"/>
          <w:szCs w:val="24"/>
          <w:shd w:fill="auto" w:val="clear"/>
          <w:lang w:eastAsia="en-US"/>
        </w:rPr>
        <w:t>IPCA</w:t>
      </w:r>
      <w:r>
        <w:rPr>
          <w:rFonts w:ascii="Times New Roman" w:hAnsi="Times New Roman"/>
          <w:color w:val="000000"/>
          <w:sz w:val="24"/>
          <w:szCs w:val="24"/>
          <w:shd w:fill="auto" w:val="clear"/>
        </w:rPr>
        <w:t xml:space="preserve"> </w:t>
      </w:r>
      <w:r>
        <w:rPr>
          <w:rFonts w:ascii="Times New Roman" w:hAnsi="Times New Roman"/>
          <w:color w:val="000000"/>
          <w:sz w:val="24"/>
          <w:szCs w:val="24"/>
          <w:shd w:fill="auto" w:val="clear"/>
          <w:lang w:eastAsia="en-US"/>
        </w:rPr>
        <w:t>de correção monetária.</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 de pagamento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pagamento será realizado por meio de ordem bancária, para crédito em banco, agência e conta corrente indicados pelo Contratado.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Será considerada data do pagamento o dia em que constar como emitida a ordem bancária para pagamento.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Quando do pagamento, será efetuada a retenção tributária prevista na legislação aplicável.</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Independentemente</w:t>
      </w:r>
      <w:r>
        <w:rPr>
          <w:rFonts w:ascii="Times New Roman" w:hAnsi="Times New Roman"/>
          <w:color w:val="000000"/>
          <w:sz w:val="24"/>
          <w:szCs w:val="24"/>
          <w:shd w:fill="auto" w:val="clear"/>
          <w:lang w:eastAsia="en-US"/>
        </w:rPr>
        <w:t xml:space="preserve"> do percentual de tributo inserido na planilha, quando houver, serão retidos na fonte, quando da realização do pagamento, os percentuais estabelecidos na legislação vigente.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en-US"/>
        </w:rPr>
        <w:t>Antecipação de pagamento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en-US"/>
        </w:rPr>
        <w:t>A presente contratação permite a antecipação de pagamento ......... (parcial/total), conforme as regras previstas no presente tópico.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en-US"/>
        </w:rPr>
        <w:t>O Contratado emitirá recibo/nota fiscal/fatura/documento idôneo/... correspondente ao valor da antecipação de pagamento de R$ ...... (valor por extenso), tão logo ... (incluir condicionante – ex: seja assinado o termo de contrato, ou seja, prestada a garantia etc.),</w:t>
      </w:r>
      <w:r>
        <w:rPr>
          <w:rFonts w:ascii="Times New Roman" w:hAnsi="Times New Roman"/>
          <w:strike/>
          <w:color w:val="000000"/>
          <w:sz w:val="24"/>
          <w:szCs w:val="24"/>
          <w:shd w:fill="auto" w:val="clear"/>
        </w:rPr>
        <w:t xml:space="preserve"> para que o Contratante efetue o pagamento antecipado.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Para as etapas seguintes do contrato, a antecipação do pagamento ocorrerá da seguinte forma:</w:t>
      </w:r>
    </w:p>
    <w:p>
      <w:pPr>
        <w:pStyle w:val="Nvel3-Opcional"/>
        <w:numPr>
          <w:ilvl w:val="2"/>
          <w:numId w:val="27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R$..... (valor em extenso) quando do início da segunda etapa.</w:t>
      </w:r>
    </w:p>
    <w:p>
      <w:pPr>
        <w:pStyle w:val="Nvel3-Opcional"/>
        <w:numPr>
          <w:ilvl w:val="2"/>
          <w:numId w:val="27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en-US"/>
        </w:rPr>
        <w:t>Quando admitida a antecipação de pagamento, fica o Contratado obrigado a devolver, com correção monetária, a integralidade do valor antecipado, na hipótese de inexecução do objeto.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No caso de inexecução parcial, deverá haver a devolução do valor relativo à parcela não executada do contrato.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 </w:t>
      </w:r>
      <w:r>
        <w:rPr>
          <w:rFonts w:ascii="Times New Roman" w:hAnsi="Times New Roman"/>
          <w:strike/>
          <w:color w:val="000000"/>
          <w:sz w:val="24"/>
          <w:szCs w:val="24"/>
          <w:shd w:fill="auto" w:val="clear"/>
        </w:rPr>
        <w:t>O valor relativo à parcela antecipada e não executada do contrato será atualizado monetariamente pela variação acumulada do  ........ (especificar o índice de correção monetária a ser adotado), ou outro índice que venha a substituí-lo, desde a data do pagamento da antecipação até a data da devolução.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liquidação ocorrerá de acordo com as regras do tópico respectivo deste instrumento.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lang w:eastAsia="en-US"/>
        </w:rPr>
        <w:t>O pagamento antecipado será efetuado no prazo máximo de até ..... (....) dias, contados do recebimento do ...... (recibo OU nota fiscal OU fatura OU documento idôneo).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antecipação de pagamento dispensa o ateste ou recebimento prévios do objeto, os quais deverão ocorrer após a regular execução da parcela contratual a que se refere o valor antecipado.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pagamento de que trata este item está condicionado à tomada das seguintes providências pelo Contratado:</w:t>
      </w:r>
    </w:p>
    <w:p>
      <w:pPr>
        <w:pStyle w:val="Nvel3-Opcional"/>
        <w:numPr>
          <w:ilvl w:val="2"/>
          <w:numId w:val="27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comprovação da execução da etapa imediatamente anterior do objeto pelo Contratado, para a antecipação do valor remanescente;</w:t>
      </w:r>
    </w:p>
    <w:p>
      <w:pPr>
        <w:pStyle w:val="Nvel3-Opcional"/>
        <w:numPr>
          <w:ilvl w:val="2"/>
          <w:numId w:val="27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prestação da garantia adicional nas modalidades de que trata o art. 96 da Lei nº 14.133, de 2021, no percentual de ...%.</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pagamento do valor a ser antecipado ocorrerá respeitando eventuais retenções tributárias incidentes.</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Cessão de Crédito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0" w:name="_Ref118216946"/>
      <w:r>
        <w:rPr>
          <w:rFonts w:ascii="Times New Roman" w:hAnsi="Times New Roman"/>
          <w:color w:val="000000"/>
          <w:sz w:val="24"/>
          <w:szCs w:val="24"/>
          <w:shd w:fill="auto" w:val="clear"/>
          <w:lang w:eastAsia="en-US"/>
        </w:rPr>
        <w:t>As cessões de crédito dependerão de prévia aprovação do Contratante.</w:t>
      </w:r>
      <w:bookmarkEnd w:id="20"/>
    </w:p>
    <w:p>
      <w:pPr>
        <w:pStyle w:val="Nivel3"/>
        <w:numPr>
          <w:ilvl w:val="2"/>
          <w:numId w:val="27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A eficácia da cessão de crédito, em relação à Administração, está condicionada à celebração de termo aditivo ao contrato administrativo.</w:t>
      </w:r>
    </w:p>
    <w:p>
      <w:pPr>
        <w:pStyle w:val="Nivel3"/>
        <w:numPr>
          <w:ilvl w:val="2"/>
          <w:numId w:val="27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pPr>
        <w:pStyle w:val="Nivel3"/>
        <w:numPr>
          <w:ilvl w:val="2"/>
          <w:numId w:val="27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pPr>
        <w:pStyle w:val="Nivel3"/>
        <w:numPr>
          <w:ilvl w:val="2"/>
          <w:numId w:val="27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A cessão de crédito não afetará a execução do objeto contratado, que continuará sob a integral responsabilidade do Contratado.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lang w:eastAsia="en-US"/>
        </w:rPr>
        <w:t>O disposto nesta seção não afeta as operações de crédito de que trata a Instrução Normativa SEGES/MGI nº 82, de 21 de fevereiro de 2025, as quais ficam por esta regidas.</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Reajuste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1" w:name="_Hlk169693537"/>
      <w:r>
        <w:rPr>
          <w:rFonts w:ascii="Times New Roman" w:hAnsi="Times New Roman"/>
          <w:color w:val="000000"/>
          <w:sz w:val="24"/>
          <w:szCs w:val="24"/>
          <w:shd w:fill="auto" w:val="clear"/>
        </w:rPr>
        <w:t>Os preços inicialmente contratados são fixos e irreajustáveis no prazo de um ano contado da data do orçamento estimado</w:t>
      </w:r>
      <w:r>
        <w:rPr>
          <w:rFonts w:ascii="Times New Roman" w:hAnsi="Times New Roman"/>
          <w:i/>
          <w:color w:val="000000"/>
          <w:sz w:val="24"/>
          <w:szCs w:val="24"/>
          <w:shd w:fill="auto" w:val="clear"/>
        </w:rPr>
        <w:t xml:space="preserve"> </w:t>
      </w:r>
      <w:r>
        <w:rPr>
          <w:rFonts w:ascii="Times New Roman" w:hAnsi="Times New Roman"/>
          <w:color w:val="000000"/>
          <w:sz w:val="24"/>
          <w:szCs w:val="24"/>
          <w:shd w:fill="auto" w:val="clear"/>
        </w:rPr>
        <w:t>.</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Após o interregno de um ano, e independentemente de pedido do contratado, os preços iniciais serão reajustados, mediante a aplicação, pelo contratante, do Índice de Custos de Tecnologia da Informação - ICTI, mantido pela Fundação Instituto de Pesquisa Econômica Aplicada - IPEA</w:t>
      </w:r>
      <w:r>
        <w:rPr>
          <w:rFonts w:ascii="Times New Roman" w:hAnsi="Times New Roman"/>
          <w:i/>
          <w:color w:val="000000"/>
          <w:sz w:val="24"/>
          <w:szCs w:val="24"/>
          <w:shd w:fill="auto" w:val="clear"/>
        </w:rPr>
        <w:t>,</w:t>
      </w:r>
      <w:r>
        <w:rPr>
          <w:rFonts w:ascii="Times New Roman" w:hAnsi="Times New Roman"/>
          <w:color w:val="000000"/>
          <w:sz w:val="24"/>
          <w:szCs w:val="24"/>
          <w:shd w:fill="auto" w:val="clear"/>
        </w:rPr>
        <w:t xml:space="preserve"> exclusivamente para as obrigações iniciadas e concluídas após a ocorrência da anualidade.</w:t>
      </w:r>
      <w:bookmarkEnd w:id="21"/>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Nos reajustes subsequentes ao primeiro, o interregno mínimo de um ano será contado a partir dos efeitos financeiros do último reajuste.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Nas aferições finais, o(s) índice(s) utilizado(s) para reajuste será(ão), obrigatoriamente, o(s) definitivo(s).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Caso o(s) índice(s) estabelecido(s) para reajustamento venha(m) a ser extinto(s) ou de qualquer forma não possa(m) mais ser utilizado(s), será(ão) adotado(s), em substituição, o(s) que vier(em) a ser determinado(s) pela legislação então em vigor.</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Na ausência de previsão legal quanto ao índice substituto, as partes elegerão novo índice oficial, para reajustamento do preço do valor remanescente, por meio de termo aditivo.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 reajuste será realizado por apostilamento.</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 E CRITÉRIOS DE SELEÇÃO DO FORNECEDOR E FORMA DE FORNECIMENTO</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bookmarkStart w:id="22" w:name="_Hlk171371350"/>
      <w:r>
        <w:rPr>
          <w:rFonts w:ascii="Times New Roman" w:hAnsi="Times New Roman"/>
          <w:color w:val="000000"/>
          <w:sz w:val="24"/>
          <w:szCs w:val="24"/>
          <w:shd w:fill="auto" w:val="clear"/>
        </w:rPr>
        <w:t>Forma de seleção e critério de julgamento da proposta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3" w:name="_Hlk171371336"/>
      <w:r>
        <w:rPr>
          <w:rFonts w:ascii="Times New Roman" w:hAnsi="Times New Roman"/>
          <w:color w:val="000000"/>
          <w:sz w:val="24"/>
          <w:szCs w:val="24"/>
          <w:shd w:fill="auto" w:val="clear"/>
        </w:rPr>
        <w:t>O fornecedor será selecionado por meio da realização de procedimento de LICITAÇÃO, na modalidade</w:t>
      </w:r>
      <w:r>
        <w:rPr>
          <w:rFonts w:ascii="Times New Roman" w:hAnsi="Times New Roman"/>
          <w:i/>
          <w:color w:val="000000"/>
          <w:sz w:val="24"/>
          <w:szCs w:val="24"/>
          <w:shd w:fill="auto" w:val="clear"/>
        </w:rPr>
        <w:t xml:space="preserve"> dispensa de licitação</w:t>
      </w:r>
      <w:r>
        <w:rPr>
          <w:rFonts w:ascii="Times New Roman" w:hAnsi="Times New Roman"/>
          <w:color w:val="000000"/>
          <w:sz w:val="24"/>
          <w:szCs w:val="24"/>
          <w:shd w:fill="auto" w:val="clear"/>
        </w:rPr>
        <w:t xml:space="preserve"> sob a forma ELETRÔNICA, com adoção do critério de julgamento pelo </w:t>
      </w:r>
      <w:r>
        <w:rPr>
          <w:rFonts w:ascii="Times New Roman" w:hAnsi="Times New Roman"/>
          <w:i/>
          <w:color w:val="000000"/>
          <w:sz w:val="24"/>
          <w:szCs w:val="24"/>
          <w:shd w:fill="auto" w:val="clear"/>
        </w:rPr>
        <w:t>MENOR PREÇO</w:t>
      </w:r>
      <w:bookmarkEnd w:id="22"/>
      <w:bookmarkEnd w:id="23"/>
      <w:r>
        <w:rPr>
          <w:rFonts w:ascii="Times New Roman" w:hAnsi="Times New Roman"/>
          <w:i/>
          <w:color w:val="000000"/>
          <w:sz w:val="24"/>
          <w:szCs w:val="24"/>
          <w:shd w:fill="auto" w:val="clear"/>
        </w:rPr>
        <w:t xml:space="preserve"> .</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fornecedor será selecionado por meio de contratação direta com fundamento no art. [</w:t>
      </w:r>
      <w:r>
        <w:rPr>
          <w:rFonts w:ascii="Times New Roman" w:hAnsi="Times New Roman"/>
          <w:b/>
          <w:strike/>
          <w:color w:val="000000"/>
          <w:sz w:val="24"/>
          <w:szCs w:val="24"/>
          <w:shd w:fill="auto" w:val="clear"/>
        </w:rPr>
        <w:t xml:space="preserve">74 </w:t>
      </w:r>
      <w:r>
        <w:rPr>
          <w:rFonts w:ascii="Times New Roman" w:hAnsi="Times New Roman"/>
          <w:b/>
          <w:bCs/>
          <w:strike/>
          <w:color w:val="000000"/>
          <w:sz w:val="24"/>
          <w:szCs w:val="24"/>
          <w:shd w:fill="auto" w:val="clear"/>
        </w:rPr>
        <w:t>OU</w:t>
      </w:r>
      <w:r>
        <w:rPr>
          <w:rFonts w:ascii="Times New Roman" w:hAnsi="Times New Roman"/>
          <w:b/>
          <w:strike/>
          <w:color w:val="000000"/>
          <w:sz w:val="24"/>
          <w:szCs w:val="24"/>
          <w:shd w:fill="auto" w:val="clear"/>
        </w:rPr>
        <w:t xml:space="preserve"> 75</w:t>
      </w:r>
      <w:r>
        <w:rPr>
          <w:rFonts w:ascii="Times New Roman" w:hAnsi="Times New Roman"/>
          <w:strike/>
          <w:color w:val="000000"/>
          <w:sz w:val="24"/>
          <w:szCs w:val="24"/>
          <w:shd w:fill="auto" w:val="clear"/>
        </w:rPr>
        <w:t>], inciso [</w:t>
      </w:r>
      <w:r>
        <w:rPr>
          <w:rFonts w:ascii="Times New Roman" w:hAnsi="Times New Roman"/>
          <w:b/>
          <w:bCs/>
          <w:strike/>
          <w:color w:val="000000"/>
          <w:sz w:val="24"/>
          <w:szCs w:val="24"/>
          <w:shd w:fill="auto" w:val="clear"/>
        </w:rPr>
        <w:t>indicar o inciso</w:t>
      </w:r>
      <w:r>
        <w:rPr>
          <w:rFonts w:ascii="Times New Roman" w:hAnsi="Times New Roman"/>
          <w:strike/>
          <w:color w:val="000000"/>
          <w:sz w:val="24"/>
          <w:szCs w:val="24"/>
          <w:shd w:fill="auto" w:val="clear"/>
        </w:rPr>
        <w:t>], da Lei nº 14.133, de 1º de abril de 2021, com base no seguinte fundamento: [</w:t>
      </w:r>
      <w:r>
        <w:rPr>
          <w:rFonts w:ascii="Times New Roman" w:hAnsi="Times New Roman"/>
          <w:b/>
          <w:bCs/>
          <w:strike/>
          <w:color w:val="000000"/>
          <w:sz w:val="24"/>
          <w:szCs w:val="24"/>
          <w:shd w:fill="auto" w:val="clear"/>
        </w:rPr>
        <w:t>descrever a fundamentação da contratação para enquadramento no dispositivo legal indicado</w:t>
      </w:r>
      <w:r>
        <w:rPr>
          <w:rFonts w:ascii="Times New Roman" w:hAnsi="Times New Roman"/>
          <w:strike/>
          <w:color w:val="000000"/>
          <w:sz w:val="24"/>
          <w:szCs w:val="24"/>
          <w:shd w:fill="auto" w:val="clear"/>
        </w:rPr>
        <w:t>].</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Forma de fornecimento</w:t>
      </w:r>
    </w:p>
    <w:p>
      <w:pPr>
        <w:pStyle w:val="Nvel02"/>
        <w:numPr>
          <w:ilvl w:val="1"/>
          <w:numId w:val="4"/>
        </w:numPr>
        <w:spacing w:lineRule="auto" w:line="360" w:before="0" w:after="170"/>
        <w:ind w:hanging="0" w:left="0" w:right="0"/>
        <w:rPr/>
      </w:pPr>
      <w:r>
        <w:rPr>
          <w:rStyle w:val="normaltextrun"/>
          <w:rFonts w:ascii="Times New Roman" w:hAnsi="Times New Roman"/>
          <w:color w:val="000000"/>
          <w:sz w:val="24"/>
          <w:szCs w:val="24"/>
          <w:shd w:fill="auto" w:val="clear"/>
        </w:rPr>
        <w:t xml:space="preserve">O </w:t>
      </w:r>
      <w:r>
        <w:rPr>
          <w:rStyle w:val="findhit"/>
          <w:rFonts w:ascii="Times New Roman" w:hAnsi="Times New Roman"/>
          <w:color w:val="000000"/>
          <w:sz w:val="24"/>
          <w:szCs w:val="24"/>
          <w:shd w:fill="auto" w:val="clear"/>
        </w:rPr>
        <w:t xml:space="preserve">fornecimento do objeto será </w:t>
      </w:r>
      <w:r>
        <w:rPr>
          <w:rFonts w:ascii="Times New Roman" w:hAnsi="Times New Roman"/>
          <w:color w:val="000000"/>
          <w:sz w:val="24"/>
          <w:szCs w:val="24"/>
          <w:shd w:fill="auto" w:val="clear"/>
        </w:rPr>
        <w:t>integral.</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Critérios de aceitabilidade de preços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4" w:name="_Hlk190336520"/>
      <w:r>
        <w:rPr>
          <w:rFonts w:ascii="Times New Roman" w:hAnsi="Times New Roman"/>
          <w:strike/>
          <w:color w:val="000000"/>
          <w:sz w:val="24"/>
          <w:szCs w:val="24"/>
          <w:shd w:fill="auto" w:val="clear"/>
        </w:rPr>
        <w:t xml:space="preserve">Em se tratando de contratação para registro de preços, caso adotado o critério de julgamento de menor preço ou de maior desconto por grupo de itens, o critério de aceitabilidade de preços unitários máximos será: </w:t>
      </w:r>
    </w:p>
    <w:p>
      <w:pPr>
        <w:pStyle w:val="Nvel3-Opcional"/>
        <w:numPr>
          <w:ilvl w:val="2"/>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Valores unitários: conforme planilha de composição de preços anexa ao edital </w:t>
      </w:r>
      <w:r>
        <w:rPr>
          <w:rFonts w:ascii="Times New Roman" w:hAnsi="Times New Roman"/>
          <w:b/>
          <w:bCs/>
          <w:strike/>
          <w:color w:val="000000"/>
          <w:sz w:val="24"/>
          <w:szCs w:val="24"/>
          <w:u w:val="single"/>
          <w:shd w:fill="auto" w:val="clear"/>
        </w:rPr>
        <w:t>OU</w:t>
      </w:r>
      <w:r>
        <w:rPr>
          <w:rFonts w:ascii="Times New Roman" w:hAnsi="Times New Roman"/>
          <w:strike/>
          <w:color w:val="000000"/>
          <w:sz w:val="24"/>
          <w:szCs w:val="24"/>
          <w:shd w:fill="auto" w:val="clear"/>
        </w:rPr>
        <w:t xml:space="preserve"> tabela constante no item XXXXXX deste Termo de Referência.</w:t>
      </w:r>
      <w:bookmarkEnd w:id="24"/>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Exigências de habilitação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Para fins de habilitação, deverá o interessado comprovar os seguintes requisitos:</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Habilitação jurídica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5" w:name="_Ref115800561"/>
      <w:r>
        <w:rPr>
          <w:rFonts w:ascii="Times New Roman" w:hAnsi="Times New Roman"/>
          <w:color w:val="000000"/>
          <w:sz w:val="24"/>
          <w:szCs w:val="24"/>
          <w:shd w:fill="auto" w:val="clear"/>
        </w:rPr>
        <w:t>pessoa física: cédula de identidade (RG) ou documento equivalente que, por força de lei, tenha validade para fins de identificação em todo o território nacional;</w:t>
      </w:r>
      <w:bookmarkEnd w:id="25"/>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empresário individual: inscrição no Registro Público de Empresas Mercantis, a cargo da Junta Comercial da respectiva sede;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Microempreendedor Individual - MEI: Certificado da Condição de Microempreendedor Individual - CCMEI, cuja aceitação ficará condicionada à verificação da autenticidade no sítio https://www.gov.br/empresas-e-negocios/pt-br/empreendedor;</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sociedade simples: inscrição do ato constitutivo no Registro Civil de Pessoas Jurídicas do local de sua sede, acompanhada de documento comprobatório de seus administradores;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6" w:name="_Int_ySfCXwr4"/>
      <w:r>
        <w:rPr>
          <w:rFonts w:ascii="Times New Roman" w:hAnsi="Times New Roman"/>
          <w:color w:val="000000"/>
          <w:sz w:val="24"/>
          <w:szCs w:val="24"/>
          <w:shd w:fill="auto" w:val="clear"/>
        </w:rPr>
        <w:t>Mercantis onde</w:t>
      </w:r>
      <w:bookmarkEnd w:id="26"/>
      <w:r>
        <w:rPr>
          <w:rFonts w:ascii="Times New Roman" w:hAnsi="Times New Roman"/>
          <w:color w:val="000000"/>
          <w:sz w:val="24"/>
          <w:szCs w:val="24"/>
          <w:shd w:fill="auto" w:val="clear"/>
        </w:rPr>
        <w:t xml:space="preserve"> opera, com averbação no Registro onde tem sede a matriz;</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Ato de autorização para o exercício da atividade de ............ (especificar a atividade contratada sujeita à autorização), expedido por ....... (especificar o órgão competente) nos termos do art. ..... da (Lei/Decreto) n° ........</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Os documentos apresentados deverão estar acompanhados de todas as alterações ou da consolidação respectiva.</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Habilitação fiscal, social e trabalhista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inscrição no Cadastro Nacional de Pessoas Jurídicas ou no Cadastro de Pessoas Físicas, conforme o caso;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regularidade com o Fundo de Garantia do Tempo de Serviço (FGTS);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inscrição no cadastro de contribuintes Estadual ou Distrital relativo ao domicílio ou sede do fornecedor, pertinente ao seu ramo de atividade e compatível com o objeto contratual;</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Prova de regularidade com a Fazenda Estadual ou Distrital do domicílio ou sede do fornecedor, relativa à atividade em cujo exercício contrata ou concorre;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Caso o fornecedor seja considerado isento dos tributos relacionados ao objeto contratual, deverá comprovar tal condição mediante a apresentação de declaração da Fazenda respectiva do seu domicílio ou sede, ou outra equivalente, na forma da lei.</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27" w:name="_Hlk121934117"/>
      <w:r>
        <w:rPr>
          <w:rFonts w:ascii="Times New Roman" w:hAnsi="Times New Roman"/>
          <w:color w:val="000000"/>
          <w:sz w:val="24"/>
          <w:szCs w:val="24"/>
          <w:shd w:fill="auto" w:val="clear"/>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27"/>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Qualificação Econômico-Financeira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certidão negativa de insolvência civil expedida pelo distribuidor do domicílio ou sede do interessado, caso se trate de pessoa física, desde que admitida a sua participação na licitação/contratação, ou de sociedade simples;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certidão negativa de falência expedida pelo distribuidor da sede do fornecedor;</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balanço patrimonial, demonstração de resultado de exercício e demais demonstrações contábeis </w:t>
      </w:r>
      <w:r>
        <w:rPr>
          <w:rFonts w:ascii="Times New Roman" w:hAnsi="Times New Roman"/>
          <w:i/>
          <w:strike/>
          <w:color w:val="000000"/>
          <w:sz w:val="24"/>
          <w:szCs w:val="24"/>
          <w:shd w:fill="auto" w:val="clear"/>
        </w:rPr>
        <w:t xml:space="preserve">................... [do último exercício social] </w:t>
      </w:r>
      <w:r>
        <w:rPr>
          <w:rFonts w:ascii="Times New Roman" w:hAnsi="Times New Roman"/>
          <w:b/>
          <w:bCs/>
          <w:i/>
          <w:strike/>
          <w:color w:val="000000"/>
          <w:sz w:val="24"/>
          <w:szCs w:val="24"/>
          <w:u w:val="single"/>
          <w:shd w:fill="auto" w:val="clear"/>
        </w:rPr>
        <w:t>OU</w:t>
      </w:r>
      <w:r>
        <w:rPr>
          <w:rFonts w:ascii="Times New Roman" w:hAnsi="Times New Roman"/>
          <w:i/>
          <w:strike/>
          <w:color w:val="000000"/>
          <w:sz w:val="24"/>
          <w:szCs w:val="24"/>
          <w:shd w:fill="auto" w:val="clear"/>
        </w:rPr>
        <w:t xml:space="preserve"> [dos dois últimos exercícios sociais],</w:t>
      </w:r>
      <w:r>
        <w:rPr>
          <w:rFonts w:ascii="Times New Roman" w:hAnsi="Times New Roman"/>
          <w:strike/>
          <w:color w:val="000000"/>
          <w:sz w:val="24"/>
          <w:szCs w:val="24"/>
          <w:shd w:fill="auto" w:val="clear"/>
        </w:rPr>
        <w:t xml:space="preserve"> já exigíveis e apresentados na forma da lei, comprovando, índices de Liquidez Geral (LG), Liquidez Corrente (LC), e Solvência Geral (SG) superiores a 1 (um), obtidos por meio da aplicação das seguintes fórmulas: </w:t>
      </w:r>
    </w:p>
    <w:tbl>
      <w:tblPr>
        <w:tblStyle w:val="Tabelacomgrade"/>
        <w:tblW w:w="6487"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vAlign w:val="center"/>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LG =</w:t>
            </w:r>
          </w:p>
        </w:tc>
        <w:tc>
          <w:tcPr>
            <w:tcW w:w="4252" w:type="dxa"/>
            <w:tcBorders>
              <w:top w:val="nil"/>
              <w:left w:val="nil"/>
              <w:right w:val="nil"/>
            </w:tcBorders>
            <w:vAlign w:val="bottom"/>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Ativo Circulante + Realizável a Longo Prazo</w:t>
            </w:r>
          </w:p>
        </w:tc>
      </w:tr>
      <w:tr>
        <w:trPr/>
        <w:tc>
          <w:tcPr>
            <w:tcW w:w="2234" w:type="dxa"/>
            <w:vMerge w:val="continue"/>
            <w:tcBorders>
              <w:top w:val="nil"/>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strike/>
                <w:color w:val="000000"/>
                <w:kern w:val="0"/>
                <w:sz w:val="24"/>
                <w:szCs w:val="24"/>
                <w:highlight w:val="none"/>
                <w:shd w:fill="auto" w:val="clear"/>
                <w:lang w:val="pt-BR" w:bidi="ar-SA"/>
              </w:rPr>
            </w:pPr>
            <w:r>
              <w:rPr>
                <w:rFonts w:ascii="Times New Roman" w:hAnsi="Times New Roman"/>
                <w:strike/>
                <w:color w:val="000000"/>
                <w:kern w:val="0"/>
                <w:sz w:val="24"/>
                <w:szCs w:val="24"/>
                <w:shd w:fill="auto" w:val="clear"/>
                <w:lang w:val="pt-BR" w:bidi="ar-SA"/>
              </w:rPr>
            </w:r>
          </w:p>
        </w:tc>
        <w:tc>
          <w:tcPr>
            <w:tcW w:w="4252" w:type="dxa"/>
            <w:tcBorders>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Passivo Circulante + Passivo Não Circulante</w:t>
            </w:r>
          </w:p>
        </w:tc>
      </w:tr>
    </w:tbl>
    <w:p>
      <w:pPr>
        <w:pStyle w:val="Nvel02"/>
        <w:numPr>
          <w:ilvl w:val="0"/>
          <w:numId w:val="0"/>
        </w:numPr>
        <w:spacing w:lineRule="auto" w:line="360" w:before="0" w:after="170"/>
        <w:ind w:hanging="0" w:left="0" w:righ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r>
    </w:p>
    <w:tbl>
      <w:tblPr>
        <w:tblStyle w:val="Tabelacomgrade"/>
        <w:tblW w:w="6629"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5"/>
        <w:gridCol w:w="4393"/>
      </w:tblGrid>
      <w:tr>
        <w:trPr>
          <w:cantSplit w:val="true"/>
        </w:trPr>
        <w:tc>
          <w:tcPr>
            <w:tcW w:w="2235" w:type="dxa"/>
            <w:vMerge w:val="restart"/>
            <w:tcBorders>
              <w:top w:val="nil"/>
              <w:left w:val="nil"/>
              <w:bottom w:val="nil"/>
              <w:right w:val="nil"/>
            </w:tcBorders>
            <w:vAlign w:val="center"/>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SG =</w:t>
            </w:r>
          </w:p>
        </w:tc>
        <w:tc>
          <w:tcPr>
            <w:tcW w:w="4393" w:type="dxa"/>
            <w:tcBorders>
              <w:top w:val="nil"/>
              <w:left w:val="nil"/>
              <w:right w:val="nil"/>
            </w:tcBorders>
            <w:vAlign w:val="bottom"/>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Ativo Total</w:t>
            </w:r>
          </w:p>
        </w:tc>
      </w:tr>
      <w:tr>
        <w:trPr>
          <w:cantSplit w:val="true"/>
        </w:trPr>
        <w:tc>
          <w:tcPr>
            <w:tcW w:w="2235" w:type="dxa"/>
            <w:vMerge w:val="continue"/>
            <w:tcBorders>
              <w:top w:val="nil"/>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strike/>
                <w:color w:val="000000"/>
                <w:kern w:val="0"/>
                <w:sz w:val="24"/>
                <w:szCs w:val="24"/>
                <w:highlight w:val="none"/>
                <w:shd w:fill="auto" w:val="clear"/>
                <w:lang w:val="pt-BR" w:bidi="ar-SA"/>
              </w:rPr>
            </w:pPr>
            <w:r>
              <w:rPr>
                <w:rFonts w:ascii="Times New Roman" w:hAnsi="Times New Roman"/>
                <w:strike/>
                <w:color w:val="000000"/>
                <w:kern w:val="0"/>
                <w:sz w:val="24"/>
                <w:szCs w:val="24"/>
                <w:shd w:fill="auto" w:val="clear"/>
                <w:lang w:val="pt-BR" w:bidi="ar-SA"/>
              </w:rPr>
            </w:r>
          </w:p>
        </w:tc>
        <w:tc>
          <w:tcPr>
            <w:tcW w:w="4393" w:type="dxa"/>
            <w:tcBorders>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Passivo Circulante + Passivo Não Circulante</w:t>
            </w:r>
          </w:p>
        </w:tc>
      </w:tr>
    </w:tbl>
    <w:p>
      <w:pPr>
        <w:pStyle w:val="Nvel02"/>
        <w:numPr>
          <w:ilvl w:val="0"/>
          <w:numId w:val="0"/>
        </w:numPr>
        <w:spacing w:lineRule="auto" w:line="360" w:before="0" w:after="170"/>
        <w:ind w:hanging="0" w:left="0" w:righ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r>
    </w:p>
    <w:tbl>
      <w:tblPr>
        <w:tblStyle w:val="Tabelacomgrade"/>
        <w:tblW w:w="4786"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vAlign w:val="center"/>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LC =</w:t>
            </w:r>
          </w:p>
        </w:tc>
        <w:tc>
          <w:tcPr>
            <w:tcW w:w="2550" w:type="dxa"/>
            <w:tcBorders>
              <w:top w:val="nil"/>
              <w:left w:val="nil"/>
              <w:right w:val="nil"/>
            </w:tcBorders>
            <w:vAlign w:val="bottom"/>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Ativo Circulante</w:t>
            </w:r>
          </w:p>
        </w:tc>
      </w:tr>
      <w:tr>
        <w:trPr/>
        <w:tc>
          <w:tcPr>
            <w:tcW w:w="2235" w:type="dxa"/>
            <w:vMerge w:val="continue"/>
            <w:tcBorders>
              <w:top w:val="nil"/>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strike/>
                <w:color w:val="000000"/>
                <w:kern w:val="0"/>
                <w:sz w:val="24"/>
                <w:szCs w:val="24"/>
                <w:highlight w:val="none"/>
                <w:shd w:fill="auto" w:val="clear"/>
                <w:lang w:val="pt-BR" w:bidi="ar-SA"/>
              </w:rPr>
            </w:pPr>
            <w:r>
              <w:rPr>
                <w:rFonts w:ascii="Times New Roman" w:hAnsi="Times New Roman"/>
                <w:strike/>
                <w:color w:val="000000"/>
                <w:kern w:val="0"/>
                <w:sz w:val="24"/>
                <w:szCs w:val="24"/>
                <w:shd w:fill="auto" w:val="clear"/>
                <w:lang w:val="pt-BR" w:bidi="ar-SA"/>
              </w:rPr>
            </w:r>
          </w:p>
        </w:tc>
        <w:tc>
          <w:tcPr>
            <w:tcW w:w="2550" w:type="dxa"/>
            <w:tcBorders>
              <w:left w:val="nil"/>
              <w:bottom w:val="nil"/>
              <w:right w:val="nil"/>
            </w:tcBorders>
          </w:tcPr>
          <w:p>
            <w:pPr>
              <w:pStyle w:val="Nvel02"/>
              <w:widowControl/>
              <w:numPr>
                <w:ilvl w:val="0"/>
                <w:numId w:val="0"/>
              </w:numPr>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Passivo Circulante</w:t>
            </w:r>
            <w:bookmarkStart w:id="28" w:name="_Hlk190941228"/>
            <w:bookmarkStart w:id="29" w:name="_Hlk169694941"/>
            <w:bookmarkEnd w:id="28"/>
            <w:bookmarkEnd w:id="29"/>
          </w:p>
        </w:tc>
      </w:tr>
    </w:tbl>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Caso a empresa interessada apresente resultado inferior ou igual a 1 (um) em qualquer dos índices de Liquidez Geral (LG), Solvência Geral (SG) e Liquidez Corrente (LC), será exigido para fins de habilitação </w:t>
      </w:r>
      <w:r>
        <w:rPr>
          <w:rFonts w:ascii="Times New Roman" w:hAnsi="Times New Roman"/>
          <w:i/>
          <w:strike/>
          <w:color w:val="000000"/>
          <w:sz w:val="24"/>
          <w:szCs w:val="24"/>
          <w:shd w:fill="auto" w:val="clear"/>
        </w:rPr>
        <w:t xml:space="preserve">[capital mínimo] </w:t>
      </w:r>
      <w:r>
        <w:rPr>
          <w:rFonts w:ascii="Times New Roman" w:hAnsi="Times New Roman"/>
          <w:i/>
          <w:strike/>
          <w:color w:val="000000"/>
          <w:sz w:val="24"/>
          <w:szCs w:val="24"/>
          <w:u w:val="single"/>
          <w:shd w:fill="auto" w:val="clear"/>
        </w:rPr>
        <w:t>OU</w:t>
      </w:r>
      <w:r>
        <w:rPr>
          <w:rFonts w:ascii="Times New Roman" w:hAnsi="Times New Roman"/>
          <w:i/>
          <w:strike/>
          <w:color w:val="000000"/>
          <w:sz w:val="24"/>
          <w:szCs w:val="24"/>
          <w:shd w:fill="auto" w:val="clear"/>
        </w:rPr>
        <w:t xml:space="preserve"> [patrimônio líquido mínimo]</w:t>
      </w:r>
      <w:r>
        <w:rPr>
          <w:rFonts w:ascii="Times New Roman" w:hAnsi="Times New Roman"/>
          <w:strike/>
          <w:color w:val="000000"/>
          <w:sz w:val="24"/>
          <w:szCs w:val="24"/>
          <w:shd w:fill="auto" w:val="clear"/>
        </w:rPr>
        <w:t xml:space="preserve"> de ......% [até 10%] do </w:t>
      </w:r>
      <w:r>
        <w:rPr>
          <w:rFonts w:ascii="Times New Roman" w:hAnsi="Times New Roman"/>
          <w:i/>
          <w:strike/>
          <w:color w:val="000000"/>
          <w:sz w:val="24"/>
          <w:szCs w:val="24"/>
          <w:shd w:fill="auto" w:val="clear"/>
        </w:rPr>
        <w:t xml:space="preserve">[valor total estimado da contratação] </w:t>
      </w:r>
      <w:r>
        <w:rPr>
          <w:rFonts w:ascii="Times New Roman" w:hAnsi="Times New Roman"/>
          <w:i/>
          <w:strike/>
          <w:color w:val="000000"/>
          <w:sz w:val="24"/>
          <w:szCs w:val="24"/>
          <w:u w:val="single"/>
          <w:shd w:fill="auto" w:val="clear"/>
        </w:rPr>
        <w:t>OU</w:t>
      </w:r>
      <w:r>
        <w:rPr>
          <w:rFonts w:ascii="Times New Roman" w:hAnsi="Times New Roman"/>
          <w:i/>
          <w:strike/>
          <w:color w:val="000000"/>
          <w:sz w:val="24"/>
          <w:szCs w:val="24"/>
          <w:shd w:fill="auto" w:val="clear"/>
        </w:rPr>
        <w:t xml:space="preserve"> [valor total estimado da parcela pertinente].</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0" w:name="_Hlk190941246"/>
      <w:r>
        <w:rPr>
          <w:rFonts w:ascii="Times New Roman" w:hAnsi="Times New Roman"/>
          <w:strike/>
          <w:color w:val="000000"/>
          <w:sz w:val="24"/>
          <w:szCs w:val="24"/>
          <w:shd w:fill="auto" w:val="clear"/>
        </w:rPr>
        <w:t xml:space="preserve">Os indicadores fixados acima deverão ser atingidos em cada um dos dois últimos exercícios sociais, sob pena de inabilitação; </w:t>
      </w:r>
      <w:bookmarkEnd w:id="30"/>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documentos referidos acima limitar-se-ão ao último exercício no caso de a pessoa jurídica ter sido constituída há menos de 2 (dois) anos;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1" w:name="_Hlk170895502"/>
      <w:r>
        <w:rPr>
          <w:rFonts w:ascii="Times New Roman" w:hAnsi="Times New Roman"/>
          <w:strike/>
          <w:color w:val="000000"/>
          <w:sz w:val="24"/>
          <w:szCs w:val="24"/>
          <w:shd w:fill="auto" w:val="clear"/>
        </w:rPr>
        <w:t>Os documentos referidos acima deverão ser exigidos com base no limite definido pela Receita Federal do Brasil para transmissão da Escrituração Contábil Digital - ECD ao Sped.</w:t>
      </w:r>
      <w:bookmarkEnd w:id="31"/>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As empresas criadas no exercício financeiro da licitação/contratação deverão atender a todas as exigências da habilitação e poderão substituir os demonstrativos contábeis pelo balanço de abertura.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atendimento dos índices econômicos previstos neste item deverá ser atestado mediante declaração assinada por profissional habilitado da área contábil, apresentada pelo fornecedor.</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Qualificação Técnica</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2" w:name="_Ref135608389"/>
      <w:r>
        <w:rPr>
          <w:rFonts w:ascii="Times New Roman" w:hAnsi="Times New Roman"/>
          <w:strike/>
          <w:color w:val="000000"/>
          <w:sz w:val="24"/>
          <w:szCs w:val="24"/>
          <w:shd w:fill="auto" w:val="clear"/>
        </w:rPr>
        <w:t xml:space="preserve">Registro ou inscrição da empresa na entidade profissional competente </w:t>
      </w:r>
      <w:r>
        <w:rPr>
          <w:rFonts w:ascii="Times New Roman" w:hAnsi="Times New Roman"/>
          <w:b/>
          <w:strike/>
          <w:color w:val="000000"/>
          <w:sz w:val="24"/>
          <w:szCs w:val="24"/>
          <w:shd w:fill="auto" w:val="clear"/>
        </w:rPr>
        <w:t xml:space="preserve">.........(escrever por extenso, se </w:t>
      </w:r>
      <w:r>
        <w:rPr>
          <w:rFonts w:ascii="Times New Roman" w:hAnsi="Times New Roman"/>
          <w:b/>
          <w:bCs/>
          <w:strike/>
          <w:color w:val="000000"/>
          <w:sz w:val="24"/>
          <w:szCs w:val="24"/>
          <w:shd w:fill="auto" w:val="clear"/>
        </w:rPr>
        <w:t xml:space="preserve">for </w:t>
      </w:r>
      <w:r>
        <w:rPr>
          <w:rFonts w:ascii="Times New Roman" w:hAnsi="Times New Roman"/>
          <w:b/>
          <w:strike/>
          <w:color w:val="000000"/>
          <w:sz w:val="24"/>
          <w:szCs w:val="24"/>
          <w:shd w:fill="auto" w:val="clear"/>
        </w:rPr>
        <w:t>o caso</w:t>
      </w:r>
      <w:r>
        <w:rPr>
          <w:rFonts w:ascii="Times New Roman" w:hAnsi="Times New Roman"/>
          <w:strike/>
          <w:color w:val="000000"/>
          <w:sz w:val="24"/>
          <w:szCs w:val="24"/>
          <w:shd w:fill="auto" w:val="clear"/>
        </w:rPr>
        <w:t>), em plena validade;</w:t>
      </w:r>
      <w:bookmarkEnd w:id="32"/>
    </w:p>
    <w:p>
      <w:pPr>
        <w:pStyle w:val="Nvel3-Opcional"/>
        <w:numPr>
          <w:ilvl w:val="2"/>
          <w:numId w:val="279"/>
        </w:numPr>
        <w:spacing w:lineRule="auto" w:line="360" w:before="0" w:after="170"/>
        <w:ind w:hanging="0" w:left="0" w:right="0"/>
        <w:rPr>
          <w:rFonts w:ascii="Times New Roman" w:hAnsi="Times New Roman"/>
          <w:color w:val="000000"/>
          <w:sz w:val="24"/>
          <w:szCs w:val="24"/>
          <w:highlight w:val="none"/>
          <w:shd w:fill="auto" w:val="clear"/>
        </w:rPr>
      </w:pPr>
      <w:bookmarkStart w:id="33" w:name="_Hlk171010459"/>
      <w:bookmarkEnd w:id="33"/>
      <w:r>
        <w:rPr>
          <w:rFonts w:ascii="Times New Roman" w:hAnsi="Times New Roman"/>
          <w:strike/>
          <w:color w:val="000000"/>
          <w:sz w:val="24"/>
          <w:szCs w:val="24"/>
          <w:shd w:fill="auto" w:val="clear"/>
        </w:rPr>
        <w:t>Sociedades empresárias estrangeiras atenderão à exigência por meio da apresentação, no momento da assinatura do contrato ou do aceite de instrumento equivalente, da solicitação de registro perante a entidade profissional competente no Brasil.</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4" w:name="_Hlk171010459_Copia_1"/>
      <w:bookmarkEnd w:id="34"/>
      <w:r>
        <w:rPr>
          <w:rFonts w:ascii="Times New Roman" w:hAnsi="Times New Roman"/>
          <w:strike/>
          <w:color w:val="000000"/>
          <w:sz w:val="24"/>
          <w:szCs w:val="24"/>
          <w:shd w:fill="auto" w:val="clear"/>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pPr>
        <w:pStyle w:val="Nvel3-Opcional"/>
        <w:numPr>
          <w:ilvl w:val="2"/>
          <w:numId w:val="28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Para fins da comprovação de que trata este subitem, os atestados deverão dizer respeito a contratos executados com as seguintes características mínimas:</w:t>
      </w:r>
    </w:p>
    <w:p>
      <w:pPr>
        <w:pStyle w:val="Nvel4-R"/>
        <w:numPr>
          <w:ilvl w:val="3"/>
          <w:numId w:val="281"/>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4-R"/>
        <w:numPr>
          <w:ilvl w:val="3"/>
          <w:numId w:val="282"/>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e</w:t>
      </w:r>
    </w:p>
    <w:p>
      <w:pPr>
        <w:pStyle w:val="Nvel4-R"/>
        <w:numPr>
          <w:ilvl w:val="3"/>
          <w:numId w:val="283"/>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w:t>
      </w:r>
    </w:p>
    <w:p>
      <w:pPr>
        <w:pStyle w:val="Nvel3-Opcional"/>
        <w:numPr>
          <w:ilvl w:val="2"/>
          <w:numId w:val="28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Serão admitidos, para fins de comprovação de quantitativo mínimo exigido, a apresentação e o somatório de diferentes atestados relativos a contratos executados de forma concomitante.</w:t>
      </w:r>
    </w:p>
    <w:p>
      <w:pPr>
        <w:pStyle w:val="Nvel3-Opcional"/>
        <w:numPr>
          <w:ilvl w:val="2"/>
          <w:numId w:val="285"/>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Os atestados de capacidade técnica poderão ser apresentados em nome da matriz ou da filial do fornecedor.</w:t>
      </w:r>
    </w:p>
    <w:p>
      <w:pPr>
        <w:pStyle w:val="Nvel3-Opcional"/>
        <w:numPr>
          <w:ilvl w:val="2"/>
          <w:numId w:val="286"/>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5" w:name="_Hlk171013756"/>
      <w:r>
        <w:rPr>
          <w:rFonts w:ascii="Times New Roman" w:hAnsi="Times New Roman"/>
          <w:strike/>
          <w:color w:val="000000"/>
          <w:sz w:val="24"/>
          <w:szCs w:val="24"/>
          <w:shd w:fill="auto" w:val="clear"/>
        </w:rPr>
        <w:t>Prova de atendimento aos requisitos ........, previstos na lei ............: .</w:t>
      </w:r>
      <w:bookmarkEnd w:id="35"/>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Disposições gerais sobre habilitação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Quando permitida a participação de empresas estrangeiras que não funcionem no País, as exigências de habilitação serão atendidas mediante documentos equivalentes, inicialmente apresentados em tradução livre.</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Não serão aceitos documentos de habilitação com indicação de CNPJ/CPF diferentes, salvo aqueles legalmente permitidos.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bookmarkStart w:id="36" w:name="_Hlk82473550"/>
      <w:r>
        <w:rPr>
          <w:rFonts w:ascii="Times New Roman" w:hAnsi="Times New Roman"/>
          <w:color w:val="000000"/>
          <w:sz w:val="24"/>
          <w:szCs w:val="24"/>
          <w:shd w:fill="auto" w:val="clear"/>
        </w:rPr>
        <w:t>Serão aceitos registros de CNPJ de fornecedor matriz e filial com diferenças de números de documentos pertinentes ao CND e ao CRF/FGTS, quando for comprovada a centralização do recolhimento dessas contribuições.</w:t>
      </w:r>
      <w:bookmarkEnd w:id="36"/>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ESTIMATIVAS DO VALOR DA CONTRATAÇÃO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 xml:space="preserve">O custo estimado total da contratação, que corresponde ao valor máximo aceitável, é de R$...46.000,00  conforme custos unitários apostos na </w:t>
      </w:r>
      <w:r>
        <w:rPr>
          <w:rFonts w:ascii="Times New Roman" w:hAnsi="Times New Roman"/>
          <w:b/>
          <w:color w:val="000000"/>
          <w:sz w:val="24"/>
          <w:szCs w:val="24"/>
          <w:shd w:fill="auto" w:val="clear"/>
        </w:rPr>
        <w:t xml:space="preserve">tabela </w:t>
      </w:r>
      <w:r>
        <w:rPr>
          <w:rFonts w:ascii="Times New Roman" w:hAnsi="Times New Roman"/>
          <w:b/>
          <w:bCs/>
          <w:color w:val="000000"/>
          <w:sz w:val="24"/>
          <w:szCs w:val="24"/>
          <w:shd w:fill="auto" w:val="clear"/>
        </w:rPr>
        <w:t xml:space="preserve">contida no item </w:t>
      </w:r>
      <w:r>
        <w:rPr>
          <w:rFonts w:ascii="Times New Roman" w:hAnsi="Times New Roman"/>
          <w:b/>
          <w:bCs/>
          <w:color w:val="000000"/>
          <w:sz w:val="24"/>
          <w:szCs w:val="24"/>
          <w:shd w:fill="auto" w:val="clear"/>
        </w:rPr>
        <w:fldChar w:fldCharType="begin"/>
      </w:r>
      <w:r>
        <w:rPr>
          <w:sz w:val="24"/>
          <w:b/>
          <w:shd w:fill="auto" w:val="clear"/>
          <w:szCs w:val="24"/>
          <w:bCs/>
          <w:rFonts w:ascii="Times New Roman" w:hAnsi="Times New Roman"/>
          <w:color w:val="000000"/>
        </w:rPr>
        <w:instrText xml:space="preserve"> REF _Ref172096041 \r \r \h </w:instrText>
      </w:r>
      <w:r>
        <w:rPr>
          <w:sz w:val="24"/>
          <w:b/>
          <w:shd w:fill="auto" w:val="clear"/>
          <w:szCs w:val="24"/>
          <w:bCs/>
          <w:rFonts w:ascii="Times New Roman" w:hAnsi="Times New Roman"/>
          <w:color w:val="000000"/>
        </w:rPr>
        <w:fldChar w:fldCharType="separate"/>
      </w:r>
      <w:r>
        <w:rPr>
          <w:sz w:val="24"/>
          <w:b/>
          <w:shd w:fill="auto" w:val="clear"/>
          <w:szCs w:val="24"/>
          <w:bCs/>
          <w:rFonts w:ascii="Times New Roman" w:hAnsi="Times New Roman"/>
          <w:color w:val="000000"/>
        </w:rPr>
        <w:t>1.1</w:t>
      </w:r>
      <w:r>
        <w:rPr>
          <w:sz w:val="24"/>
          <w:b/>
          <w:shd w:fill="auto" w:val="clear"/>
          <w:szCs w:val="24"/>
          <w:bCs/>
          <w:rFonts w:ascii="Times New Roman" w:hAnsi="Times New Roman"/>
          <w:color w:val="000000"/>
        </w:rPr>
        <w:fldChar w:fldCharType="end"/>
      </w:r>
      <w:r>
        <w:rPr>
          <w:rFonts w:ascii="Times New Roman" w:hAnsi="Times New Roman"/>
          <w:b/>
          <w:bCs/>
          <w:color w:val="000000"/>
          <w:sz w:val="24"/>
          <w:szCs w:val="24"/>
          <w:shd w:fill="auto" w:val="clear"/>
        </w:rPr>
        <w:t xml:space="preserve"> </w:t>
      </w:r>
      <w:r>
        <w:rPr>
          <w:rFonts w:ascii="Times New Roman" w:hAnsi="Times New Roman"/>
          <w:b/>
          <w:color w:val="000000"/>
          <w:sz w:val="24"/>
          <w:szCs w:val="24"/>
          <w:shd w:fill="auto" w:val="clear"/>
        </w:rPr>
        <w:t>acima.</w:t>
      </w:r>
    </w:p>
    <w:p>
      <w:pPr>
        <w:pStyle w:val="Ou1"/>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 valor de referência para aplicação do maior desconto corresponde a R$.....</w:t>
      </w:r>
    </w:p>
    <w:p>
      <w:pPr>
        <w:pStyle w:val="ou"/>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OU</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 xml:space="preserve">O custo estimado da contratação possui caráter sigiloso e será tornado público apenas e imediatamente após o julgamento das propostas. </w:t>
      </w:r>
    </w:p>
    <w:p>
      <w:pPr>
        <w:pStyle w:val="Nvel3-Opcional"/>
        <w:numPr>
          <w:ilvl w:val="2"/>
          <w:numId w:val="4"/>
        </w:numPr>
        <w:spacing w:lineRule="auto" w:line="360" w:before="0" w:after="170"/>
        <w:ind w:hanging="0" w:left="0" w:right="0"/>
        <w:rPr>
          <w:rFonts w:ascii="Times New Roman" w:hAnsi="Times New Roman"/>
          <w:color w:val="000000"/>
          <w:sz w:val="24"/>
          <w:szCs w:val="24"/>
          <w:highlight w:val="none"/>
          <w:shd w:fill="auto" w:val="clear"/>
        </w:rPr>
      </w:pPr>
      <w:bookmarkStart w:id="37" w:name="_Hlk190941484"/>
      <w:r>
        <w:rPr>
          <w:rFonts w:ascii="Times New Roman" w:hAnsi="Times New Roman"/>
          <w:strike/>
          <w:color w:val="000000"/>
          <w:sz w:val="24"/>
          <w:szCs w:val="24"/>
          <w:shd w:fill="auto" w:val="clear"/>
        </w:rPr>
        <w:t>Quando as propostas permanecerem com preços acima do orçamento estimado, o custo estimado da contratação será tornado público após a fase de lances.</w:t>
      </w:r>
      <w:bookmarkEnd w:id="37"/>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A estimativa de custo levou em consideração o risco envolvido na contratação e sua alocação entre Contratante e Contratado, conforme especificado na matriz de risco constante do Contrato.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pPr>
        <w:pStyle w:val="Nvel3-Opcional"/>
        <w:numPr>
          <w:ilvl w:val="2"/>
          <w:numId w:val="287"/>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em caso de força maior, caso fortuito ou fato do príncipe ou em decorrência de fatos imprevisíveis ou previsíveis de consequências incalculáveis, que inviabilizem a execução da ata tal como pactuada, nos termos do disposto na alínea “d” do inciso II do capu</w:t>
      </w:r>
      <w:r>
        <w:rPr>
          <w:rFonts w:ascii="Times New Roman" w:hAnsi="Times New Roman"/>
          <w:b/>
          <w:strike/>
          <w:color w:val="000000"/>
          <w:sz w:val="24"/>
          <w:szCs w:val="24"/>
          <w:shd w:fill="auto" w:val="clear"/>
        </w:rPr>
        <w:t>t</w:t>
      </w:r>
      <w:r>
        <w:rPr>
          <w:rFonts w:ascii="Times New Roman" w:hAnsi="Times New Roman"/>
          <w:strike/>
          <w:color w:val="000000"/>
          <w:sz w:val="24"/>
          <w:szCs w:val="24"/>
          <w:shd w:fill="auto" w:val="clear"/>
        </w:rPr>
        <w:t xml:space="preserve"> do art. 124 da Lei nº 14.133, de 2021;</w:t>
      </w:r>
    </w:p>
    <w:p>
      <w:pPr>
        <w:pStyle w:val="Nivel3"/>
        <w:numPr>
          <w:ilvl w:val="2"/>
          <w:numId w:val="288"/>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strike/>
          <w:color w:val="000000"/>
          <w:sz w:val="24"/>
          <w:szCs w:val="24"/>
          <w:shd w:fill="auto" w:val="clear"/>
        </w:rPr>
        <w:t>em caso de criação, alteração ou extinção de quaisquer tributos ou encargos legais ou superveniência de disposições legais, com comprovada repercussão sobre os preços registrados;</w:t>
      </w:r>
    </w:p>
    <w:p>
      <w:pPr>
        <w:pStyle w:val="Nivel3"/>
        <w:numPr>
          <w:ilvl w:val="2"/>
          <w:numId w:val="289"/>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strike/>
          <w:color w:val="000000"/>
          <w:sz w:val="24"/>
          <w:szCs w:val="24"/>
          <w:shd w:fill="auto" w:val="clear"/>
        </w:rPr>
        <w:t>serão reajustados os preços registrados, respeitada a contagem da anualidade e o índice previsto para a contratação; ou</w:t>
      </w:r>
    </w:p>
    <w:p>
      <w:pPr>
        <w:pStyle w:val="Nivel3"/>
        <w:numPr>
          <w:ilvl w:val="2"/>
          <w:numId w:val="290"/>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i/>
          <w:strike/>
          <w:color w:val="000000"/>
          <w:sz w:val="24"/>
          <w:szCs w:val="24"/>
          <w:shd w:fill="auto" w:val="clear"/>
        </w:rPr>
        <w:t>poderão ser repactuados, a pedido do interessado, conforme critérios definidos para a contratação.</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ADEQUAÇÃO ORÇAMENTÁRIA</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despesas decorrentes da presente contratação correrão à conta de recursos específicos consignados no Orçamento Geral da União.</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contratação será atendida pela seguinte dotação:</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Cs/>
          <w:color w:val="000000"/>
          <w:sz w:val="24"/>
          <w:szCs w:val="24"/>
          <w:shd w:fill="auto" w:val="clear"/>
        </w:rPr>
        <w:t>Gestão/</w:t>
      </w:r>
      <w:r>
        <w:rPr>
          <w:rFonts w:eastAsia="Arial" w:cs="Arial" w:ascii="Times New Roman" w:hAnsi="Times New Roman"/>
          <w:iCs/>
          <w:color w:val="000000"/>
          <w:sz w:val="24"/>
          <w:szCs w:val="24"/>
          <w:shd w:fill="auto" w:val="clear"/>
        </w:rPr>
        <w:t>u</w:t>
      </w:r>
      <w:r>
        <w:rPr>
          <w:rFonts w:ascii="Times New Roman" w:hAnsi="Times New Roman"/>
          <w:iCs/>
          <w:color w:val="000000"/>
          <w:sz w:val="24"/>
          <w:szCs w:val="24"/>
          <w:shd w:fill="auto" w:val="clear"/>
        </w:rPr>
        <w:t>nidade: [...];</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Cs/>
          <w:color w:val="000000"/>
          <w:sz w:val="24"/>
          <w:szCs w:val="24"/>
          <w:shd w:fill="auto" w:val="clear"/>
        </w:rPr>
        <w:t xml:space="preserve">Fonte de </w:t>
      </w:r>
      <w:r>
        <w:rPr>
          <w:rFonts w:eastAsia="Arial" w:cs="Arial" w:ascii="Times New Roman" w:hAnsi="Times New Roman"/>
          <w:iCs/>
          <w:color w:val="000000"/>
          <w:sz w:val="24"/>
          <w:szCs w:val="24"/>
          <w:shd w:fill="auto" w:val="clear"/>
        </w:rPr>
        <w:t>r</w:t>
      </w:r>
      <w:r>
        <w:rPr>
          <w:rFonts w:ascii="Times New Roman" w:hAnsi="Times New Roman"/>
          <w:iCs/>
          <w:color w:val="000000"/>
          <w:sz w:val="24"/>
          <w:szCs w:val="24"/>
          <w:shd w:fill="auto" w:val="clear"/>
        </w:rPr>
        <w:t>ecursos: [...];</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Cs/>
          <w:color w:val="000000"/>
          <w:sz w:val="24"/>
          <w:szCs w:val="24"/>
          <w:shd w:fill="auto" w:val="clear"/>
        </w:rPr>
        <w:t xml:space="preserve">Programa de </w:t>
      </w:r>
      <w:r>
        <w:rPr>
          <w:rFonts w:eastAsia="Arial" w:cs="Arial" w:ascii="Times New Roman" w:hAnsi="Times New Roman"/>
          <w:iCs/>
          <w:color w:val="000000"/>
          <w:sz w:val="24"/>
          <w:szCs w:val="24"/>
          <w:shd w:fill="auto" w:val="clear"/>
        </w:rPr>
        <w:t>t</w:t>
      </w:r>
      <w:r>
        <w:rPr>
          <w:rFonts w:ascii="Times New Roman" w:hAnsi="Times New Roman"/>
          <w:iCs/>
          <w:color w:val="000000"/>
          <w:sz w:val="24"/>
          <w:szCs w:val="24"/>
          <w:shd w:fill="auto" w:val="clear"/>
        </w:rPr>
        <w:t>rabalho: [...];</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Cs/>
          <w:color w:val="000000"/>
          <w:sz w:val="24"/>
          <w:szCs w:val="24"/>
          <w:shd w:fill="auto" w:val="clear"/>
        </w:rPr>
        <w:t xml:space="preserve">Elemento de </w:t>
      </w:r>
      <w:r>
        <w:rPr>
          <w:rFonts w:eastAsia="Arial" w:cs="Arial" w:ascii="Times New Roman" w:hAnsi="Times New Roman"/>
          <w:iCs/>
          <w:color w:val="000000"/>
          <w:sz w:val="24"/>
          <w:szCs w:val="24"/>
          <w:shd w:fill="auto" w:val="clear"/>
        </w:rPr>
        <w:t>d</w:t>
      </w:r>
      <w:r>
        <w:rPr>
          <w:rFonts w:ascii="Times New Roman" w:hAnsi="Times New Roman"/>
          <w:iCs/>
          <w:color w:val="000000"/>
          <w:sz w:val="24"/>
          <w:szCs w:val="24"/>
          <w:shd w:fill="auto" w:val="clear"/>
        </w:rPr>
        <w:t>espesa: [...];</w:t>
      </w:r>
      <w:r>
        <w:rPr>
          <w:rFonts w:eastAsia="Arial" w:cs="Arial" w:ascii="Times New Roman" w:hAnsi="Times New Roman"/>
          <w:iCs/>
          <w:color w:val="000000"/>
          <w:sz w:val="24"/>
          <w:szCs w:val="24"/>
          <w:shd w:fill="auto" w:val="clear"/>
        </w:rPr>
        <w:t xml:space="preserve"> </w:t>
      </w:r>
      <w:r>
        <w:rPr>
          <w:rFonts w:ascii="Times New Roman" w:hAnsi="Times New Roman"/>
          <w:iCs/>
          <w:color w:val="000000"/>
          <w:sz w:val="24"/>
          <w:szCs w:val="24"/>
          <w:shd w:fill="auto" w:val="clear"/>
        </w:rPr>
        <w:t>e</w:t>
      </w:r>
    </w:p>
    <w:p>
      <w:pPr>
        <w:pStyle w:val="ListParagraph"/>
        <w:numPr>
          <w:ilvl w:val="0"/>
          <w:numId w:val="11"/>
        </w:numPr>
        <w:spacing w:lineRule="auto" w:line="360" w:before="0" w:after="170"/>
        <w:ind w:hanging="0" w:left="0" w:right="0"/>
        <w:contextualSpacing w:val="false"/>
        <w:jc w:val="both"/>
        <w:rPr>
          <w:rFonts w:ascii="Times New Roman" w:hAnsi="Times New Roman"/>
          <w:color w:val="000000"/>
          <w:sz w:val="24"/>
          <w:szCs w:val="24"/>
          <w:highlight w:val="none"/>
          <w:shd w:fill="auto" w:val="clear"/>
        </w:rPr>
      </w:pPr>
      <w:r>
        <w:rPr>
          <w:rFonts w:ascii="Times New Roman" w:hAnsi="Times New Roman"/>
          <w:iCs/>
          <w:color w:val="000000"/>
          <w:sz w:val="24"/>
          <w:szCs w:val="24"/>
          <w:shd w:fill="auto" w:val="clear"/>
        </w:rPr>
        <w:t xml:space="preserve">Plano </w:t>
      </w:r>
      <w:r>
        <w:rPr>
          <w:rFonts w:eastAsia="Arial" w:cs="Arial" w:ascii="Times New Roman" w:hAnsi="Times New Roman"/>
          <w:iCs/>
          <w:color w:val="000000"/>
          <w:sz w:val="24"/>
          <w:szCs w:val="24"/>
          <w:shd w:fill="auto" w:val="clear"/>
        </w:rPr>
        <w:t>i</w:t>
      </w:r>
      <w:r>
        <w:rPr>
          <w:rFonts w:ascii="Times New Roman" w:hAnsi="Times New Roman"/>
          <w:iCs/>
          <w:color w:val="000000"/>
          <w:sz w:val="24"/>
          <w:szCs w:val="24"/>
          <w:shd w:fill="auto" w:val="clear"/>
        </w:rPr>
        <w:t>nterno: [...]</w:t>
      </w:r>
      <w:r>
        <w:rPr>
          <w:rFonts w:eastAsia="Arial" w:cs="Arial" w:ascii="Times New Roman" w:hAnsi="Times New Roman"/>
          <w:iCs/>
          <w:color w:val="000000"/>
          <w:sz w:val="24"/>
          <w:szCs w:val="24"/>
          <w:shd w:fill="auto" w:val="clear"/>
        </w:rPr>
        <w:t>.</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dotação relativa aos exercícios financeiros subsequentes será indicada após aprovação da Lei Orçamentária respectiva e liberação dos créditos correspondentes, mediante apostilamento.</w:t>
      </w:r>
    </w:p>
    <w:p>
      <w:pPr>
        <w:pStyle w:val="Nvel2-Opcional"/>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 indicação da dotação orçamentária fica postergada para o momento da assinatura do contrato ou instrumento equivalente.</w:t>
      </w:r>
    </w:p>
    <w:p>
      <w:pPr>
        <w:pStyle w:val="Nivel01"/>
        <w:numPr>
          <w:ilvl w:val="0"/>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DISPOSIÇÕES FINAIS</w:t>
      </w:r>
    </w:p>
    <w:p>
      <w:pPr>
        <w:pStyle w:val="Nvel02"/>
        <w:numPr>
          <w:ilvl w:val="1"/>
          <w:numId w:val="4"/>
        </w:numPr>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As informações contidas neste Termo de Referência não são classificadas como sigilosas</w:t>
      </w:r>
    </w:p>
    <w:p>
      <w:pPr>
        <w:pStyle w:val="Nvel1-SemNumerao"/>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Cronograma Físico Financeiro</w:t>
      </w:r>
    </w:p>
    <w:tbl>
      <w:tblPr>
        <w:tblStyle w:val="Tabelacomgrade"/>
        <w:tblW w:w="6914"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391"/>
        <w:gridCol w:w="3687"/>
        <w:gridCol w:w="1836"/>
      </w:tblGrid>
      <w:tr>
        <w:trPr/>
        <w:tc>
          <w:tcPr>
            <w:tcW w:w="1391" w:type="dxa"/>
            <w:tcBorders/>
            <w:vAlign w:val="center"/>
          </w:tcPr>
          <w:p>
            <w:pPr>
              <w:pStyle w:val="Nivel2"/>
              <w:widowControl/>
              <w:suppressAutoHyphens w:val="true"/>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b/>
                <w:bCs/>
                <w:strike/>
                <w:color w:val="000000"/>
                <w:kern w:val="0"/>
                <w:sz w:val="24"/>
                <w:szCs w:val="24"/>
                <w:shd w:fill="auto" w:val="clear"/>
                <w:lang w:val="pt-BR" w:bidi="ar-SA"/>
              </w:rPr>
              <w:t>Evento</w:t>
            </w:r>
          </w:p>
        </w:tc>
        <w:tc>
          <w:tcPr>
            <w:tcW w:w="3687" w:type="dxa"/>
            <w:tcBorders/>
            <w:vAlign w:val="center"/>
          </w:tcPr>
          <w:p>
            <w:pPr>
              <w:pStyle w:val="Nivel2"/>
              <w:widowControl/>
              <w:suppressAutoHyphens w:val="true"/>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b/>
                <w:bCs/>
                <w:strike/>
                <w:color w:val="000000"/>
                <w:kern w:val="0"/>
                <w:sz w:val="24"/>
                <w:szCs w:val="24"/>
                <w:shd w:fill="auto" w:val="clear"/>
                <w:lang w:val="pt-BR" w:bidi="ar-SA"/>
              </w:rPr>
              <w:t>Prazo estimado</w:t>
            </w:r>
          </w:p>
        </w:tc>
        <w:tc>
          <w:tcPr>
            <w:tcW w:w="1836" w:type="dxa"/>
            <w:tcBorders/>
            <w:vAlign w:val="center"/>
          </w:tcPr>
          <w:p>
            <w:pPr>
              <w:pStyle w:val="Nivel2"/>
              <w:widowControl/>
              <w:suppressAutoHyphens w:val="true"/>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b/>
                <w:bCs/>
                <w:strike/>
                <w:color w:val="000000"/>
                <w:kern w:val="0"/>
                <w:sz w:val="24"/>
                <w:szCs w:val="24"/>
                <w:shd w:fill="auto" w:val="clear"/>
                <w:lang w:val="pt-BR" w:bidi="ar-SA"/>
              </w:rPr>
              <w:t>Valor</w:t>
            </w:r>
          </w:p>
        </w:tc>
      </w:tr>
      <w:tr>
        <w:trPr/>
        <w:tc>
          <w:tcPr>
            <w:tcW w:w="1391"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Evento 1</w:t>
            </w:r>
          </w:p>
        </w:tc>
        <w:tc>
          <w:tcPr>
            <w:tcW w:w="3687"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 a (.../.../...)</w:t>
            </w:r>
          </w:p>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ou</w:t>
            </w:r>
          </w:p>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 dias após a emissão da OFB</w:t>
            </w:r>
          </w:p>
        </w:tc>
        <w:tc>
          <w:tcPr>
            <w:tcW w:w="1836"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R$ .........</w:t>
            </w:r>
          </w:p>
        </w:tc>
      </w:tr>
      <w:tr>
        <w:trPr/>
        <w:tc>
          <w:tcPr>
            <w:tcW w:w="1391"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Evento 2</w:t>
            </w:r>
          </w:p>
        </w:tc>
        <w:tc>
          <w:tcPr>
            <w:tcW w:w="3687"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w:t>
            </w:r>
          </w:p>
        </w:tc>
        <w:tc>
          <w:tcPr>
            <w:tcW w:w="1836"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R$ .........</w:t>
            </w:r>
          </w:p>
        </w:tc>
      </w:tr>
      <w:tr>
        <w:trPr/>
        <w:tc>
          <w:tcPr>
            <w:tcW w:w="1391"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w:t>
            </w:r>
          </w:p>
        </w:tc>
        <w:tc>
          <w:tcPr>
            <w:tcW w:w="3687"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w:t>
            </w:r>
          </w:p>
        </w:tc>
        <w:tc>
          <w:tcPr>
            <w:tcW w:w="1836"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R$ .........</w:t>
            </w:r>
          </w:p>
        </w:tc>
      </w:tr>
      <w:tr>
        <w:trPr/>
        <w:tc>
          <w:tcPr>
            <w:tcW w:w="1391"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Evento N</w:t>
            </w:r>
          </w:p>
        </w:tc>
        <w:tc>
          <w:tcPr>
            <w:tcW w:w="3687"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w:t>
            </w:r>
          </w:p>
        </w:tc>
        <w:tc>
          <w:tcPr>
            <w:tcW w:w="1836" w:type="dxa"/>
            <w:tcBorders/>
            <w:vAlign w:val="center"/>
          </w:tcPr>
          <w:p>
            <w:pPr>
              <w:pStyle w:val="Nivel2"/>
              <w:widowControl/>
              <w:suppressAutoHyphens w:val="true"/>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strike/>
                <w:color w:val="000000"/>
                <w:kern w:val="0"/>
                <w:sz w:val="24"/>
                <w:szCs w:val="24"/>
                <w:shd w:fill="auto" w:val="clear"/>
                <w:lang w:val="pt-BR" w:bidi="ar-SA"/>
              </w:rPr>
              <w:t>R$ .........</w:t>
            </w:r>
          </w:p>
        </w:tc>
      </w:tr>
    </w:tbl>
    <w:p>
      <w:pPr>
        <w:pStyle w:val="Textbody1"/>
        <w:tabs>
          <w:tab w:val="clear" w:pos="709"/>
          <w:tab w:val="left" w:pos="555" w:leader="none"/>
          <w:tab w:val="left" w:pos="840" w:leader="none"/>
          <w:tab w:val="left" w:pos="1140" w:leader="none"/>
          <w:tab w:val="left" w:pos="1395" w:leader="none"/>
          <w:tab w:val="left" w:pos="1650" w:leader="none"/>
          <w:tab w:val="left" w:pos="1965" w:leader="none"/>
          <w:tab w:val="left" w:pos="2220" w:leader="none"/>
          <w:tab w:val="left" w:pos="7336" w:leader="underscore"/>
        </w:tabs>
        <w:spacing w:lineRule="auto" w:line="360" w:before="0" w:after="170"/>
        <w:ind w:hanging="0" w:left="0" w:right="0"/>
        <w:jc w:val="both"/>
        <w:rPr>
          <w:rFonts w:ascii="Times New Roman" w:hAnsi="Times New Roman" w:cs="Arial"/>
          <w:strike/>
          <w:color w:val="000000"/>
          <w:sz w:val="24"/>
          <w:szCs w:val="24"/>
          <w:highlight w:val="none"/>
          <w:shd w:fill="auto" w:val="clear"/>
        </w:rPr>
      </w:pPr>
      <w:r>
        <w:rPr>
          <w:rFonts w:cs="Arial" w:ascii="Times New Roman" w:hAnsi="Times New Roman"/>
          <w:strike/>
          <w:color w:val="000000"/>
          <w:sz w:val="24"/>
          <w:szCs w:val="24"/>
          <w:shd w:fill="auto" w:val="clear"/>
        </w:rPr>
      </w:r>
    </w:p>
    <w:tbl>
      <w:tblPr>
        <w:tblW w:w="9625"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3184"/>
        <w:gridCol w:w="3337"/>
        <w:gridCol w:w="3104"/>
      </w:tblGrid>
      <w:tr>
        <w:trPr/>
        <w:tc>
          <w:tcPr>
            <w:tcW w:w="3184" w:type="dxa"/>
            <w:tcBorders>
              <w:top w:val="single" w:sz="8" w:space="0" w:color="000000"/>
              <w:left w:val="single" w:sz="8" w:space="0" w:color="000000"/>
              <w:bottom w:val="single" w:sz="8" w:space="0" w:color="000000"/>
            </w:tcBorders>
            <w:vAlign w:val="center"/>
          </w:tcPr>
          <w:p>
            <w:pPr>
              <w:pStyle w:val="Contedodatabelauser"/>
              <w:spacing w:lineRule="auto" w:line="360" w:before="0" w:after="170"/>
              <w:ind w:hanging="0" w:left="0" w:right="0"/>
              <w:jc w:val="center"/>
              <w:rPr>
                <w:rFonts w:ascii="Times New Roman" w:hAnsi="Times New Roman"/>
                <w:strike/>
                <w:color w:val="000000"/>
                <w:sz w:val="24"/>
                <w:szCs w:val="24"/>
                <w:highlight w:val="none"/>
                <w:shd w:fill="auto" w:val="clear"/>
              </w:rPr>
            </w:pPr>
            <w:r>
              <w:rPr>
                <w:strike/>
                <w:color w:val="000000"/>
                <w:sz w:val="24"/>
                <w:szCs w:val="24"/>
                <w:shd w:fill="auto" w:val="clear"/>
              </w:rPr>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____________________</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Integrante</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Requisitante</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&lt;Nome&gt;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&lt;Cargo&gt;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 xml:space="preserve"> </w:t>
            </w:r>
            <w:r>
              <w:rPr>
                <w:rFonts w:cs="Arial"/>
                <w:i/>
                <w:strike/>
                <w:color w:val="000000"/>
                <w:sz w:val="24"/>
                <w:szCs w:val="24"/>
                <w:shd w:fill="auto" w:val="clear"/>
              </w:rPr>
              <w:t>&lt;Matrícula&gt;</w:t>
            </w:r>
          </w:p>
        </w:tc>
        <w:tc>
          <w:tcPr>
            <w:tcW w:w="3337" w:type="dxa"/>
            <w:tcBorders>
              <w:top w:val="single" w:sz="8" w:space="0" w:color="000000"/>
              <w:left w:val="single" w:sz="8" w:space="0" w:color="000000"/>
              <w:bottom w:val="single" w:sz="8" w:space="0" w:color="000000"/>
            </w:tcBorders>
            <w:vAlign w:val="center"/>
          </w:tcPr>
          <w:p>
            <w:pPr>
              <w:pStyle w:val="Contedodatabelauser"/>
              <w:spacing w:lineRule="auto" w:line="360" w:before="0" w:after="170"/>
              <w:ind w:hanging="0" w:left="0" w:right="0"/>
              <w:jc w:val="center"/>
              <w:rPr>
                <w:rFonts w:ascii="Times New Roman" w:hAnsi="Times New Roman" w:cs="Arial"/>
                <w:b/>
                <w:strike/>
                <w:color w:val="000000"/>
                <w:sz w:val="24"/>
                <w:szCs w:val="24"/>
                <w:highlight w:val="none"/>
                <w:shd w:fill="auto" w:val="clear"/>
              </w:rPr>
            </w:pPr>
            <w:r>
              <w:rPr>
                <w:rFonts w:cs="Arial"/>
                <w:b/>
                <w:strike/>
                <w:color w:val="000000"/>
                <w:sz w:val="24"/>
                <w:szCs w:val="24"/>
                <w:shd w:fill="auto" w:val="clear"/>
              </w:rPr>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____________________</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Integrante</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Técnico</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&lt;Nome&gt;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&lt;Cargo&gt;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i/>
                <w:strike/>
                <w:color w:val="000000"/>
                <w:sz w:val="24"/>
                <w:szCs w:val="24"/>
                <w:shd w:fill="auto" w:val="clear"/>
              </w:rPr>
              <w:t xml:space="preserve"> </w:t>
            </w:r>
            <w:r>
              <w:rPr>
                <w:rFonts w:cs="Arial"/>
                <w:i/>
                <w:strike/>
                <w:color w:val="000000"/>
                <w:sz w:val="24"/>
                <w:szCs w:val="24"/>
                <w:shd w:fill="auto" w:val="clear"/>
              </w:rPr>
              <w:t>&lt;Matrícula&gt;</w:t>
            </w:r>
          </w:p>
        </w:tc>
        <w:tc>
          <w:tcPr>
            <w:tcW w:w="3104" w:type="dxa"/>
            <w:tcBorders>
              <w:top w:val="single" w:sz="8" w:space="0" w:color="000000"/>
              <w:left w:val="single" w:sz="8" w:space="0" w:color="000000"/>
              <w:bottom w:val="single" w:sz="8" w:space="0" w:color="000000"/>
              <w:right w:val="single" w:sz="8" w:space="0" w:color="000000"/>
            </w:tcBorders>
            <w:vAlign w:val="center"/>
          </w:tcPr>
          <w:p>
            <w:pPr>
              <w:pStyle w:val="Contedodatabelauser"/>
              <w:spacing w:lineRule="auto" w:line="360" w:before="0" w:after="170"/>
              <w:ind w:hanging="0" w:left="0" w:right="0"/>
              <w:jc w:val="center"/>
              <w:rPr>
                <w:rFonts w:ascii="Times New Roman" w:hAnsi="Times New Roman" w:cs="Arial"/>
                <w:b/>
                <w:strike/>
                <w:color w:val="000000"/>
                <w:sz w:val="24"/>
                <w:szCs w:val="24"/>
                <w:highlight w:val="none"/>
                <w:shd w:fill="auto" w:val="clear"/>
              </w:rPr>
            </w:pPr>
            <w:r>
              <w:rPr>
                <w:rFonts w:cs="Arial"/>
                <w:b/>
                <w:strike/>
                <w:color w:val="000000"/>
                <w:sz w:val="24"/>
                <w:szCs w:val="24"/>
                <w:shd w:fill="auto" w:val="clear"/>
              </w:rPr>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____________________</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Integrante</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Administrativo</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&lt;Nome&gt;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&lt;Cargo&gt;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i/>
                <w:strike/>
                <w:color w:val="000000"/>
                <w:sz w:val="24"/>
                <w:szCs w:val="24"/>
                <w:shd w:fill="auto" w:val="clear"/>
              </w:rPr>
              <w:t xml:space="preserve"> </w:t>
            </w:r>
            <w:r>
              <w:rPr>
                <w:rFonts w:cs="Arial"/>
                <w:i/>
                <w:strike/>
                <w:color w:val="000000"/>
                <w:sz w:val="24"/>
                <w:szCs w:val="24"/>
                <w:shd w:fill="auto" w:val="clear"/>
              </w:rPr>
              <w:t>&lt;Matrícula&gt;</w:t>
            </w:r>
          </w:p>
        </w:tc>
      </w:tr>
    </w:tbl>
    <w:p>
      <w:pPr>
        <w:pStyle w:val="Textbody1"/>
        <w:spacing w:lineRule="auto" w:line="360" w:before="0" w:after="170"/>
        <w:ind w:hanging="0" w:left="0" w:right="0"/>
        <w:rPr>
          <w:rFonts w:ascii="Times New Roman" w:hAnsi="Times New Roman" w:cs="Arial"/>
          <w:strike/>
          <w:color w:val="000000"/>
          <w:sz w:val="24"/>
          <w:szCs w:val="24"/>
          <w:highlight w:val="none"/>
          <w:shd w:fill="auto" w:val="clear"/>
        </w:rPr>
      </w:pPr>
      <w:r>
        <w:rPr>
          <w:rFonts w:cs="Arial" w:ascii="Times New Roman" w:hAnsi="Times New Roman"/>
          <w:strike/>
          <w:color w:val="000000"/>
          <w:sz w:val="24"/>
          <w:szCs w:val="24"/>
          <w:shd w:fill="auto" w:val="clear"/>
        </w:rPr>
      </w:r>
    </w:p>
    <w:tbl>
      <w:tblPr>
        <w:tblW w:w="9650" w:type="dxa"/>
        <w:jc w:val="center"/>
        <w:tblInd w:w="0" w:type="dxa"/>
        <w:tblLayout w:type="fixed"/>
        <w:tblCellMar>
          <w:top w:w="28" w:type="dxa"/>
          <w:left w:w="28" w:type="dxa"/>
          <w:bottom w:w="28" w:type="dxa"/>
          <w:right w:w="28" w:type="dxa"/>
        </w:tblCellMar>
        <w:tblLook w:firstRow="0" w:noVBand="0" w:lastRow="0" w:firstColumn="0" w:lastColumn="0" w:noHBand="0" w:val="0000"/>
      </w:tblPr>
      <w:tblGrid>
        <w:gridCol w:w="9650"/>
      </w:tblGrid>
      <w:tr>
        <w:trPr/>
        <w:tc>
          <w:tcPr>
            <w:tcW w:w="9650" w:type="dxa"/>
            <w:tcBorders>
              <w:top w:val="single" w:sz="8" w:space="0" w:color="000000"/>
              <w:left w:val="single" w:sz="8" w:space="0" w:color="000000"/>
              <w:bottom w:val="single" w:sz="8" w:space="0" w:color="000000"/>
              <w:right w:val="single" w:sz="8" w:space="0" w:color="000000"/>
            </w:tcBorders>
            <w:shd w:color="auto" w:fill="E8E8E8" w:val="clear"/>
          </w:tcPr>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Autoridade Máxima da Área de TIC</w:t>
            </w:r>
          </w:p>
        </w:tc>
      </w:tr>
      <w:tr>
        <w:trPr/>
        <w:tc>
          <w:tcPr>
            <w:tcW w:w="9650" w:type="dxa"/>
            <w:tcBorders>
              <w:top w:val="single" w:sz="8" w:space="0" w:color="000000"/>
              <w:left w:val="single" w:sz="8" w:space="0" w:color="000000"/>
              <w:bottom w:val="single" w:sz="8" w:space="0" w:color="000000"/>
              <w:right w:val="single" w:sz="8" w:space="0" w:color="000000"/>
            </w:tcBorders>
            <w:tcMar>
              <w:top w:w="0" w:type="dxa"/>
            </w:tcMar>
          </w:tcPr>
          <w:p>
            <w:pPr>
              <w:pStyle w:val="Contedodatabelauser"/>
              <w:spacing w:lineRule="auto" w:line="360" w:before="0" w:after="170"/>
              <w:ind w:hanging="0" w:left="0" w:right="0"/>
              <w:jc w:val="center"/>
              <w:rPr>
                <w:rFonts w:ascii="Times New Roman" w:hAnsi="Times New Roman" w:cs="Arial"/>
                <w:strike/>
                <w:color w:val="000000"/>
                <w:sz w:val="24"/>
                <w:szCs w:val="24"/>
                <w:highlight w:val="none"/>
                <w:shd w:fill="auto" w:val="clear"/>
              </w:rPr>
            </w:pPr>
            <w:r>
              <w:rPr>
                <w:rFonts w:cs="Arial"/>
                <w:strike/>
                <w:color w:val="000000"/>
                <w:sz w:val="24"/>
                <w:szCs w:val="24"/>
                <w:shd w:fill="auto" w:val="clear"/>
              </w:rPr>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____________________</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&lt;Nome&gt;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&lt;Cargo&gt;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strike/>
                <w:color w:val="000000"/>
                <w:sz w:val="24"/>
                <w:szCs w:val="24"/>
                <w:shd w:fill="auto" w:val="clear"/>
              </w:rPr>
              <w:t xml:space="preserve"> </w:t>
            </w:r>
            <w:r>
              <w:rPr>
                <w:rFonts w:cs="Arial"/>
                <w:i/>
                <w:strike/>
                <w:color w:val="000000"/>
                <w:sz w:val="24"/>
                <w:szCs w:val="24"/>
                <w:shd w:fill="auto" w:val="clear"/>
              </w:rPr>
              <w:t>&lt;Matrícula&gt;</w:t>
            </w:r>
            <w:bookmarkStart w:id="38" w:name="_Hlk82471863"/>
            <w:bookmarkEnd w:id="38"/>
          </w:p>
        </w:tc>
      </w:tr>
    </w:tbl>
    <w:p>
      <w:pPr>
        <w:pStyle w:val="Nvel2-Opcional"/>
        <w:numPr>
          <w:ilvl w:val="0"/>
          <w:numId w:val="0"/>
        </w:numPr>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strike/>
          <w:color w:val="000000"/>
          <w:sz w:val="24"/>
          <w:szCs w:val="24"/>
          <w:shd w:fill="auto" w:val="clear"/>
        </w:rPr>
        <w:t>[Local], [dia] de [mês] de [ano].</w:t>
      </w:r>
    </w:p>
    <w:p>
      <w:pPr>
        <w:pStyle w:val="Textbody1"/>
        <w:spacing w:lineRule="auto" w:line="360" w:before="0" w:after="170"/>
        <w:ind w:hanging="0" w:left="0" w:right="0"/>
        <w:rPr>
          <w:rFonts w:ascii="Times New Roman" w:hAnsi="Times New Roman"/>
          <w:color w:val="000000"/>
          <w:sz w:val="24"/>
          <w:szCs w:val="24"/>
          <w:highlight w:val="none"/>
          <w:shd w:fill="auto" w:val="clear"/>
        </w:rPr>
      </w:pPr>
      <w:r>
        <w:rPr>
          <w:rFonts w:cs="Arial" w:ascii="Times New Roman" w:hAnsi="Times New Roman"/>
          <w:strike/>
          <w:color w:val="000000"/>
          <w:sz w:val="24"/>
          <w:szCs w:val="24"/>
          <w:shd w:fill="auto" w:val="clear"/>
        </w:rPr>
        <w:t>Aprovo,</w:t>
      </w:r>
    </w:p>
    <w:p>
      <w:pPr>
        <w:pStyle w:val="Textbody1"/>
        <w:spacing w:lineRule="auto" w:line="360" w:before="0" w:after="170"/>
        <w:ind w:hanging="0" w:left="0" w:right="0"/>
        <w:rPr>
          <w:rFonts w:ascii="Times New Roman" w:hAnsi="Times New Roman" w:cs="Arial"/>
          <w:strike/>
          <w:color w:val="000000"/>
          <w:sz w:val="24"/>
          <w:szCs w:val="24"/>
          <w:highlight w:val="none"/>
          <w:shd w:fill="auto" w:val="clear"/>
        </w:rPr>
      </w:pPr>
      <w:r>
        <w:rPr>
          <w:rFonts w:cs="Arial" w:ascii="Times New Roman" w:hAnsi="Times New Roman"/>
          <w:strike/>
          <w:color w:val="000000"/>
          <w:sz w:val="24"/>
          <w:szCs w:val="24"/>
          <w:shd w:fill="auto" w:val="clear"/>
        </w:rPr>
      </w:r>
    </w:p>
    <w:tbl>
      <w:tblPr>
        <w:tblW w:w="9650" w:type="dxa"/>
        <w:jc w:val="center"/>
        <w:tblInd w:w="0" w:type="dxa"/>
        <w:tblLayout w:type="fixed"/>
        <w:tblCellMar>
          <w:top w:w="28" w:type="dxa"/>
          <w:left w:w="28" w:type="dxa"/>
          <w:bottom w:w="28" w:type="dxa"/>
          <w:right w:w="28" w:type="dxa"/>
        </w:tblCellMar>
        <w:tblLook w:firstRow="0" w:noVBand="0" w:lastRow="0" w:firstColumn="0" w:lastColumn="0" w:noHBand="0" w:val="0000"/>
      </w:tblPr>
      <w:tblGrid>
        <w:gridCol w:w="9650"/>
      </w:tblGrid>
      <w:tr>
        <w:trPr/>
        <w:tc>
          <w:tcPr>
            <w:tcW w:w="9650" w:type="dxa"/>
            <w:tcBorders>
              <w:top w:val="single" w:sz="8" w:space="0" w:color="000000"/>
              <w:left w:val="single" w:sz="8" w:space="0" w:color="000000"/>
              <w:bottom w:val="single" w:sz="8" w:space="0" w:color="000000"/>
              <w:right w:val="single" w:sz="8" w:space="0" w:color="000000"/>
            </w:tcBorders>
            <w:shd w:color="auto" w:fill="E8E8E8" w:val="clear"/>
          </w:tcPr>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Autoridade Competente</w:t>
            </w:r>
          </w:p>
        </w:tc>
      </w:tr>
      <w:tr>
        <w:trPr/>
        <w:tc>
          <w:tcPr>
            <w:tcW w:w="9650" w:type="dxa"/>
            <w:tcBorders>
              <w:top w:val="single" w:sz="8" w:space="0" w:color="000000"/>
              <w:left w:val="single" w:sz="8" w:space="0" w:color="000000"/>
              <w:bottom w:val="single" w:sz="8" w:space="0" w:color="000000"/>
              <w:right w:val="single" w:sz="8" w:space="0" w:color="000000"/>
            </w:tcBorders>
            <w:tcMar>
              <w:top w:w="0" w:type="dxa"/>
            </w:tcMar>
          </w:tcPr>
          <w:p>
            <w:pPr>
              <w:pStyle w:val="Contedodatabelauser"/>
              <w:spacing w:lineRule="auto" w:line="360" w:before="0" w:after="170"/>
              <w:ind w:hanging="0" w:left="0" w:right="0"/>
              <w:jc w:val="center"/>
              <w:rPr>
                <w:rFonts w:ascii="Times New Roman" w:hAnsi="Times New Roman" w:cs="Arial"/>
                <w:strike/>
                <w:color w:val="000000"/>
                <w:sz w:val="24"/>
                <w:szCs w:val="24"/>
                <w:highlight w:val="none"/>
                <w:shd w:fill="auto" w:val="clear"/>
              </w:rPr>
            </w:pPr>
            <w:r>
              <w:rPr>
                <w:rFonts w:cs="Arial"/>
                <w:strike/>
                <w:color w:val="000000"/>
                <w:sz w:val="24"/>
                <w:szCs w:val="24"/>
                <w:shd w:fill="auto" w:val="clear"/>
              </w:rPr>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b/>
                <w:strike/>
                <w:color w:val="000000"/>
                <w:sz w:val="24"/>
                <w:szCs w:val="24"/>
                <w:shd w:fill="auto" w:val="clear"/>
              </w:rPr>
              <w:t>____________________</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&lt;Nome&gt;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i/>
                <w:strike/>
                <w:color w:val="000000"/>
                <w:sz w:val="24"/>
                <w:szCs w:val="24"/>
                <w:shd w:fill="auto" w:val="clear"/>
              </w:rPr>
              <w:t>&lt;Cargo&gt;</w:t>
            </w:r>
          </w:p>
          <w:p>
            <w:pPr>
              <w:pStyle w:val="Contedodatabelauser"/>
              <w:spacing w:lineRule="auto" w:line="360" w:before="0" w:after="170"/>
              <w:ind w:hanging="0" w:left="0" w:right="0"/>
              <w:jc w:val="center"/>
              <w:rPr>
                <w:rFonts w:ascii="Times New Roman" w:hAnsi="Times New Roman"/>
                <w:color w:val="000000"/>
                <w:sz w:val="24"/>
                <w:szCs w:val="24"/>
                <w:highlight w:val="none"/>
                <w:shd w:fill="auto" w:val="clear"/>
              </w:rPr>
            </w:pPr>
            <w:r>
              <w:rPr>
                <w:rFonts w:cs="Arial"/>
                <w:strike/>
                <w:color w:val="000000"/>
                <w:sz w:val="24"/>
                <w:szCs w:val="24"/>
                <w:shd w:fill="auto" w:val="clear"/>
              </w:rPr>
              <w:t xml:space="preserve"> </w:t>
            </w:r>
            <w:r>
              <w:rPr>
                <w:rFonts w:cs="Arial"/>
                <w:i/>
                <w:strike/>
                <w:color w:val="000000"/>
                <w:sz w:val="24"/>
                <w:szCs w:val="24"/>
                <w:shd w:fill="auto" w:val="clear"/>
              </w:rPr>
              <w:t>&lt;Matrícula&gt;</w:t>
            </w:r>
          </w:p>
        </w:tc>
      </w:tr>
    </w:tbl>
    <w:p>
      <w:pPr>
        <w:pStyle w:val="Normal"/>
        <w:spacing w:lineRule="auto" w:line="360" w:before="0" w:after="170"/>
        <w:ind w:hanging="0" w:left="0" w:right="0"/>
        <w:rPr>
          <w:rFonts w:ascii="Times New Roman" w:hAnsi="Times New Roman"/>
          <w:strike/>
          <w:color w:val="000000"/>
          <w:sz w:val="24"/>
          <w:szCs w:val="24"/>
          <w:highlight w:val="none"/>
          <w:shd w:fill="auto" w:val="clear"/>
        </w:rPr>
      </w:pPr>
      <w:r>
        <w:rPr>
          <w:rFonts w:ascii="Times New Roman" w:hAnsi="Times New Roman"/>
          <w:strike/>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right"/>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26 de Outubro de 2026</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___________________________________________</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Sampaio – 2° Sgt</w:t>
        <w:br/>
        <w:t xml:space="preserve"> Membro da equipe de planejamento</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_________________________________________</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Aguiar - 1° Sgt</w:t>
        <w:br/>
        <w:t>Membro da equipe de planejamento</w:t>
        <w:br/>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br/>
        <w:t>________________________________________________</w:t>
        <w:br/>
        <w:t>Almir – CAP</w:t>
        <w:br/>
        <w:t>Chefe da equipe de planejamento</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______________________________________</w:t>
      </w:r>
    </w:p>
    <w:p>
      <w:pPr>
        <w:pStyle w:val="Normal"/>
        <w:spacing w:lineRule="auto" w:line="360" w:before="0" w:after="170"/>
        <w:ind w:hanging="0" w:left="0" w:right="0"/>
        <w:jc w:val="center"/>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t>JABIS – TC</w:t>
        <w:br/>
        <w:t>Ordenador de despesa</w:t>
      </w:r>
      <w:r>
        <w:br w:type="page"/>
      </w:r>
    </w:p>
    <w:p>
      <w:pPr>
        <w:pStyle w:val="Normal"/>
        <w:spacing w:lineRule="auto" w:line="360" w:before="0" w:after="170"/>
        <w:ind w:hanging="0" w:left="0" w:right="0"/>
        <w:rPr>
          <w:rFonts w:ascii="Times New Roman" w:hAnsi="Times New Roman"/>
          <w:color w:val="000000"/>
          <w:sz w:val="24"/>
          <w:szCs w:val="24"/>
          <w:highlight w:val="none"/>
          <w:shd w:fill="auto" w:val="clear"/>
        </w:rPr>
      </w:pPr>
      <w:r>
        <w:rPr>
          <w:rFonts w:ascii="Times New Roman" w:hAnsi="Times New Roman"/>
          <w:color w:val="000000"/>
          <w:sz w:val="24"/>
          <w:szCs w:val="24"/>
          <w:shd w:fill="auto" w:val="clear"/>
        </w:rPr>
      </w:r>
    </w:p>
    <w:sectPr>
      <w:footerReference w:type="even" r:id="rId3"/>
      <w:footerReference w:type="default" r:id="rId4"/>
      <w:footerReference w:type="first" r:id="rId5"/>
      <w:type w:val="nextPage"/>
      <w:pgSz w:w="11906" w:h="16838"/>
      <w:pgMar w:left="1134" w:right="1134" w:gutter="0" w:header="0"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swiss"/>
    <w:pitch w:val="variable"/>
  </w:font>
  <w:font w:name="Calibri">
    <w:charset w:val="00"/>
    <w:family w:val="swiss"/>
    <w:pitch w:val="variable"/>
  </w:font>
  <w:font w:name="Tahoma">
    <w:charset w:val="00"/>
    <w:family w:val="swiss"/>
    <w:pitch w:val="variable"/>
  </w:font>
  <w:font w:name="Segoe UI">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Roboto">
    <w:altName w:val="Helvetica Neue"/>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Gallery w:val="Page Numbers (Bottom of Page)"/>
        <w:docPartUnique w:val="true"/>
      </w:docPartObj>
      <w:id w:val="-385111139"/>
    </w:sdtPr>
    <w:sdtContent>
      <w:p>
        <w:pPr>
          <w:pStyle w:val="Footer"/>
          <w:rPr>
            <w:color w:themeColor="text2" w:themeTint="99" w:val="548DD4"/>
            <w:spacing w:val="60"/>
            <w:sz w:val="16"/>
            <w:szCs w:val="16"/>
          </w:rPr>
        </w:pPr>
        <w:r>
          <w:rPr>
            <w:color w:themeColor="text2" w:themeTint="99" w:val="548DD4"/>
            <w:spacing w:val="60"/>
            <w:sz w:val="22"/>
            <w:szCs w:val="22"/>
          </w:rPr>
          <w:tab/>
          <w:tab/>
        </w:r>
      </w:p>
      <w:p>
        <w:pPr>
          <w:pStyle w:val="Footer"/>
          <w:rPr>
            <w:rFonts w:ascii="Arial" w:hAnsi="Arial"/>
            <w:color w:themeColor="text1" w:themeTint="80" w:val="7F7F7F"/>
            <w:sz w:val="18"/>
          </w:rPr>
        </w:pPr>
        <w:r>
          <w:rPr>
            <w:color w:themeColor="text1" w:themeTint="80" w:val="7F7F7F"/>
            <w:spacing w:val="60"/>
            <w:sz w:val="22"/>
            <w:szCs w:val="22"/>
          </w:rPr>
          <w:tab/>
          <w:tab/>
        </w:r>
        <w:r>
          <w:rPr>
            <w:rFonts w:ascii="Arial" w:hAnsi="Arial"/>
            <w:color w:themeColor="text1" w:themeTint="a6" w:val="595959"/>
            <w:spacing w:val="60"/>
            <w:sz w:val="18"/>
          </w:rPr>
          <w:t>Página</w:t>
        </w:r>
        <w:r>
          <w:rPr>
            <w:rFonts w:ascii="Arial" w:hAnsi="Arial"/>
            <w:color w:themeColor="text1" w:themeTint="a6" w:val="595959"/>
            <w:sz w:val="18"/>
          </w:rPr>
          <w:t xml:space="preserve"> </w:t>
        </w:r>
        <w:r>
          <w:rPr>
            <w:rFonts w:ascii="Arial" w:hAnsi="Arial"/>
            <w:color w:themeColor="text1" w:themeTint="a6" w:val="595959"/>
            <w:sz w:val="18"/>
          </w:rPr>
          <w:fldChar w:fldCharType="begin"/>
        </w:r>
        <w:r>
          <w:rPr>
            <w:sz w:val="18"/>
            <w:rFonts w:ascii="Arial" w:hAnsi="Arial"/>
            <w:color w:themeColor="text1" w:themeTint="a6" w:val="595959"/>
          </w:rPr>
          <w:instrText xml:space="preserve"> PAGE </w:instrText>
        </w:r>
        <w:r>
          <w:rPr>
            <w:sz w:val="18"/>
            <w:rFonts w:ascii="Arial" w:hAnsi="Arial"/>
            <w:color w:themeColor="text1" w:themeTint="a6" w:val="595959"/>
          </w:rPr>
          <w:fldChar w:fldCharType="separate"/>
        </w:r>
        <w:r>
          <w:rPr>
            <w:sz w:val="18"/>
            <w:rFonts w:ascii="Arial" w:hAnsi="Arial"/>
            <w:color w:themeColor="text1" w:themeTint="a6" w:val="595959"/>
          </w:rPr>
          <w:t>50</w:t>
        </w:r>
        <w:r>
          <w:rPr>
            <w:sz w:val="18"/>
            <w:rFonts w:ascii="Arial" w:hAnsi="Arial"/>
            <w:color w:themeColor="text1" w:themeTint="a6" w:val="595959"/>
          </w:rPr>
          <w:fldChar w:fldCharType="end"/>
        </w:r>
        <w:r>
          <w:rPr>
            <w:rFonts w:ascii="Arial" w:hAnsi="Arial"/>
            <w:color w:themeColor="text1" w:themeTint="a6" w:val="595959"/>
            <w:sz w:val="18"/>
          </w:rPr>
          <w:t xml:space="preserve"> | </w:t>
        </w:r>
        <w:r>
          <w:rPr>
            <w:rFonts w:ascii="Arial" w:hAnsi="Arial"/>
            <w:color w:themeColor="text1" w:themeTint="a6" w:val="595959"/>
            <w:sz w:val="18"/>
          </w:rPr>
          <w:fldChar w:fldCharType="begin"/>
        </w:r>
        <w:r>
          <w:rPr>
            <w:sz w:val="18"/>
            <w:rFonts w:ascii="Arial" w:hAnsi="Arial"/>
            <w:color w:themeColor="text1" w:themeTint="a6" w:val="595959"/>
          </w:rPr>
          <w:instrText xml:space="preserve"> NUMPAGES </w:instrText>
        </w:r>
        <w:r>
          <w:rPr>
            <w:sz w:val="18"/>
            <w:rFonts w:ascii="Arial" w:hAnsi="Arial"/>
            <w:color w:themeColor="text1" w:themeTint="a6" w:val="595959"/>
          </w:rPr>
          <w:fldChar w:fldCharType="separate"/>
        </w:r>
        <w:r>
          <w:rPr>
            <w:sz w:val="18"/>
            <w:rFonts w:ascii="Arial" w:hAnsi="Arial"/>
            <w:color w:themeColor="text1" w:themeTint="a6" w:val="595959"/>
          </w:rPr>
          <w:t>50</w:t>
        </w:r>
        <w:r>
          <w:rPr>
            <w:sz w:val="18"/>
            <w:rFonts w:ascii="Arial" w:hAnsi="Arial"/>
            <w:color w:themeColor="text1" w:themeTint="a6" w:val="595959"/>
          </w:rPr>
          <w:fldChar w:fldCharType="end"/>
        </w:r>
      </w:p>
      <w:p>
        <w:pPr>
          <w:pStyle w:val="Footer"/>
          <w:tabs>
            <w:tab w:val="clear" w:pos="8504"/>
            <w:tab w:val="center" w:pos="4252" w:leader="none"/>
            <w:tab w:val="left" w:pos="7185" w:leader="none"/>
          </w:tabs>
          <w:rPr>
            <w:rFonts w:ascii="Arial" w:hAnsi="Arial"/>
            <w:sz w:val="14"/>
          </w:rPr>
        </w:pPr>
        <w:r>
          <w:rPr>
            <w:rFonts w:ascii="Arial" w:hAnsi="Arial"/>
            <w:sz w:val="14"/>
          </w:rPr>
          <w:t>Câmara Nacional de Modelos de Licitações e Contratos da Consultoria-Geral da União</w:t>
          <w:tab/>
        </w:r>
      </w:p>
      <w:p>
        <w:pPr>
          <w:pStyle w:val="Footer"/>
          <w:rPr>
            <w:rFonts w:ascii="Arial" w:hAnsi="Arial"/>
            <w:color w:themeColor="text2" w:themeShade="80" w:val="0F243E"/>
            <w:sz w:val="14"/>
          </w:rPr>
        </w:pPr>
        <w:r>
          <w:rPr>
            <w:rFonts w:cs="Arial" w:ascii="Arial" w:hAnsi="Arial"/>
            <w:sz w:val="14"/>
            <w:szCs w:val="14"/>
          </w:rPr>
          <w:t xml:space="preserve">Modelo de </w:t>
        </w:r>
        <w:r>
          <w:rPr>
            <w:rFonts w:ascii="Arial" w:hAnsi="Arial"/>
            <w:sz w:val="14"/>
          </w:rPr>
          <w:t xml:space="preserve">Termo de Referência para </w:t>
        </w:r>
        <w:r>
          <w:rPr>
            <w:rFonts w:cs="Arial" w:ascii="Arial" w:hAnsi="Arial"/>
            <w:sz w:val="14"/>
            <w:szCs w:val="14"/>
          </w:rPr>
          <w:t>Aquisição de Bens de Tecnologia da Informação e Comunicação - Lei nº 14.133, de 2021</w:t>
        </w:r>
      </w:p>
      <w:p>
        <w:pPr>
          <w:pStyle w:val="Footer"/>
          <w:rPr>
            <w:rFonts w:ascii="Arial" w:hAnsi="Arial" w:cs="Arial"/>
            <w:sz w:val="14"/>
            <w:szCs w:val="14"/>
          </w:rPr>
        </w:pPr>
        <w:r>
          <w:rPr>
            <w:rFonts w:cs="Arial" w:ascii="Arial" w:hAnsi="Arial"/>
            <w:sz w:val="14"/>
            <w:szCs w:val="14"/>
          </w:rPr>
          <w:t>Aprovado pela Secretaria de Governo Digital</w:t>
        </w:r>
      </w:p>
      <w:p>
        <w:pPr>
          <w:pStyle w:val="Footer"/>
          <w:rPr>
            <w:rFonts w:ascii="Arial" w:hAnsi="Arial"/>
            <w:sz w:val="14"/>
          </w:rPr>
        </w:pPr>
        <w:r>
          <w:rPr>
            <w:rFonts w:ascii="Arial" w:hAnsi="Arial"/>
            <w:sz w:val="14"/>
          </w:rPr>
          <w:t xml:space="preserve">Identidade visual pela Secretaria de Gestão </w:t>
        </w:r>
        <w:r>
          <w:rPr>
            <w:rFonts w:cs="Arial" w:ascii="Arial" w:hAnsi="Arial"/>
            <w:sz w:val="14"/>
            <w:szCs w:val="14"/>
          </w:rPr>
          <w:t>e Inovação</w:t>
        </w:r>
      </w:p>
      <w:p>
        <w:pPr>
          <w:pStyle w:val="Footer"/>
          <w:rPr>
            <w:rFonts w:ascii="Arial" w:hAnsi="Arial"/>
            <w:sz w:val="14"/>
          </w:rPr>
        </w:pPr>
        <w:r>
          <w:rPr>
            <w:rFonts w:cs="Arial" w:ascii="Arial" w:hAnsi="Arial"/>
            <w:sz w:val="14"/>
            <w:szCs w:val="14"/>
          </w:rPr>
          <w:t>Atualização: SET/2025</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6"/>
      <w:numFmt w:val="decimal"/>
      <w:lvlText w:val="8.%1"/>
      <w:lvlJc w:val="left"/>
      <w:pPr>
        <w:tabs>
          <w:tab w:val="num" w:pos="0"/>
        </w:tabs>
        <w:ind w:left="555" w:hanging="555"/>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upperRoman"/>
      <w:lvlText w:val="%1)"/>
      <w:lvlJc w:val="left"/>
      <w:pPr>
        <w:tabs>
          <w:tab w:val="num" w:pos="0"/>
        </w:tabs>
        <w:ind w:left="3555" w:hanging="720"/>
      </w:pPr>
      <w:rPr/>
    </w:lvl>
    <w:lvl w:ilvl="1">
      <w:start w:val="1"/>
      <w:numFmt w:val="lowerLetter"/>
      <w:lvlText w:val="%2."/>
      <w:lvlJc w:val="left"/>
      <w:pPr>
        <w:tabs>
          <w:tab w:val="num" w:pos="0"/>
        </w:tabs>
        <w:ind w:left="3915" w:hanging="360"/>
      </w:pPr>
      <w:rPr/>
    </w:lvl>
    <w:lvl w:ilvl="2">
      <w:start w:val="1"/>
      <w:numFmt w:val="lowerRoman"/>
      <w:lvlText w:val="%3."/>
      <w:lvlJc w:val="right"/>
      <w:pPr>
        <w:tabs>
          <w:tab w:val="num" w:pos="0"/>
        </w:tabs>
        <w:ind w:left="4635" w:hanging="180"/>
      </w:pPr>
      <w:rPr/>
    </w:lvl>
    <w:lvl w:ilvl="3">
      <w:start w:val="1"/>
      <w:numFmt w:val="decimal"/>
      <w:lvlText w:val="%4."/>
      <w:lvlJc w:val="left"/>
      <w:pPr>
        <w:tabs>
          <w:tab w:val="num" w:pos="0"/>
        </w:tabs>
        <w:ind w:left="5355" w:hanging="360"/>
      </w:pPr>
      <w:rPr/>
    </w:lvl>
    <w:lvl w:ilvl="4">
      <w:start w:val="1"/>
      <w:numFmt w:val="lowerLetter"/>
      <w:lvlText w:val="%5."/>
      <w:lvlJc w:val="left"/>
      <w:pPr>
        <w:tabs>
          <w:tab w:val="num" w:pos="0"/>
        </w:tabs>
        <w:ind w:left="6075" w:hanging="360"/>
      </w:pPr>
      <w:rPr/>
    </w:lvl>
    <w:lvl w:ilvl="5">
      <w:start w:val="1"/>
      <w:numFmt w:val="lowerRoman"/>
      <w:lvlText w:val="%6."/>
      <w:lvlJc w:val="right"/>
      <w:pPr>
        <w:tabs>
          <w:tab w:val="num" w:pos="0"/>
        </w:tabs>
        <w:ind w:left="6795" w:hanging="180"/>
      </w:pPr>
      <w:rPr/>
    </w:lvl>
    <w:lvl w:ilvl="6">
      <w:start w:val="1"/>
      <w:numFmt w:val="decimal"/>
      <w:lvlText w:val="%7."/>
      <w:lvlJc w:val="left"/>
      <w:pPr>
        <w:tabs>
          <w:tab w:val="num" w:pos="0"/>
        </w:tabs>
        <w:ind w:left="7515" w:hanging="360"/>
      </w:pPr>
      <w:rPr/>
    </w:lvl>
    <w:lvl w:ilvl="7">
      <w:start w:val="1"/>
      <w:numFmt w:val="lowerLetter"/>
      <w:lvlText w:val="%8."/>
      <w:lvlJc w:val="left"/>
      <w:pPr>
        <w:tabs>
          <w:tab w:val="num" w:pos="0"/>
        </w:tabs>
        <w:ind w:left="8235" w:hanging="360"/>
      </w:pPr>
      <w:rPr/>
    </w:lvl>
    <w:lvl w:ilvl="8">
      <w:start w:val="1"/>
      <w:numFmt w:val="lowerRoman"/>
      <w:lvlText w:val="%9."/>
      <w:lvlJc w:val="right"/>
      <w:pPr>
        <w:tabs>
          <w:tab w:val="num" w:pos="0"/>
        </w:tabs>
        <w:ind w:left="8955" w:hanging="180"/>
      </w:pPr>
      <w:rPr/>
    </w:lvl>
  </w:abstractNum>
  <w:abstractNum w:abstractNumId="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
    <w:lvl w:ilvl="0">
      <w:start w:val="1"/>
      <w:numFmt w:val="lowerLetter"/>
      <w:lvlText w:val="%1)"/>
      <w:lvlJc w:val="left"/>
      <w:pPr>
        <w:tabs>
          <w:tab w:val="num" w:pos="0"/>
        </w:tabs>
        <w:ind w:left="2130" w:hanging="360"/>
      </w:pPr>
      <w:rPr/>
    </w:lvl>
    <w:lvl w:ilvl="1">
      <w:start w:val="1"/>
      <w:numFmt w:val="lowerLetter"/>
      <w:lvlText w:val="%2."/>
      <w:lvlJc w:val="left"/>
      <w:pPr>
        <w:tabs>
          <w:tab w:val="num" w:pos="0"/>
        </w:tabs>
        <w:ind w:left="2850" w:hanging="360"/>
      </w:pPr>
      <w:rPr/>
    </w:lvl>
    <w:lvl w:ilvl="2">
      <w:start w:val="1"/>
      <w:numFmt w:val="lowerRoman"/>
      <w:lvlText w:val="%3."/>
      <w:lvlJc w:val="right"/>
      <w:pPr>
        <w:tabs>
          <w:tab w:val="num" w:pos="0"/>
        </w:tabs>
        <w:ind w:left="3570" w:hanging="180"/>
      </w:pPr>
      <w:rPr/>
    </w:lvl>
    <w:lvl w:ilvl="3">
      <w:start w:val="1"/>
      <w:numFmt w:val="decimal"/>
      <w:lvlText w:val="%4."/>
      <w:lvlJc w:val="left"/>
      <w:pPr>
        <w:tabs>
          <w:tab w:val="num" w:pos="0"/>
        </w:tabs>
        <w:ind w:left="4290" w:hanging="360"/>
      </w:pPr>
      <w:rPr/>
    </w:lvl>
    <w:lvl w:ilvl="4">
      <w:start w:val="1"/>
      <w:numFmt w:val="lowerLetter"/>
      <w:lvlText w:val="%5."/>
      <w:lvlJc w:val="left"/>
      <w:pPr>
        <w:tabs>
          <w:tab w:val="num" w:pos="0"/>
        </w:tabs>
        <w:ind w:left="5010" w:hanging="360"/>
      </w:pPr>
      <w:rPr/>
    </w:lvl>
    <w:lvl w:ilvl="5">
      <w:start w:val="1"/>
      <w:numFmt w:val="lowerRoman"/>
      <w:lvlText w:val="%6."/>
      <w:lvlJc w:val="right"/>
      <w:pPr>
        <w:tabs>
          <w:tab w:val="num" w:pos="0"/>
        </w:tabs>
        <w:ind w:left="5730" w:hanging="180"/>
      </w:pPr>
      <w:rPr/>
    </w:lvl>
    <w:lvl w:ilvl="6">
      <w:start w:val="1"/>
      <w:numFmt w:val="decimal"/>
      <w:lvlText w:val="%7."/>
      <w:lvlJc w:val="left"/>
      <w:pPr>
        <w:tabs>
          <w:tab w:val="num" w:pos="0"/>
        </w:tabs>
        <w:ind w:left="6450" w:hanging="360"/>
      </w:pPr>
      <w:rPr/>
    </w:lvl>
    <w:lvl w:ilvl="7">
      <w:start w:val="1"/>
      <w:numFmt w:val="lowerLetter"/>
      <w:lvlText w:val="%8."/>
      <w:lvlJc w:val="left"/>
      <w:pPr>
        <w:tabs>
          <w:tab w:val="num" w:pos="0"/>
        </w:tabs>
        <w:ind w:left="7170" w:hanging="360"/>
      </w:pPr>
      <w:rPr/>
    </w:lvl>
    <w:lvl w:ilvl="8">
      <w:start w:val="1"/>
      <w:numFmt w:val="lowerRoman"/>
      <w:lvlText w:val="%9."/>
      <w:lvlJc w:val="right"/>
      <w:pPr>
        <w:tabs>
          <w:tab w:val="num" w:pos="0"/>
        </w:tabs>
        <w:ind w:left="7890" w:hanging="180"/>
      </w:pPr>
      <w:rPr/>
    </w:lvl>
  </w:abstractNum>
  <w:abstractNum w:abstractNumId="7">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9">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7"/>
      <w:numFmt w:val="decimal"/>
      <w:lvlText w:val="%1"/>
      <w:lvlJc w:val="left"/>
      <w:pPr>
        <w:tabs>
          <w:tab w:val="num" w:pos="0"/>
        </w:tabs>
        <w:ind w:left="790" w:hanging="790"/>
      </w:pPr>
      <w:rPr/>
    </w:lvl>
    <w:lvl w:ilvl="1">
      <w:start w:val="2"/>
      <w:numFmt w:val="decimal"/>
      <w:lvlText w:val="%1.%2"/>
      <w:lvlJc w:val="left"/>
      <w:pPr>
        <w:tabs>
          <w:tab w:val="num" w:pos="0"/>
        </w:tabs>
        <w:ind w:left="931" w:hanging="790"/>
      </w:pPr>
      <w:rPr/>
    </w:lvl>
    <w:lvl w:ilvl="2">
      <w:start w:val="4"/>
      <w:numFmt w:val="decimal"/>
      <w:lvlText w:val="%1.%2.%3"/>
      <w:lvlJc w:val="left"/>
      <w:pPr>
        <w:tabs>
          <w:tab w:val="num" w:pos="0"/>
        </w:tabs>
        <w:ind w:left="1072" w:hanging="790"/>
      </w:pPr>
      <w:rPr/>
    </w:lvl>
    <w:lvl w:ilvl="3">
      <w:start w:val="2"/>
      <w:numFmt w:val="decimal"/>
      <w:lvlText w:val="%1.%2.%3.%4"/>
      <w:lvlJc w:val="left"/>
      <w:pPr>
        <w:tabs>
          <w:tab w:val="num" w:pos="0"/>
        </w:tabs>
        <w:ind w:left="1213" w:hanging="790"/>
      </w:pPr>
      <w:rPr/>
    </w:lvl>
    <w:lvl w:ilvl="4">
      <w:start w:val="1"/>
      <w:numFmt w:val="decimal"/>
      <w:lvlText w:val="%1.%2.%3.%4.%5"/>
      <w:lvlJc w:val="left"/>
      <w:pPr>
        <w:tabs>
          <w:tab w:val="num" w:pos="0"/>
        </w:tabs>
        <w:ind w:left="1644" w:hanging="1080"/>
      </w:pPr>
      <w:rPr/>
    </w:lvl>
    <w:lvl w:ilvl="5">
      <w:start w:val="1"/>
      <w:numFmt w:val="decimal"/>
      <w:lvlText w:val="%1.%2.%3.%4.%5.%6"/>
      <w:lvlJc w:val="left"/>
      <w:pPr>
        <w:tabs>
          <w:tab w:val="num" w:pos="0"/>
        </w:tabs>
        <w:ind w:left="1785" w:hanging="1080"/>
      </w:pPr>
      <w:rPr/>
    </w:lvl>
    <w:lvl w:ilvl="6">
      <w:start w:val="1"/>
      <w:numFmt w:val="decimal"/>
      <w:lvlText w:val="%1.%2.%3.%4.%5.%6.%7"/>
      <w:lvlJc w:val="left"/>
      <w:pPr>
        <w:tabs>
          <w:tab w:val="num" w:pos="0"/>
        </w:tabs>
        <w:ind w:left="2286" w:hanging="1440"/>
      </w:pPr>
      <w:rPr/>
    </w:lvl>
    <w:lvl w:ilvl="7">
      <w:start w:val="1"/>
      <w:numFmt w:val="decimal"/>
      <w:lvlText w:val="%1.%2.%3.%4.%5.%6.%7.%8"/>
      <w:lvlJc w:val="left"/>
      <w:pPr>
        <w:tabs>
          <w:tab w:val="num" w:pos="0"/>
        </w:tabs>
        <w:ind w:left="2427" w:hanging="1440"/>
      </w:pPr>
      <w:rPr/>
    </w:lvl>
    <w:lvl w:ilvl="8">
      <w:start w:val="1"/>
      <w:numFmt w:val="decimal"/>
      <w:lvlText w:val="%1.%2.%3.%4.%5.%6.%7.%8.%9"/>
      <w:lvlJc w:val="left"/>
      <w:pPr>
        <w:tabs>
          <w:tab w:val="num" w:pos="0"/>
        </w:tabs>
        <w:ind w:left="2928" w:hanging="1800"/>
      </w:pPr>
      <w:rPr/>
    </w:lvl>
  </w:abstractNum>
  <w:abstractNum w:abstractNumId="11">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1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2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3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4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5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6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7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8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9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0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1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2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3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1">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3">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4">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5">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6">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7">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8">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49">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50">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dstrike w:val="false"/>
        <w:strike w:val="false"/>
        <w:sz w:val="20"/>
        <w:i w:val="false"/>
        <w:u w:val="none"/>
        <w:b w:val="false"/>
        <w:szCs w:val="20"/>
        <w:color w:val="auto"/>
      </w:rPr>
    </w:lvl>
    <w:lvl w:ilvl="2">
      <w:start w:val="1"/>
      <w:numFmt w:val="decimal"/>
      <w:lvlText w:val="%1.%2.%3"/>
      <w:lvlJc w:val="left"/>
      <w:pPr>
        <w:tabs>
          <w:tab w:val="num" w:pos="0"/>
        </w:tabs>
        <w:ind w:left="3624" w:hanging="504"/>
      </w:pPr>
      <w:rPr>
        <w:dstrike w:val="false"/>
        <w:strike w:val="false"/>
        <w:sz w:val="20"/>
        <w:i w:val="false"/>
        <w:b w:val="false"/>
        <w:szCs w:val="20"/>
        <w:color w:themeColor="text1" w:val="000000"/>
      </w:rPr>
    </w:lvl>
    <w:lvl w:ilvl="3">
      <w:start w:val="1"/>
      <w:numFmt w:val="decimal"/>
      <w:lvlText w:val="%1.%2.%3.%4."/>
      <w:lvlJc w:val="left"/>
      <w:pPr>
        <w:tabs>
          <w:tab w:val="num" w:pos="0"/>
        </w:tabs>
        <w:ind w:left="3626" w:hanging="648"/>
      </w:pPr>
      <w:rPr/>
    </w:lvl>
    <w:lvl w:ilvl="4">
      <w:start w:val="1"/>
      <w:numFmt w:val="decimal"/>
      <w:lvlText w:val="%1.%2.%3.%4.%5."/>
      <w:lvlJc w:val="left"/>
      <w:pPr>
        <w:tabs>
          <w:tab w:val="num" w:pos="0"/>
        </w:tabs>
        <w:ind w:left="3367" w:hanging="792"/>
      </w:pPr>
      <w:rPr/>
    </w:lvl>
    <w:lvl w:ilvl="5">
      <w:start w:val="1"/>
      <w:numFmt w:val="decimal"/>
      <w:lvlText w:val="%1.%2.%3.%4.%5.%6."/>
      <w:lvlJc w:val="left"/>
      <w:pPr>
        <w:tabs>
          <w:tab w:val="num" w:pos="0"/>
        </w:tabs>
        <w:ind w:left="3871" w:hanging="936"/>
      </w:pPr>
      <w:rPr/>
    </w:lvl>
    <w:lvl w:ilvl="6">
      <w:start w:val="1"/>
      <w:numFmt w:val="decimal"/>
      <w:lvlText w:val="%1.%2.%3.%4.%5.%6.%7."/>
      <w:lvlJc w:val="left"/>
      <w:pPr>
        <w:tabs>
          <w:tab w:val="num" w:pos="0"/>
        </w:tabs>
        <w:ind w:left="4375" w:hanging="1080"/>
      </w:pPr>
      <w:rPr/>
    </w:lvl>
    <w:lvl w:ilvl="7">
      <w:start w:val="1"/>
      <w:numFmt w:val="decimal"/>
      <w:lvlText w:val="%1.%2.%3.%4.%5.%6.%7.%8."/>
      <w:lvlJc w:val="left"/>
      <w:pPr>
        <w:tabs>
          <w:tab w:val="num" w:pos="0"/>
        </w:tabs>
        <w:ind w:left="4879" w:hanging="1224"/>
      </w:pPr>
      <w:rPr/>
    </w:lvl>
    <w:lvl w:ilvl="8">
      <w:start w:val="1"/>
      <w:numFmt w:val="decimal"/>
      <w:lvlText w:val="%1.%2.%3.%4.%5.%6.%7.%8.%9."/>
      <w:lvlJc w:val="left"/>
      <w:pPr>
        <w:tabs>
          <w:tab w:val="num" w:pos="0"/>
        </w:tabs>
        <w:ind w:left="5455" w:hanging="1440"/>
      </w:pPr>
      <w:rPr/>
    </w:lvl>
  </w:abstractNum>
  <w:abstractNum w:abstractNumId="15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4"/>
  </w:num>
  <w:num w:numId="153">
    <w:abstractNumId w:val="4"/>
  </w:num>
  <w:num w:numId="154">
    <w:abstractNumId w:val="4"/>
  </w:num>
  <w:num w:numId="155">
    <w:abstractNumId w:val="4"/>
  </w:num>
  <w:num w:numId="156">
    <w:abstractNumId w:val="4"/>
  </w:num>
  <w:num w:numId="157">
    <w:abstractNumId w:val="4"/>
  </w:num>
  <w:num w:numId="158">
    <w:abstractNumId w:val="4"/>
  </w:num>
  <w:num w:numId="159">
    <w:abstractNumId w:val="4"/>
  </w:num>
  <w:num w:numId="160">
    <w:abstractNumId w:val="4"/>
  </w:num>
  <w:num w:numId="161">
    <w:abstractNumId w:val="4"/>
  </w:num>
  <w:num w:numId="162">
    <w:abstractNumId w:val="4"/>
  </w:num>
  <w:num w:numId="163">
    <w:abstractNumId w:val="4"/>
  </w:num>
  <w:num w:numId="164">
    <w:abstractNumId w:val="4"/>
  </w:num>
  <w:num w:numId="165">
    <w:abstractNumId w:val="4"/>
  </w:num>
  <w:num w:numId="166">
    <w:abstractNumId w:val="4"/>
  </w:num>
  <w:num w:numId="167">
    <w:abstractNumId w:val="4"/>
  </w:num>
  <w:num w:numId="168">
    <w:abstractNumId w:val="4"/>
  </w:num>
  <w:num w:numId="169">
    <w:abstractNumId w:val="4"/>
  </w:num>
  <w:num w:numId="170">
    <w:abstractNumId w:val="4"/>
  </w:num>
  <w:num w:numId="171">
    <w:abstractNumId w:val="4"/>
  </w:num>
  <w:num w:numId="172">
    <w:abstractNumId w:val="4"/>
  </w:num>
  <w:num w:numId="173">
    <w:abstractNumId w:val="4"/>
  </w:num>
  <w:num w:numId="174">
    <w:abstractNumId w:val="4"/>
  </w:num>
  <w:num w:numId="175">
    <w:abstractNumId w:val="4"/>
  </w:num>
  <w:num w:numId="176">
    <w:abstractNumId w:val="4"/>
  </w:num>
  <w:num w:numId="177">
    <w:abstractNumId w:val="4"/>
  </w:num>
  <w:num w:numId="178">
    <w:abstractNumId w:val="4"/>
  </w:num>
  <w:num w:numId="179">
    <w:abstractNumId w:val="4"/>
  </w:num>
  <w:num w:numId="180">
    <w:abstractNumId w:val="4"/>
  </w:num>
  <w:num w:numId="181">
    <w:abstractNumId w:val="4"/>
  </w:num>
  <w:num w:numId="182">
    <w:abstractNumId w:val="4"/>
  </w:num>
  <w:num w:numId="183">
    <w:abstractNumId w:val="4"/>
  </w:num>
  <w:num w:numId="184">
    <w:abstractNumId w:val="4"/>
  </w:num>
  <w:num w:numId="185">
    <w:abstractNumId w:val="4"/>
  </w:num>
  <w:num w:numId="186">
    <w:abstractNumId w:val="4"/>
  </w:num>
  <w:num w:numId="187">
    <w:abstractNumId w:val="4"/>
  </w:num>
  <w:num w:numId="188">
    <w:abstractNumId w:val="4"/>
  </w:num>
  <w:num w:numId="189">
    <w:abstractNumId w:val="4"/>
  </w:num>
  <w:num w:numId="190">
    <w:abstractNumId w:val="4"/>
  </w:num>
  <w:num w:numId="191">
    <w:abstractNumId w:val="4"/>
  </w:num>
  <w:num w:numId="192">
    <w:abstractNumId w:val="4"/>
  </w:num>
  <w:num w:numId="193">
    <w:abstractNumId w:val="4"/>
  </w:num>
  <w:num w:numId="194">
    <w:abstractNumId w:val="4"/>
  </w:num>
  <w:num w:numId="195">
    <w:abstractNumId w:val="4"/>
  </w:num>
  <w:num w:numId="196">
    <w:abstractNumId w:val="4"/>
  </w:num>
  <w:num w:numId="197">
    <w:abstractNumId w:val="4"/>
  </w:num>
  <w:num w:numId="198">
    <w:abstractNumId w:val="4"/>
  </w:num>
  <w:num w:numId="199">
    <w:abstractNumId w:val="4"/>
  </w:num>
  <w:num w:numId="200">
    <w:abstractNumId w:val="4"/>
  </w:num>
  <w:num w:numId="201">
    <w:abstractNumId w:val="4"/>
  </w:num>
  <w:num w:numId="202">
    <w:abstractNumId w:val="4"/>
  </w:num>
  <w:num w:numId="203">
    <w:abstractNumId w:val="4"/>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4"/>
  </w:num>
  <w:num w:numId="225">
    <w:abstractNumId w:val="4"/>
  </w:num>
  <w:num w:numId="226">
    <w:abstractNumId w:val="4"/>
  </w:num>
  <w:num w:numId="227">
    <w:abstractNumId w:val="4"/>
  </w:num>
  <w:num w:numId="228">
    <w:abstractNumId w:val="4"/>
  </w:num>
  <w:num w:numId="229">
    <w:abstractNumId w:val="4"/>
  </w:num>
  <w:num w:numId="230">
    <w:abstractNumId w:val="4"/>
  </w:num>
  <w:num w:numId="231">
    <w:abstractNumId w:val="4"/>
  </w:num>
  <w:num w:numId="232">
    <w:abstractNumId w:val="4"/>
  </w:num>
  <w:num w:numId="233">
    <w:abstractNumId w:val="4"/>
  </w:num>
  <w:num w:numId="234">
    <w:abstractNumId w:val="4"/>
  </w:num>
  <w:num w:numId="235">
    <w:abstractNumId w:val="4"/>
  </w:num>
  <w:num w:numId="236">
    <w:abstractNumId w:val="4"/>
  </w:num>
  <w:num w:numId="237">
    <w:abstractNumId w:val="4"/>
  </w:num>
  <w:num w:numId="238">
    <w:abstractNumId w:val="4"/>
  </w:num>
  <w:num w:numId="239">
    <w:abstractNumId w:val="4"/>
  </w:num>
  <w:num w:numId="240">
    <w:abstractNumId w:val="4"/>
  </w:num>
  <w:num w:numId="241">
    <w:abstractNumId w:val="4"/>
  </w:num>
  <w:num w:numId="242">
    <w:abstractNumId w:val="4"/>
  </w:num>
  <w:num w:numId="243">
    <w:abstractNumId w:val="4"/>
  </w:num>
  <w:num w:numId="244">
    <w:abstractNumId w:val="4"/>
  </w:num>
  <w:num w:numId="245">
    <w:abstractNumId w:val="4"/>
  </w:num>
  <w:num w:numId="246">
    <w:abstractNumId w:val="4"/>
  </w:num>
  <w:num w:numId="247">
    <w:abstractNumId w:val="4"/>
  </w:num>
  <w:num w:numId="248">
    <w:abstractNumId w:val="4"/>
  </w:num>
  <w:num w:numId="249">
    <w:abstractNumId w:val="4"/>
  </w:num>
  <w:num w:numId="250">
    <w:abstractNumId w:val="4"/>
  </w:num>
  <w:num w:numId="251">
    <w:abstractNumId w:val="4"/>
  </w:num>
  <w:num w:numId="252">
    <w:abstractNumId w:val="4"/>
  </w:num>
  <w:num w:numId="253">
    <w:abstractNumId w:val="4"/>
  </w:num>
  <w:num w:numId="254">
    <w:abstractNumId w:val="4"/>
  </w:num>
  <w:num w:numId="255">
    <w:abstractNumId w:val="4"/>
  </w:num>
  <w:num w:numId="256">
    <w:abstractNumId w:val="4"/>
  </w:num>
  <w:num w:numId="257">
    <w:abstractNumId w:val="4"/>
  </w:num>
  <w:num w:numId="258">
    <w:abstractNumId w:val="4"/>
  </w:num>
  <w:num w:numId="259">
    <w:abstractNumId w:val="4"/>
  </w:num>
  <w:num w:numId="260">
    <w:abstractNumId w:val="4"/>
  </w:num>
  <w:num w:numId="261">
    <w:abstractNumId w:val="4"/>
  </w:num>
  <w:num w:numId="262">
    <w:abstractNumId w:val="4"/>
  </w:num>
  <w:num w:numId="263">
    <w:abstractNumId w:val="4"/>
  </w:num>
  <w:num w:numId="264">
    <w:abstractNumId w:val="4"/>
  </w:num>
  <w:num w:numId="265">
    <w:abstractNumId w:val="4"/>
  </w:num>
  <w:num w:numId="266">
    <w:abstractNumId w:val="4"/>
  </w:num>
  <w:num w:numId="267">
    <w:abstractNumId w:val="4"/>
  </w:num>
  <w:num w:numId="268">
    <w:abstractNumId w:val="4"/>
  </w:num>
  <w:num w:numId="269">
    <w:abstractNumId w:val="4"/>
  </w:num>
  <w:num w:numId="270">
    <w:abstractNumId w:val="4"/>
  </w:num>
  <w:num w:numId="271">
    <w:abstractNumId w:val="4"/>
  </w:num>
  <w:num w:numId="272">
    <w:abstractNumId w:val="4"/>
  </w:num>
  <w:num w:numId="273">
    <w:abstractNumId w:val="4"/>
  </w:num>
  <w:num w:numId="274">
    <w:abstractNumId w:val="4"/>
  </w:num>
  <w:num w:numId="275">
    <w:abstractNumId w:val="4"/>
  </w:num>
  <w:num w:numId="276">
    <w:abstractNumId w:val="4"/>
  </w:num>
  <w:num w:numId="277">
    <w:abstractNumId w:val="4"/>
  </w:num>
  <w:num w:numId="278">
    <w:abstractNumId w:val="4"/>
  </w:num>
  <w:num w:numId="279">
    <w:abstractNumId w:val="4"/>
  </w:num>
  <w:num w:numId="280">
    <w:abstractNumId w:val="4"/>
  </w:num>
  <w:num w:numId="281">
    <w:abstractNumId w:val="4"/>
  </w:num>
  <w:num w:numId="282">
    <w:abstractNumId w:val="4"/>
  </w:num>
  <w:num w:numId="283">
    <w:abstractNumId w:val="4"/>
  </w:num>
  <w:num w:numId="284">
    <w:abstractNumId w:val="4"/>
  </w:num>
  <w:num w:numId="285">
    <w:abstractNumId w:val="4"/>
  </w:num>
  <w:num w:numId="286">
    <w:abstractNumId w:val="4"/>
  </w:num>
  <w:num w:numId="287">
    <w:abstractNumId w:val="4"/>
  </w:num>
  <w:num w:numId="288">
    <w:abstractNumId w:val="4"/>
  </w:num>
  <w:num w:numId="289">
    <w:abstractNumId w:val="4"/>
  </w:num>
  <w:num w:numId="290">
    <w:abstractNumId w:val="4"/>
  </w:num>
</w:numbering>
</file>

<file path=word/settings.xml><?xml version="1.0" encoding="utf-8"?>
<w:settings xmlns:w="http://schemas.openxmlformats.org/wordprocessingml/2006/main">
  <w:zoom w:percent="100"/>
  <w:mirrorMargins/>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2" w:uiPriority="9"/>
    <w:lsdException w:name="heading 3" w:uiPriority="9" w:semiHidden="1" w:unhideWhenUsed="1" w:qFormat="1"/>
    <w:lsdException w:name="heading 4" w:uiPriority="9"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semiHidden="1" w:unhideWhenUsed="1"/>
    <w:lsdException w:name="Smart Link" w:uiPriority="99" w:semiHidden="1" w:unhideWhenUsed="1"/>
  </w:latentStyles>
  <w:style w:type="paragraph" w:styleId="Normal" w:default="1">
    <w:name w:val="Normal"/>
    <w:qFormat/>
    <w:rsid w:val="00751b9c"/>
    <w:pPr>
      <w:widowControl/>
      <w:suppressAutoHyphens w:val="true"/>
      <w:bidi w:val="0"/>
      <w:spacing w:before="0" w:after="0"/>
      <w:jc w:val="lef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51b9c"/>
    <w:pPr>
      <w:keepNext w:val="true"/>
      <w:keepLines/>
      <w:numPr>
        <w:ilvl w:val="0"/>
        <w:numId w:val="8"/>
      </w:numPr>
      <w:spacing w:before="480" w:after="0"/>
      <w:outlineLvl w:val="0"/>
    </w:pPr>
    <w:rPr>
      <w:rFonts w:ascii="Arial" w:hAnsi="Arial" w:eastAsia="" w:cs="" w:cstheme="majorBidi" w:eastAsiaTheme="majorEastAsia"/>
      <w:b/>
      <w:bCs/>
      <w:sz w:val="20"/>
      <w:szCs w:val="28"/>
    </w:rPr>
  </w:style>
  <w:style w:type="paragraph" w:styleId="Heading2">
    <w:name w:val="heading 2"/>
    <w:basedOn w:val="Normal"/>
    <w:next w:val="Normal"/>
    <w:link w:val="Ttulo2Char"/>
    <w:uiPriority w:val="9"/>
    <w:qFormat/>
    <w:rsid w:val="00751b9c"/>
    <w:pPr>
      <w:keepNext w:val="true"/>
      <w:numPr>
        <w:ilvl w:val="1"/>
        <w:numId w:val="9"/>
      </w:numPr>
      <w:spacing w:lineRule="auto" w:line="276" w:before="120" w:after="120"/>
      <w:ind w:hanging="0" w:left="0"/>
      <w:jc w:val="both"/>
      <w:outlineLvl w:val="1"/>
    </w:pPr>
    <w:rPr>
      <w:rFonts w:ascii="Arial" w:hAnsi="Arial" w:cs="Times New Roman"/>
      <w:sz w:val="20"/>
      <w:szCs w:val="20"/>
    </w:rPr>
  </w:style>
  <w:style w:type="paragraph" w:styleId="Heading3">
    <w:name w:val="heading 3"/>
    <w:basedOn w:val="Normal"/>
    <w:next w:val="Normal"/>
    <w:link w:val="Ttulo3Char"/>
    <w:uiPriority w:val="9"/>
    <w:semiHidden/>
    <w:unhideWhenUsed/>
    <w:qFormat/>
    <w:rsid w:val="00751b9c"/>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uiPriority w:val="9"/>
    <w:unhideWhenUsed/>
    <w:qFormat/>
    <w:rsid w:val="00751b9c"/>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751b9c"/>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qFormat/>
    <w:rsid w:val="003a73c1"/>
    <w:rPr>
      <w:rFonts w:ascii="Tahoma" w:hAnsi="Tahoma" w:cs="Tahoma"/>
      <w:sz w:val="16"/>
      <w:szCs w:val="16"/>
    </w:rPr>
  </w:style>
  <w:style w:type="character" w:styleId="Ttulo2Char" w:customStyle="1">
    <w:name w:val="Título 2 Char"/>
    <w:uiPriority w:val="9"/>
    <w:qFormat/>
    <w:rsid w:val="00e14b42"/>
    <w:rPr>
      <w:rFonts w:ascii="Arial" w:hAnsi="Arial"/>
      <w:lang w:eastAsia="pt-BR"/>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nhideWhenUsed/>
    <w:qFormat/>
    <w:rsid w:val="00751b9c"/>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qFormat/>
    <w:rsid w:val="00ca24fb"/>
    <w:rPr>
      <w:rFonts w:ascii="Ecofont_Spranq_eco_Sans" w:hAnsi="Ecofont_Spranq_eco_Sans" w:cs="Tahoma"/>
      <w:sz w:val="24"/>
      <w:szCs w:val="24"/>
    </w:rPr>
  </w:style>
  <w:style w:type="character" w:styleId="RodapChar" w:customStyle="1">
    <w:name w:val="Rodapé Char"/>
    <w:qFormat/>
    <w:rsid w:val="00ca24fb"/>
    <w:rPr>
      <w:rFonts w:ascii="Ecofont_Spranq_eco_Sans" w:hAnsi="Ecofont_Spranq_eco_Sans" w:cs="Tahoma"/>
      <w:sz w:val="24"/>
      <w:szCs w:val="24"/>
    </w:rPr>
  </w:style>
  <w:style w:type="character" w:styleId="CommentReference">
    <w:name w:val="annotation reference"/>
    <w:basedOn w:val="DefaultParagraphFont"/>
    <w:unhideWhenUsed/>
    <w:qFormat/>
    <w:rsid w:val="00751b9c"/>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qFormat/>
    <w:rsid w:val="00430fdb"/>
    <w:rPr>
      <w:rFonts w:ascii="Ecofont_Spranq_eco_Sans" w:hAnsi="Ecofont_Spranq_eco_Sans" w:cs="Tahoma"/>
      <w:b/>
      <w:bCs/>
      <w:lang w:eastAsia="pt-BR"/>
    </w:rPr>
  </w:style>
  <w:style w:type="character" w:styleId="Ttulo4Char" w:customStyle="1">
    <w:name w:val="Título 4 Char"/>
    <w:basedOn w:val="DefaultParagraphFont"/>
    <w:uiPriority w:val="9"/>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uiPriority w:val="10"/>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b404ea"/>
    <w:rPr>
      <w:rFonts w:ascii="Arial" w:hAnsi="Arial" w:eastAsia="Arial" w:cs="Arial"/>
      <w:b/>
      <w:i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501cb5"/>
    <w:rPr>
      <w:rFonts w:ascii="Arial" w:hAnsi="Arial" w:eastAsia="" w:cs="" w:cstheme="majorBidi" w:eastAsiaTheme="majorEastAsia"/>
      <w:b/>
      <w:bCs/>
      <w:szCs w:val="28"/>
      <w:lang w:eastAsia="pt-BR"/>
    </w:rPr>
  </w:style>
  <w:style w:type="character" w:styleId="Nivel01TituloChar" w:customStyle="1">
    <w:name w:val="Nivel_01_Titulo Char"/>
    <w:basedOn w:val="Nivel01Char"/>
    <w:link w:val="Nivel01Titulo"/>
    <w:qFormat/>
    <w:rsid w:val="00e967ea"/>
    <w:rPr>
      <w:rFonts w:ascii="Arial" w:hAnsi="Arial" w:eastAsia="Arial" w:cs="" w:cstheme="majorBidi"/>
      <w:b/>
      <w:iCs/>
      <w:color w:themeColor="text2" w:themeShade="bf" w:val="17365D"/>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Cs w:val="28"/>
      <w:lang w:eastAsia="pt-BR"/>
    </w:rPr>
  </w:style>
  <w:style w:type="character" w:styleId="Nivel4Char" w:customStyle="1">
    <w:name w:val="Nivel 4 Char"/>
    <w:basedOn w:val="DefaultParagraphFont"/>
    <w:link w:val="Nivel4"/>
    <w:qFormat/>
    <w:rsid w:val="00711273"/>
    <w:rPr>
      <w:rFonts w:ascii="Arial" w:hAnsi="Arial" w:cs="Arial"/>
      <w:bCs/>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nhideWhenUsed/>
    <w:rsid w:val="00751b9c"/>
    <w:rPr>
      <w:color w:themeColor="followedHyperlink" w:val="800080"/>
      <w:u w:val="single"/>
    </w:rPr>
  </w:style>
  <w:style w:type="character" w:styleId="MenoPendente1" w:customStyle="1">
    <w:name w:val="Menção Pendente1"/>
    <w:basedOn w:val="DefaultParagraphFont"/>
    <w:unhideWhenUsed/>
    <w:qFormat/>
    <w:rsid w:val="00751b9c"/>
    <w:rPr>
      <w:color w:val="605E5C"/>
      <w:shd w:fill="E1DFDD" w:val="clear"/>
    </w:rPr>
  </w:style>
  <w:style w:type="character" w:styleId="MenoPendente2" w:customStyle="1">
    <w:name w:val="Menção Pendente2"/>
    <w:basedOn w:val="DefaultParagraphFont"/>
    <w:unhideWhenUsed/>
    <w:qFormat/>
    <w:rsid w:val="00751b9c"/>
    <w:rPr>
      <w:color w:val="605E5C"/>
      <w:shd w:fill="E1DFDD" w:val="clear"/>
    </w:rPr>
  </w:style>
  <w:style w:type="character" w:styleId="Nivel2-OpcionalChar" w:customStyle="1">
    <w:name w:val="Nivel 2-Opcional Char"/>
    <w:basedOn w:val="DefaultParagraphFont"/>
    <w:link w:val="Nivel2-Opcional"/>
    <w:qFormat/>
    <w:locked/>
    <w:rsid w:val="00ee5824"/>
    <w:rPr>
      <w:rFonts w:ascii="Arial" w:hAnsi="Arial" w:eastAsia="Arial" w:cs="Arial"/>
      <w:i/>
      <w:color w:val="FF0000"/>
      <w:shd w:fill="76923C" w:val="clear"/>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color w:val="FF0000"/>
      <w:shd w:fill="76923C" w:val="clear"/>
      <w:lang w:eastAsia="pt-BR"/>
    </w:rPr>
  </w:style>
  <w:style w:type="character" w:styleId="Nvel3OpcionalChar" w:customStyle="1">
    <w:name w:val="Nível 3 Opcional Char"/>
    <w:basedOn w:val="DefaultParagraphFont"/>
    <w:link w:val="Nvel3Opcional"/>
    <w:qFormat/>
    <w:rsid w:val="00a831d9"/>
    <w:rPr>
      <w:rFonts w:ascii="Arial" w:hAnsi="Arial" w:eastAsia="Times New Roman" w:cs="Tahoma"/>
      <w:i/>
      <w:iCs/>
      <w:color w:val="FF0000"/>
      <w:szCs w:val="24"/>
      <w:lang w:eastAsia="pt-BR"/>
    </w:rPr>
  </w:style>
  <w:style w:type="character" w:styleId="PlaceholderText">
    <w:name w:val="Placeholder Text"/>
    <w:basedOn w:val="DefaultParagraphFont"/>
    <w:qFormat/>
    <w:rsid w:val="0029332d"/>
    <w:rPr>
      <w:color w:val="808080"/>
    </w:rPr>
  </w:style>
  <w:style w:type="character" w:styleId="PargrafodaListaChar" w:customStyle="1">
    <w:name w:val="Parágrafo da Lista Char"/>
    <w:basedOn w:val="DefaultParagraphFont"/>
    <w:link w:val="ListParagraph"/>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nhideWhenUsed/>
    <w:qFormat/>
    <w:rsid w:val="00751b9c"/>
    <w:rPr>
      <w:color w:val="605E5C"/>
      <w:shd w:fill="E1DFDD" w:val="clear"/>
    </w:rPr>
  </w:style>
  <w:style w:type="character" w:styleId="MenoPendente4" w:customStyle="1">
    <w:name w:val="Menção Pendente4"/>
    <w:basedOn w:val="DefaultParagraphFont"/>
    <w:unhideWhenUsed/>
    <w:qFormat/>
    <w:rsid w:val="00751b9c"/>
    <w:rPr>
      <w:color w:val="605E5C"/>
      <w:shd w:fill="E1DFDD" w:val="clear"/>
    </w:rPr>
  </w:style>
  <w:style w:type="character" w:styleId="ouChar" w:customStyle="1">
    <w:name w:val="ou Char"/>
    <w:basedOn w:val="PargrafodaListaChar"/>
    <w:link w:val="ou"/>
    <w:qFormat/>
    <w:rsid w:val="00057363"/>
    <w:rPr>
      <w:rFonts w:ascii="Arial" w:hAnsi="Arial" w:eastAsia="Cambria" w:cs="Arial" w:eastAsiaTheme="minorHAnsi"/>
      <w:b/>
      <w:bCs/>
      <w:i/>
      <w:iCs/>
      <w:color w:val="FF0000"/>
      <w:sz w:val="24"/>
      <w:szCs w:val="24"/>
      <w:lang w:eastAsia="pt-BR"/>
    </w:rPr>
  </w:style>
  <w:style w:type="character" w:styleId="Nvel02Char" w:customStyle="1">
    <w:name w:val="Nível 02 Char"/>
    <w:basedOn w:val="Nivel2-OpcionalChar"/>
    <w:link w:val="Nvel02"/>
    <w:qFormat/>
    <w:rsid w:val="00ea1440"/>
    <w:rPr>
      <w:rFonts w:ascii="Arial" w:hAnsi="Arial" w:eastAsia="Arial" w:cs="Arial"/>
      <w:i w:val="false"/>
      <w:iCs/>
      <w:color w:val="FF0000"/>
      <w:shd w:fill="76923C" w:val="clear"/>
      <w:lang w:eastAsia="pt-BR"/>
    </w:rPr>
  </w:style>
  <w:style w:type="character" w:styleId="Nivel3-erroChar" w:customStyle="1">
    <w:name w:val="Nivel 3-erro Char"/>
    <w:basedOn w:val="DefaultParagraphFont"/>
    <w:link w:val="Nivel3-erro"/>
    <w:qFormat/>
    <w:rsid w:val="00667c40"/>
    <w:rPr>
      <w:rFonts w:ascii="Arial" w:hAnsi="Arial" w:cs="Tahoma"/>
      <w:szCs w:val="24"/>
      <w:lang w:eastAsia="pt-BR"/>
    </w:rPr>
  </w:style>
  <w:style w:type="character" w:styleId="Nvel3-RChar" w:customStyle="1">
    <w:name w:val="Nível 3-R Char"/>
    <w:basedOn w:val="Nivel3-erroChar"/>
    <w:link w:val="Nvel3-R"/>
    <w:qFormat/>
    <w:rsid w:val="005d7d6d"/>
    <w:rPr>
      <w:rFonts w:ascii="Arial" w:hAnsi="Arial" w:cs="Arial"/>
      <w:i/>
      <w:iCs/>
      <w:color w:val="FF0000"/>
      <w:szCs w:val="24"/>
      <w:lang w:eastAsia="pt-BR"/>
    </w:rPr>
  </w:style>
  <w:style w:type="character" w:styleId="Nvel4-RChar" w:customStyle="1">
    <w:name w:val="Nível 4-R Char"/>
    <w:basedOn w:val="Nivel4Char"/>
    <w:link w:val="Nvel4-R"/>
    <w:qFormat/>
    <w:rsid w:val="00d16569"/>
    <w:rPr>
      <w:rFonts w:ascii="Arial" w:hAnsi="Arial" w:cs="Arial"/>
      <w:bCs/>
      <w:i/>
      <w:color w:val="FF0000"/>
      <w:lang w:eastAsia="pt-BR"/>
    </w:rPr>
  </w:style>
  <w:style w:type="character" w:styleId="Nvel1-SemNumChar" w:customStyle="1">
    <w:name w:val="Nível 1-Sem Num Char"/>
    <w:basedOn w:val="Nivel01Char"/>
    <w:link w:val="Nvel1-SemNum"/>
    <w:qFormat/>
    <w:rsid w:val="00ca3a45"/>
    <w:rPr>
      <w:rFonts w:ascii="Arial" w:hAnsi="Arial" w:eastAsia="Arial" w:cs="Arial"/>
      <w:b/>
      <w:i/>
      <w:iCs w:val="false"/>
      <w:color w:themeColor="text2" w:themeShade="bf"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8d252d"/>
    <w:rPr>
      <w:color w:val="605E5C"/>
      <w:shd w:fill="E1DFDD" w:val="clear"/>
    </w:rPr>
  </w:style>
  <w:style w:type="character" w:styleId="citao2Char" w:customStyle="1">
    <w:name w:val="citação 2 Char"/>
    <w:basedOn w:val="CitaoChar"/>
    <w:link w:val="citao2"/>
    <w:qFormat/>
    <w:rsid w:val="00573b28"/>
    <w:rPr>
      <w:rFonts w:ascii="Arial" w:hAnsi="Arial" w:eastAsia="Calibri" w:cs="Tahoma"/>
      <w:i/>
      <w:iCs/>
      <w:color w:val="000000"/>
      <w:szCs w:val="24"/>
      <w:shd w:fill="FFFFCC" w:val="clear"/>
    </w:rPr>
  </w:style>
  <w:style w:type="character" w:styleId="Nvel1-SemNumeraoChar" w:customStyle="1">
    <w:name w:val="Nível 1-Sem Numeração Char"/>
    <w:basedOn w:val="Nvel1-SemNumChar"/>
    <w:link w:val="Nvel1-SemNumerao"/>
    <w:qFormat/>
    <w:rsid w:val="005d7d6d"/>
    <w:rPr>
      <w:rFonts w:ascii="Arial" w:hAnsi="Arial" w:eastAsia="Arial" w:cs="Arial"/>
      <w:b/>
      <w:i w:val="false"/>
      <w:iCs w:val="false"/>
      <w:color w:themeColor="text2" w:themeShade="bf" w:val="FF0000"/>
      <w:spacing w:val="5"/>
      <w:kern w:val="2"/>
      <w:sz w:val="52"/>
      <w:szCs w:val="52"/>
      <w:lang w:eastAsia="pt-BR"/>
    </w:rPr>
  </w:style>
  <w:style w:type="character" w:styleId="MenoPendente6" w:customStyle="1">
    <w:name w:val="Menção Pendente6"/>
    <w:basedOn w:val="DefaultParagraphFont"/>
    <w:uiPriority w:val="99"/>
    <w:semiHidden/>
    <w:unhideWhenUsed/>
    <w:qFormat/>
    <w:rsid w:val="004b478e"/>
    <w:rPr>
      <w:color w:val="605E5C"/>
      <w:shd w:fill="E1DFDD" w:val="clear"/>
    </w:rPr>
  </w:style>
  <w:style w:type="character" w:styleId="AlteraesChar" w:customStyle="1">
    <w:name w:val="Alterações Char"/>
    <w:basedOn w:val="Nvel02Char"/>
    <w:link w:val="Alteraes"/>
    <w:uiPriority w:val="1"/>
    <w:qFormat/>
    <w:rsid w:val="00af5de1"/>
    <w:rPr>
      <w:rFonts w:ascii="Arial" w:hAnsi="Arial" w:eastAsia="Arial" w:cs="Arial"/>
      <w:i w:val="false"/>
      <w:iCs/>
      <w:color w:val="0000FF"/>
      <w:shd w:fill="76923C" w:val="clear"/>
      <w:lang w:eastAsia="pt-BR"/>
    </w:rPr>
  </w:style>
  <w:style w:type="character" w:styleId="Nivel3Char" w:customStyle="1">
    <w:name w:val="Nivel 3 Char"/>
    <w:basedOn w:val="DefaultParagraphFont"/>
    <w:link w:val="Nivel3"/>
    <w:qFormat/>
    <w:rsid w:val="00591ffe"/>
    <w:rPr>
      <w:rFonts w:ascii="Arial" w:hAnsi="Arial" w:cs="Tahoma"/>
      <w:szCs w:val="24"/>
      <w:lang w:eastAsia="pt-BR"/>
    </w:rPr>
  </w:style>
  <w:style w:type="character" w:styleId="UnresolvedMention">
    <w:name w:val="Unresolved Mention"/>
    <w:basedOn w:val="DefaultParagraphFont"/>
    <w:unhideWhenUsed/>
    <w:qFormat/>
    <w:rsid w:val="00751b9c"/>
    <w:rPr>
      <w:color w:val="605E5C"/>
      <w:shd w:fill="E1DFDD" w:val="clear"/>
    </w:rPr>
  </w:style>
  <w:style w:type="character" w:styleId="Nvel2-OpcionalChar" w:customStyle="1">
    <w:name w:val="Nível 2-Opcional Char"/>
    <w:basedOn w:val="Nvel02Char"/>
    <w:link w:val="Nvel2-Opcional"/>
    <w:qFormat/>
    <w:rsid w:val="00a70641"/>
    <w:rPr>
      <w:rFonts w:ascii="Arial" w:hAnsi="Arial" w:eastAsia="Arial" w:cs="Arial"/>
      <w:i/>
      <w:iCs/>
      <w:color w:val="FF0000"/>
      <w:shd w:fill="76923C" w:val="clear"/>
      <w:lang w:eastAsia="pt-BR"/>
    </w:rPr>
  </w:style>
  <w:style w:type="character" w:styleId="Nvel3-OpcionalChar" w:customStyle="1">
    <w:name w:val="Nível 3-Opcional Char"/>
    <w:basedOn w:val="Nivel3Char"/>
    <w:link w:val="Nvel3-Opcional"/>
    <w:qFormat/>
    <w:rsid w:val="00a70641"/>
    <w:rPr>
      <w:rFonts w:ascii="Arial" w:hAnsi="Arial" w:cs="Tahoma"/>
      <w:i/>
      <w:color w:val="FF0000"/>
      <w:szCs w:val="24"/>
      <w:lang w:eastAsia="pt-BR"/>
    </w:rPr>
  </w:style>
  <w:style w:type="character" w:styleId="Nvel1-SemBlackChar" w:customStyle="1">
    <w:name w:val="Nível 1-Sem Black Char"/>
    <w:basedOn w:val="DefaultParagraphFont"/>
    <w:link w:val="Nvel1-SemBlack"/>
    <w:uiPriority w:val="1"/>
    <w:qFormat/>
    <w:rsid w:val="00243342"/>
    <w:rPr>
      <w:rFonts w:ascii="Arial" w:hAnsi="Arial" w:eastAsia="" w:cs="Arial" w:eastAsiaTheme="majorEastAsia"/>
      <w:b/>
      <w:bCs/>
      <w:lang w:eastAsia="pt-BR"/>
    </w:rPr>
  </w:style>
  <w:style w:type="character" w:styleId="Nivel2Char" w:customStyle="1">
    <w:name w:val="Nivel 2 Char"/>
    <w:basedOn w:val="DefaultParagraphFont"/>
    <w:link w:val="Nivel2"/>
    <w:qFormat/>
    <w:locked/>
    <w:rsid w:val="00196a7f"/>
    <w:rPr>
      <w:rFonts w:ascii="Arial" w:hAnsi="Arial" w:eastAsia="Arial" w:cs="Arial"/>
      <w:lang w:eastAsia="pt-BR"/>
    </w:rPr>
  </w:style>
  <w:style w:type="character" w:styleId="Nvel2-RedChar" w:customStyle="1">
    <w:name w:val="Nível 2 -Red Char"/>
    <w:basedOn w:val="Nivel2Char"/>
    <w:link w:val="Nvel2-Red"/>
    <w:qFormat/>
    <w:rsid w:val="00196a7f"/>
    <w:rPr>
      <w:rFonts w:ascii="Arial" w:hAnsi="Arial" w:eastAsia="Arial" w:cs="Arial"/>
      <w:i/>
      <w:iCs/>
      <w:color w:val="FF0000"/>
      <w:lang w:eastAsia="pt-BR"/>
    </w:rPr>
  </w:style>
  <w:style w:type="character" w:styleId="Mentionnonrsolue1" w:customStyle="1">
    <w:name w:val="Mention non résolue1"/>
    <w:basedOn w:val="DefaultParagraphFont"/>
    <w:uiPriority w:val="99"/>
    <w:semiHidden/>
    <w:unhideWhenUsed/>
    <w:qFormat/>
    <w:rsid w:val="00196a7f"/>
    <w:rPr>
      <w:color w:val="605E5C"/>
      <w:shd w:fill="E1DFDD" w:val="clear"/>
    </w:rPr>
  </w:style>
  <w:style w:type="character" w:styleId="findhit" w:customStyle="1">
    <w:name w:val="findhit"/>
    <w:basedOn w:val="DefaultParagraphFont"/>
    <w:qFormat/>
    <w:rsid w:val="00196a7f"/>
    <w:rPr/>
  </w:style>
  <w:style w:type="character" w:styleId="Meno1" w:customStyle="1">
    <w:name w:val="Menção1"/>
    <w:basedOn w:val="DefaultParagraphFont"/>
    <w:uiPriority w:val="99"/>
    <w:unhideWhenUsed/>
    <w:qFormat/>
    <w:rsid w:val="00196a7f"/>
    <w:rPr>
      <w:color w:val="2B579A"/>
      <w:shd w:fill="E6E6E6" w:val="clear"/>
    </w:rPr>
  </w:style>
  <w:style w:type="character" w:styleId="Nvel1-SemNumPretoChar" w:customStyle="1">
    <w:name w:val="Nível 1-Sem Num Preto Char"/>
    <w:basedOn w:val="Nvel1-SemNumChar"/>
    <w:link w:val="Nvel1-SemNumPreto"/>
    <w:qFormat/>
    <w:rsid w:val="00196a7f"/>
    <w:rPr>
      <w:rFonts w:ascii="Arial" w:hAnsi="Arial" w:eastAsia="" w:cs="Arial" w:eastAsiaTheme="majorEastAsia"/>
      <w:b/>
      <w:bCs/>
      <w:i w:val="false"/>
      <w:iCs/>
      <w:color w:themeColor="text2" w:themeShade="bf" w:val="FF0000"/>
      <w:spacing w:val="5"/>
      <w:kern w:val="2"/>
      <w:sz w:val="52"/>
      <w:szCs w:val="52"/>
      <w:lang w:eastAsia="zh-CN" w:bidi="hi-IN"/>
    </w:rPr>
  </w:style>
  <w:style w:type="character" w:styleId="cf01" w:customStyle="1">
    <w:name w:val="cf01"/>
    <w:basedOn w:val="DefaultParagraphFont"/>
    <w:qFormat/>
    <w:rsid w:val="00196a7f"/>
    <w:rPr>
      <w:rFonts w:ascii="Segoe UI" w:hAnsi="Segoe UI" w:cs="Segoe UI"/>
      <w:b/>
      <w:bCs/>
      <w:i/>
      <w:iCs/>
      <w:sz w:val="18"/>
      <w:szCs w:val="18"/>
    </w:rPr>
  </w:style>
  <w:style w:type="character" w:styleId="TextodecomentrioChar1" w:customStyle="1">
    <w:name w:val="Texto de comentário Char1"/>
    <w:basedOn w:val="DefaultParagraphFont"/>
    <w:uiPriority w:val="99"/>
    <w:qFormat/>
    <w:rsid w:val="00196a7f"/>
    <w:rPr>
      <w:rFonts w:ascii="Ecofont_Spranq_eco_Sans" w:hAnsi="Ecofont_Spranq_eco_Sans" w:cs="Tahoma"/>
      <w:lang w:eastAsia="pt-BR"/>
    </w:rPr>
  </w:style>
  <w:style w:type="character" w:styleId="Nvel4-RedChar" w:customStyle="1">
    <w:name w:val="Nível 4-Red Char"/>
    <w:basedOn w:val="DefaultParagraphFont"/>
    <w:link w:val="Nvel4-Red"/>
    <w:qFormat/>
    <w:rsid w:val="00196a7f"/>
    <w:rPr>
      <w:rFonts w:ascii="Arial" w:hAnsi="Arial" w:eastAsia="MS Mincho" w:cs="Arial"/>
      <w:iCs/>
      <w:color w:val="FF0000"/>
    </w:rPr>
  </w:style>
  <w:style w:type="character" w:styleId="Nivel4Char1" w:customStyle="1">
    <w:name w:val="Nivel 4 Char1"/>
    <w:basedOn w:val="DefaultParagraphFont"/>
    <w:qFormat/>
    <w:rsid w:val="00196a7f"/>
    <w:rPr>
      <w:rFonts w:ascii="Arial" w:hAnsi="Arial" w:cs="Arial"/>
      <w:color w:val="000000"/>
      <w:lang w:eastAsia="pt-BR"/>
    </w:rPr>
  </w:style>
  <w:style w:type="character" w:styleId="Estilo7Char" w:customStyle="1">
    <w:name w:val="Estilo7 Char"/>
    <w:basedOn w:val="Nivel2Char"/>
    <w:link w:val="Estilo7"/>
    <w:qFormat/>
    <w:rsid w:val="00196a7f"/>
    <w:rPr>
      <w:rFonts w:ascii="Arial" w:hAnsi="Arial" w:eastAsia="Arial" w:cs="Arial"/>
      <w:i/>
      <w:color w:val="FF0000"/>
      <w:lang w:eastAsia="pt-BR"/>
    </w:rPr>
  </w:style>
  <w:style w:type="character" w:styleId="Estilo8Char" w:customStyle="1">
    <w:name w:val="Estilo8 Char"/>
    <w:basedOn w:val="Nivel3Char"/>
    <w:link w:val="Estilo8"/>
    <w:qFormat/>
    <w:rsid w:val="00196a7f"/>
    <w:rPr>
      <w:rFonts w:ascii="Arial" w:hAnsi="Arial" w:cs="Arial"/>
      <w:i/>
      <w:color w:val="FF0000"/>
      <w:szCs w:val="24"/>
      <w:lang w:eastAsia="pt-BR"/>
    </w:rPr>
  </w:style>
  <w:style w:type="character" w:styleId="Nivel5Char" w:customStyle="1">
    <w:name w:val="Nivel 5 Char"/>
    <w:basedOn w:val="Nivel4Char"/>
    <w:link w:val="Nivel5"/>
    <w:qFormat/>
    <w:rsid w:val="00196a7f"/>
    <w:rPr>
      <w:rFonts w:ascii="Arial" w:hAnsi="Arial" w:cs="Arial"/>
      <w:bCs/>
      <w:i/>
      <w:color w:val="FF0000"/>
      <w:lang w:eastAsia="pt-BR"/>
    </w:rPr>
  </w:style>
  <w:style w:type="character" w:styleId="Estilo9Char" w:customStyle="1">
    <w:name w:val="Estilo9 Char"/>
    <w:basedOn w:val="Nivel5Char"/>
    <w:link w:val="Estilo9"/>
    <w:qFormat/>
    <w:rsid w:val="00196a7f"/>
    <w:rPr>
      <w:rFonts w:ascii="Arial" w:hAnsi="Arial" w:cs="Arial"/>
      <w:bCs/>
      <w:i w:val="false"/>
      <w:color w:val="FF0000"/>
      <w:szCs w:val="24"/>
      <w:lang w:eastAsia="pt-BR"/>
    </w:rPr>
  </w:style>
  <w:style w:type="character" w:styleId="contentpasted01" w:customStyle="1">
    <w:name w:val="contentpasted01"/>
    <w:basedOn w:val="DefaultParagraphFont"/>
    <w:qFormat/>
    <w:rsid w:val="00751b9c"/>
    <w:rPr/>
  </w:style>
  <w:style w:type="character" w:styleId="ui-provider" w:customStyle="1">
    <w:name w:val="ui-provider"/>
    <w:basedOn w:val="DefaultParagraphFont"/>
    <w:qFormat/>
    <w:rsid w:val="00751b9c"/>
    <w:rPr/>
  </w:style>
  <w:style w:type="character" w:styleId="contextualspellingandgrammarerror" w:customStyle="1">
    <w:name w:val="contextualspellingandgrammarerror"/>
    <w:basedOn w:val="DefaultParagraphFont"/>
    <w:qFormat/>
    <w:rsid w:val="00751b9c"/>
    <w:rPr/>
  </w:style>
  <w:style w:type="character" w:styleId="Nivel3Char1" w:customStyle="1">
    <w:name w:val="Nivel 3 Char1"/>
    <w:basedOn w:val="DefaultParagraphFont"/>
    <w:qFormat/>
    <w:rsid w:val="00751b9c"/>
    <w:rPr>
      <w:rFonts w:ascii="Arial" w:hAnsi="Arial" w:eastAsia="" w:cs="Arial" w:eastAsiaTheme="minorEastAsia"/>
      <w:lang w:eastAsia="pt-BR"/>
    </w:rPr>
  </w:style>
  <w:style w:type="character" w:styleId="Nvel3-RChar1" w:customStyle="1">
    <w:name w:val="Nível 3-R Char1"/>
    <w:basedOn w:val="Nivel3Char1"/>
    <w:qFormat/>
    <w:rsid w:val="00751b9c"/>
    <w:rPr>
      <w:rFonts w:ascii="Arial" w:hAnsi="Arial" w:eastAsia="" w:cs="Arial" w:eastAsiaTheme="minorEastAsia"/>
      <w:i/>
      <w:iCs/>
      <w:color w:val="FF0000"/>
      <w:lang w:eastAsia="pt-BR"/>
    </w:rPr>
  </w:style>
  <w:style w:type="character" w:styleId="OuChar1" w:customStyle="1">
    <w:name w:val="Ou Char1"/>
    <w:basedOn w:val="Nvel3-RChar1"/>
    <w:link w:val="Ou1"/>
    <w:qFormat/>
    <w:rsid w:val="00751b9c"/>
    <w:rPr>
      <w:rFonts w:ascii="Arial" w:hAnsi="Arial" w:eastAsia="" w:cs="Arial" w:eastAsiaTheme="minorEastAsia"/>
      <w:b/>
      <w:bCs/>
      <w:i/>
      <w:iCs/>
      <w:color w:val="FF0000"/>
      <w:u w:val="single"/>
      <w:lang w:eastAsia="pt-BR"/>
    </w:rPr>
  </w:style>
  <w:style w:type="character" w:styleId="PargrafodaListaChar1" w:customStyle="1">
    <w:name w:val="Parágrafo da Lista Char1"/>
    <w:basedOn w:val="DefaultParagraphFont"/>
    <w:qFormat/>
    <w:rsid w:val="00751b9c"/>
    <w:rPr>
      <w:rFonts w:ascii="Ecofont_Spranq_eco_Sans" w:hAnsi="Ecofont_Spranq_eco_Sans" w:cs="Tahoma"/>
      <w:sz w:val="24"/>
      <w:szCs w:val="24"/>
      <w:lang w:eastAsia="pt-BR"/>
    </w:rPr>
  </w:style>
  <w:style w:type="character" w:styleId="Nvel1-SemTitRedChar" w:customStyle="1">
    <w:name w:val="Nível 1-SemTitRed Char"/>
    <w:basedOn w:val="PargrafodaListaChar1"/>
    <w:link w:val="Nvel1-SemTitRed"/>
    <w:qFormat/>
    <w:rsid w:val="00751b9c"/>
    <w:rPr>
      <w:rFonts w:ascii="Arial" w:hAnsi="Arial" w:eastAsia="MS Mincho" w:cs="Cambria" w:cstheme="minorHAnsi"/>
      <w:b/>
      <w:bCs/>
      <w:i/>
      <w:iCs/>
      <w:color w:val="FF0000"/>
      <w:sz w:val="24"/>
      <w:szCs w:val="24"/>
      <w:lang w:eastAsia="pt-BR"/>
    </w:rPr>
  </w:style>
  <w:style w:type="character" w:styleId="Nvel1-SemNumChar1" w:customStyle="1">
    <w:name w:val="Nível 1-SemNum Char"/>
    <w:basedOn w:val="Nvel1-SemTitRedChar"/>
    <w:link w:val="Nvel1-SemNum1"/>
    <w:qFormat/>
    <w:rsid w:val="00751b9c"/>
    <w:rPr>
      <w:rFonts w:ascii="Arial" w:hAnsi="Arial" w:eastAsia="MS Mincho" w:cs="Cambria" w:cstheme="minorHAnsi"/>
      <w:b/>
      <w:bCs/>
      <w:i w:val="false"/>
      <w:iCs/>
      <w:color w:val="FF0000"/>
      <w:sz w:val="24"/>
      <w:szCs w:val="24"/>
      <w:lang w:eastAsia="pt-BR"/>
    </w:rPr>
  </w:style>
  <w:style w:type="character" w:styleId="RodapChar1" w:customStyle="1">
    <w:name w:val="Rodapé Char1"/>
    <w:basedOn w:val="DefaultParagraphFont"/>
    <w:uiPriority w:val="99"/>
    <w:qFormat/>
    <w:rsid w:val="00751b9c"/>
    <w:rPr>
      <w:rFonts w:ascii="Ecofont_Spranq_eco_Sans" w:hAnsi="Ecofont_Spranq_eco_Sans" w:cs="Tahoma"/>
      <w:sz w:val="24"/>
      <w:szCs w:val="24"/>
      <w:lang w:eastAsia="pt-BR"/>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nhideWhenUsed/>
    <w:rsid w:val="00751b9c"/>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link w:val="PargrafodaListaChar"/>
    <w:qFormat/>
    <w:rsid w:val="00751b9c"/>
    <w:pPr>
      <w:spacing w:before="0" w:after="0"/>
      <w:ind w:left="720"/>
      <w:contextualSpacing/>
    </w:pPr>
    <w:rPr/>
  </w:style>
  <w:style w:type="paragraph" w:styleId="NormalWeb">
    <w:name w:val="Normal (Web)"/>
    <w:basedOn w:val="Normal"/>
    <w:uiPriority w:val="99"/>
    <w:qFormat/>
    <w:rsid w:val="00751b9c"/>
    <w:pPr>
      <w:spacing w:beforeAutospacing="1" w:afterAutospacing="1"/>
    </w:pPr>
    <w:rPr>
      <w:rFonts w:ascii="Times New Roman" w:hAnsi="Times New Roman" w:cs="Times New Roman"/>
    </w:rPr>
  </w:style>
  <w:style w:type="paragraph" w:styleId="BalloonText">
    <w:name w:val="Balloon Text"/>
    <w:basedOn w:val="Normal"/>
    <w:link w:val="TextodebaloChar"/>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751b9c"/>
    <w:pPr>
      <w:numPr>
        <w:ilvl w:val="0"/>
        <w:numId w:val="1"/>
      </w:numPr>
      <w:tabs>
        <w:tab w:val="clear" w:pos="709"/>
      </w:tabs>
      <w:spacing w:before="0" w:after="0"/>
      <w:ind w:left="36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user">
    <w:name w:val="Cabeçalho e rodapé (user)"/>
    <w:basedOn w:val="Normal"/>
    <w:qFormat/>
    <w:pPr/>
    <w:rPr/>
  </w:style>
  <w:style w:type="paragraph" w:styleId="Cabealhoerodap">
    <w:name w:val="Cabeçalho e rodapé"/>
    <w:basedOn w:val="Normal"/>
    <w:qFormat/>
    <w:pPr/>
    <w:rPr/>
  </w:style>
  <w:style w:type="paragraph" w:styleId="Header">
    <w:name w:val="header"/>
    <w:basedOn w:val="Normal"/>
    <w:link w:val="CabealhoChar"/>
    <w:rsid w:val="00ca24fb"/>
    <w:pPr>
      <w:tabs>
        <w:tab w:val="clear" w:pos="709"/>
        <w:tab w:val="center" w:pos="4252" w:leader="none"/>
        <w:tab w:val="right" w:pos="8504" w:leader="none"/>
      </w:tabs>
    </w:pPr>
    <w:rPr/>
  </w:style>
  <w:style w:type="paragraph" w:styleId="Footer">
    <w:name w:val="footer"/>
    <w:basedOn w:val="Normal"/>
    <w:link w:val="RodapChar"/>
    <w:uiPriority w:val="99"/>
    <w:rsid w:val="00ca24fb"/>
    <w:pPr>
      <w:tabs>
        <w:tab w:val="clear" w:pos="709"/>
        <w:tab w:val="center" w:pos="4252" w:leader="none"/>
        <w:tab w:val="right" w:pos="8504" w:leader="none"/>
      </w:tabs>
    </w:pPr>
    <w:rPr/>
  </w:style>
  <w:style w:type="paragraph" w:styleId="CommentText">
    <w:name w:val="annotation text"/>
    <w:basedOn w:val="Normal"/>
    <w:link w:val="TextodecomentrioChar"/>
    <w:uiPriority w:val="99"/>
    <w:unhideWhenUsed/>
    <w:qFormat/>
    <w:rsid w:val="00751b9c"/>
    <w:pPr/>
    <w:rPr>
      <w:sz w:val="20"/>
      <w:szCs w:val="20"/>
    </w:rPr>
  </w:style>
  <w:style w:type="paragraph" w:styleId="annotationsubject">
    <w:name w:val="annotation subject"/>
    <w:basedOn w:val="CommentText"/>
    <w:next w:val="CommentText"/>
    <w:link w:val="AssuntodocomentrioChar"/>
    <w:unhideWhenUsed/>
    <w:qFormat/>
    <w:rsid w:val="00751b9c"/>
    <w:pPr/>
    <w:rPr>
      <w:b/>
      <w:bCs/>
    </w:rPr>
  </w:style>
  <w:style w:type="paragraph" w:styleId="Nivel01" w:customStyle="1">
    <w:name w:val="Nivel 01"/>
    <w:basedOn w:val="ListParagraph"/>
    <w:next w:val="Normal"/>
    <w:link w:val="Nivel01Char"/>
    <w:qFormat/>
    <w:rsid w:val="00b404ea"/>
    <w:pPr>
      <w:numPr>
        <w:ilvl w:val="0"/>
        <w:numId w:val="4"/>
      </w:numPr>
      <w:spacing w:lineRule="auto" w:line="276" w:before="360" w:after="120"/>
      <w:ind w:hanging="357" w:left="357"/>
      <w:contextualSpacing w:val="false"/>
      <w:jc w:val="both"/>
      <w:outlineLvl w:val="0"/>
    </w:pPr>
    <w:rPr>
      <w:rFonts w:ascii="Arial" w:hAnsi="Arial" w:eastAsia="Arial" w:cs="Arial"/>
      <w:b/>
      <w:iCs/>
      <w:sz w:val="20"/>
      <w:szCs w:val="20"/>
    </w:rPr>
  </w:style>
  <w:style w:type="paragraph" w:styleId="Nivel01Titulo" w:customStyle="1">
    <w:name w:val="Nivel_01_Titulo"/>
    <w:basedOn w:val="Nivel01"/>
    <w:link w:val="Nivel01TituloChar"/>
    <w:qFormat/>
    <w:rsid w:val="00751b9c"/>
    <w:pPr>
      <w:jc w:val="left"/>
    </w:pPr>
    <w:rPr>
      <w:rFonts w:cs="" w:cstheme="majorBidi"/>
      <w:spacing w:val="5"/>
      <w:kern w:val="2"/>
      <w:sz w:val="52"/>
      <w:szCs w:val="52"/>
    </w:rPr>
  </w:style>
  <w:style w:type="paragraph" w:styleId="Title">
    <w:name w:val="Title"/>
    <w:basedOn w:val="Normal"/>
    <w:next w:val="Normal"/>
    <w:link w:val="TtuloChar"/>
    <w:uiPriority w:val="10"/>
    <w:qFormat/>
    <w:rsid w:val="00751b9c"/>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751b9c"/>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751b9c"/>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751b9c"/>
    <w:pPr>
      <w:spacing w:lineRule="auto" w:line="276"/>
      <w:ind w:hanging="357" w:left="357"/>
      <w:jc w:val="both"/>
    </w:pPr>
    <w:rPr>
      <w:rFonts w:cs="Arial"/>
      <w:bCs w:val="false"/>
      <w:color w:val="000000"/>
    </w:rPr>
  </w:style>
  <w:style w:type="paragraph" w:styleId="PargrafodaLista1" w:customStyle="1">
    <w:name w:val="Parágrafo da Lista1"/>
    <w:basedOn w:val="Normal"/>
    <w:qFormat/>
    <w:rsid w:val="00d30a43"/>
    <w:pPr>
      <w:ind w:left="720"/>
    </w:pPr>
    <w:rPr>
      <w:rFonts w:eastAsia="Times New Roman" w:cs="Ecofont_Spranq_eco_Sans"/>
    </w:rPr>
  </w:style>
  <w:style w:type="paragraph" w:styleId="Nivel2-Opcional" w:customStyle="1">
    <w:name w:val="Nivel 2-Opcional"/>
    <w:basedOn w:val="Normal"/>
    <w:link w:val="Nivel2-OpcionalChar"/>
    <w:autoRedefine/>
    <w:qFormat/>
    <w:rsid w:val="00ee5824"/>
    <w:pPr>
      <w:numPr>
        <w:ilvl w:val="1"/>
        <w:numId w:val="4"/>
      </w:numPr>
      <w:shd w:val="clear" w:color="auto" w:fill="76923C" w:themeFill="accent3" w:themeFillShade="bf"/>
      <w:spacing w:lineRule="auto" w:line="276" w:before="120" w:after="120"/>
      <w:ind w:hanging="0" w:left="0"/>
      <w:jc w:val="both"/>
    </w:pPr>
    <w:rPr>
      <w:rFonts w:ascii="Arial" w:hAnsi="Arial" w:eastAsia="Arial" w:cs="Arial"/>
      <w:i/>
      <w:color w:val="FF0000"/>
      <w:sz w:val="20"/>
      <w:szCs w:val="20"/>
    </w:rPr>
  </w:style>
  <w:style w:type="paragraph" w:styleId="Nivel11" w:customStyle="1">
    <w:name w:val="Nivel 1"/>
    <w:basedOn w:val="Nivel2-Opcional"/>
    <w:next w:val="Nivel2-Opcional"/>
    <w:qFormat/>
    <w:rsid w:val="00751b9c"/>
    <w:pPr>
      <w:numPr>
        <w:ilvl w:val="0"/>
        <w:numId w:val="0"/>
      </w:numPr>
      <w:ind w:hanging="360" w:left="360"/>
    </w:pPr>
    <w:rPr>
      <w:b/>
    </w:rPr>
  </w:style>
  <w:style w:type="paragraph" w:styleId="Nivel3-erro" w:customStyle="1">
    <w:name w:val="Nivel 3-erro"/>
    <w:basedOn w:val="Nivel3"/>
    <w:link w:val="Nivel3-erroChar"/>
    <w:autoRedefine/>
    <w:qFormat/>
    <w:rsid w:val="00196a7f"/>
    <w:pPr>
      <w:numPr>
        <w:ilvl w:val="0"/>
        <w:numId w:val="3"/>
      </w:numPr>
      <w:ind w:hanging="0" w:left="993"/>
    </w:pPr>
    <w:rPr/>
  </w:style>
  <w:style w:type="paragraph" w:styleId="Nivel4" w:customStyle="1">
    <w:name w:val="Nivel 4"/>
    <w:basedOn w:val="Nvel4-R"/>
    <w:link w:val="Nivel4Char"/>
    <w:qFormat/>
    <w:rsid w:val="00196a7f"/>
    <w:pPr/>
    <w:rPr>
      <w:i w:val="false"/>
      <w:color w:val="auto"/>
    </w:rPr>
  </w:style>
  <w:style w:type="paragraph" w:styleId="Nivel5" w:customStyle="1">
    <w:name w:val="Nivel 5"/>
    <w:basedOn w:val="Nvel4-R"/>
    <w:link w:val="Nivel5Char"/>
    <w:autoRedefine/>
    <w:qFormat/>
    <w:rsid w:val="00751b9c"/>
    <w:pPr>
      <w:ind w:hanging="0" w:left="851"/>
    </w:pPr>
    <w:rPr/>
  </w:style>
  <w:style w:type="paragraph" w:styleId="textbody" w:customStyle="1">
    <w:name w:val="textbody"/>
    <w:basedOn w:val="Normal"/>
    <w:qFormat/>
    <w:rsid w:val="00751b9c"/>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jc w:val="both"/>
    </w:pPr>
    <w:rPr>
      <w:rFonts w:ascii="Times New Roman" w:hAnsi="Times New Roman" w:eastAsia="Times New Roman" w:cs="Times New Roman"/>
      <w:sz w:val="28"/>
      <w:szCs w:val="28"/>
    </w:rPr>
  </w:style>
  <w:style w:type="paragraph" w:styleId="Revision">
    <w:name w:val="Revision"/>
    <w:qFormat/>
    <w:rsid w:val="00751b9c"/>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751b9c"/>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751b9c"/>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751b9c"/>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751b9c"/>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751b9c"/>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751b9c"/>
    <w:pPr>
      <w:spacing w:beforeAutospacing="1" w:afterAutospacing="1"/>
    </w:pPr>
    <w:rPr>
      <w:rFonts w:ascii="Times New Roman" w:hAnsi="Times New Roman" w:eastAsia="Times New Roman" w:cs="Times New Roman"/>
    </w:rPr>
  </w:style>
  <w:style w:type="paragraph" w:styleId="Nvel2Opcional" w:customStyle="1">
    <w:name w:val="Nível 2 Opcional"/>
    <w:basedOn w:val="Nivel2-Opcional"/>
    <w:link w:val="Nvel2OpcionalChar"/>
    <w:qFormat/>
    <w:rsid w:val="00751b9c"/>
    <w:pPr>
      <w:numPr>
        <w:ilvl w:val="0"/>
        <w:numId w:val="0"/>
      </w:numPr>
      <w:ind w:hanging="432" w:left="432"/>
    </w:pPr>
    <w:rPr>
      <w:rFonts w:eastAsia="Times New Roman"/>
      <w:i w:val="false"/>
    </w:rPr>
  </w:style>
  <w:style w:type="paragraph" w:styleId="Nvel3Opcional" w:customStyle="1">
    <w:name w:val="Nível 3 Opcional"/>
    <w:basedOn w:val="Nivel3-erro"/>
    <w:link w:val="Nvel3OpcionalChar"/>
    <w:qFormat/>
    <w:rsid w:val="00751b9c"/>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next w:val="Normal"/>
    <w:qFormat/>
    <w:rsid w:val="00751b9c"/>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751b9c"/>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751b9c"/>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751b9c"/>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751b9c"/>
    <w:pPr>
      <w:spacing w:beforeAutospacing="1" w:afterAutospacing="1"/>
    </w:pPr>
    <w:rPr>
      <w:rFonts w:ascii="Times New Roman" w:hAnsi="Times New Roman" w:eastAsia="Times New Roman" w:cs="Times New Roman"/>
    </w:rPr>
  </w:style>
  <w:style w:type="paragraph" w:styleId="Standard" w:customStyle="1">
    <w:name w:val="Standard"/>
    <w:qFormat/>
    <w:rsid w:val="00751b9c"/>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autoRedefine/>
    <w:qFormat/>
    <w:rsid w:val="00751b9c"/>
    <w:pPr>
      <w:spacing w:lineRule="auto" w:line="259" w:before="60" w:after="60"/>
      <w:ind w:left="0"/>
      <w:contextualSpacing w:val="false"/>
      <w:jc w:val="center"/>
    </w:pPr>
    <w:rPr>
      <w:rFonts w:ascii="Arial" w:hAnsi="Arial" w:eastAsia="Cambria" w:cs="Arial" w:eastAsiaTheme="minorHAnsi"/>
      <w:b/>
      <w:bCs/>
      <w:i/>
      <w:iCs/>
      <w:color w:val="FF0000"/>
      <w:sz w:val="20"/>
    </w:rPr>
  </w:style>
  <w:style w:type="paragraph" w:styleId="dou-paragraph" w:customStyle="1">
    <w:name w:val="dou-paragraph"/>
    <w:basedOn w:val="Normal"/>
    <w:qFormat/>
    <w:rsid w:val="00751b9c"/>
    <w:pPr>
      <w:spacing w:beforeAutospacing="1" w:afterAutospacing="1"/>
    </w:pPr>
    <w:rPr>
      <w:rFonts w:ascii="Times New Roman" w:hAnsi="Times New Roman" w:eastAsia="Times New Roman" w:cs="Times New Roman"/>
    </w:rPr>
  </w:style>
  <w:style w:type="paragraph" w:styleId="Nvel02" w:customStyle="1">
    <w:name w:val="Nível 02"/>
    <w:basedOn w:val="Nivel2-Opcional"/>
    <w:link w:val="Nvel02Char"/>
    <w:qFormat/>
    <w:rsid w:val="00ea1440"/>
    <w:pPr>
      <w:shd w:val="clear" w:color="auto" w:fill="auto"/>
    </w:pPr>
    <w:rPr>
      <w:i w:val="false"/>
      <w:iCs/>
      <w:color w:val="auto"/>
    </w:rPr>
  </w:style>
  <w:style w:type="paragraph" w:styleId="Nvel3-R" w:customStyle="1">
    <w:name w:val="Nível 3-R"/>
    <w:basedOn w:val="Nivel3-erro"/>
    <w:link w:val="Nvel3-RChar"/>
    <w:autoRedefine/>
    <w:qFormat/>
    <w:rsid w:val="005d7d6d"/>
    <w:pPr>
      <w:ind w:hanging="0" w:left="284"/>
    </w:pPr>
    <w:rPr>
      <w:rFonts w:cs="Arial"/>
      <w:i/>
      <w:iCs/>
      <w:color w:val="FF0000"/>
    </w:rPr>
  </w:style>
  <w:style w:type="paragraph" w:styleId="Nvel4-R" w:customStyle="1">
    <w:name w:val="Nível 4-R"/>
    <w:basedOn w:val="Nvel3-Opcional"/>
    <w:link w:val="Nvel4-RChar"/>
    <w:qFormat/>
    <w:rsid w:val="00751b9c"/>
    <w:pPr>
      <w:ind w:hanging="0" w:left="567"/>
    </w:pPr>
    <w:rPr>
      <w:rFonts w:cs="Arial"/>
      <w:bCs/>
      <w:szCs w:val="20"/>
    </w:rPr>
  </w:style>
  <w:style w:type="paragraph" w:styleId="Nvel1-SemNum" w:customStyle="1">
    <w:name w:val="Nível 1-Sem Num"/>
    <w:basedOn w:val="Nivel01"/>
    <w:link w:val="Nvel1-SemNumChar"/>
    <w:qFormat/>
    <w:rsid w:val="00ca3a45"/>
    <w:pPr>
      <w:numPr>
        <w:ilvl w:val="0"/>
        <w:numId w:val="0"/>
      </w:numPr>
      <w:spacing w:before="120" w:after="120"/>
      <w:ind w:hanging="357" w:left="357"/>
      <w:outlineLvl w:val="1"/>
    </w:pPr>
    <w:rPr>
      <w:i/>
      <w:iCs w:val="false"/>
      <w:color w:val="FF0000"/>
    </w:rPr>
  </w:style>
  <w:style w:type="paragraph" w:styleId="citao2" w:customStyle="1">
    <w:name w:val="citação 2"/>
    <w:basedOn w:val="Quote"/>
    <w:link w:val="citao2Char"/>
    <w:qFormat/>
    <w:rsid w:val="00dc41dd"/>
    <w:pPr>
      <w:overflowPunct w:val="false"/>
    </w:pPr>
    <w:rPr>
      <w:szCs w:val="20"/>
    </w:rPr>
  </w:style>
  <w:style w:type="paragraph" w:styleId="Prembulo" w:customStyle="1">
    <w:name w:val="Preâmbulo"/>
    <w:basedOn w:val="Normal"/>
    <w:link w:val="PrembuloChar"/>
    <w:qFormat/>
    <w:rsid w:val="00751b9c"/>
    <w:pPr>
      <w:spacing w:lineRule="auto" w:line="360" w:before="480" w:after="120"/>
      <w:ind w:left="4253" w:right="-17"/>
      <w:jc w:val="both"/>
    </w:pPr>
    <w:rPr>
      <w:rFonts w:ascii="Arial" w:hAnsi="Arial" w:eastAsia="Arial" w:cs="Arial"/>
      <w:bCs/>
      <w:sz w:val="20"/>
      <w:szCs w:val="20"/>
    </w:rPr>
  </w:style>
  <w:style w:type="paragraph" w:styleId="Nvel1-SemNumerao" w:customStyle="1">
    <w:name w:val="Nível 1-Sem Numeração"/>
    <w:basedOn w:val="Nvel1-SemNum"/>
    <w:link w:val="Nvel1-SemNumeraoChar"/>
    <w:qFormat/>
    <w:rsid w:val="005d7d6d"/>
    <w:pPr/>
    <w:rPr>
      <w:i w:val="false"/>
      <w:color w:val="auto"/>
    </w:rPr>
  </w:style>
  <w:style w:type="paragraph" w:styleId="Nivel3" w:customStyle="1">
    <w:name w:val="Nivel 3"/>
    <w:basedOn w:val="Normal"/>
    <w:link w:val="Nivel3Char"/>
    <w:qFormat/>
    <w:rsid w:val="00751b9c"/>
    <w:pPr>
      <w:numPr>
        <w:ilvl w:val="2"/>
        <w:numId w:val="5"/>
      </w:numPr>
      <w:spacing w:lineRule="auto" w:line="276" w:before="120" w:after="120"/>
      <w:ind w:hanging="0" w:left="284"/>
      <w:jc w:val="both"/>
    </w:pPr>
    <w:rPr>
      <w:rFonts w:ascii="Arial" w:hAnsi="Arial"/>
      <w:sz w:val="20"/>
    </w:rPr>
  </w:style>
  <w:style w:type="paragraph" w:styleId="Alteraes" w:customStyle="1">
    <w:name w:val="Alterações"/>
    <w:basedOn w:val="Nvel02"/>
    <w:link w:val="AlteraesChar"/>
    <w:uiPriority w:val="1"/>
    <w:qFormat/>
    <w:rsid w:val="00196a7f"/>
    <w:pPr/>
    <w:rPr>
      <w:color w:val="0000FF"/>
    </w:rPr>
  </w:style>
  <w:style w:type="paragraph" w:styleId="Contedodatabelauser" w:customStyle="1">
    <w:name w:val="Conteúdo da tabela (user)"/>
    <w:basedOn w:val="Normal"/>
    <w:qFormat/>
    <w:rsid w:val="00751b9c"/>
    <w:pPr>
      <w:widowControl w:val="false"/>
      <w:suppressLineNumbers/>
      <w:suppressAutoHyphens w:val="true"/>
      <w:textAlignment w:val="baseline"/>
    </w:pPr>
    <w:rPr>
      <w:rFonts w:ascii="Times New Roman" w:hAnsi="Times New Roman" w:eastAsia="SimSun"/>
      <w:kern w:val="2"/>
      <w:lang w:eastAsia="zh-CN" w:bidi="hi-IN"/>
    </w:rPr>
  </w:style>
  <w:style w:type="paragraph" w:styleId="Nivel21" w:customStyle="1">
    <w:name w:val="Nivel 21"/>
    <w:basedOn w:val="Normal"/>
    <w:next w:val="Nivel2-Opcional"/>
    <w:autoRedefine/>
    <w:qFormat/>
    <w:rsid w:val="00591ffe"/>
    <w:pPr>
      <w:shd w:val="clear" w:color="auto" w:fill="948A54" w:themeFill="background2" w:themeFillShade="80"/>
      <w:spacing w:lineRule="auto" w:line="276" w:before="120" w:after="120"/>
      <w:ind w:hanging="432" w:left="999"/>
      <w:jc w:val="both"/>
    </w:pPr>
    <w:rPr>
      <w:rFonts w:ascii="Arial" w:hAnsi="Arial" w:eastAsia="Arial" w:cs="Arial"/>
      <w:color w:themeColor="text1" w:val="000000"/>
      <w:sz w:val="20"/>
      <w:szCs w:val="20"/>
    </w:rPr>
  </w:style>
  <w:style w:type="paragraph" w:styleId="Nvel2-Opcional" w:customStyle="1">
    <w:name w:val="Nível 2-Opcional"/>
    <w:basedOn w:val="Nvel02"/>
    <w:link w:val="Nvel2-OpcionalChar"/>
    <w:qFormat/>
    <w:rsid w:val="00a70641"/>
    <w:pPr/>
    <w:rPr>
      <w:i/>
      <w:color w:val="FF0000"/>
    </w:rPr>
  </w:style>
  <w:style w:type="paragraph" w:styleId="Nvel3-Opcional" w:customStyle="1">
    <w:name w:val="Nível 3-Opcional"/>
    <w:basedOn w:val="Nivel3"/>
    <w:link w:val="Nvel3-OpcionalChar"/>
    <w:qFormat/>
    <w:rsid w:val="00a70641"/>
    <w:pPr/>
    <w:rPr>
      <w:i/>
      <w:color w:val="FF0000"/>
    </w:rPr>
  </w:style>
  <w:style w:type="paragraph" w:styleId="Nvel1-SemBlack" w:customStyle="1">
    <w:name w:val="Nível 1-Sem Black"/>
    <w:basedOn w:val="Normal"/>
    <w:link w:val="Nvel1-SemBlackChar"/>
    <w:uiPriority w:val="1"/>
    <w:qFormat/>
    <w:rsid w:val="00243342"/>
    <w:pPr>
      <w:keepNext w:val="true"/>
      <w:keepLines/>
      <w:tabs>
        <w:tab w:val="clear" w:pos="709"/>
        <w:tab w:val="left" w:pos="567" w:leader="none"/>
      </w:tabs>
      <w:spacing w:lineRule="auto" w:line="276" w:before="240" w:after="120"/>
      <w:jc w:val="both"/>
      <w:outlineLvl w:val="1"/>
    </w:pPr>
    <w:rPr>
      <w:rFonts w:ascii="Arial" w:hAnsi="Arial" w:eastAsia="" w:cs="Arial" w:eastAsiaTheme="majorEastAsia"/>
      <w:b/>
      <w:bCs/>
      <w:sz w:val="20"/>
      <w:szCs w:val="20"/>
    </w:rPr>
  </w:style>
  <w:style w:type="paragraph" w:styleId="Nivel2" w:customStyle="1">
    <w:name w:val="Nivel 2"/>
    <w:basedOn w:val="Normal"/>
    <w:link w:val="Nivel2Char"/>
    <w:autoRedefine/>
    <w:qFormat/>
    <w:rsid w:val="00751b9c"/>
    <w:pPr>
      <w:spacing w:lineRule="auto" w:line="288" w:before="120" w:after="120"/>
      <w:jc w:val="both"/>
    </w:pPr>
    <w:rPr>
      <w:rFonts w:ascii="Arial" w:hAnsi="Arial" w:eastAsia="Arial" w:cs="Arial"/>
      <w:sz w:val="20"/>
      <w:szCs w:val="20"/>
    </w:rPr>
  </w:style>
  <w:style w:type="paragraph" w:styleId="Nvel2-Red" w:customStyle="1">
    <w:name w:val="Nível 2 -Red"/>
    <w:basedOn w:val="Nivel2"/>
    <w:link w:val="Nvel2-RedChar"/>
    <w:qFormat/>
    <w:rsid w:val="00751b9c"/>
    <w:pPr>
      <w:ind w:left="2558"/>
    </w:pPr>
    <w:rPr>
      <w:i/>
      <w:iCs/>
      <w:color w:val="FF0000"/>
    </w:rPr>
  </w:style>
  <w:style w:type="paragraph" w:styleId="Nvel1-SemNumPreto" w:customStyle="1">
    <w:name w:val="Nível 1-Sem Num Preto"/>
    <w:basedOn w:val="Nvel1-SemNum"/>
    <w:link w:val="Nvel1-SemNumPretoChar"/>
    <w:qFormat/>
    <w:rsid w:val="00196a7f"/>
    <w:pPr>
      <w:keepNext w:val="true"/>
      <w:keepLines/>
      <w:tabs>
        <w:tab w:val="clear" w:pos="709"/>
        <w:tab w:val="left" w:pos="567" w:leader="none"/>
      </w:tabs>
      <w:spacing w:before="240" w:after="120"/>
      <w:ind w:left="720"/>
    </w:pPr>
    <w:rPr>
      <w:rFonts w:eastAsia="" w:eastAsiaTheme="majorEastAsia"/>
      <w:bCs/>
      <w:i w:val="false"/>
      <w:iCs/>
      <w:spacing w:val="5"/>
      <w:kern w:val="2"/>
      <w:sz w:val="52"/>
      <w:szCs w:val="52"/>
      <w:lang w:eastAsia="zh-CN" w:bidi="hi-IN"/>
    </w:rPr>
  </w:style>
  <w:style w:type="paragraph" w:styleId="Nvel4-Red" w:customStyle="1">
    <w:name w:val="Nível 4-Red"/>
    <w:basedOn w:val="Nivel4"/>
    <w:link w:val="Nvel4-RedChar"/>
    <w:autoRedefine/>
    <w:qFormat/>
    <w:rsid w:val="00196a7f"/>
    <w:pPr>
      <w:numPr>
        <w:ilvl w:val="0"/>
        <w:numId w:val="0"/>
      </w:numPr>
      <w:suppressAutoHyphens w:val="true"/>
      <w:ind w:hanging="0" w:left="567"/>
    </w:pPr>
    <w:rPr>
      <w:rFonts w:eastAsia="MS Mincho"/>
      <w:bCs w:val="false"/>
      <w:iCs/>
      <w:color w:val="FF0000"/>
      <w:lang w:eastAsia="en-US"/>
    </w:rPr>
  </w:style>
  <w:style w:type="paragraph" w:styleId="Estilo7" w:customStyle="1">
    <w:name w:val="Estilo7"/>
    <w:basedOn w:val="Nivel2"/>
    <w:link w:val="Estilo7Char"/>
    <w:qFormat/>
    <w:rsid w:val="00196a7f"/>
    <w:pPr/>
    <w:rPr>
      <w:i/>
      <w:color w:val="FF0000"/>
    </w:rPr>
  </w:style>
  <w:style w:type="paragraph" w:styleId="Estilo8" w:customStyle="1">
    <w:name w:val="Estilo8"/>
    <w:basedOn w:val="Nivel3"/>
    <w:link w:val="Estilo8Char"/>
    <w:qFormat/>
    <w:rsid w:val="00196a7f"/>
    <w:pPr>
      <w:numPr>
        <w:ilvl w:val="0"/>
        <w:numId w:val="0"/>
      </w:numPr>
      <w:ind w:hanging="0" w:left="1276"/>
    </w:pPr>
    <w:rPr>
      <w:rFonts w:cs="Arial"/>
      <w:i/>
      <w:color w:val="FF0000"/>
    </w:rPr>
  </w:style>
  <w:style w:type="paragraph" w:styleId="Estilo9" w:customStyle="1">
    <w:name w:val="Estilo9"/>
    <w:basedOn w:val="Nivel5"/>
    <w:link w:val="Estilo9Char"/>
    <w:qFormat/>
    <w:rsid w:val="00196a7f"/>
    <w:pPr>
      <w:numPr>
        <w:ilvl w:val="0"/>
        <w:numId w:val="0"/>
      </w:numPr>
      <w:ind w:hanging="360" w:left="1276"/>
    </w:pPr>
    <w:rPr>
      <w:i w:val="false"/>
      <w:szCs w:val="24"/>
    </w:rPr>
  </w:style>
  <w:style w:type="paragraph" w:styleId="EstiloNvel2-Redesquerda176cmPrimeiralinha0cm" w:customStyle="1">
    <w:name w:val="Estilo Nível 2 -Red + À esquerda:  176 cm Primeira linha:  0 cm"/>
    <w:basedOn w:val="Nvel2-Red"/>
    <w:qFormat/>
    <w:rsid w:val="00196a7f"/>
    <w:pPr>
      <w:ind w:left="999"/>
    </w:pPr>
    <w:rPr>
      <w:rFonts w:eastAsia="Times New Roman" w:cs="Times New Roman"/>
    </w:rPr>
  </w:style>
  <w:style w:type="paragraph" w:styleId="Textodecomentrio1" w:customStyle="1">
    <w:name w:val="Texto de comentário1"/>
    <w:basedOn w:val="Normal"/>
    <w:next w:val="CommentText"/>
    <w:uiPriority w:val="99"/>
    <w:unhideWhenUsed/>
    <w:qFormat/>
    <w:rsid w:val="00196a7f"/>
    <w:pPr/>
    <w:rPr>
      <w:rFonts w:eastAsia="Calibri"/>
      <w:kern w:val="2"/>
      <w:sz w:val="22"/>
      <w:szCs w:val="22"/>
    </w:rPr>
  </w:style>
  <w:style w:type="paragraph" w:styleId="EPTabela" w:customStyle="1">
    <w:name w:val="EP Tabela"/>
    <w:basedOn w:val="Normal"/>
    <w:qFormat/>
    <w:rsid w:val="00751b9c"/>
    <w:pPr>
      <w:widowControl w:val="false"/>
      <w:suppressAutoHyphens w:val="true"/>
      <w:jc w:val="center"/>
      <w:textAlignment w:val="baseline"/>
    </w:pPr>
    <w:rPr>
      <w:rFonts w:ascii="Times New Roman" w:hAnsi="Times New Roman" w:eastAsia="SimSun" w:cs="Arial"/>
      <w:b/>
      <w:kern w:val="2"/>
      <w:sz w:val="22"/>
      <w:lang w:eastAsia="ar-SA" w:bidi="hi-IN"/>
    </w:rPr>
  </w:style>
  <w:style w:type="paragraph" w:styleId="EPConteudotabela" w:customStyle="1">
    <w:name w:val="EP Conteudotabela"/>
    <w:basedOn w:val="Normal"/>
    <w:qFormat/>
    <w:rsid w:val="00751b9c"/>
    <w:pPr>
      <w:widowControl w:val="false"/>
      <w:tabs>
        <w:tab w:val="clear" w:pos="709"/>
        <w:tab w:val="left" w:pos="18" w:leader="none"/>
      </w:tabs>
      <w:suppressAutoHyphens w:val="true"/>
      <w:spacing w:lineRule="atLeast" w:line="100"/>
      <w:ind w:firstLine="45" w:left="23"/>
      <w:textAlignment w:val="baseline"/>
    </w:pPr>
    <w:rPr>
      <w:rFonts w:ascii="Times New Roman" w:hAnsi="Times New Roman" w:eastAsia="SimSun" w:cs="Arial"/>
      <w:kern w:val="2"/>
      <w:lang w:eastAsia="ar-SA" w:bidi="hi-IN"/>
    </w:rPr>
  </w:style>
  <w:style w:type="paragraph" w:styleId="TOC1">
    <w:name w:val="toc 1"/>
    <w:basedOn w:val="Normal"/>
    <w:next w:val="Normal"/>
    <w:autoRedefine/>
    <w:rsid w:val="00751b9c"/>
    <w:pPr>
      <w:widowControl w:val="false"/>
      <w:suppressAutoHyphens w:val="true"/>
      <w:spacing w:before="0" w:after="100"/>
      <w:textAlignment w:val="baseline"/>
    </w:pPr>
    <w:rPr>
      <w:rFonts w:ascii="Times New Roman" w:hAnsi="Times New Roman" w:eastAsia="SimSun" w:cs="Mangal"/>
      <w:kern w:val="2"/>
      <w:szCs w:val="21"/>
      <w:lang w:eastAsia="hi-IN" w:bidi="hi-IN"/>
    </w:rPr>
  </w:style>
  <w:style w:type="paragraph" w:styleId="TOC2">
    <w:name w:val="toc 2"/>
    <w:basedOn w:val="Normal"/>
    <w:next w:val="Normal"/>
    <w:autoRedefine/>
    <w:rsid w:val="00751b9c"/>
    <w:pPr>
      <w:widowControl w:val="false"/>
      <w:suppressAutoHyphens w:val="true"/>
      <w:spacing w:before="0" w:after="100"/>
      <w:ind w:left="240"/>
      <w:textAlignment w:val="baseline"/>
    </w:pPr>
    <w:rPr>
      <w:rFonts w:ascii="Times New Roman" w:hAnsi="Times New Roman" w:eastAsia="SimSun" w:cs="Mangal"/>
      <w:kern w:val="2"/>
      <w:szCs w:val="21"/>
      <w:lang w:eastAsia="hi-IN" w:bidi="hi-IN"/>
    </w:rPr>
  </w:style>
  <w:style w:type="paragraph" w:styleId="tabelatextocentralizado" w:customStyle="1">
    <w:name w:val="tabela_texto_centralizado"/>
    <w:basedOn w:val="Normal"/>
    <w:uiPriority w:val="99"/>
    <w:semiHidden/>
    <w:qFormat/>
    <w:rsid w:val="00751b9c"/>
    <w:pPr/>
    <w:rPr>
      <w:rFonts w:ascii="Calibri" w:hAnsi="Calibri" w:eastAsia="Cambria" w:cs="Calibri" w:eastAsiaTheme="minorHAnsi"/>
      <w:sz w:val="22"/>
      <w:szCs w:val="22"/>
    </w:rPr>
  </w:style>
  <w:style w:type="paragraph" w:styleId="contentpasted0" w:customStyle="1">
    <w:name w:val="contentpasted0"/>
    <w:basedOn w:val="Normal"/>
    <w:uiPriority w:val="99"/>
    <w:semiHidden/>
    <w:qFormat/>
    <w:rsid w:val="00751b9c"/>
    <w:pPr/>
    <w:rPr>
      <w:rFonts w:ascii="Calibri" w:hAnsi="Calibri" w:eastAsia="Cambria" w:cs="Calibri" w:eastAsiaTheme="minorHAnsi"/>
      <w:sz w:val="22"/>
      <w:szCs w:val="22"/>
    </w:rPr>
  </w:style>
  <w:style w:type="paragraph" w:styleId="Ou1" w:customStyle="1">
    <w:name w:val="Ou1"/>
    <w:link w:val="OuChar1"/>
    <w:autoRedefine/>
    <w:qFormat/>
    <w:rsid w:val="00751b9c"/>
    <w:pPr>
      <w:widowControl/>
      <w:suppressAutoHyphens w:val="true"/>
      <w:bidi w:val="0"/>
      <w:spacing w:lineRule="auto" w:line="276" w:before="120" w:after="120"/>
      <w:jc w:val="center"/>
    </w:pPr>
    <w:rPr>
      <w:rFonts w:ascii="Arial" w:hAnsi="Arial" w:eastAsia="ＭＳ 明朝" w:cs="Arial"/>
      <w:b/>
      <w:bCs/>
      <w:i/>
      <w:iCs/>
      <w:color w:val="FF0000"/>
      <w:kern w:val="0"/>
      <w:sz w:val="20"/>
      <w:szCs w:val="20"/>
      <w:u w:val="single"/>
      <w:lang w:val="pt-BR" w:eastAsia="pt-BR" w:bidi="ar-SA"/>
    </w:rPr>
  </w:style>
  <w:style w:type="paragraph" w:styleId="Nvel1-SemTitRed" w:customStyle="1">
    <w:name w:val="Nível 1-SemTitRed"/>
    <w:basedOn w:val="ListParagraph"/>
    <w:link w:val="Nvel1-SemTitRedChar"/>
    <w:qFormat/>
    <w:rsid w:val="00751b9c"/>
    <w:pPr>
      <w:suppressAutoHyphens w:val="true"/>
      <w:spacing w:lineRule="auto" w:line="276" w:before="240" w:after="120"/>
      <w:ind w:left="0"/>
      <w:contextualSpacing/>
      <w:jc w:val="both"/>
      <w:outlineLvl w:val="1"/>
    </w:pPr>
    <w:rPr>
      <w:rFonts w:ascii="Arial" w:hAnsi="Arial" w:eastAsia="MS Mincho" w:cs="Cambria" w:cstheme="minorHAnsi"/>
      <w:b/>
      <w:bCs/>
      <w:i/>
      <w:iCs/>
      <w:color w:val="FF0000"/>
    </w:rPr>
  </w:style>
  <w:style w:type="paragraph" w:styleId="Nvel1-SemNum1" w:customStyle="1">
    <w:name w:val="Nível 1-SemNum"/>
    <w:basedOn w:val="Nvel1-SemTitRed"/>
    <w:link w:val="Nvel1-SemNumChar1"/>
    <w:qFormat/>
    <w:rsid w:val="00751b9c"/>
    <w:pPr/>
    <w:rPr>
      <w:i w:val="false"/>
    </w:rPr>
  </w:style>
  <w:style w:type="paragraph" w:styleId="normal11">
    <w:name w:val="normal1"/>
    <w:qFormat/>
    <w:pPr>
      <w:widowControl/>
      <w:suppressAutoHyphens w:val="true"/>
      <w:bidi w:val="0"/>
      <w:spacing w:before="0" w:after="0"/>
      <w:jc w:val="left"/>
    </w:pPr>
    <w:rPr>
      <w:rFonts w:ascii="Ecofont_Spranq_eco_Sans" w:hAnsi="Ecofont_Spranq_eco_Sans" w:eastAsia="Ecofont_Spranq_eco_Sans" w:cs="Ecofont_Spranq_eco_Sans"/>
      <w:color w:val="00000A"/>
      <w:kern w:val="0"/>
      <w:sz w:val="24"/>
      <w:szCs w:val="24"/>
      <w:lang w:val="en-US" w:eastAsia="zh-CN" w:bidi="hi-IN"/>
    </w:rPr>
  </w:style>
  <w:style w:type="numbering" w:styleId="Semlistauser" w:default="1">
    <w:name w:val="Sem lista (user)"/>
    <w:uiPriority w:val="99"/>
    <w:semiHidden/>
    <w:unhideWhenUsed/>
    <w:qFormat/>
  </w:style>
  <w:style w:type="numbering" w:styleId="Estilo1" w:customStyle="1">
    <w:name w:val="Estilo1"/>
    <w:qFormat/>
    <w:rsid w:val="008c6874"/>
  </w:style>
  <w:style w:type="numbering" w:styleId="Estilo2" w:customStyle="1">
    <w:name w:val="Estilo2"/>
    <w:qFormat/>
    <w:rsid w:val="00a72b79"/>
  </w:style>
  <w:style w:type="numbering" w:styleId="Estilo3" w:customStyle="1">
    <w:name w:val="Estilo3"/>
    <w:qFormat/>
    <w:rsid w:val="00a72b79"/>
  </w:style>
  <w:style w:type="numbering" w:styleId="Estilo4" w:customStyle="1">
    <w:name w:val="Estilo4"/>
    <w:qFormat/>
    <w:rsid w:val="0054016d"/>
  </w:style>
  <w:style w:type="numbering" w:styleId="Estilo5" w:customStyle="1">
    <w:name w:val="Estilo5"/>
    <w:qFormat/>
    <w:rsid w:val="0054016d"/>
  </w:style>
  <w:style w:type="numbering" w:styleId="Estilo6" w:customStyle="1">
    <w:name w:val="Estilo6"/>
    <w:qFormat/>
    <w:rsid w:val="0054016d"/>
  </w:style>
  <w:style w:type="numbering" w:styleId="WWOutlineListStyle" w:customStyle="1">
    <w:name w:val="WW_OutlineListStyle"/>
    <w:qFormat/>
    <w:rsid w:val="00751b9c"/>
  </w:style>
  <w:style w:type="numbering" w:styleId="LFO1" w:customStyle="1">
    <w:name w:val="LFO1"/>
    <w:qFormat/>
    <w:rsid w:val="00751b9c"/>
  </w:style>
  <w:style w:type="numbering" w:styleId="LFO2" w:customStyle="1">
    <w:name w:val="LFO2"/>
    <w:qFormat/>
    <w:rsid w:val="00751b9c"/>
  </w:style>
  <w:style w:type="numbering" w:styleId="WW8Num1" w:customStyle="1">
    <w:name w:val="WW8Num1"/>
    <w:qFormat/>
    <w:rsid w:val="00751b9c"/>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24</TotalTime>
  <Application>LibreOffice/25.2.7.2$Windows_x86 LibreOffice_project/5cbfd1ab6520636bb5f7b99185aa69bd7456825d</Application>
  <AppVersion>15.0000</AppVersion>
  <Pages>50</Pages>
  <Words>12503</Words>
  <Characters>70739</Characters>
  <CharactersWithSpaces>82207</CharactersWithSpaces>
  <Paragraphs>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2025-09-16T18:30:00Z</dcterms:created>
  <dc:creator/>
  <dc:description/>
  <dc:language>pt-BR</dc:language>
  <cp:lastModifiedBy/>
  <dcterms:modified xsi:type="dcterms:W3CDTF">2026-10-26T13:14:54Z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