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jc w:val="center"/>
        <w:rPr>
          <w:b/>
          <w:color w:val="C9211E"/>
        </w:rPr>
      </w:pPr>
      <w:r>
        <w:rPr/>
        <w:drawing>
          <wp:inline distT="0" distB="0" distL="0" distR="0">
            <wp:extent cx="786130" cy="850265"/>
            <wp:effectExtent l="0" t="0" r="0" b="0"/>
            <wp:docPr id="1" name="Figur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130" cy="850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hd w:val="clear" w:color="auto" w:fill="FFFFFF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MINISTÉRIO DA DEFESA</w:t>
      </w:r>
    </w:p>
    <w:p>
      <w:pPr>
        <w:pStyle w:val="Normal"/>
        <w:shd w:val="clear" w:color="auto" w:fill="FFFFFF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EXÉRCITO BRASILEIRO</w:t>
      </w:r>
    </w:p>
    <w:p>
      <w:pPr>
        <w:pStyle w:val="Normal"/>
        <w:shd w:val="clear" w:color="auto" w:fill="FFFFFF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>COMANDO MILITAR DO LESTE</w:t>
      </w:r>
    </w:p>
    <w:p>
      <w:pPr>
        <w:pStyle w:val="Normal"/>
        <w:shd w:val="clear" w:color="auto" w:fill="FFFFFF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color w:val="000000"/>
        </w:rPr>
        <w:t>(Governo das Armas da Corte e Província do Rio de Janeiro/1821)</w:t>
      </w:r>
    </w:p>
    <w:p>
      <w:pPr>
        <w:pStyle w:val="normal1"/>
        <w:rPr/>
      </w:pPr>
      <w:r>
        <w:rPr/>
      </w:r>
    </w:p>
    <w:p>
      <w:pPr>
        <w:pStyle w:val="normal1"/>
        <w:jc w:val="center"/>
        <w:rPr/>
      </w:pPr>
      <w:r>
        <w:rPr>
          <w:b/>
          <w:color w:val="000000"/>
        </w:rPr>
        <w:t>DISPENSA DE ELETRÔNICO 9000</w:t>
      </w:r>
      <w:r>
        <w:rPr>
          <w:b/>
          <w:color w:val="000000"/>
        </w:rPr>
        <w:t>7</w:t>
      </w:r>
      <w:r>
        <w:rPr>
          <w:b/>
          <w:color w:val="000000"/>
        </w:rPr>
        <w:t>/2026</w:t>
      </w:r>
    </w:p>
    <w:p>
      <w:pPr>
        <w:pStyle w:val="normal1"/>
        <w:tabs>
          <w:tab w:val="clear" w:pos="708"/>
          <w:tab w:val="left" w:pos="2805" w:leader="none"/>
        </w:tabs>
        <w:jc w:val="center"/>
        <w:rPr/>
      </w:pPr>
      <w:r>
        <w:rPr>
          <w:color w:val="000000"/>
        </w:rPr>
        <w:t xml:space="preserve">(PROCESSO ADMINISTRATIVO Nº </w:t>
      </w:r>
      <w:r>
        <w:rPr>
          <w:color w:val="000000"/>
        </w:rPr>
        <w:t>64283.020908/2026-31</w:t>
      </w:r>
      <w:r>
        <w:rPr>
          <w:color w:val="000000"/>
        </w:rPr>
        <w:t>)</w:t>
      </w:r>
    </w:p>
    <w:p>
      <w:pPr>
        <w:pStyle w:val="normal1"/>
        <w:jc w:val="center"/>
        <w:rPr>
          <w:rFonts w:eastAsia="Times New Roman"/>
          <w:b/>
          <w:bCs/>
          <w:i/>
        </w:rPr>
      </w:pPr>
      <w:r>
        <w:rPr>
          <w:rFonts w:eastAsia="Times New Roman"/>
          <w:b/>
          <w:bCs/>
          <w:i/>
        </w:rPr>
      </w:r>
    </w:p>
    <w:p>
      <w:pPr>
        <w:pStyle w:val="normal1"/>
        <w:jc w:val="center"/>
        <w:rPr>
          <w:rFonts w:eastAsia="Times New Roman"/>
          <w:b/>
          <w:bCs/>
          <w:i/>
        </w:rPr>
      </w:pPr>
      <w:r>
        <w:rPr>
          <w:rFonts w:eastAsia="Times New Roman"/>
          <w:b/>
          <w:bCs/>
          <w:i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 xml:space="preserve">ATA DE REGISTRO DE PREÇOS 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  <w:bCs/>
        </w:rPr>
      </w:pPr>
      <w:r>
        <w:rPr>
          <w:rFonts w:cs="Arial" w:ascii="Times New Roman" w:hAnsi="Times New Roman"/>
          <w:bCs/>
        </w:rPr>
        <w:t>N.º .........</w:t>
      </w:r>
    </w:p>
    <w:p>
      <w:pPr>
        <w:pStyle w:val="Normal"/>
        <w:widowControl w:val="false"/>
        <w:spacing w:lineRule="auto" w:line="360"/>
        <w:ind w:right="-30"/>
        <w:jc w:val="both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tabs>
          <w:tab w:val="clear" w:pos="708"/>
          <w:tab w:val="center" w:pos="4779" w:leader="none"/>
          <w:tab w:val="right" w:pos="9198" w:leader="none"/>
        </w:tabs>
        <w:spacing w:lineRule="auto" w:line="276" w:before="120" w:after="120"/>
        <w:ind w:firstLine="1418" w:right="-28"/>
        <w:jc w:val="both"/>
        <w:rPr/>
      </w:pPr>
      <w:r>
        <w:rPr>
          <w:rFonts w:cs="Times New Roman" w:ascii="Times New Roman" w:hAnsi="Times New Roman"/>
        </w:rPr>
        <w:t>A UNIÃO, entidade de direito público interno, por intermédio do XXXXXXXXXXXXXXXXXXXXX, órgão do Ministério da Defesa – Exército Brasileiro, com endereço na XXXXXXXXXXXXXXXXX, inscrito no CNPJ sob o n° XXXXXXXXXXXXXX</w:t>
      </w:r>
      <w:r>
        <w:rPr>
          <w:rFonts w:cs="Arial" w:ascii="Times New Roman" w:hAnsi="Times New Roman"/>
        </w:rPr>
        <w:t>, neste ato representado(a) pelo(a) ...... (</w:t>
      </w:r>
      <w:r>
        <w:rPr>
          <w:rFonts w:cs="Arial" w:ascii="Times New Roman" w:hAnsi="Times New Roman"/>
          <w:i/>
          <w:iCs/>
        </w:rPr>
        <w:t>cargo e nome</w:t>
      </w:r>
      <w:r>
        <w:rPr>
          <w:rFonts w:cs="Arial" w:ascii="Times New Roman" w:hAnsi="Times New Roman"/>
        </w:rPr>
        <w:t>), nomeado(a) pela  Portaria nº ...... de ..... de ...... de 202..., publicada no ....... de ..... de ....... de ....., portador da matrícula funcional nº ...................,, considerando o julgamento da licitação na modalidade de pregão, na forma eletrônica, para REGISTRO DE PREÇOS nº ......./202..., publicada no ...... de ...../...../202....., processo administrativo n.º XXXXXXXXXXXXXXXXXXX, RESOLVE registrar os preços da(s)  empresa(s) indicada(s) e qualificada(s) nesta ATA, de acordo com a classificação por ela(s) alcançada(s) e na(s)  quantidade(s)  cotada(s), atendendo as condições previstas no Aviso da Contratação Direta, sujeitando-se as partes às normas constantes na Lei nº 14.133, de 1º de abril de 2021, no Decreto n.º 11.462, de 31 de março de 2023, e em conformidade com as disposições a seguir: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 OBJETO</w:t>
      </w:r>
    </w:p>
    <w:p>
      <w:pPr>
        <w:pStyle w:val="Nivel2"/>
        <w:numPr>
          <w:ilvl w:val="1"/>
          <w:numId w:val="1"/>
        </w:numPr>
        <w:ind w:hanging="0" w:left="0"/>
        <w:rPr/>
      </w:pPr>
      <w:r>
        <w:rPr>
          <w:rFonts w:ascii="Times New Roman" w:hAnsi="Times New Roman"/>
          <w:sz w:val="24"/>
          <w:szCs w:val="24"/>
        </w:rPr>
        <w:t>A presente Ata tem por objeto o registro de preços para XXXXXXXXXXXXXXXXXXXXXXXXXXXX, especificado(s) no(s) item(ns).......... do .......... Termo de Referência, anexo II</w:t>
      </w:r>
      <w:r>
        <w:rPr>
          <w:rFonts w:ascii="Times New Roman" w:hAnsi="Times New Roman"/>
          <w:i/>
          <w:sz w:val="24"/>
          <w:szCs w:val="24"/>
        </w:rPr>
        <w:t xml:space="preserve"> do Aviso da Contratação Direta nºXXXXXXXXXXX</w:t>
      </w:r>
      <w:r>
        <w:rPr>
          <w:rFonts w:ascii="Times New Roman" w:hAnsi="Times New Roman"/>
          <w:sz w:val="24"/>
          <w:szCs w:val="24"/>
        </w:rPr>
        <w:t>, que é parte integrante desta Ata, assim como as propostas cujos preços tenham sido registrados, independentemente de transcrição.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DOS PREÇOS, ESPECIFICAÇÕES E QUANTITATIVOS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preço registrado, as especificações do objeto, as quantidades mínimas e máximas de cada item, fornecedor(es) e as demais condições ofertadas na(s) proposta(s) são as que seguem: </w:t>
      </w:r>
    </w:p>
    <w:tbl>
      <w:tblPr>
        <w:tblW w:w="9392" w:type="dxa"/>
        <w:jc w:val="left"/>
        <w:tblInd w:w="12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463"/>
        <w:gridCol w:w="1328"/>
        <w:gridCol w:w="979"/>
        <w:gridCol w:w="1139"/>
        <w:gridCol w:w="967"/>
        <w:gridCol w:w="1896"/>
        <w:gridCol w:w="1097"/>
        <w:gridCol w:w="691"/>
        <w:gridCol w:w="832"/>
      </w:tblGrid>
      <w:tr>
        <w:trPr>
          <w:trHeight w:val="511" w:hRule="atLeast"/>
        </w:trPr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Item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do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TR</w:t>
            </w:r>
          </w:p>
        </w:tc>
        <w:tc>
          <w:tcPr>
            <w:tcW w:w="89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/>
              </w:rPr>
            </w:pPr>
            <w:r>
              <w:rPr>
                <w:rFonts w:cs="Arial" w:ascii="Times New Roman" w:hAnsi="Times New Roman"/>
              </w:rPr>
              <w:t xml:space="preserve">Fornecedor </w:t>
            </w:r>
            <w:r>
              <w:rPr>
                <w:rFonts w:cs="Arial" w:ascii="Times New Roman" w:hAnsi="Times New Roman"/>
                <w:i/>
              </w:rPr>
              <w:t>(razão social, CNPJ/MF, endereço, contatos, representante)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</w:tr>
      <w:tr>
        <w:trPr>
          <w:trHeight w:val="674" w:hRule="atLeast"/>
        </w:trPr>
        <w:tc>
          <w:tcPr>
            <w:tcW w:w="4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X</w:t>
            </w:r>
          </w:p>
        </w:tc>
        <w:tc>
          <w:tcPr>
            <w:tcW w:w="13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Especificação</w:t>
            </w:r>
          </w:p>
        </w:tc>
        <w:tc>
          <w:tcPr>
            <w:tcW w:w="9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 xml:space="preserve">Marca 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(se exigida no edital)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Modelo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(se exigido no edital)</w:t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Unidade</w:t>
            </w:r>
          </w:p>
        </w:tc>
        <w:tc>
          <w:tcPr>
            <w:tcW w:w="18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QuantidadeMáxima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Quantidade Mínima</w:t>
            </w:r>
          </w:p>
        </w:tc>
        <w:tc>
          <w:tcPr>
            <w:tcW w:w="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Valor Un</w:t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Prazo garantia ou validade</w:t>
            </w:r>
          </w:p>
        </w:tc>
      </w:tr>
      <w:tr>
        <w:trPr>
          <w:trHeight w:val="174" w:hRule="atLeast"/>
        </w:trPr>
        <w:tc>
          <w:tcPr>
            <w:tcW w:w="4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3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9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8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</w:tr>
    </w:tbl>
    <w:p>
      <w:pPr>
        <w:pStyle w:val="Normal"/>
        <w:spacing w:lineRule="auto" w:line="360"/>
        <w:rPr>
          <w:rFonts w:ascii="Times New Roman" w:hAnsi="Times New Roman" w:cs="Arial"/>
          <w:lang w:eastAsia="en-US"/>
        </w:rPr>
      </w:pPr>
      <w:r>
        <w:rPr>
          <w:rFonts w:cs="Arial" w:ascii="Times New Roman" w:hAnsi="Times New Roman"/>
          <w:lang w:eastAsia="en-US"/>
        </w:rPr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  <w:lang w:eastAsia="en-US"/>
        </w:rPr>
        <w:t>A listagem do cadastro de reserva referente ao presente registro de preços consta como anexo a esta Ata.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ÓRGÃO(S) GERENCIADOR E  PARTICIPANTE(S)</w:t>
      </w:r>
    </w:p>
    <w:p>
      <w:pPr>
        <w:pStyle w:val="Nivel2"/>
        <w:numPr>
          <w:ilvl w:val="1"/>
          <w:numId w:val="1"/>
        </w:numPr>
        <w:ind w:hanging="0" w:left="0"/>
        <w:rPr/>
      </w:pPr>
      <w:r>
        <w:rPr>
          <w:rFonts w:ascii="Times New Roman" w:hAnsi="Times New Roman"/>
          <w:sz w:val="24"/>
          <w:szCs w:val="24"/>
        </w:rPr>
        <w:t>O órgão gerenciador será o XXXXXXXXXXXXXXXXXXXXXXXX.</w:t>
      </w:r>
    </w:p>
    <w:p>
      <w:pPr>
        <w:pStyle w:val="Normal"/>
        <w:keepLines/>
        <w:widowControl w:val="false"/>
        <w:numPr>
          <w:ilvl w:val="1"/>
          <w:numId w:val="1"/>
        </w:numPr>
        <w:tabs>
          <w:tab w:val="clear" w:pos="708"/>
          <w:tab w:val="left" w:pos="851" w:leader="none"/>
          <w:tab w:val="left" w:pos="993" w:leader="none"/>
        </w:tabs>
        <w:spacing w:before="120" w:after="120"/>
        <w:ind w:hanging="0" w:left="0"/>
        <w:jc w:val="both"/>
        <w:rPr>
          <w:rFonts w:ascii="Times New Roman" w:hAnsi="Times New Roman" w:cs="Times New Roman"/>
          <w:b/>
          <w:bCs/>
          <w:i/>
          <w:iCs/>
        </w:rPr>
      </w:pPr>
      <w:r>
        <w:rPr>
          <w:rFonts w:cs="Times New Roman" w:ascii="Times New Roman" w:hAnsi="Times New Roman"/>
          <w:b/>
          <w:bCs/>
          <w:i/>
          <w:iCs/>
          <w:color w:val="000000"/>
        </w:rPr>
        <w:t>Participantes, não haverá;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 ADESÃO À ATA DE REGISTRO DE PREÇOS </w:t>
      </w:r>
      <w:r>
        <w:rPr>
          <w:rFonts w:ascii="Times New Roman" w:hAnsi="Times New Roman"/>
          <w:i/>
          <w:sz w:val="24"/>
          <w:szCs w:val="24"/>
        </w:rPr>
        <w:t>(item obrigatório)</w:t>
      </w:r>
    </w:p>
    <w:p>
      <w:pPr>
        <w:pStyle w:val="Nvel2-Red"/>
        <w:numPr>
          <w:ilvl w:val="1"/>
          <w:numId w:val="1"/>
        </w:numPr>
        <w:ind w:hanging="0" w:left="0"/>
        <w:rPr>
          <w:rFonts w:ascii="Times New Roman" w:hAnsi="Times New Roman"/>
          <w:color w:val="auto"/>
          <w:sz w:val="24"/>
          <w:szCs w:val="24"/>
          <w:lang w:eastAsia="en-US"/>
        </w:rPr>
      </w:pPr>
      <w:r>
        <w:rPr>
          <w:rFonts w:ascii="Times New Roman" w:hAnsi="Times New Roman"/>
          <w:color w:val="auto"/>
          <w:sz w:val="24"/>
          <w:szCs w:val="24"/>
          <w:lang w:eastAsia="en-US"/>
        </w:rPr>
        <w:t>Não será admitida a adesão à ata de registro de preços decorrente desta licitação ou desta contratação direta, conforme justificativa apresentada nos estudos técnicos preliminares.</w:t>
      </w:r>
    </w:p>
    <w:p>
      <w:pPr>
        <w:pStyle w:val="SubTitNN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Vedação a acréscimo de quantitativos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vedado efetuar acréscimos nos quantitativos fixados na ata de registro de preços.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VALIDADE, FORMALIZAÇÃO DA ATA DE REGISTRO DE PREÇOS E CADASTRO RESERVA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validade da Ata de Registro de Preços será de 1 (um) ano, contado a partir do primeiro dia útil subsequente à data de divulgação no PNCP, podendo ser prorrogada por igual período, mediante a anuência do fornecedor, desde que comprovado o preço vantajoso.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contrato decorrente da ata de registro de preços terá sua vigência estabelecida no próprio instrumento contratual e observará no momento da contratação e a cada exercício financeiro a disponibilidade de créditos orçamentários, bem como a previsão no plano plurianual, quando ultrapassar 1 (um) exercício financeiro.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formalização do contrato ou do instrumento substituto deverá haver a indicação da disponibilidade dos créditos orçamentários respectivos.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contratação com os fornecedores registrados na ata será formalizada pelo órgão ou pela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interessada por intermédio de instrumento contratual, emissão de nota de empenho de despesa, autorização de compra ou outro instrumento hábil, conforme o art. 95 da Lei nº 14.133, de 2021.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instrumento contratual de que trata o item 5.2. deverá ser assinado no prazo de validade da ata de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 contratos decorrentes do sistema de registro de preços poderão ser alterados, observado o art. 124 da Lei nº 14.133, de 2021.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Após a homologação da licitação ou da contratação direta, deverão ser observadas as seguintes condições para formalização da ata de registro de preços: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Serão registrados na ata os preços e os quantita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vos do adjudicatário, devendo ser observada a possibilidade de o licitante oferecer ou não proposta em quantitativo inferior ao máximo previsto </w:t>
      </w:r>
      <w:r>
        <w:rPr>
          <w:rFonts w:ascii="Times New Roman" w:hAnsi="Times New Roman"/>
          <w:i/>
          <w:iCs/>
          <w:sz w:val="24"/>
          <w:szCs w:val="24"/>
        </w:rPr>
        <w:t>no aviso de contratação direta</w:t>
      </w:r>
      <w:r>
        <w:rPr>
          <w:rFonts w:ascii="Times New Roman" w:hAnsi="Times New Roman"/>
          <w:sz w:val="24"/>
          <w:szCs w:val="24"/>
        </w:rPr>
        <w:t xml:space="preserve"> e se obrigar nos limites dela;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Será incluído na ata, na forma de anexo, o registro dos licitantes ou dos fornecedores que:</w:t>
      </w:r>
    </w:p>
    <w:p>
      <w:pPr>
        <w:pStyle w:val="Nvel4"/>
        <w:numPr>
          <w:ilvl w:val="3"/>
          <w:numId w:val="1"/>
        </w:numPr>
        <w:ind w:hanging="0"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Aceitarem cotar os bens, as obras ou os serviços com preços iguais aos do adjudicatário, observada a classificação da licitação; e </w:t>
      </w:r>
    </w:p>
    <w:p>
      <w:pPr>
        <w:pStyle w:val="Nvel4"/>
        <w:numPr>
          <w:ilvl w:val="3"/>
          <w:numId w:val="1"/>
        </w:numPr>
        <w:ind w:hanging="0"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Mantiverem sua proposta original. </w:t>
      </w:r>
      <w:bookmarkStart w:id="0" w:name="cadastro_reserva"/>
      <w:bookmarkEnd w:id="0"/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Será respeitada, nas contratações, a ordem de classificação dos licitantes ou dos fornecedores registrados na ata.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registro a que se refere o item 5.4.2tem por obje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vo a formação de cadastro de reserva para o caso de impossibilidade de atendimento pelo signatário da ata.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Para fins da ordem de classificação, os licitantes ou fornecedores que aceitarem reduzir suas propostas para o preço do adjudicatário antecederão aqueles que mantiverem sua proposta original.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habilitação dos licitantes que comporão o cadastro de reserva a que se refere 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cadastro_reserva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5.4.2.2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somente será efetuada quando houver necessidade de contratação dos licitantes remanescentes, nas seguintes hipóteses: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Quando o licitante vencedor não assinar a ata de registro de preços, no prazo e nas condições estabelecidos </w:t>
      </w:r>
      <w:r>
        <w:rPr>
          <w:rFonts w:ascii="Times New Roman" w:hAnsi="Times New Roman"/>
          <w:i/>
          <w:iCs/>
          <w:sz w:val="24"/>
          <w:szCs w:val="24"/>
        </w:rPr>
        <w:t>no aviso de contratação direta;</w:t>
      </w:r>
      <w:r>
        <w:rPr>
          <w:rFonts w:ascii="Times New Roman" w:hAnsi="Times New Roman"/>
          <w:sz w:val="24"/>
          <w:szCs w:val="24"/>
        </w:rPr>
        <w:t xml:space="preserve"> e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Quando houver o cancelamento do registro do licitante ou do registro de preços nas hipóteses previstas no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cancelamento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preço registrado com indicação dos licitantes e fornecedores será divulgado no PNCP e ficará disponibilizado durante a vigência da ata de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Após a homologação da licitação ou da contratação direta, o licitante mais bem classificado ou o fornecedor, no caso da contratação direta, será convocado para assinar a ata de registro de preços, no prazo e nas condições estabelecidos no edital de licitação ou no aviso de contratação direta, sob pena de decair o direito, sem prejuízo das sanções previstas na Lei nº 14.133, de 2021.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prazo de convocação poderá ser prorrogado 1 (uma) vez, por igual período, mediante solicitação do licitante ou fornecedor convocado, desde que apresentada dentro do prazo, devidamente justificada, e que a justificativa seja aceita pela Administração.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ata de registro de preços será assinada por meio de assinatura digital e disponibilizada no Sistema de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Quando o convocado não assinar a ata de registro de preços no prazo e nas condições estabelecidos no edital ou no aviso de contratação, e observado o disposto no item, observando o item 5.7 e subitens, fica facultado à Administração convocar os licitantes remanescentes do cadastro de reserva, na ordem de classificação, para fazê-lo em igual prazo e nas condições propostas pelo primeiro classificado.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nenhum dos licitantes que trata o item 5.4.2.1, aceitar a contratação nos termos do item anterior, a Administração, observados o valor es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mado e sua eventual atualização nos termos</w:t>
      </w:r>
      <w:r>
        <w:rPr>
          <w:rFonts w:ascii="Times New Roman" w:hAnsi="Times New Roman"/>
          <w:i/>
          <w:iCs/>
          <w:sz w:val="24"/>
          <w:szCs w:val="24"/>
        </w:rPr>
        <w:t xml:space="preserve"> do aviso de contratação direta</w:t>
      </w:r>
      <w:r>
        <w:rPr>
          <w:rFonts w:ascii="Times New Roman" w:hAnsi="Times New Roman"/>
          <w:sz w:val="24"/>
          <w:szCs w:val="24"/>
        </w:rPr>
        <w:t>, poderá: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Convocar para negociação os demais licitantes ou fornecedores remanescentes cujos preços foram registrados sem redução, observada a ordem de classificação, com vistas à obtenção de preço melhor, mesmo que acima do preço do adjudicatário;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Adjudicar e firmar o contrato nas condições ofertadas pelos licitantes ou fornecedores remanescentes, atendida a ordem classificatória, quando frustrada a negociação de melhor condição.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existência de preços registrados implicará compromisso de fornecimento nas condições estabelecidas, mas não obrigará a Administração a contratar, facultada a realização de licitação específica para a aquisição pretendida, desde que devidamente justificada.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ALTERAÇÃO OU ATUALIZAÇÃO DOS PREÇOS REGISTRADOS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Os preços registrados poderão ser alterados ou atualizados em decorrência de eventual redução dos preços pra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cados no mercado ou de fato que eleve o custo dos bens, das obras ou dos serviços registrados, nas seguintes situações: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 caso de força maior, caso fortuito ou fato do príncipe ou em decorrência de fatos imprevisíveis ou previsíveis de consequências incalculáveis, que inviabilizem a execução da ata tal como pactuada, nos termos da alínea “d” do inciso II do caput do art. 124 da Lei nº 14.133, de 2021;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 caso de criação, alteração ou ex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nção de quaisquer tributos ou encargos legais ou a superveniência de disposições legais, com comprovada repercussão sobre os preços registrados; 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previsão no edital ou no aviso de contratação direta de cláusula de reajustamento ou repactuação sobre os preços registrados, nos termos da Lei nº 14.133, de 2021.</w:t>
      </w:r>
    </w:p>
    <w:p>
      <w:pPr>
        <w:pStyle w:val="Nvel4"/>
        <w:numPr>
          <w:ilvl w:val="3"/>
          <w:numId w:val="1"/>
        </w:numPr>
        <w:ind w:hanging="0"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 caso do reajustamento, deverá ser respeitada a contagem da anualidade e o índice previstos para a contratação;  </w:t>
      </w:r>
    </w:p>
    <w:p>
      <w:pPr>
        <w:pStyle w:val="Nvel4"/>
        <w:numPr>
          <w:ilvl w:val="3"/>
          <w:numId w:val="1"/>
        </w:numPr>
        <w:ind w:hanging="0"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No caso da repactuação, poderá ser a pedido do interessado, conforme critérios definidos para a contratação.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NEGOCIAÇÃO DE PREÇOS REGISTRADOS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o preço registrado tornar-se superior ao preço pra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cado no mercado por mo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vo superveniente, o órgão ou en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 convocará o fornecedor para negociar a redução do preço registrado.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Caso não aceite reduzir seu preço aos valores pra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cados pelo mercado, o fornecedor será liberado do compromisso assumido quanto ao item registrado, sem aplicação de penalidades administrativas.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hipótese prevista no item anterior, o gerenciador convocará os fornecedores do cadastro de reserva, na ordem de classificação, para verificar se aceitam reduzir seus preços aos valores de mercado e não convocará os licitantes ou fornecedores que tiveram seu registro cancelado. 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Se não obtiver êxito nas negociações, o órgão ou en</w:t>
      </w:r>
      <w:r>
        <w:rPr>
          <w:rFonts w:eastAsia="Calibri" w:ascii="Times New Roman" w:hAnsi="Times New Roman"/>
          <w:sz w:val="24"/>
          <w:szCs w:val="24"/>
        </w:rPr>
        <w:t>tid</w:t>
      </w:r>
      <w:r>
        <w:rPr>
          <w:rFonts w:ascii="Times New Roman" w:hAnsi="Times New Roman"/>
          <w:sz w:val="24"/>
          <w:szCs w:val="24"/>
        </w:rPr>
        <w:t>ade gerenciadora procederá ao cancelamento da ata de registro de preços, adotando as medidas cabíveis para obtenção de contratação mais vantajosa.</w:t>
      </w:r>
      <w:bookmarkStart w:id="1" w:name="reducao_preco_mercado_negociacao_frustra"/>
      <w:bookmarkEnd w:id="1"/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cs="Calibri" w:ascii="Times New Roman" w:hAnsi="Times New Roman"/>
          <w:sz w:val="24"/>
          <w:szCs w:val="24"/>
        </w:rPr>
        <w:t>Na hipótese de</w:t>
      </w:r>
      <w:r>
        <w:rPr>
          <w:rFonts w:ascii="Times New Roman" w:hAnsi="Times New Roman"/>
          <w:sz w:val="24"/>
          <w:szCs w:val="24"/>
        </w:rPr>
        <w:t xml:space="preserve"> redução do preço registrado, o gerenciador comunicará aos órgãos e às en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dades que 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verem firmado contratos decorrentes da ata de registro de preços para que avaliem a conveniência e a oportunidade de diligenciarem negociação com vistas à alteração contratual, observado o disposto no art. 124 da Lei nº 14.133, de 2021.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o preço de mercado tornar-se superior ao preço registrado e o fornecedor não poder cumprir as obrigações estabelecidas na ata, será facultado ao fornecedor requerer ao gerenciador a alteração do preço registrado, mediante comprovação de fato superveniente que supostamente o impossibilite de cumprir o compromisso.</w:t>
      </w:r>
      <w:bookmarkStart w:id="2" w:name="hipotese_preco_mercado_maior"/>
      <w:bookmarkEnd w:id="2"/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Neste caso, o fornecedor encaminhará, juntamente com o pedido de alteração, a documentação comprobatória ou a planilha de custos que demonstre a inviabilidade do preço registrado em relação às condições inicialmente pactuadas.</w:t>
      </w:r>
      <w:bookmarkStart w:id="3" w:name="prova_preco_mercado_maior"/>
      <w:bookmarkEnd w:id="3"/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Não hipótese de não comprovação da existência de fato superveniente que inviabilize o preço registrado, o pedido será indeferido pelo órgão ou en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dade gerenciadora e o fornecedor deverá cumprir as obrigações estabelecidas na ata, sob pena de cancelamento do seu registro, nos termos do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cancelamento_do_fornecedor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9.1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 sem prejuízo das sanções previstas na Lei nº 14.133, de 2021, e na legislação aplicável.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cancelamento do registro do fornecedor, nos termos do item anterior, o gerenciador convocará os fornecedores do cadastro de reserva, na ordem de classificação, para verificar se aceitam manter seus preços registrados, observado o disposto no item 5.7.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 não obtiver êxito nas negociações, o órgão ou entidade gerenciadora procederá ao cancelamento da ata de registro de preços, nos termos do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cancelamento_da_ata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9.4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 e adotará as medidas cabíveis para a obtenção da contratação mais vantajosa.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hipótese de comprovação da majoração do preço de mercado que inviabilize o preço registrado, conforme previsto no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hipotese_preco_mercado_maior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7.2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e no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prova_preco_mercado_maior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7.2.1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 o órgão ou en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 atualizará o preço registrado, de acordo com a realidade dos valores praticados pelo mercado.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órgão ou en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 comunicará aos órgãos e às en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dades que 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verem firmado contratos decorrentes da ata de registro de preços sobre a efe</w:t>
      </w:r>
      <w:r>
        <w:rPr>
          <w:rFonts w:eastAsia="Calibri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va alteração do preço registrado, para que avaliem a necessidade de alteração contratual, observado o disposto no art. 124 da Lei nº 14.133, de 2021.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REMANEJAMENTO DAS QUANTIDADES REGISTRADAS NA ATA DE REGISTRO DE PREÇOS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As quan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dades previstas para os itens com preços registrados nas atas de registro de preços poderão ser remanejadas pelo órgão ou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 entre os órgãos ou as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dades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cipantes e não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cipantes do registro de preços.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remanejamento somente poderá ser feito: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órgão ou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 para órgão ou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 órgão ou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 para órgão ou entidade não participante.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órgão ou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 que tiver es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mado as quan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dades que pretende contratar será considerado participante para efeito do remanejamento.</w:t>
      </w:r>
      <w:bookmarkStart w:id="4" w:name="gerenciador_estimador_é_partic_em_remane"/>
      <w:bookmarkEnd w:id="4"/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remanejamento de órgão ou entidade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 para órgão ou entidade não participante, serão observados os limites previstos no art. 32 do Decreto nº 11.462, de 2023.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Competirá ao órgão ou à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 autorizar o remanejamento solicitado, com a redução do quan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vo inicialmente informado pelo órgão ou pela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cipante, desde que haja prévia anuência do órgão ou da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que sofrer redução dos quantitativos informados.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Caso o remanejamento seja feito entre órgãos ou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dades dos Estados, do Distrito Federal ou de Municípios dis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ntos, caberá ao fornecedor beneficiário da ata de registro de preços, observadas as condições nela estabelecidas, optar pela aceitação ou não do fornecimento decorrente do remanejamento dos itens.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da compra centralizada, não havendo indicação pelo órgão ou pela en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dade gerenciadora, dos quan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ta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vos dos par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 xml:space="preserve">cipantes da compra centralizada, nos termos do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gerenciador_estimador_é_partic_em_remane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8.3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, a distribuição das quantidades para a execução descentralizada será por meio do remanejamento.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CANCELAMENTO DO REGISTRO DO LICITANTE VENCEDOR E DOS PREÇOS REGISTRADOS</w:t>
      </w:r>
      <w:bookmarkStart w:id="5" w:name="cancelamento"/>
      <w:bookmarkEnd w:id="5"/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registro do fornecedor será cancelado pelo gerenciador, quando o fornecedor:</w:t>
      </w:r>
      <w:bookmarkStart w:id="6" w:name="cancelamento_do_fornecedor"/>
      <w:bookmarkEnd w:id="6"/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Descumprir as condições da ata de registro de preços, sem motivo justificado;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Não re</w:t>
      </w:r>
      <w:r>
        <w:rPr>
          <w:rFonts w:eastAsia="Arial" w:ascii="Times New Roman" w:hAnsi="Times New Roman"/>
          <w:sz w:val="24"/>
          <w:szCs w:val="24"/>
        </w:rPr>
        <w:t>ti</w:t>
      </w:r>
      <w:r>
        <w:rPr>
          <w:rFonts w:ascii="Times New Roman" w:hAnsi="Times New Roman"/>
          <w:sz w:val="24"/>
          <w:szCs w:val="24"/>
        </w:rPr>
        <w:t>rar a nota de empenho, ou instrumento equivalente, no prazo estabelecido pela Administração sem justificativa razoável;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Não aceitar manter seu preço registrado, na hipótese prevista no artigo 27, § 2º, do Decreto nº 11.462, de 2023;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Sofrer sanção prevista nos incisos III ou IV do caput do art. 156 da Lei nº 14.133, de 2021.</w:t>
      </w:r>
    </w:p>
    <w:p>
      <w:pPr>
        <w:pStyle w:val="Nvel4"/>
        <w:numPr>
          <w:ilvl w:val="3"/>
          <w:numId w:val="1"/>
        </w:numPr>
        <w:ind w:hanging="0" w:left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aplicação de sanção prevista nos incisos III ou IV do caput do art. 156 da Lei nº 14.133, de 2021, caso a penalidade aplicada ao fornecedor não ultrapasse o prazo de vigência da ata de registro de preços, poderá o órgão ou a entidade gerenciadora poderá, mediante decisão fundamentada, decidir pela manutenção do registro de preços, vedadas contratações derivadas da ata enquanto perdurarem os efeitos da sanção.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cancelamento de registros nas hipóteses previstas no item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REF cancelamento_do_fornecedor \r \r \h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t>9.1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será formalizado por despacho do órgão ou da entidade gerenciadora, garantidos os princípios do contraditório e da ampla defesa.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hipótese de cancelamento do registro do fornecedor, o órgão ou a entidade gerenciadora poderá convocar os licitantes que compõem o cadastro de reserva, observada a ordem de classificação.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cancelamento dos preços registrados poderá ser realizado pelo gerenciador, em determinada ata de registro de preços, total ou parcialmente, nas seguintes hipóteses, desde que devidamente comprovadas e justificadas:</w:t>
      </w:r>
      <w:bookmarkStart w:id="7" w:name="cancelamento_da_ata"/>
      <w:bookmarkEnd w:id="7"/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Por razão de interesse público;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pedido do fornecedor, decorrente de caso fortuito ou força maior; ou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Se não houver êxito nas negociações, nas hipóteses em que o preço de mercado tornar-se superior ou inferior ao preço registrado, nos termos do artigos 26, § 3º e  27, § 4º, ambos do Decreto nº 11.462, de 2023. 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DAS PENALIDADES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 descumprimento da Ata de Registro de Preços ensejará aplicação das penalidades estabelecidas </w:t>
      </w:r>
      <w:r>
        <w:rPr>
          <w:rFonts w:ascii="Times New Roman" w:hAnsi="Times New Roman"/>
          <w:i/>
          <w:sz w:val="24"/>
          <w:szCs w:val="24"/>
        </w:rPr>
        <w:t>no edital ou no aviso de contratação direta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vel3"/>
        <w:numPr>
          <w:ilvl w:val="2"/>
          <w:numId w:val="1"/>
        </w:numPr>
        <w:ind w:hanging="0"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sanções também se aplicam aos integrantes do cadastro de reserva no registro de preços que, convocados, não honrarem o compromisso assumido injustificadamente após terem assinado a ata. 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da competência do gerenciador a aplicação das penalidades decorrentes do descumprimento do pactuado nesta ata de registro de preço (art. 7º, inc. XIV, do Decreto nº 11.462, de 2023), exceto nas hipóteses em que o descumprimento disser respeito às contratações dos órgãos ou entidade participante, caso no qual caberá ao respectivo órgão participante a aplicação da penalidade (art. 8º, inc. IX, do Decreto nº 11.462, de 2023).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 órgão ou entidade participante deverá comunicar ao órgão gerenciador qualquer das ocorrências previstas no item 9.1, dada a necessidade de instauração de procedimento para cancelamento do registro do fornecedor.</w:t>
      </w:r>
    </w:p>
    <w:p>
      <w:pPr>
        <w:pStyle w:val="Nivel01"/>
        <w:numPr>
          <w:ilvl w:val="0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CONDIÇÕES GERAIS</w:t>
      </w:r>
    </w:p>
    <w:p>
      <w:pPr>
        <w:pStyle w:val="Nivel2"/>
        <w:numPr>
          <w:ilvl w:val="1"/>
          <w:numId w:val="1"/>
        </w:numPr>
        <w:ind w:hanging="0"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As condições gerais de execução do objeto, tais como os prazos para entrega e recebimento, as obrigações da Administração e do fornecedor registrado, penalidades e demais condições do ajuste, encontram-se definidos no Termo de Referência, ANEXO </w:t>
      </w:r>
      <w:r>
        <w:rPr>
          <w:rFonts w:ascii="Times New Roman" w:hAnsi="Times New Roman"/>
          <w:i/>
          <w:sz w:val="24"/>
          <w:szCs w:val="24"/>
        </w:rPr>
        <w:t>AO AVISO DE CONTRATAÇÃO DIRETA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Normal"/>
        <w:widowControl w:val="false"/>
        <w:spacing w:lineRule="auto" w:line="276" w:before="120" w:after="120"/>
        <w:jc w:val="both"/>
        <w:rPr>
          <w:rFonts w:ascii="Times New Roman" w:hAnsi="Times New Roman"/>
        </w:rPr>
      </w:pPr>
      <w:r>
        <w:rPr>
          <w:rFonts w:cs="Arial" w:ascii="Times New Roman" w:hAnsi="Times New Roman"/>
        </w:rPr>
        <w:t>Para firmeza e validade do pactuado, a presente Ata foi lavrada em 02 (duas) vias de igual teor, que, depois de lida e achada em ordem, vai assinada pelas partes</w:t>
      </w:r>
      <w:r>
        <w:rPr>
          <w:rFonts w:cs="Arial" w:ascii="Times New Roman" w:hAnsi="Times New Roman"/>
          <w:i/>
          <w:iCs/>
        </w:rPr>
        <w:t xml:space="preserve">. 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Local e data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Assinaturas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Representante legal do órgão gerenciador e representante(s) legal(is) do(s) fornecedor(s) registrado(s)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Anexo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Cadastro Reserva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Seguindo a ordem de classificação, segue relação de fornecedores que aceitaram cotar os itens com preços iguais ao adjudicatário: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tbl>
      <w:tblPr>
        <w:tblW w:w="9392" w:type="dxa"/>
        <w:jc w:val="left"/>
        <w:tblInd w:w="12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463"/>
        <w:gridCol w:w="1328"/>
        <w:gridCol w:w="979"/>
        <w:gridCol w:w="1139"/>
        <w:gridCol w:w="967"/>
        <w:gridCol w:w="1896"/>
        <w:gridCol w:w="1097"/>
        <w:gridCol w:w="691"/>
        <w:gridCol w:w="832"/>
      </w:tblGrid>
      <w:tr>
        <w:trPr>
          <w:trHeight w:val="511" w:hRule="atLeast"/>
        </w:trPr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Item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do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TR</w:t>
            </w:r>
          </w:p>
        </w:tc>
        <w:tc>
          <w:tcPr>
            <w:tcW w:w="8929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/>
              </w:rPr>
            </w:pPr>
            <w:r>
              <w:rPr>
                <w:rFonts w:cs="Arial" w:ascii="Times New Roman" w:hAnsi="Times New Roman"/>
              </w:rPr>
              <w:t xml:space="preserve">Fornecedor </w:t>
            </w:r>
            <w:r>
              <w:rPr>
                <w:rFonts w:cs="Arial" w:ascii="Times New Roman" w:hAnsi="Times New Roman"/>
                <w:i/>
              </w:rPr>
              <w:t>(razão social, CNPJ/MF, endereço, contatos, representante)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</w:tr>
      <w:tr>
        <w:trPr>
          <w:trHeight w:val="674" w:hRule="atLeast"/>
        </w:trPr>
        <w:tc>
          <w:tcPr>
            <w:tcW w:w="463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X</w:t>
            </w:r>
          </w:p>
        </w:tc>
        <w:tc>
          <w:tcPr>
            <w:tcW w:w="13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Especificação</w:t>
            </w:r>
          </w:p>
        </w:tc>
        <w:tc>
          <w:tcPr>
            <w:tcW w:w="9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 xml:space="preserve">Marca 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(se exigida no edital)</w:t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Modelo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(se exigido no edital)</w:t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Unidade</w:t>
            </w:r>
          </w:p>
        </w:tc>
        <w:tc>
          <w:tcPr>
            <w:tcW w:w="18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QuantidadeMáxima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Quantidade Mínima</w:t>
            </w:r>
          </w:p>
        </w:tc>
        <w:tc>
          <w:tcPr>
            <w:tcW w:w="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Valor Un</w:t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Prazo garantia ou validade</w:t>
            </w:r>
          </w:p>
        </w:tc>
      </w:tr>
      <w:tr>
        <w:trPr>
          <w:trHeight w:val="174" w:hRule="atLeast"/>
        </w:trPr>
        <w:tc>
          <w:tcPr>
            <w:tcW w:w="46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32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97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13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8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69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83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</w:tr>
    </w:tbl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  <w:t>Seguindo a ordem de classificação, segue relação de fornecedores que mantiveram sua proposta original:</w:t>
      </w:r>
    </w:p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tbl>
      <w:tblPr>
        <w:tblW w:w="9392" w:type="dxa"/>
        <w:jc w:val="left"/>
        <w:tblInd w:w="12" w:type="dxa"/>
        <w:tblLayout w:type="fixed"/>
        <w:tblCellMar>
          <w:top w:w="0" w:type="dxa"/>
          <w:left w:w="10" w:type="dxa"/>
          <w:bottom w:w="0" w:type="dxa"/>
          <w:right w:w="10" w:type="dxa"/>
        </w:tblCellMar>
        <w:tblLook w:val="0000"/>
      </w:tblPr>
      <w:tblGrid>
        <w:gridCol w:w="554"/>
        <w:gridCol w:w="1323"/>
        <w:gridCol w:w="956"/>
        <w:gridCol w:w="1105"/>
        <w:gridCol w:w="952"/>
        <w:gridCol w:w="1896"/>
        <w:gridCol w:w="1097"/>
        <w:gridCol w:w="678"/>
        <w:gridCol w:w="831"/>
      </w:tblGrid>
      <w:tr>
        <w:trPr>
          <w:trHeight w:val="511" w:hRule="atLeast"/>
        </w:trPr>
        <w:tc>
          <w:tcPr>
            <w:tcW w:w="5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Item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do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TR</w:t>
            </w:r>
          </w:p>
        </w:tc>
        <w:tc>
          <w:tcPr>
            <w:tcW w:w="8838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/>
              </w:rPr>
            </w:pPr>
            <w:r>
              <w:rPr>
                <w:rFonts w:cs="Arial" w:ascii="Times New Roman" w:hAnsi="Times New Roman"/>
              </w:rPr>
              <w:t xml:space="preserve">Fornecedor </w:t>
            </w:r>
            <w:r>
              <w:rPr>
                <w:rFonts w:cs="Arial" w:ascii="Times New Roman" w:hAnsi="Times New Roman"/>
                <w:i/>
              </w:rPr>
              <w:t>(razão social, CNPJ/MF, endereço, contatos, representante)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</w:tr>
      <w:tr>
        <w:trPr>
          <w:trHeight w:val="674" w:hRule="atLeast"/>
        </w:trPr>
        <w:tc>
          <w:tcPr>
            <w:tcW w:w="554" w:type="dxa"/>
            <w:tcBorders>
              <w:left w:val="single" w:sz="2" w:space="0" w:color="000000"/>
              <w:bottom w:val="single" w:sz="2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X</w:t>
            </w:r>
          </w:p>
        </w:tc>
        <w:tc>
          <w:tcPr>
            <w:tcW w:w="13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Especificação</w:t>
            </w:r>
          </w:p>
        </w:tc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 xml:space="preserve">Marca 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(se exigida no edital)</w:t>
            </w:r>
          </w:p>
        </w:tc>
        <w:tc>
          <w:tcPr>
            <w:tcW w:w="11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Modelo</w:t>
            </w:r>
          </w:p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(se exigido no edital)</w:t>
            </w:r>
          </w:p>
        </w:tc>
        <w:tc>
          <w:tcPr>
            <w:tcW w:w="9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Unidade</w:t>
            </w:r>
          </w:p>
        </w:tc>
        <w:tc>
          <w:tcPr>
            <w:tcW w:w="18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QuantidadeMáxima</w:t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Quantidade Mínima</w:t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  <w:t>Valor Un</w:t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center"/>
              <w:rPr>
                <w:rFonts w:ascii="Times New Roman" w:hAnsi="Times New Roman" w:cs="Arial"/>
                <w:i/>
                <w:iCs/>
              </w:rPr>
            </w:pPr>
            <w:r>
              <w:rPr>
                <w:rFonts w:cs="Arial" w:ascii="Times New Roman" w:hAnsi="Times New Roman"/>
                <w:i/>
                <w:iCs/>
              </w:rPr>
              <w:t>Prazo garantia ou validade</w:t>
            </w:r>
          </w:p>
        </w:tc>
      </w:tr>
      <w:tr>
        <w:trPr>
          <w:trHeight w:val="174" w:hRule="atLeast"/>
        </w:trPr>
        <w:tc>
          <w:tcPr>
            <w:tcW w:w="55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32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95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1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95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896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10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67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  <w:tc>
          <w:tcPr>
            <w:tcW w:w="83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uto" w:line="360"/>
              <w:ind w:right="-30"/>
              <w:jc w:val="both"/>
              <w:rPr>
                <w:rFonts w:ascii="Times New Roman" w:hAnsi="Times New Roman" w:cs="Arial"/>
              </w:rPr>
            </w:pPr>
            <w:r>
              <w:rPr>
                <w:rFonts w:cs="Arial" w:ascii="Times New Roman" w:hAnsi="Times New Roman"/>
              </w:rPr>
            </w:r>
          </w:p>
        </w:tc>
      </w:tr>
    </w:tbl>
    <w:p>
      <w:pPr>
        <w:pStyle w:val="Normal"/>
        <w:widowControl w:val="false"/>
        <w:spacing w:lineRule="auto" w:line="360"/>
        <w:ind w:right="-30"/>
        <w:jc w:val="center"/>
        <w:rPr>
          <w:rFonts w:ascii="Times New Roman" w:hAnsi="Times New Roman" w:cs="Arial"/>
        </w:rPr>
      </w:pPr>
      <w:r>
        <w:rPr>
          <w:rFonts w:cs="Arial" w:ascii="Times New Roman" w:hAnsi="Times New Roman"/>
        </w:rPr>
      </w:r>
    </w:p>
    <w:sectPr>
      <w:footerReference w:type="even" r:id="rId3"/>
      <w:footerReference w:type="default" r:id="rId4"/>
      <w:footerReference w:type="first" r:id="rId5"/>
      <w:type w:val="nextPage"/>
      <w:pgSz w:w="11906" w:h="16838"/>
      <w:pgMar w:left="1701" w:right="1134" w:gutter="0" w:header="0" w:top="1418" w:footer="708" w:bottom="1418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Ecofont_Spranq_eco_Sans">
    <w:charset w:val="00"/>
    <w:family w:val="roman"/>
    <w:pitch w:val="variable"/>
  </w:font>
  <w:font w:name="Cambria">
    <w:charset w:val="00"/>
    <w:family w:val="roman"/>
    <w:pitch w:val="variable"/>
  </w:font>
  <w:font w:name="Segoe U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Calibri">
    <w:charset w:val="00"/>
    <w:family w:val="swiss"/>
    <w:pitch w:val="variable"/>
  </w:font>
  <w:font w:name="Times New Roman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t>____________________________________________________________________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Câmara Nacional de Modelos de Licitações e Contratos da Consultoria-Geral da União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Atualização: maio/2023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Ata de Registro de Preços –  Lei nº 14.133, de 2021.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Aprovado pela Secretaria de Gestão e Inovação.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Identidade visual pela Secretaria de Gestão e Inovação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>
        <w:rFonts w:ascii="Times New Roman" w:hAnsi="Times New Roman" w:cs="Times New Roman"/>
      </w:rPr>
    </w:pPr>
    <w:r>
      <w:rPr>
        <w:rFonts w:cs="Times New Roman" w:ascii="Times New Roman" w:hAnsi="Times New Roman"/>
      </w:rPr>
      <w:t>____________________________________________________________________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Câmara Nacional de Modelos de Licitações e Contratos da Consultoria-Geral da União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Atualização: maio/2023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Ata de Registro de Preços –  Lei nº 14.133, de 2021.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Aprovado pela Secretaria de Gestão e Inovação.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  <w:t>Identidade visual pela Secretaria de Gestão e Inovação</w:t>
    </w:r>
  </w:p>
  <w:p>
    <w:pPr>
      <w:pStyle w:val="Footer"/>
      <w:rPr>
        <w:rFonts w:ascii="Arial" w:hAnsi="Arial" w:cs="Arial"/>
        <w:sz w:val="12"/>
        <w:szCs w:val="12"/>
      </w:rPr>
    </w:pPr>
    <w:r>
      <w:rPr>
        <w:rFonts w:cs="Arial" w:ascii="Arial" w:hAnsi="Arial"/>
        <w:sz w:val="12"/>
        <w:szCs w:val="12"/>
      </w:rPr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83" w:hanging="432"/>
      </w:pPr>
      <w:rPr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97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mirrorMargins/>
  <w:defaultTabStop w:val="708"/>
  <w:autoHyphenation w:val="true"/>
  <w:hyphenationZone w:val="0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3ee6"/>
    <w:pPr>
      <w:widowControl/>
      <w:bidi w:val="0"/>
      <w:spacing w:before="0" w:after="0"/>
      <w:jc w:val="left"/>
    </w:pPr>
    <w:rPr>
      <w:rFonts w:ascii="Ecofont_Spranq_eco_Sans" w:hAnsi="Ecofont_Spranq_eco_Sans" w:cs="Tahoma" w:eastAsia="Times New Roman"/>
      <w:color w:val="auto"/>
      <w:kern w:val="0"/>
      <w:sz w:val="24"/>
      <w:szCs w:val="24"/>
      <w:lang w:val="pt-BR" w:eastAsia="pt-BR" w:bidi="ar-SA"/>
    </w:rPr>
  </w:style>
  <w:style w:type="paragraph" w:styleId="Heading1" w:customStyle="1">
    <w:name w:val="heading 1"/>
    <w:basedOn w:val="Normal"/>
    <w:next w:val="Normal"/>
    <w:qFormat/>
    <w:rsid w:val="000d3ee6"/>
    <w:pPr>
      <w:keepNext w:val="true"/>
      <w:keepLines/>
      <w:spacing w:before="480" w:after="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DefaultParagraphFontWW" w:customStyle="1">
    <w:name w:val="Default Paragraph Font (WW)"/>
    <w:qFormat/>
    <w:rsid w:val="000d3ee6"/>
    <w:rPr/>
  </w:style>
  <w:style w:type="character" w:styleId="GradeColorida-nfase1Char" w:customStyle="1">
    <w:name w:val="Grade Colorida - Ênfase 1 Char"/>
    <w:qFormat/>
    <w:rsid w:val="000d3ee6"/>
    <w:rPr>
      <w:rFonts w:ascii="Ecofont_Spranq_eco_Sans" w:hAnsi="Ecofont_Spranq_eco_Sans" w:eastAsia="Calibri" w:cs="Tahoma"/>
      <w:i/>
      <w:iCs/>
      <w:color w:val="000000"/>
      <w:szCs w:val="24"/>
      <w:lang w:val="pt-BR" w:eastAsia="en-US" w:bidi="ar-SA"/>
    </w:rPr>
  </w:style>
  <w:style w:type="character" w:styleId="CorpodetextoChar" w:customStyle="1">
    <w:name w:val="Corpo de texto Char"/>
    <w:qFormat/>
    <w:rsid w:val="000d3ee6"/>
    <w:rPr>
      <w:sz w:val="24"/>
      <w:szCs w:val="24"/>
    </w:rPr>
  </w:style>
  <w:style w:type="character" w:styleId="LinkdaInternetuser" w:customStyle="1">
    <w:name w:val="Link da Internet (user)"/>
    <w:qFormat/>
    <w:rsid w:val="000d3ee6"/>
    <w:rPr>
      <w:color w:val="0000FF"/>
      <w:u w:val="single"/>
    </w:rPr>
  </w:style>
  <w:style w:type="character" w:styleId="CabealhoChar" w:customStyle="1">
    <w:name w:val="Cabeçalho Char"/>
    <w:basedOn w:val="DefaultParagraphFontWW"/>
    <w:qFormat/>
    <w:rsid w:val="000d3ee6"/>
    <w:rPr>
      <w:rFonts w:ascii="Ecofont_Spranq_eco_Sans" w:hAnsi="Ecofont_Spranq_eco_Sans" w:cs="Tahoma"/>
      <w:sz w:val="24"/>
      <w:szCs w:val="24"/>
    </w:rPr>
  </w:style>
  <w:style w:type="character" w:styleId="RodapChar" w:customStyle="1">
    <w:name w:val="Rodapé Char"/>
    <w:basedOn w:val="DefaultParagraphFontWW"/>
    <w:qFormat/>
    <w:rsid w:val="000d3ee6"/>
    <w:rPr>
      <w:rFonts w:ascii="Ecofont_Spranq_eco_Sans" w:hAnsi="Ecofont_Spranq_eco_Sans" w:cs="Tahoma"/>
      <w:sz w:val="24"/>
      <w:szCs w:val="24"/>
    </w:rPr>
  </w:style>
  <w:style w:type="character" w:styleId="citao2Char" w:customStyle="1">
    <w:name w:val="citação 2 Char"/>
    <w:basedOn w:val="CitaoChar"/>
    <w:qFormat/>
    <w:rsid w:val="000d3ee6"/>
    <w:rPr>
      <w:rFonts w:ascii="Ecofont_Spranq_eco_Sans" w:hAnsi="Ecofont_Spranq_eco_Sans" w:eastAsia="Calibri" w:cs="Tahoma"/>
      <w:i/>
      <w:iCs/>
      <w:color w:val="000000"/>
      <w:sz w:val="24"/>
      <w:szCs w:val="24"/>
      <w:lang w:eastAsia="en-US"/>
    </w:rPr>
  </w:style>
  <w:style w:type="character" w:styleId="CitaoChar" w:customStyle="1">
    <w:name w:val="Citação Char"/>
    <w:basedOn w:val="DefaultParagraphFontWW"/>
    <w:qFormat/>
    <w:rsid w:val="000d3ee6"/>
    <w:rPr>
      <w:rFonts w:ascii="Ecofont_Spranq_eco_Sans" w:hAnsi="Ecofont_Spranq_eco_Sans" w:cs="Tahoma"/>
      <w:i/>
      <w:iCs/>
      <w:color w:val="000000"/>
      <w:sz w:val="24"/>
      <w:szCs w:val="24"/>
    </w:rPr>
  </w:style>
  <w:style w:type="character" w:styleId="Ttulo1Char" w:customStyle="1">
    <w:name w:val="Título 1 Char"/>
    <w:basedOn w:val="DefaultParagraphFontWW"/>
    <w:qFormat/>
    <w:rsid w:val="000d3ee6"/>
    <w:rPr>
      <w:rFonts w:ascii="Cambria" w:hAnsi="Cambria" w:eastAsia="Times New Roman" w:cs="Times New Roman"/>
      <w:b/>
      <w:bCs/>
      <w:color w:val="365F91"/>
      <w:sz w:val="28"/>
      <w:szCs w:val="28"/>
    </w:rPr>
  </w:style>
  <w:style w:type="character" w:styleId="Nivel1Char" w:customStyle="1">
    <w:name w:val="Nivel1 Char"/>
    <w:basedOn w:val="Ttulo1Char"/>
    <w:qFormat/>
    <w:rsid w:val="000d3ee6"/>
    <w:rPr>
      <w:rFonts w:ascii="Arial" w:hAnsi="Arial" w:eastAsia="Times New Roman" w:cs="Arial"/>
      <w:b/>
      <w:bCs/>
      <w:color w:val="365F91"/>
      <w:sz w:val="28"/>
      <w:szCs w:val="28"/>
    </w:rPr>
  </w:style>
  <w:style w:type="character" w:styleId="CommentReference">
    <w:name w:val="annotation reference"/>
    <w:basedOn w:val="DefaultParagraphFontWW"/>
    <w:qFormat/>
    <w:rsid w:val="000d3ee6"/>
    <w:rPr>
      <w:sz w:val="16"/>
      <w:szCs w:val="16"/>
    </w:rPr>
  </w:style>
  <w:style w:type="character" w:styleId="TextodecomentrioChar" w:customStyle="1">
    <w:name w:val="Texto de comentário Char"/>
    <w:basedOn w:val="DefaultParagraphFontWW"/>
    <w:qFormat/>
    <w:rsid w:val="000d3ee6"/>
    <w:rPr>
      <w:rFonts w:ascii="Ecofont_Spranq_eco_Sans" w:hAnsi="Ecofont_Spranq_eco_Sans" w:cs="Tahoma"/>
    </w:rPr>
  </w:style>
  <w:style w:type="character" w:styleId="AssuntodocomentrioChar" w:customStyle="1">
    <w:name w:val="Assunto do comentário Char"/>
    <w:basedOn w:val="TextodecomentrioChar"/>
    <w:qFormat/>
    <w:rsid w:val="000d3ee6"/>
    <w:rPr>
      <w:rFonts w:ascii="Ecofont_Spranq_eco_Sans" w:hAnsi="Ecofont_Spranq_eco_Sans" w:cs="Tahoma"/>
      <w:b/>
      <w:bCs/>
    </w:rPr>
  </w:style>
  <w:style w:type="character" w:styleId="TextodebaloChar" w:customStyle="1">
    <w:name w:val="Texto de balão Char"/>
    <w:basedOn w:val="DefaultParagraphFontWW"/>
    <w:qFormat/>
    <w:rsid w:val="000d3ee6"/>
    <w:rPr>
      <w:rFonts w:ascii="Segoe UI" w:hAnsi="Segoe UI" w:cs="Segoe UI"/>
      <w:sz w:val="18"/>
      <w:szCs w:val="18"/>
    </w:rPr>
  </w:style>
  <w:style w:type="character" w:styleId="Nivel01Char" w:customStyle="1">
    <w:name w:val="Nivel 01 Char"/>
    <w:basedOn w:val="DefaultParagraphFontWW"/>
    <w:qFormat/>
    <w:rsid w:val="000d3ee6"/>
    <w:rPr>
      <w:rFonts w:ascii="Arial" w:hAnsi="Arial" w:eastAsia="Times New Roman" w:cs="Arial"/>
      <w:b/>
      <w:bCs/>
      <w:lang w:eastAsia="en-US"/>
    </w:rPr>
  </w:style>
  <w:style w:type="character" w:styleId="Nivel2Char" w:customStyle="1">
    <w:name w:val="Nivel 2 Char"/>
    <w:basedOn w:val="DefaultParagraphFontWW"/>
    <w:qFormat/>
    <w:rsid w:val="000d3ee6"/>
    <w:rPr>
      <w:rFonts w:ascii="Arial" w:hAnsi="Arial" w:cs="Arial"/>
    </w:rPr>
  </w:style>
  <w:style w:type="character" w:styleId="Nvel2-RedChar" w:customStyle="1">
    <w:name w:val="Nível 2 -Red Char"/>
    <w:basedOn w:val="Nivel2Char"/>
    <w:qFormat/>
    <w:rsid w:val="000d3ee6"/>
    <w:rPr>
      <w:rFonts w:ascii="Arial" w:hAnsi="Arial" w:cs="Arial"/>
      <w:i/>
      <w:iCs/>
      <w:color w:val="FF0000"/>
    </w:rPr>
  </w:style>
  <w:style w:type="character" w:styleId="ouChar" w:customStyle="1">
    <w:name w:val="ou Char"/>
    <w:basedOn w:val="DefaultParagraphFontWW"/>
    <w:qFormat/>
    <w:rsid w:val="000d3ee6"/>
    <w:rPr>
      <w:rFonts w:ascii="Arial" w:hAnsi="Arial" w:eastAsia="Calibri" w:cs="Arial"/>
      <w:b/>
      <w:bCs/>
      <w:i/>
      <w:iCs/>
      <w:color w:val="FF0000"/>
      <w:szCs w:val="24"/>
      <w:u w:val="single"/>
    </w:rPr>
  </w:style>
  <w:style w:type="character" w:styleId="Nvel3-RChar" w:customStyle="1">
    <w:name w:val="Nível 3-R Char"/>
    <w:basedOn w:val="DefaultParagraphFontWW"/>
    <w:qFormat/>
    <w:rsid w:val="000d3ee6"/>
    <w:rPr>
      <w:rFonts w:ascii="Arial" w:hAnsi="Arial" w:eastAsia="Times New Roman" w:cs="Arial"/>
      <w:i/>
      <w:iCs/>
      <w:color w:val="FF0000"/>
    </w:rPr>
  </w:style>
  <w:style w:type="character" w:styleId="Nvel3Char" w:customStyle="1">
    <w:name w:val="Nível 3 Char"/>
    <w:basedOn w:val="Nvel3-RChar"/>
    <w:qFormat/>
    <w:rsid w:val="000d3ee6"/>
    <w:rPr>
      <w:rFonts w:ascii="Arial" w:hAnsi="Arial" w:eastAsia="Times New Roman" w:cs="Arial"/>
      <w:i w:val="false"/>
      <w:iCs w:val="false"/>
      <w:color w:val="FF0000"/>
    </w:rPr>
  </w:style>
  <w:style w:type="character" w:styleId="Nvel4Char" w:customStyle="1">
    <w:name w:val="Nível 4 Char"/>
    <w:basedOn w:val="Nvel3Char"/>
    <w:qFormat/>
    <w:rsid w:val="000d3ee6"/>
    <w:rPr>
      <w:rFonts w:ascii="Arial" w:hAnsi="Arial" w:eastAsia="Times New Roman" w:cs="Arial"/>
      <w:i w:val="false"/>
      <w:iCs w:val="false"/>
      <w:color w:val="FF0000"/>
    </w:rPr>
  </w:style>
  <w:style w:type="character" w:styleId="SubTitNNChar" w:customStyle="1">
    <w:name w:val="SubTitNN Char"/>
    <w:basedOn w:val="DefaultParagraphFontWW"/>
    <w:qFormat/>
    <w:rsid w:val="000d3ee6"/>
    <w:rPr>
      <w:rFonts w:ascii="Arial" w:hAnsi="Arial" w:cs="Arial"/>
      <w:b/>
      <w:bCs/>
      <w:i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0d3ee6"/>
    <w:pPr>
      <w:spacing w:before="280" w:after="280"/>
    </w:pPr>
    <w:rPr>
      <w:rFonts w:ascii="Times New Roman" w:hAnsi="Times New Roman" w:cs="Times New Roman"/>
    </w:rPr>
  </w:style>
  <w:style w:type="paragraph" w:styleId="List">
    <w:name w:val="List"/>
    <w:basedOn w:val="BodyText"/>
    <w:rsid w:val="000d3ee6"/>
    <w:pPr/>
    <w:rPr>
      <w:rFonts w:cs="Arial"/>
    </w:rPr>
  </w:style>
  <w:style w:type="paragraph" w:styleId="Caption" w:customStyle="1">
    <w:name w:val="caption"/>
    <w:basedOn w:val="Normal"/>
    <w:qFormat/>
    <w:rsid w:val="000d3ee6"/>
    <w:pPr>
      <w:suppressLineNumbers/>
      <w:spacing w:before="120" w:after="120"/>
    </w:pPr>
    <w:rPr>
      <w:rFonts w:cs="Arial"/>
      <w:i/>
      <w:iCs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rsid w:val="000d3ee6"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 w:customStyle="1">
    <w:name w:val="Índice (user)"/>
    <w:basedOn w:val="Normal"/>
    <w:qFormat/>
    <w:rsid w:val="000d3ee6"/>
    <w:pPr>
      <w:suppressLineNumbers/>
    </w:pPr>
    <w:rPr>
      <w:rFonts w:cs="Arial"/>
    </w:rPr>
  </w:style>
  <w:style w:type="paragraph" w:styleId="GradeColorida-nfase11" w:customStyle="1">
    <w:name w:val="Grade Colorida - Ênfase 11"/>
    <w:basedOn w:val="Normal"/>
    <w:next w:val="Normal"/>
    <w:qFormat/>
    <w:rsid w:val="000d3ee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i/>
      <w:iCs/>
      <w:color w:val="000000"/>
      <w:sz w:val="20"/>
      <w:lang w:eastAsia="en-US"/>
    </w:rPr>
  </w:style>
  <w:style w:type="paragraph" w:styleId="ListParagraph">
    <w:name w:val="List Paragraph"/>
    <w:basedOn w:val="Normal"/>
    <w:qFormat/>
    <w:rsid w:val="000d3ee6"/>
    <w:pPr>
      <w:spacing w:before="0" w:after="0"/>
      <w:ind w:left="720"/>
      <w:contextualSpacing/>
    </w:pPr>
    <w:rPr/>
  </w:style>
  <w:style w:type="paragraph" w:styleId="CabealhoeRodap" w:customStyle="1">
    <w:name w:val="Cabeçalho e Rodapé"/>
    <w:basedOn w:val="Normal"/>
    <w:qFormat/>
    <w:rsid w:val="000d3ee6"/>
    <w:pPr/>
    <w:rPr/>
  </w:style>
  <w:style w:type="paragraph" w:styleId="Cabealhoerodap1">
    <w:name w:val="Cabeçalho e rodapé1"/>
    <w:basedOn w:val="Normal"/>
    <w:qFormat/>
    <w:pPr/>
    <w:rPr/>
  </w:style>
  <w:style w:type="paragraph" w:styleId="Header" w:customStyle="1">
    <w:name w:val="header"/>
    <w:basedOn w:val="Normal"/>
    <w:rsid w:val="000d3ee6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 w:customStyle="1">
    <w:name w:val="footer"/>
    <w:basedOn w:val="Normal"/>
    <w:rsid w:val="000d3ee6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itao2" w:customStyle="1">
    <w:name w:val="citação 2"/>
    <w:basedOn w:val="Quote"/>
    <w:qFormat/>
    <w:rsid w:val="000d3ee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jc w:val="both"/>
    </w:pPr>
    <w:rPr>
      <w:rFonts w:eastAsia="Calibri"/>
      <w:lang w:eastAsia="en-US"/>
    </w:rPr>
  </w:style>
  <w:style w:type="paragraph" w:styleId="Quote">
    <w:name w:val="Quote"/>
    <w:basedOn w:val="Normal"/>
    <w:next w:val="Normal"/>
    <w:qFormat/>
    <w:rsid w:val="000d3ee6"/>
    <w:pPr/>
    <w:rPr>
      <w:i/>
      <w:iCs/>
      <w:color w:val="000000"/>
    </w:rPr>
  </w:style>
  <w:style w:type="paragraph" w:styleId="Nivel1" w:customStyle="1">
    <w:name w:val="Nivel1"/>
    <w:basedOn w:val="Heading1"/>
    <w:next w:val="Normal"/>
    <w:qFormat/>
    <w:rsid w:val="000d3ee6"/>
    <w:pPr>
      <w:widowControl w:val="false"/>
      <w:spacing w:lineRule="auto" w:line="276" w:before="480" w:after="120"/>
      <w:ind w:hanging="360" w:left="360"/>
      <w:jc w:val="both"/>
    </w:pPr>
    <w:rPr>
      <w:rFonts w:ascii="Arial" w:hAnsi="Arial" w:cs="Arial"/>
      <w:color w:val="auto"/>
      <w:sz w:val="20"/>
      <w:szCs w:val="20"/>
    </w:rPr>
  </w:style>
  <w:style w:type="paragraph" w:styleId="Nivel01" w:customStyle="1">
    <w:name w:val="Nivel 01"/>
    <w:basedOn w:val="Heading1"/>
    <w:next w:val="Normal"/>
    <w:qFormat/>
    <w:rsid w:val="000d3ee6"/>
    <w:pPr>
      <w:tabs>
        <w:tab w:val="clear" w:pos="708"/>
        <w:tab w:val="left" w:pos="567" w:leader="none"/>
      </w:tabs>
      <w:spacing w:lineRule="auto" w:line="276" w:before="120" w:after="120"/>
      <w:jc w:val="both"/>
    </w:pPr>
    <w:rPr>
      <w:rFonts w:ascii="Arial" w:hAnsi="Arial" w:cs="Arial"/>
      <w:color w:val="auto"/>
      <w:sz w:val="20"/>
      <w:szCs w:val="20"/>
      <w:lang w:eastAsia="en-US"/>
    </w:rPr>
  </w:style>
  <w:style w:type="paragraph" w:styleId="CommentText">
    <w:name w:val="annotation text"/>
    <w:basedOn w:val="Normal"/>
    <w:qFormat/>
    <w:rsid w:val="000d3ee6"/>
    <w:pPr/>
    <w:rPr>
      <w:sz w:val="20"/>
      <w:szCs w:val="20"/>
    </w:rPr>
  </w:style>
  <w:style w:type="paragraph" w:styleId="annotationsubject">
    <w:name w:val="annotation subject"/>
    <w:basedOn w:val="CommentText"/>
    <w:next w:val="CommentText"/>
    <w:qFormat/>
    <w:rsid w:val="000d3ee6"/>
    <w:pPr/>
    <w:rPr>
      <w:b/>
      <w:bCs/>
    </w:rPr>
  </w:style>
  <w:style w:type="paragraph" w:styleId="BalloonText">
    <w:name w:val="Balloon Text"/>
    <w:basedOn w:val="Normal"/>
    <w:qFormat/>
    <w:rsid w:val="000d3ee6"/>
    <w:pPr/>
    <w:rPr>
      <w:rFonts w:ascii="Segoe UI" w:hAnsi="Segoe UI" w:cs="Segoe UI"/>
      <w:sz w:val="18"/>
      <w:szCs w:val="18"/>
    </w:rPr>
  </w:style>
  <w:style w:type="paragraph" w:styleId="Revision">
    <w:name w:val="Revision"/>
    <w:qFormat/>
    <w:rsid w:val="000d3ee6"/>
    <w:pPr>
      <w:widowControl/>
      <w:bidi w:val="0"/>
      <w:spacing w:before="0" w:after="0"/>
      <w:jc w:val="left"/>
    </w:pPr>
    <w:rPr>
      <w:rFonts w:ascii="Ecofont_Spranq_eco_Sans" w:hAnsi="Ecofont_Spranq_eco_Sans" w:cs="Tahoma" w:eastAsia="Times New Roman"/>
      <w:color w:val="auto"/>
      <w:kern w:val="0"/>
      <w:sz w:val="24"/>
      <w:szCs w:val="24"/>
      <w:lang w:val="pt-BR" w:eastAsia="pt-BR" w:bidi="ar-SA"/>
    </w:rPr>
  </w:style>
  <w:style w:type="paragraph" w:styleId="Nivel2" w:customStyle="1">
    <w:name w:val="Nivel 2"/>
    <w:basedOn w:val="Normal"/>
    <w:qFormat/>
    <w:rsid w:val="000d3ee6"/>
    <w:pPr>
      <w:spacing w:lineRule="auto" w:line="276" w:before="120" w:after="120"/>
      <w:jc w:val="both"/>
    </w:pPr>
    <w:rPr>
      <w:rFonts w:ascii="Arial" w:hAnsi="Arial" w:cs="Arial"/>
      <w:sz w:val="20"/>
      <w:szCs w:val="20"/>
    </w:rPr>
  </w:style>
  <w:style w:type="paragraph" w:styleId="Nvel2-Red" w:customStyle="1">
    <w:name w:val="Nível 2 -Red"/>
    <w:basedOn w:val="Nivel2"/>
    <w:qFormat/>
    <w:rsid w:val="000d3ee6"/>
    <w:pPr/>
    <w:rPr>
      <w:i/>
      <w:iCs/>
      <w:color w:val="FF0000"/>
    </w:rPr>
  </w:style>
  <w:style w:type="paragraph" w:styleId="ou" w:customStyle="1">
    <w:name w:val="ou"/>
    <w:basedOn w:val="ListParagraph"/>
    <w:qFormat/>
    <w:rsid w:val="000d3ee6"/>
    <w:pPr>
      <w:spacing w:lineRule="auto" w:line="259" w:before="60" w:after="60"/>
      <w:ind w:left="0"/>
      <w:contextualSpacing/>
      <w:jc w:val="center"/>
    </w:pPr>
    <w:rPr>
      <w:rFonts w:ascii="Arial" w:hAnsi="Arial" w:eastAsia="Calibri" w:cs="Arial"/>
      <w:b/>
      <w:bCs/>
      <w:i/>
      <w:iCs/>
      <w:color w:val="FF0000"/>
      <w:sz w:val="20"/>
      <w:u w:val="single"/>
    </w:rPr>
  </w:style>
  <w:style w:type="paragraph" w:styleId="Nvel3-R" w:customStyle="1">
    <w:name w:val="Nível 3-R"/>
    <w:basedOn w:val="Normal"/>
    <w:qFormat/>
    <w:rsid w:val="000d3ee6"/>
    <w:pPr>
      <w:spacing w:lineRule="auto" w:line="276" w:before="120" w:after="120"/>
      <w:ind w:left="284"/>
      <w:jc w:val="both"/>
    </w:pPr>
    <w:rPr>
      <w:rFonts w:ascii="Arial" w:hAnsi="Arial" w:cs="Arial"/>
      <w:i/>
      <w:iCs/>
      <w:color w:val="FF0000"/>
      <w:sz w:val="20"/>
      <w:szCs w:val="20"/>
    </w:rPr>
  </w:style>
  <w:style w:type="paragraph" w:styleId="Nvel3" w:customStyle="1">
    <w:name w:val="Nível 3"/>
    <w:basedOn w:val="Nvel3-R"/>
    <w:qFormat/>
    <w:rsid w:val="000d3ee6"/>
    <w:pPr/>
    <w:rPr>
      <w:i w:val="false"/>
      <w:iCs w:val="false"/>
      <w:color w:val="auto"/>
    </w:rPr>
  </w:style>
  <w:style w:type="paragraph" w:styleId="Nvel4" w:customStyle="1">
    <w:name w:val="Nível 4"/>
    <w:basedOn w:val="Nvel3"/>
    <w:qFormat/>
    <w:rsid w:val="000d3ee6"/>
    <w:pPr>
      <w:ind w:left="567"/>
    </w:pPr>
    <w:rPr/>
  </w:style>
  <w:style w:type="paragraph" w:styleId="SubTitNN" w:customStyle="1">
    <w:name w:val="SubTitNN"/>
    <w:basedOn w:val="Normal"/>
    <w:qFormat/>
    <w:rsid w:val="000d3ee6"/>
    <w:pPr>
      <w:spacing w:lineRule="auto" w:line="276" w:before="240" w:after="120"/>
      <w:jc w:val="both"/>
    </w:pPr>
    <w:rPr>
      <w:rFonts w:ascii="Arial" w:hAnsi="Arial" w:cs="Arial"/>
      <w:b/>
      <w:bCs/>
      <w:iCs/>
      <w:sz w:val="20"/>
      <w:szCs w:val="20"/>
    </w:rPr>
  </w:style>
  <w:style w:type="paragraph" w:styleId="normal1" w:customStyle="1">
    <w:name w:val="normal1"/>
    <w:qFormat/>
    <w:rsid w:val="000d3ee6"/>
    <w:pPr>
      <w:widowControl/>
      <w:suppressAutoHyphens w:val="true"/>
      <w:bidi w:val="0"/>
      <w:spacing w:before="0" w:after="0"/>
      <w:jc w:val="left"/>
    </w:pPr>
    <w:rPr>
      <w:rFonts w:eastAsia="NSimSun" w:cs="Arial" w:ascii="Times New Roman" w:hAnsi="Times New Roman"/>
      <w:color w:val="auto"/>
      <w:kern w:val="0"/>
      <w:sz w:val="24"/>
      <w:szCs w:val="24"/>
      <w:lang w:eastAsia="zh-CN" w:bidi="hi-IN" w:val="pt-BR"/>
    </w:rPr>
  </w:style>
  <w:style w:type="paragraph" w:styleId="Contedodatabelauser" w:customStyle="1">
    <w:name w:val="Conteúdo da tabela (user)"/>
    <w:basedOn w:val="Normal"/>
    <w:qFormat/>
    <w:rsid w:val="000d3ee6"/>
    <w:pPr>
      <w:widowControl w:val="false"/>
      <w:suppressLineNumbers/>
    </w:pPr>
    <w:rPr/>
  </w:style>
  <w:style w:type="paragraph" w:styleId="LO-Normal" w:customStyle="1">
    <w:name w:val="LO-Normal"/>
    <w:qFormat/>
    <w:rsid w:val="00076207"/>
    <w:pPr>
      <w:keepNext w:val="true"/>
      <w:widowControl/>
      <w:shd w:val="clear" w:color="auto" w:fill="FFFFFF"/>
      <w:suppressAutoHyphens w:val="true"/>
      <w:bidi w:val="0"/>
      <w:spacing w:before="0" w:after="0"/>
      <w:jc w:val="left"/>
    </w:pPr>
    <w:rPr>
      <w:rFonts w:ascii="Calibri" w:hAnsi="Calibri" w:eastAsia="Linux Libertine G" w:cs="Calibri"/>
      <w:color w:val="auto"/>
      <w:kern w:val="0"/>
      <w:sz w:val="24"/>
      <w:szCs w:val="24"/>
      <w:lang w:eastAsia="zh-CN" w:bidi="hi-IN" w:val="pt-BR"/>
    </w:rPr>
  </w:style>
  <w:style w:type="numbering" w:styleId="Semlista" w:default="1">
    <w:name w:val="Sem lista"/>
    <w:uiPriority w:val="99"/>
    <w:semiHidden/>
    <w:unhideWhenUsed/>
    <w:qFormat/>
  </w:style>
  <w:style w:type="numbering" w:styleId="NoListWW" w:customStyle="1">
    <w:name w:val="No List (WW)"/>
    <w:qFormat/>
    <w:rsid w:val="000d3ee6"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Application>LibreOffice/26.2.6.3$Windows_X86_64 LibreOffice_project/8221e31b3ac356a1623c672912a3d2b492f7e3d1</Application>
  <AppVersion>15.0000</AppVersion>
  <Pages>9</Pages>
  <Words>2880</Words>
  <Characters>16215</Characters>
  <CharactersWithSpaces>18873</CharactersWithSpaces>
  <Paragraphs>158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2023-05-20T12:12:00Z</dcterms:created>
  <dc:creator/>
  <dc:description/>
  <dc:language>pt-BR</dc:language>
  <cp:lastModifiedBy/>
  <cp:lastPrinted>2024-03-21T14:59:00Z</cp:lastPrinted>
  <dcterms:modified xsi:type="dcterms:W3CDTF">2026-10-19T10:57:16Z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