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rFonts w:ascii="Arial" w:hAnsi="Arial" w:eastAsia="Arial" w:cs="Arial"/>
          <w:b/>
        </w:rPr>
      </w:pPr>
      <w:r>
        <w:rPr>
          <w:rFonts w:eastAsia="Arial" w:cs="Arial" w:ascii="Arial" w:hAnsi="Arial"/>
          <w:b/>
        </w:rPr>
        <w:t>ANEXO V - ESPECIFICAÇÕES TÉCNICAS</w:t>
      </w:r>
    </w:p>
    <w:p>
      <w:pPr>
        <w:pStyle w:val="Normal"/>
        <w:widowControl w:val="false"/>
        <w:jc w:val="center"/>
        <w:rPr>
          <w:rFonts w:ascii="Arial" w:hAnsi="Arial" w:eastAsia="Arial" w:cs="Arial"/>
          <w:b/>
          <w:u w:val="single"/>
        </w:rPr>
      </w:pPr>
      <w:r>
        <w:rPr>
          <w:rFonts w:eastAsia="Arial" w:cs="Arial" w:ascii="Arial" w:hAnsi="Arial"/>
          <w:b/>
          <w:u w:val="single"/>
        </w:rPr>
      </w:r>
    </w:p>
    <w:p>
      <w:pPr>
        <w:pStyle w:val="Normal"/>
        <w:widowControl w:val="false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(Item e Especificação Técnica, Laudo Laboratorial e Catalogação)</w:t>
      </w:r>
    </w:p>
    <w:p>
      <w:pPr>
        <w:pStyle w:val="Normal"/>
        <w:widowControl w:val="false"/>
        <w:numPr>
          <w:ilvl w:val="0"/>
          <w:numId w:val="1"/>
        </w:numPr>
        <w:spacing w:lineRule="auto" w:line="276" w:before="240" w:after="240"/>
        <w:ind w:hanging="403" w:left="403"/>
        <w:rPr>
          <w:rFonts w:ascii="Arial" w:hAnsi="Arial" w:eastAsia="Arial" w:cs="Arial"/>
          <w:b/>
          <w:color w:val="000000"/>
        </w:rPr>
      </w:pPr>
      <w:r>
        <w:rPr>
          <w:rFonts w:eastAsia="Arial" w:cs="Arial" w:ascii="Arial" w:hAnsi="Arial"/>
          <w:b/>
          <w:color w:val="000000"/>
        </w:rPr>
        <w:t>ITENS E ESPECIFICAÇÃO TÉCNICA</w:t>
      </w:r>
    </w:p>
    <w:p>
      <w:pPr>
        <w:pStyle w:val="Normal"/>
        <w:widowControl w:val="false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Tabela 1. Relação de item e suas respectivas Especificações Técnicas.</w:t>
      </w:r>
    </w:p>
    <w:tbl>
      <w:tblPr>
        <w:tblW w:w="9063" w:type="dxa"/>
        <w:jc w:val="left"/>
        <w:tblInd w:w="19" w:type="dxa"/>
        <w:tblLayout w:type="fixed"/>
        <w:tblCellMar>
          <w:top w:w="0" w:type="dxa"/>
          <w:left w:w="2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613"/>
        <w:gridCol w:w="3612"/>
        <w:gridCol w:w="4838"/>
      </w:tblGrid>
      <w:tr>
        <w:trPr>
          <w:trHeight w:val="70" w:hRule="atLeast"/>
        </w:trPr>
        <w:tc>
          <w:tcPr>
            <w:tcW w:w="6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b/>
              </w:rPr>
              <w:t>ITEM</w:t>
            </w:r>
          </w:p>
        </w:tc>
        <w:tc>
          <w:tcPr>
            <w:tcW w:w="3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b/>
              </w:rPr>
              <w:t>DESCRIÇÃO</w:t>
            </w:r>
          </w:p>
        </w:tc>
        <w:tc>
          <w:tcPr>
            <w:tcW w:w="4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before="240" w:after="240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b/>
              </w:rPr>
              <w:t>ESPECIFICAÇÕES TÉCNICAS</w:t>
            </w:r>
          </w:p>
        </w:tc>
      </w:tr>
      <w:tr>
        <w:trPr>
          <w:trHeight w:val="70" w:hRule="atLeast"/>
        </w:trPr>
        <w:tc>
          <w:tcPr>
            <w:tcW w:w="6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1</w:t>
            </w:r>
          </w:p>
        </w:tc>
        <w:tc>
          <w:tcPr>
            <w:tcW w:w="3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Mochila de assalto</w:t>
            </w:r>
          </w:p>
        </w:tc>
        <w:tc>
          <w:tcPr>
            <w:tcW w:w="4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  <w:lang w:val="en-US"/>
              </w:rPr>
              <w:t>BT 30.950-47 (5ª Ed).</w:t>
            </w:r>
          </w:p>
          <w:p>
            <w:pPr>
              <w:pStyle w:val="Normal"/>
              <w:widowControl w:val="fals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  <w:lang w:val="en-US"/>
              </w:rPr>
              <w:t>BT 30.950-51 (4ª Ed).</w:t>
            </w:r>
          </w:p>
        </w:tc>
      </w:tr>
      <w:tr>
        <w:trPr>
          <w:trHeight w:val="70" w:hRule="atLeast"/>
        </w:trPr>
        <w:tc>
          <w:tcPr>
            <w:tcW w:w="6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2</w:t>
            </w:r>
          </w:p>
        </w:tc>
        <w:tc>
          <w:tcPr>
            <w:tcW w:w="3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Colete tático</w:t>
            </w:r>
          </w:p>
        </w:tc>
        <w:tc>
          <w:tcPr>
            <w:tcW w:w="4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  <w:lang w:val="en-US"/>
              </w:rPr>
              <w:t>BT 30.950-55 (3ª Ed).</w:t>
            </w:r>
          </w:p>
          <w:p>
            <w:pPr>
              <w:pStyle w:val="Normal"/>
              <w:widowControl w:val="fals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  <w:lang w:val="en-US"/>
              </w:rPr>
              <w:t>BT 30.950-51 (4ª Ed).</w:t>
            </w:r>
          </w:p>
        </w:tc>
      </w:tr>
      <w:tr>
        <w:trPr>
          <w:trHeight w:val="70" w:hRule="atLeast"/>
        </w:trPr>
        <w:tc>
          <w:tcPr>
            <w:tcW w:w="6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3</w:t>
            </w:r>
          </w:p>
        </w:tc>
        <w:tc>
          <w:tcPr>
            <w:tcW w:w="3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Lanterna tática</w:t>
            </w:r>
          </w:p>
        </w:tc>
        <w:tc>
          <w:tcPr>
            <w:tcW w:w="4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ascii="Arial" w:hAnsi="Arial"/>
                <w:color w:val="000000"/>
                <w:shd w:fill="auto" w:val="clear"/>
              </w:rPr>
              <w:t xml:space="preserve">BT 30.950-67 </w:t>
            </w:r>
            <w:r>
              <w:rPr>
                <w:rFonts w:eastAsia="Arial" w:ascii="Arial" w:hAnsi="Arial"/>
                <w:color w:val="000000"/>
                <w:shd w:fill="auto" w:val="clear"/>
                <w:lang w:val="en-US"/>
              </w:rPr>
              <w:t>(1ª Ed).</w:t>
            </w:r>
          </w:p>
        </w:tc>
      </w:tr>
      <w:tr>
        <w:trPr>
          <w:trHeight w:val="249" w:hRule="atLeast"/>
        </w:trPr>
        <w:tc>
          <w:tcPr>
            <w:tcW w:w="6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4</w:t>
            </w:r>
          </w:p>
        </w:tc>
        <w:tc>
          <w:tcPr>
            <w:tcW w:w="3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Porta carregador de fuzil 7,62 mm / 5.56 mm (duplo)</w:t>
            </w:r>
          </w:p>
        </w:tc>
        <w:tc>
          <w:tcPr>
            <w:tcW w:w="4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  <w:lang w:val="en-US"/>
              </w:rPr>
              <w:t>BT 30.950-57 (2ª Ed).</w:t>
            </w:r>
          </w:p>
          <w:p>
            <w:pPr>
              <w:pStyle w:val="Normal"/>
              <w:widowControl w:val="false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BT 30.950-51 (4ª Ed).</w:t>
            </w:r>
          </w:p>
        </w:tc>
      </w:tr>
      <w:tr>
        <w:trPr>
          <w:trHeight w:val="249" w:hRule="atLeast"/>
        </w:trPr>
        <w:tc>
          <w:tcPr>
            <w:tcW w:w="6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5</w:t>
            </w:r>
          </w:p>
        </w:tc>
        <w:tc>
          <w:tcPr>
            <w:tcW w:w="3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Porta KPSI</w:t>
            </w:r>
          </w:p>
        </w:tc>
        <w:tc>
          <w:tcPr>
            <w:tcW w:w="4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  <w:lang w:val="en-US"/>
              </w:rPr>
              <w:t>BT 30.950-66 (3ª Ed).</w:t>
            </w:r>
          </w:p>
          <w:p>
            <w:pPr>
              <w:pStyle w:val="Normal"/>
              <w:widowControl w:val="false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BT 30.950-51 (4ª Ed).</w:t>
            </w:r>
          </w:p>
        </w:tc>
      </w:tr>
      <w:tr>
        <w:trPr>
          <w:trHeight w:val="352" w:hRule="atLeast"/>
        </w:trPr>
        <w:tc>
          <w:tcPr>
            <w:tcW w:w="6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6</w:t>
            </w:r>
          </w:p>
        </w:tc>
        <w:tc>
          <w:tcPr>
            <w:tcW w:w="3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Cinto porta granada</w:t>
            </w:r>
          </w:p>
        </w:tc>
        <w:tc>
          <w:tcPr>
            <w:tcW w:w="4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  <w:lang w:val="en-US"/>
              </w:rPr>
              <w:t>BT 30.950-43 (3ª Ed).</w:t>
            </w:r>
          </w:p>
        </w:tc>
      </w:tr>
      <w:tr>
        <w:trPr>
          <w:trHeight w:val="249" w:hRule="atLeast"/>
        </w:trPr>
        <w:tc>
          <w:tcPr>
            <w:tcW w:w="6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7</w:t>
            </w:r>
          </w:p>
        </w:tc>
        <w:tc>
          <w:tcPr>
            <w:tcW w:w="3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Porta rádio</w:t>
            </w:r>
          </w:p>
        </w:tc>
        <w:tc>
          <w:tcPr>
            <w:tcW w:w="4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  <w:lang w:val="en-US"/>
              </w:rPr>
              <w:t>BT 30.950-62 (1ª Ed).</w:t>
            </w:r>
          </w:p>
          <w:p>
            <w:pPr>
              <w:pStyle w:val="Normal"/>
              <w:widowControl w:val="false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BT 30.950-51 (4ª Ed).</w:t>
            </w:r>
          </w:p>
        </w:tc>
      </w:tr>
      <w:tr>
        <w:trPr>
          <w:trHeight w:val="249" w:hRule="atLeast"/>
        </w:trPr>
        <w:tc>
          <w:tcPr>
            <w:tcW w:w="6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8</w:t>
            </w:r>
          </w:p>
        </w:tc>
        <w:tc>
          <w:tcPr>
            <w:tcW w:w="3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Barraca de campanha com piso e isolamento térmico integral</w:t>
            </w:r>
          </w:p>
        </w:tc>
        <w:tc>
          <w:tcPr>
            <w:tcW w:w="4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</w:rPr>
              <w:t>Especificação Técnica Nr 77/2020, revisada em 24 MAR 20 (conforme item 4.8.1, letra b) da especificação)</w:t>
            </w:r>
          </w:p>
        </w:tc>
      </w:tr>
    </w:tbl>
    <w:p>
      <w:pPr>
        <w:pStyle w:val="Normal"/>
        <w:widowControl w:val="false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 xml:space="preserve">As especificações / boletins técnicos, ou informações sobre as mesmas, podem ser obtidas no site da </w:t>
      </w:r>
      <w:r>
        <w:rPr>
          <w:rFonts w:eastAsia="Arial" w:cs="Arial" w:ascii="Arial" w:hAnsi="Arial"/>
        </w:rPr>
        <w:t>Chefia de Suprimento</w:t>
      </w:r>
      <w:r>
        <w:rPr>
          <w:rFonts w:eastAsia="Arial" w:cs="Arial" w:ascii="Arial" w:hAnsi="Arial"/>
          <w:color w:val="000000"/>
        </w:rPr>
        <w:t xml:space="preserve"> – </w:t>
      </w:r>
      <w:bookmarkStart w:id="0" w:name="bookmark=id.2et92p0"/>
      <w:bookmarkEnd w:id="0"/>
      <w:r>
        <w:rPr>
          <w:rFonts w:eastAsia="Arial" w:cs="Arial" w:ascii="Arial" w:hAnsi="Arial"/>
          <w:color w:val="000000"/>
        </w:rPr>
        <w:t>site (https://www.colog.eb.mil.br/index.php/biblioteca-tecnica) ou na Chefia de Suprimento (C Sup) – QGEx bloco “C” – 3º piso, segunda, quarta e quinta-feira das 10:00 às 11:30 e das 13:30 às 16:00 horas, mediante agendamento prévio, devendo os interessados comparecerem munidos de uma mídia digital.</w:t>
      </w:r>
    </w:p>
    <w:p>
      <w:pPr>
        <w:pStyle w:val="Normal"/>
        <w:widowControl w:val="false"/>
        <w:numPr>
          <w:ilvl w:val="0"/>
          <w:numId w:val="1"/>
        </w:numPr>
        <w:spacing w:lineRule="auto" w:line="276" w:before="240" w:after="240"/>
        <w:ind w:hanging="403" w:left="403"/>
        <w:rPr>
          <w:rFonts w:ascii="Arial" w:hAnsi="Arial" w:eastAsia="Arial" w:cs="Arial"/>
          <w:b/>
          <w:color w:val="000000"/>
        </w:rPr>
      </w:pPr>
      <w:r>
        <w:rPr>
          <w:rFonts w:eastAsia="Arial" w:cs="Arial" w:ascii="Arial" w:hAnsi="Arial"/>
          <w:b/>
          <w:color w:val="000000"/>
        </w:rPr>
        <w:t>LAUDO LABORATORIAL</w:t>
      </w:r>
    </w:p>
    <w:p>
      <w:pPr>
        <w:pStyle w:val="Normal"/>
        <w:widowControl w:val="false"/>
        <w:numPr>
          <w:ilvl w:val="1"/>
          <w:numId w:val="1"/>
        </w:numPr>
        <w:spacing w:lineRule="auto" w:line="276" w:before="120" w:after="0"/>
        <w:ind w:firstLine="588" w:left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As amostras deverão ser submetidas aos ensaios previstos na Tabela 2 (abaixo).</w:t>
      </w:r>
    </w:p>
    <w:p>
      <w:pPr>
        <w:pStyle w:val="Normal"/>
        <w:widowControl w:val="false"/>
        <w:ind w:left="405"/>
        <w:jc w:val="both"/>
        <w:rPr>
          <w:rFonts w:ascii="Arial" w:hAnsi="Arial" w:eastAsia="Arial" w:cs="Arial"/>
          <w:strike/>
          <w:color w:val="000000"/>
          <w:sz w:val="4"/>
          <w:szCs w:val="4"/>
        </w:rPr>
      </w:pPr>
      <w:r>
        <w:rPr>
          <w:rFonts w:eastAsia="Arial" w:cs="Arial" w:ascii="Arial" w:hAnsi="Arial"/>
          <w:strike/>
          <w:color w:val="000000"/>
          <w:sz w:val="4"/>
          <w:szCs w:val="4"/>
        </w:rPr>
      </w:r>
    </w:p>
    <w:p>
      <w:pPr>
        <w:pStyle w:val="Normal"/>
        <w:widowControl w:val="false"/>
        <w:spacing w:lineRule="auto" w:line="276" w:before="0" w:after="120"/>
        <w:ind w:firstLine="567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Tabela 2: Ensaios laboratoriais que devem constar no laudo de laboratório acreditado pelo INMETRO.</w:t>
      </w:r>
    </w:p>
    <w:tbl>
      <w:tblPr>
        <w:tblW w:w="9517" w:type="dxa"/>
        <w:jc w:val="left"/>
        <w:tblInd w:w="-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1123"/>
        <w:gridCol w:w="2837"/>
        <w:gridCol w:w="5557"/>
      </w:tblGrid>
      <w:tr>
        <w:trPr>
          <w:trHeight w:val="60" w:hRule="atLeast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1134" w:leader="none"/>
              </w:tabs>
              <w:jc w:val="center"/>
              <w:rPr>
                <w:rFonts w:ascii="Arial" w:hAnsi="Arial" w:eastAsia="Arial" w:cs="Arial"/>
                <w:b/>
                <w:color w:val="000000"/>
              </w:rPr>
            </w:pPr>
            <w:r>
              <w:rPr>
                <w:rFonts w:eastAsia="Arial" w:cs="Arial" w:ascii="Arial" w:hAnsi="Arial"/>
                <w:b/>
                <w:color w:val="000000"/>
              </w:rPr>
              <w:t>Ordem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1134" w:leader="none"/>
              </w:tabs>
              <w:jc w:val="center"/>
              <w:rPr>
                <w:rFonts w:ascii="Arial" w:hAnsi="Arial" w:eastAsia="Arial" w:cs="Arial"/>
                <w:b/>
                <w:color w:val="000000"/>
              </w:rPr>
            </w:pPr>
            <w:r>
              <w:rPr>
                <w:rFonts w:eastAsia="Arial" w:cs="Arial" w:ascii="Arial" w:hAnsi="Arial"/>
                <w:b/>
                <w:color w:val="000000"/>
              </w:rPr>
              <w:t>Item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4" w:leader="none"/>
                <w:tab w:val="left" w:pos="1134" w:leader="none"/>
              </w:tabs>
              <w:jc w:val="center"/>
              <w:rPr>
                <w:rFonts w:ascii="Arial" w:hAnsi="Arial" w:eastAsia="Arial" w:cs="Arial"/>
                <w:b/>
                <w:color w:val="000000"/>
              </w:rPr>
            </w:pPr>
            <w:r>
              <w:rPr>
                <w:rFonts w:eastAsia="Arial" w:cs="Arial" w:ascii="Arial" w:hAnsi="Arial"/>
                <w:b/>
                <w:color w:val="000000"/>
              </w:rPr>
              <w:t>Especificação Técnica</w:t>
            </w:r>
          </w:p>
        </w:tc>
      </w:tr>
      <w:tr>
        <w:trPr>
          <w:trHeight w:val="439" w:hRule="atLeast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1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Mochila de assalto</w:t>
            </w:r>
          </w:p>
        </w:tc>
        <w:tc>
          <w:tcPr>
            <w:tcW w:w="5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left w:w="100" w:type="dxa"/>
              <w:right w:w="100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</w:rPr>
              <w:t>- Submeter a amostra aos ensaios previstos no item 10.2 do BT 30.950-47 e no item 10.1 do BT 30.950-51. Para os ensaios dimensionais, se houver mais de um tamanho, realizar o ensaio de dimensão para cada tamanho.</w:t>
            </w:r>
          </w:p>
        </w:tc>
      </w:tr>
      <w:tr>
        <w:trPr>
          <w:trHeight w:val="274" w:hRule="atLeast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2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Colete tático</w:t>
            </w:r>
          </w:p>
        </w:tc>
        <w:tc>
          <w:tcPr>
            <w:tcW w:w="5557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left w:w="100" w:type="dxa"/>
              <w:right w:w="100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</w:rPr>
              <w:t>- Submeter a amostra aos ensaios previstos no item 10.2 do BT 30.950-55 e no item 10.1 do BT 30.950-51. Para os ensaios dimensionais, se houver mais de um tamanho, realizar o ensaio de dimensão para cada tamanho.</w:t>
            </w:r>
          </w:p>
        </w:tc>
      </w:tr>
      <w:tr>
        <w:trPr>
          <w:trHeight w:val="130" w:hRule="atLeast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3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Lanterna tática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0" w:type="dxa"/>
              <w:right w:w="100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</w:rPr>
              <w:t>- Submeter a amostra aos ensaios previstos no item 10.2 do BT 30.950-67. Para os ensaios dimensionais, se houver mais de um tamanho, realizar o ensaio de dimensão para cada tamanho.</w:t>
            </w:r>
          </w:p>
        </w:tc>
      </w:tr>
      <w:tr>
        <w:trPr>
          <w:trHeight w:val="130" w:hRule="atLeast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4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both"/>
              <w:rPr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Porta carregador de fuzil 7,62 mm / 5.56 mm (duplo)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0" w:type="dxa"/>
              <w:right w:w="100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</w:rPr>
              <w:t>- Submeter a amostra aos ensaios previstos no item 10.2 do BT 30.950-57 e no item 10.1 do BT 30.950-51. Para os ensaios dimensionais, se houver mais de um tamanho, realizar o ensaio de dimensão para cada tamanho.</w:t>
            </w:r>
          </w:p>
        </w:tc>
      </w:tr>
      <w:tr>
        <w:trPr>
          <w:trHeight w:val="130" w:hRule="atLeast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5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Porta KPSI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0" w:type="dxa"/>
              <w:right w:w="100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</w:rPr>
              <w:t>- Submeter a amostra aos ensaios previstos no item 10.2 do BT 30.950-66 e no item 10.1 do BT 30.950-51. Para os ensaios dimensionais, se houver mais de um tamanho, realizar o ensaio de dimensão para cada tamanho.</w:t>
            </w:r>
          </w:p>
        </w:tc>
      </w:tr>
      <w:tr>
        <w:trPr>
          <w:trHeight w:val="130" w:hRule="atLeast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6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  <w:t>Cinto porta granada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0" w:type="dxa"/>
              <w:right w:w="100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</w:rPr>
              <w:t>Submeter a amostra aos ensaios previstos no item 10.2 do BT 30.950-43. Para os ensaios dimensionais, se houver mais de um tamanho, realizar o ensaio de dimensão para cada tamanho.</w:t>
            </w:r>
          </w:p>
        </w:tc>
      </w:tr>
      <w:tr>
        <w:trPr>
          <w:trHeight w:val="130" w:hRule="atLeast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7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Porta rádio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0" w:type="dxa"/>
              <w:right w:w="100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</w:rPr>
              <w:t>- Submeter a amostra aos ensaios previstos no item 10.2 do BT 30.950-62 e no item 10.1 do BT 30.950-51. Para os ensaios dimensionais, se houver mais de um tamanho, realizar o ensaio de dimensão para cada tamanho.</w:t>
            </w:r>
          </w:p>
        </w:tc>
      </w:tr>
      <w:tr>
        <w:trPr>
          <w:trHeight w:val="130" w:hRule="atLeast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8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Barraca de campanha com piso e isolamento térmico integral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0" w:type="dxa"/>
              <w:right w:w="100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</w:rPr>
              <w:t>- Submeter a amostra aos ensaios previstos nas Tabelas 3 a 11 da Especificação Técnica Nr 77/2020 – D Abst.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hd w:fill="auto" w:val="clear"/>
              </w:rPr>
              <w:t>- Submeter os aviamentos, apenas ao ensaio de composição, previsto nas Tabelas 12 a 17, 20 e 21 da Especificação Técnica 77/2020 – D Abst.</w:t>
            </w:r>
          </w:p>
        </w:tc>
      </w:tr>
    </w:tbl>
    <w:p>
      <w:pPr>
        <w:pStyle w:val="Normal"/>
        <w:widowControl w:val="false"/>
        <w:spacing w:lineRule="auto" w:line="276" w:before="120" w:after="120"/>
        <w:ind w:left="567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76" w:before="120" w:after="240"/>
        <w:ind w:hanging="403" w:left="403"/>
        <w:rPr>
          <w:rFonts w:ascii="Arial" w:hAnsi="Arial" w:eastAsia="Arial" w:cs="Arial"/>
          <w:b/>
          <w:color w:val="000000"/>
        </w:rPr>
      </w:pPr>
      <w:r>
        <w:rPr>
          <w:rFonts w:eastAsia="Arial" w:cs="Arial" w:ascii="Arial" w:hAnsi="Arial"/>
          <w:b/>
          <w:color w:val="000000"/>
        </w:rPr>
        <w:t>EMBALAGEM.</w:t>
      </w:r>
    </w:p>
    <w:p>
      <w:pPr>
        <w:pStyle w:val="Normal"/>
        <w:widowControl w:val="false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O material, citado na tabela</w:t>
      </w:r>
      <w:r>
        <w:rPr>
          <w:rFonts w:eastAsia="Arial" w:cs="Arial" w:ascii="Arial" w:hAnsi="Arial"/>
          <w:color w:val="000000"/>
          <w:shd w:fill="auto" w:val="clear"/>
        </w:rPr>
        <w:t xml:space="preserve"> 1, a exceção do item 8 - Barraca de campanha, </w:t>
      </w:r>
      <w:r>
        <w:rPr>
          <w:rFonts w:eastAsia="Arial" w:cs="Arial" w:ascii="Arial" w:hAnsi="Arial"/>
          <w:b/>
          <w:bCs/>
          <w:color w:val="000000"/>
          <w:shd w:fill="auto" w:val="clear"/>
        </w:rPr>
        <w:t>deverá ser acondicionado, individualmente, em s</w:t>
      </w:r>
      <w:r>
        <w:rPr>
          <w:rFonts w:eastAsia="Arial" w:cs="Arial" w:ascii="Arial" w:hAnsi="Arial"/>
          <w:b/>
          <w:bCs/>
          <w:color w:val="000000"/>
        </w:rPr>
        <w:t>acos plásticos transparentes a fim de facilitar a verificação e conferência</w:t>
      </w:r>
      <w:r>
        <w:rPr>
          <w:rFonts w:eastAsia="Arial" w:cs="Arial" w:ascii="Arial" w:hAnsi="Arial"/>
          <w:color w:val="000000"/>
        </w:rPr>
        <w:t>.</w:t>
      </w:r>
    </w:p>
    <w:p>
      <w:pPr>
        <w:pStyle w:val="Normal"/>
        <w:widowControl w:val="false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Deverão ser observadas, também, as orientações específicas que porventura existam nas respectivas especificações técnicas de cada item.</w:t>
      </w:r>
    </w:p>
    <w:p>
      <w:pPr>
        <w:pStyle w:val="Normal"/>
        <w:widowControl w:val="false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O item deverá, ainda, ser reunido em embalagens de papelão, conforme descrito na Especificação Técnica Nr 82/2020 C Sup – Embalagem de Material de Intendência (disponível no sítio da Chefia de Suprimento em https://www.colog.eb.mil.br/index.php/biblioteca-tecnica, não ultrapassando os pesos e tamanhos máximos estipulados na referida norma.</w:t>
      </w:r>
    </w:p>
    <w:p>
      <w:pPr>
        <w:pStyle w:val="Normal"/>
        <w:widowControl w:val="false"/>
        <w:numPr>
          <w:ilvl w:val="0"/>
          <w:numId w:val="1"/>
        </w:numPr>
        <w:spacing w:lineRule="auto" w:line="276" w:before="240" w:after="240"/>
        <w:ind w:hanging="403" w:left="403"/>
        <w:rPr>
          <w:rFonts w:ascii="Arial" w:hAnsi="Arial" w:eastAsia="Arial" w:cs="Arial"/>
          <w:b/>
          <w:color w:val="000000"/>
        </w:rPr>
      </w:pPr>
      <w:r>
        <w:rPr>
          <w:rFonts w:eastAsia="Arial" w:cs="Arial" w:ascii="Arial" w:hAnsi="Arial"/>
          <w:b/>
          <w:color w:val="000000"/>
        </w:rPr>
        <w:t>CATALOGAÇÃO</w:t>
      </w:r>
    </w:p>
    <w:p>
      <w:pPr>
        <w:pStyle w:val="Normal"/>
        <w:widowControl w:val="false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Os itens já se encontram catalogados no Sistema de Catalogação Brasileiro (SISCAT-BR), ou identificado no Sistema Integrado de Gestão Logística (SIGELOG), conforme o Nato Stock Number (NSN) ou Número de Estoque do Exército (NEE), ou ainda, ID-SIGELOG.</w:t>
      </w:r>
    </w:p>
    <w:p>
      <w:pPr>
        <w:pStyle w:val="Normal"/>
        <w:widowControl w:val="false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Em virtude do descrito no item 4.1, a Contratada, fica dispensada de fornecer os dados técnicos de identificação dos itens licitados para a catalogação.</w:t>
      </w:r>
    </w:p>
    <w:p>
      <w:pPr>
        <w:pStyle w:val="Normal"/>
        <w:widowControl w:val="false"/>
        <w:spacing w:lineRule="auto" w:line="276" w:before="120" w:after="120"/>
        <w:ind w:firstLine="567" w:left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É obrigatório, por ocasião da assinatura do contrato, por parte da empresa vencedora do certame Licitatório, o fornecimento da Ficha de Dados para Catalogação – Dados da CONTRATADA ou Subcontratada, conforme anexo VI.</w:t>
      </w:r>
    </w:p>
    <w:sectPr>
      <w:type w:val="nextPage"/>
      <w:pgSz w:w="11906" w:h="16838"/>
      <w:pgMar w:left="1701" w:right="1134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"/>
      <w:lvlJc w:val="left"/>
      <w:pPr>
        <w:tabs>
          <w:tab w:val="num" w:pos="0"/>
        </w:tabs>
        <w:ind w:left="405" w:hanging="405"/>
      </w:pPr>
      <w:rPr/>
    </w:lvl>
    <w:lvl w:ilvl="1">
      <w:start w:val="1"/>
      <w:numFmt w:val="decimal"/>
      <w:lvlText w:val="%1.%2"/>
      <w:lvlJc w:val="left"/>
      <w:pPr>
        <w:tabs>
          <w:tab w:val="num" w:pos="0"/>
        </w:tabs>
        <w:ind w:left="405" w:hanging="405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11d1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t-BR" w:val="pt-BR" w:bidi="ar-SA"/>
      <w14:ligatures w14:val="none"/>
    </w:rPr>
  </w:style>
  <w:style w:type="paragraph" w:styleId="Heading1">
    <w:name w:val="Heading 1"/>
    <w:basedOn w:val="Normal"/>
    <w:next w:val="Normal"/>
    <w:link w:val="Ttulo1Char"/>
    <w:uiPriority w:val="9"/>
    <w:qFormat/>
    <w:rsid w:val="00d11d16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d11d16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d11d16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d11d16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d11d16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d11d16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d11d16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d11d16"/>
    <w:pPr>
      <w:keepNext w:val="true"/>
      <w:keepLines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d11d16"/>
    <w:pPr>
      <w:keepNext w:val="true"/>
      <w:keepLines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d11d16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d11d16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d11d16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d11d16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har" w:customStyle="1">
    <w:name w:val="Título 5 Char"/>
    <w:basedOn w:val="DefaultParagraphFont"/>
    <w:uiPriority w:val="9"/>
    <w:semiHidden/>
    <w:qFormat/>
    <w:rsid w:val="00d11d16"/>
    <w:rPr>
      <w:rFonts w:eastAsia="" w:cs="" w:cstheme="majorBidi" w:eastAsiaTheme="majorEastAsia"/>
      <w:color w:themeColor="accent1" w:themeShade="bf" w:val="0F4761"/>
    </w:rPr>
  </w:style>
  <w:style w:type="character" w:styleId="Ttulo6Char" w:customStyle="1">
    <w:name w:val="Título 6 Char"/>
    <w:basedOn w:val="DefaultParagraphFont"/>
    <w:uiPriority w:val="9"/>
    <w:semiHidden/>
    <w:qFormat/>
    <w:rsid w:val="00d11d16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d11d16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d11d16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d11d16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d11d16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d11d16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d11d16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d11d16"/>
    <w:rPr>
      <w:i/>
      <w:iCs/>
      <w:color w:themeColor="accent1" w:themeShade="bf" w:val="0F4761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d11d16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d11d16"/>
    <w:rPr>
      <w:b/>
      <w:bCs/>
      <w:smallCaps/>
      <w:color w:themeColor="accent1" w:themeShade="bf" w:val="0F4761"/>
      <w:spacing w:val="5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tuloChar"/>
    <w:uiPriority w:val="10"/>
    <w:qFormat/>
    <w:rsid w:val="00d11d16"/>
    <w:pPr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d11d16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d11d16"/>
    <w:pPr>
      <w:spacing w:before="160" w:after="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d11d16"/>
    <w:pPr>
      <w:spacing w:before="0" w:after="0"/>
      <w:ind w:lef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d11d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0F476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Application>LibreOffice/24.2.1.2$Windows_X86_64 LibreOffice_project/db4def46b0453cc22e2d0305797cf981b68ef5ac</Application>
  <AppVersion>15.0000</AppVersion>
  <Pages>2</Pages>
  <Words>761</Words>
  <Characters>3968</Characters>
  <CharactersWithSpaces>4648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2025-03-13T18:14:00Z</dcterms:created>
  <dc:creator>Paolo de Souza Lima</dc:creator>
  <dc:description/>
  <dc:language>pt-BR</dc:language>
  <cp:lastModifiedBy/>
  <dcterms:modified xsi:type="dcterms:W3CDTF">2026-08-06T16:08:45Z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