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wmf" ContentType="image/x-wmf"/>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76" w:before="0" w:after="170"/>
        <w:ind w:hanging="0" w:left="0"/>
        <w:rPr>
          <w:rFonts w:ascii="Times New Roman" w:hAnsi="Times New Roman" w:eastAsia="" w:cs="Arial" w:eastAsiaTheme="minorEastAsia"/>
          <w:i w:val="false"/>
          <w:i w:val="false"/>
          <w:iCs w:val="false"/>
          <w:color w:val="000000"/>
          <w:sz w:val="24"/>
          <w:szCs w:val="24"/>
          <w:highlight w:val="none"/>
          <w:shd w:fill="auto" w:val="clear"/>
        </w:rPr>
      </w:pPr>
      <w:r>
        <w:rPr>
          <w:rFonts w:eastAsia="" w:cs="Arial" w:eastAsiaTheme="minorEastAsia" w:ascii="Times New Roman" w:hAnsi="Times New Roman"/>
          <w:i w:val="false"/>
          <w:iCs w:val="false"/>
          <w:color w:val="000000"/>
          <w:sz w:val="24"/>
          <w:szCs w:val="24"/>
          <w:shd w:fill="auto" w:val="clear"/>
        </w:rPr>
      </w:r>
    </w:p>
    <w:p>
      <w:pPr>
        <w:pStyle w:val="Normal"/>
        <w:suppressAutoHyphens w:val="false"/>
        <w:spacing w:lineRule="auto" w:line="276" w:before="0" w:after="170"/>
        <w:ind w:hanging="0" w:left="0"/>
        <w:rPr>
          <w:rFonts w:ascii="Times New Roman" w:hAnsi="Times New Roman" w:eastAsia="" w:cs="Arial" w:eastAsiaTheme="minorEastAsia"/>
          <w:i w:val="false"/>
          <w:i w:val="false"/>
          <w:iCs w:val="false"/>
          <w:color w:val="000000"/>
          <w:sz w:val="24"/>
          <w:szCs w:val="24"/>
          <w:highlight w:val="none"/>
          <w:shd w:fill="auto" w:val="clear"/>
        </w:rPr>
      </w:pPr>
      <w:r>
        <w:rPr>
          <w:rFonts w:eastAsia="" w:cs="Arial" w:eastAsiaTheme="minorEastAsia" w:ascii="Times New Roman" w:hAnsi="Times New Roman"/>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i w:val="false"/>
          <w:iCs w:val="false"/>
          <w:color w:val="000000"/>
          <w:sz w:val="24"/>
          <w:szCs w:val="24"/>
          <w:shd w:fill="auto" w:val="clear"/>
        </w:rPr>
        <w:t>AVISO DE CONTRATAÇÃO</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i w:val="false"/>
          <w:iCs w:val="false"/>
          <w:color w:val="000000"/>
          <w:sz w:val="24"/>
          <w:szCs w:val="24"/>
          <w:shd w:fill="auto" w:val="clear"/>
        </w:rPr>
        <w:t>DIRETA</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CONTRATANTE/GERENCIADOR (UASG)</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XXXX</w:t>
      </w:r>
    </w:p>
    <w:p>
      <w:pPr>
        <w:pStyle w:val="Normal"/>
        <w:spacing w:lineRule="auto" w:line="276" w:before="0" w:after="170"/>
        <w:ind w:hanging="0" w:left="0"/>
        <w:rPr>
          <w:rFonts w:ascii="Times New Roman" w:hAnsi="Times New Roman" w:cs="Arial"/>
          <w:b/>
          <w:bCs/>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OBJETO</w:t>
      </w:r>
    </w:p>
    <w:p>
      <w:pPr>
        <w:pStyle w:val="Normal"/>
        <w:numPr>
          <w:ilvl w:val="0"/>
          <w:numId w:val="0"/>
        </w:numPr>
        <w:spacing w:lineRule="auto" w:line="276" w:before="0" w:after="170"/>
        <w:ind w:hanging="0" w:left="0" w:righ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lang w:eastAsia="zh-CN"/>
        </w:rPr>
        <w:t>Contratação de empresa especializada em serviços de Impressão Corporativa (Outsourcing de Impressão) na modalidade FRANQUIA MENSAL DE PÁGINAS MAIS EXCEDENTE, compreendendo o fornecimento, instalação, configuração e a cessão de direito de uso de impressoras multifuncionais laser/led ou equivalentes, contemplando impressão para o Parque Regional de Manutenção/7, conforme condições, quantidades, exigências e estimativas, estabelecidas neste instrumento:</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VALOR TOTAL DA CONTRATAÇÃO</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 xml:space="preserve">R$ </w:t>
      </w:r>
      <w:r>
        <w:rPr>
          <w:rFonts w:cs="Arial" w:ascii="Times New Roman" w:hAnsi="Times New Roman"/>
          <w:bCs/>
          <w:i w:val="false"/>
          <w:iCs w:val="false"/>
          <w:color w:val="000000"/>
          <w:sz w:val="24"/>
          <w:szCs w:val="24"/>
          <w:shd w:fill="auto" w:val="clear"/>
        </w:rPr>
        <w:t>2.000,00</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DATA DA SESSÃO PÚBLICA</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De XX/XX/202X</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HORÁRIO DA FASE DE LANCES</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 xml:space="preserve">Das </w:t>
      </w:r>
      <w:r>
        <w:rPr>
          <w:rFonts w:cs="Arial" w:ascii="Times New Roman" w:hAnsi="Times New Roman"/>
          <w:bCs/>
          <w:i w:val="false"/>
          <w:iCs w:val="false"/>
          <w:color w:val="000000"/>
          <w:sz w:val="24"/>
          <w:szCs w:val="24"/>
          <w:shd w:fill="auto" w:val="clear"/>
        </w:rPr>
        <w:t>08;00</w:t>
      </w:r>
      <w:r>
        <w:rPr>
          <w:rFonts w:cs="Arial" w:ascii="Times New Roman" w:hAnsi="Times New Roman"/>
          <w:bCs/>
          <w:i w:val="false"/>
          <w:iCs w:val="false"/>
          <w:color w:val="000000"/>
          <w:sz w:val="24"/>
          <w:szCs w:val="24"/>
          <w:shd w:fill="auto" w:val="clear"/>
        </w:rPr>
        <w:t xml:space="preserve"> até </w:t>
      </w:r>
      <w:r>
        <w:rPr>
          <w:rFonts w:cs="Arial" w:ascii="Times New Roman" w:hAnsi="Times New Roman"/>
          <w:bCs/>
          <w:i w:val="false"/>
          <w:iCs w:val="false"/>
          <w:color w:val="000000"/>
          <w:sz w:val="24"/>
          <w:szCs w:val="24"/>
          <w:shd w:fill="auto" w:val="clear"/>
        </w:rPr>
        <w:t>14 hs</w:t>
      </w:r>
    </w:p>
    <w:p>
      <w:pPr>
        <w:pStyle w:val="Normal"/>
        <w:spacing w:lineRule="auto" w:line="276" w:before="0" w:after="170"/>
        <w:ind w:hanging="0" w:left="0"/>
        <w:rPr>
          <w:rFonts w:ascii="Times New Roman" w:hAnsi="Times New Roman" w:cs="Arial"/>
          <w:b/>
          <w:bCs/>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CRITÉRIO DE JULGAMENTO:</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 xml:space="preserve">menor preço </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TRATAMENTO FAVORECIDO ME/EPP/EQUIPARADAS</w:t>
        <w:br/>
      </w:r>
      <w:r>
        <w:rPr>
          <w:rFonts w:cs="Arial" w:ascii="Times New Roman" w:hAnsi="Times New Roman"/>
          <w:b/>
          <w:bCs/>
          <w:i w:val="false"/>
          <w:iCs w:val="false"/>
          <w:color w:val="000000"/>
          <w:sz w:val="24"/>
          <w:szCs w:val="24"/>
          <w:shd w:fill="auto" w:val="clear"/>
        </w:rPr>
        <w:t>NÃO</w:t>
      </w:r>
    </w:p>
    <w:p>
      <w:pPr>
        <w:pStyle w:val="Normal"/>
        <w:suppressAutoHyphens w:val="false"/>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 w:cs="Arial" w:ascii="Times New Roman" w:hAnsi="Times New Roman" w:eastAsiaTheme="minorEastAsia"/>
          <w:b/>
          <w:bCs/>
          <w:i w:val="false"/>
          <w:iCs w:val="false"/>
          <w:color w:val="000000"/>
          <w:sz w:val="24"/>
          <w:szCs w:val="24"/>
          <w:shd w:fill="auto" w:val="clear"/>
        </w:rPr>
        <w:t>MARGEM DE PREFERÊNCIA PARA ALGUM ITEM</w:t>
      </w:r>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NÃO</w:t>
      </w:r>
    </w:p>
    <w:p>
      <w:pPr>
        <w:pStyle w:val="Normal"/>
        <w:spacing w:lineRule="auto" w:line="276" w:before="0" w:after="170"/>
        <w:ind w:hanging="0" w:left="0"/>
        <w:rPr>
          <w:rFonts w:ascii="Times New Roman" w:hAnsi="Times New Roman" w:eastAsia="" w:cs="Arial" w:eastAsiaTheme="minorEastAsia"/>
          <w:b/>
          <w:bCs/>
          <w:i w:val="false"/>
          <w:i w:val="false"/>
          <w:iCs w:val="false"/>
          <w:color w:val="000000"/>
          <w:sz w:val="24"/>
          <w:szCs w:val="24"/>
          <w:highlight w:val="none"/>
          <w:shd w:fill="auto" w:val="clear"/>
        </w:rPr>
      </w:pPr>
      <w:r>
        <w:rPr>
          <w:rFonts w:eastAsia="" w:cs="Arial" w:eastAsiaTheme="minorEastAsia" w:ascii="Times New Roman" w:hAnsi="Times New Roman"/>
          <w:b/>
          <w:bCs/>
          <w:i w:val="false"/>
          <w:iCs w:val="false"/>
          <w:color w:val="000000"/>
          <w:sz w:val="24"/>
          <w:szCs w:val="24"/>
          <w:shd w:fill="auto" w:val="clear"/>
        </w:rPr>
      </w:r>
    </w:p>
    <w:sdt>
      <w:sdtPr>
        <w:docPartObj>
          <w:docPartGallery w:val="Table of Contents"/>
          <w:docPartUnique w:val="true"/>
        </w:docPartObj>
      </w:sdtPr>
      <w:sdtContent>
        <w:p>
          <w:pPr>
            <w:pStyle w:val="TOCHeading"/>
            <w:spacing w:lineRule="auto" w:line="276" w:before="0" w:after="170"/>
            <w:ind w:hanging="0" w:left="0"/>
            <w:rPr>
              <w:rFonts w:ascii="Times New Roman" w:hAnsi="Times New Roman"/>
              <w:i w:val="false"/>
              <w:i w:val="false"/>
              <w:iCs w:val="false"/>
              <w:color w:val="000000"/>
              <w:sz w:val="24"/>
              <w:szCs w:val="24"/>
              <w:highlight w:val="none"/>
              <w:shd w:fill="auto" w:val="clear"/>
            </w:rPr>
          </w:pPr>
          <w:r>
            <w:br w:type="page"/>
          </w:r>
          <w:r>
            <w:rPr>
              <w:rFonts w:ascii="Times New Roman" w:hAnsi="Times New Roman"/>
              <w:i w:val="false"/>
              <w:iCs w:val="false"/>
              <w:color w:val="000000"/>
              <w:sz w:val="24"/>
              <w:szCs w:val="24"/>
              <w:shd w:fill="auto" w:val="clear"/>
            </w:rPr>
            <w:t>Sumário</w:t>
          </w:r>
        </w:p>
        <w:p>
          <w:pPr>
            <w:pStyle w:val="TOC1"/>
            <w:spacing w:lineRule="auto" w:line="276" w:before="0" w:after="170"/>
            <w:ind w:hanging="0" w:left="0"/>
            <w:rPr/>
          </w:pPr>
          <w:r>
            <w:fldChar w:fldCharType="begin"/>
          </w:r>
          <w:r>
            <w:rPr>
              <w:webHidden/>
              <w:rStyle w:val="Vnculodendice"/>
              <w:sz w:val="24"/>
              <w:i w:val="false"/>
              <w:shd w:fill="auto" w:val="clear"/>
              <w:szCs w:val="24"/>
              <w:iCs w:val="false"/>
              <w:rFonts w:eastAsia="" w:ascii="Times New Roman" w:hAnsi="Times New Roman"/>
              <w:color w:val="000000"/>
              <w:lang w:bidi="hi-IN"/>
            </w:rPr>
            <w:instrText xml:space="preserve"> TOC \z \o "1-3" \u \h</w:instrText>
          </w:r>
          <w:r>
            <w:rPr>
              <w:webHidden/>
              <w:rStyle w:val="Vnculodendice"/>
              <w:sz w:val="24"/>
              <w:i w:val="false"/>
              <w:shd w:fill="auto" w:val="clear"/>
              <w:szCs w:val="24"/>
              <w:iCs w:val="false"/>
              <w:rFonts w:eastAsia="" w:ascii="Times New Roman" w:hAnsi="Times New Roman"/>
              <w:color w:val="000000"/>
              <w:lang w:bidi="hi-IN"/>
            </w:rPr>
            <w:fldChar w:fldCharType="separate"/>
          </w:r>
          <w:hyperlink w:anchor="_Toc226962637">
            <w:r>
              <w:rPr>
                <w:webHidden/>
                <w:rStyle w:val="Vnculodendice"/>
                <w:rFonts w:eastAsia="" w:ascii="Times New Roman" w:hAnsi="Times New Roman" w:eastAsiaTheme="minorEastAsia"/>
                <w:i w:val="false"/>
                <w:iCs w:val="false"/>
                <w:color w:val="000000"/>
                <w:sz w:val="24"/>
                <w:szCs w:val="24"/>
                <w:shd w:fill="auto" w:val="clear"/>
                <w:lang w:bidi="hi-IN"/>
              </w:rPr>
              <w:t>1.</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DO OBJETO</w:t>
            </w:r>
            <w:r>
              <w:rPr>
                <w:webHidden/>
              </w:rPr>
              <w:fldChar w:fldCharType="begin"/>
            </w:r>
            <w:r>
              <w:rPr>
                <w:webHidden/>
              </w:rPr>
              <w:instrText xml:space="preserve">PAGEREF _Toc226962637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3</w:t>
            </w:r>
            <w:r>
              <w:rPr>
                <w:webHidden/>
              </w:rPr>
              <w:fldChar w:fldCharType="end"/>
            </w:r>
          </w:hyperlink>
        </w:p>
        <w:p>
          <w:pPr>
            <w:pStyle w:val="TOC1"/>
            <w:spacing w:lineRule="auto" w:line="276" w:before="0" w:after="170"/>
            <w:ind w:hanging="0" w:left="0"/>
            <w:rPr/>
          </w:pPr>
          <w:hyperlink w:anchor="_Toc226962638">
            <w:r>
              <w:rPr>
                <w:webHidden/>
                <w:rStyle w:val="Vnculodendice"/>
                <w:rFonts w:eastAsia="" w:ascii="Times New Roman" w:hAnsi="Times New Roman" w:eastAsiaTheme="minorEastAsia"/>
                <w:i w:val="false"/>
                <w:iCs w:val="false"/>
                <w:color w:val="000000"/>
                <w:sz w:val="24"/>
                <w:szCs w:val="24"/>
                <w:shd w:fill="auto" w:val="clear"/>
                <w:lang w:bidi="hi-IN"/>
              </w:rPr>
              <w:t>2.</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3</w:t>
            </w:r>
            <w:r>
              <w:rPr>
                <w:webHidden/>
              </w:rPr>
              <w:fldChar w:fldCharType="end"/>
            </w:r>
          </w:hyperlink>
        </w:p>
        <w:p>
          <w:pPr>
            <w:pStyle w:val="TOC1"/>
            <w:spacing w:lineRule="auto" w:line="276" w:before="0" w:after="170"/>
            <w:ind w:hanging="0" w:left="0"/>
            <w:rPr/>
          </w:pPr>
          <w:hyperlink w:anchor="_Toc226962639">
            <w:r>
              <w:rPr>
                <w:webHidden/>
                <w:rStyle w:val="Vnculodendice"/>
                <w:rFonts w:eastAsia="" w:ascii="Times New Roman" w:hAnsi="Times New Roman" w:eastAsiaTheme="minorEastAsia"/>
                <w:i w:val="false"/>
                <w:iCs w:val="false"/>
                <w:color w:val="000000"/>
                <w:sz w:val="24"/>
                <w:szCs w:val="24"/>
                <w:shd w:fill="auto" w:val="clear"/>
                <w:lang w:bidi="hi-IN"/>
              </w:rPr>
              <w:t>3.</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3</w:t>
            </w:r>
            <w:r>
              <w:rPr>
                <w:webHidden/>
              </w:rPr>
              <w:fldChar w:fldCharType="end"/>
            </w:r>
          </w:hyperlink>
        </w:p>
        <w:p>
          <w:pPr>
            <w:pStyle w:val="TOC1"/>
            <w:spacing w:lineRule="auto" w:line="276" w:before="0" w:after="170"/>
            <w:ind w:hanging="0" w:left="0"/>
            <w:rPr/>
          </w:pPr>
          <w:hyperlink w:anchor="_Toc226962640">
            <w:r>
              <w:rPr>
                <w:webHidden/>
                <w:rStyle w:val="Vnculodendice"/>
                <w:rFonts w:eastAsia="" w:ascii="Times New Roman" w:hAnsi="Times New Roman" w:eastAsiaTheme="minorEastAsia"/>
                <w:i w:val="false"/>
                <w:iCs w:val="false"/>
                <w:color w:val="000000"/>
                <w:sz w:val="24"/>
                <w:szCs w:val="24"/>
                <w:shd w:fill="auto" w:val="clear"/>
                <w:lang w:bidi="hi-IN"/>
              </w:rPr>
              <w:t>4.</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5</w:t>
            </w:r>
            <w:r>
              <w:rPr>
                <w:webHidden/>
              </w:rPr>
              <w:fldChar w:fldCharType="end"/>
            </w:r>
          </w:hyperlink>
        </w:p>
        <w:p>
          <w:pPr>
            <w:pStyle w:val="TOC1"/>
            <w:spacing w:lineRule="auto" w:line="276" w:before="0" w:after="170"/>
            <w:ind w:hanging="0" w:left="0"/>
            <w:rPr/>
          </w:pPr>
          <w:hyperlink w:anchor="_Toc226962641">
            <w:r>
              <w:rPr>
                <w:webHidden/>
                <w:rStyle w:val="Vnculodendice"/>
                <w:rFonts w:eastAsia="" w:ascii="Times New Roman" w:hAnsi="Times New Roman" w:eastAsiaTheme="minorEastAsia"/>
                <w:i w:val="false"/>
                <w:iCs w:val="false"/>
                <w:color w:val="000000"/>
                <w:sz w:val="24"/>
                <w:szCs w:val="24"/>
                <w:shd w:fill="auto" w:val="clear"/>
                <w:lang w:bidi="hi-IN"/>
              </w:rPr>
              <w:t>5.</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7</w:t>
            </w:r>
            <w:r>
              <w:rPr>
                <w:webHidden/>
              </w:rPr>
              <w:fldChar w:fldCharType="end"/>
            </w:r>
          </w:hyperlink>
        </w:p>
        <w:p>
          <w:pPr>
            <w:pStyle w:val="TOC1"/>
            <w:spacing w:lineRule="auto" w:line="276" w:before="0" w:after="170"/>
            <w:ind w:hanging="0" w:left="0"/>
            <w:rPr/>
          </w:pPr>
          <w:hyperlink w:anchor="_Toc226962642">
            <w:r>
              <w:rPr>
                <w:webHidden/>
                <w:rStyle w:val="Vnculodendice"/>
                <w:rFonts w:eastAsia="" w:ascii="Times New Roman" w:hAnsi="Times New Roman" w:eastAsiaTheme="minorEastAsia"/>
                <w:i w:val="false"/>
                <w:iCs w:val="false"/>
                <w:color w:val="000000"/>
                <w:sz w:val="24"/>
                <w:szCs w:val="24"/>
                <w:shd w:fill="auto" w:val="clear"/>
                <w:lang w:bidi="hi-IN"/>
              </w:rPr>
              <w:t>6.</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7</w:t>
            </w:r>
            <w:r>
              <w:rPr>
                <w:webHidden/>
              </w:rPr>
              <w:fldChar w:fldCharType="end"/>
            </w:r>
          </w:hyperlink>
        </w:p>
        <w:p>
          <w:pPr>
            <w:pStyle w:val="TOC1"/>
            <w:spacing w:lineRule="auto" w:line="276" w:before="0" w:after="170"/>
            <w:ind w:hanging="0" w:left="0"/>
            <w:rPr/>
          </w:pPr>
          <w:hyperlink w:anchor="_Toc226962643">
            <w:r>
              <w:rPr>
                <w:webHidden/>
                <w:rStyle w:val="Vnculodendice"/>
                <w:rFonts w:eastAsia="" w:ascii="Times New Roman" w:hAnsi="Times New Roman" w:eastAsiaTheme="minorEastAsia"/>
                <w:i w:val="false"/>
                <w:iCs w:val="false"/>
                <w:color w:val="000000"/>
                <w:sz w:val="24"/>
                <w:szCs w:val="24"/>
                <w:shd w:fill="auto" w:val="clear"/>
                <w:lang w:bidi="hi-IN"/>
              </w:rPr>
              <w:t>7.</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10</w:t>
            </w:r>
            <w:r>
              <w:rPr>
                <w:webHidden/>
              </w:rPr>
              <w:fldChar w:fldCharType="end"/>
            </w:r>
          </w:hyperlink>
        </w:p>
        <w:p>
          <w:pPr>
            <w:pStyle w:val="TOC1"/>
            <w:spacing w:lineRule="auto" w:line="276" w:before="0" w:after="170"/>
            <w:ind w:hanging="0" w:left="0"/>
            <w:rPr/>
          </w:pPr>
          <w:hyperlink w:anchor="_Toc226962644">
            <w:r>
              <w:rPr>
                <w:webHidden/>
                <w:rStyle w:val="Vnculodendice"/>
                <w:rFonts w:eastAsia="" w:ascii="Times New Roman" w:hAnsi="Times New Roman" w:eastAsiaTheme="minorEastAsia"/>
                <w:i w:val="false"/>
                <w:iCs w:val="false"/>
                <w:color w:val="000000"/>
                <w:sz w:val="24"/>
                <w:szCs w:val="24"/>
                <w:shd w:fill="auto" w:val="clear"/>
                <w:lang w:bidi="hi-IN"/>
              </w:rPr>
              <w:t>8.</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11</w:t>
            </w:r>
            <w:r>
              <w:rPr>
                <w:webHidden/>
              </w:rPr>
              <w:fldChar w:fldCharType="end"/>
            </w:r>
          </w:hyperlink>
        </w:p>
        <w:p>
          <w:pPr>
            <w:pStyle w:val="TOC1"/>
            <w:spacing w:lineRule="auto" w:line="276" w:before="0" w:after="170"/>
            <w:ind w:hanging="0" w:left="0"/>
            <w:rPr/>
          </w:pPr>
          <w:hyperlink w:anchor="_Toc226962645">
            <w:r>
              <w:rPr>
                <w:webHidden/>
                <w:rStyle w:val="Vnculodendice"/>
                <w:rFonts w:eastAsia="" w:ascii="Times New Roman" w:hAnsi="Times New Roman" w:eastAsiaTheme="minorEastAsia"/>
                <w:bCs/>
                <w:i w:val="false"/>
                <w:iCs w:val="false"/>
                <w:color w:val="000000"/>
                <w:sz w:val="24"/>
                <w:szCs w:val="24"/>
                <w:shd w:fill="auto" w:val="clear"/>
                <w:lang w:bidi="hi-IN"/>
              </w:rPr>
              <w:t>9.</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12</w:t>
            </w:r>
            <w:r>
              <w:rPr>
                <w:webHidden/>
              </w:rPr>
              <w:fldChar w:fldCharType="end"/>
            </w:r>
          </w:hyperlink>
        </w:p>
        <w:p>
          <w:pPr>
            <w:pStyle w:val="TOC1"/>
            <w:spacing w:lineRule="auto" w:line="276" w:before="0" w:after="170"/>
            <w:ind w:hanging="0" w:left="0"/>
            <w:rPr/>
          </w:pPr>
          <w:hyperlink w:anchor="_Toc226962646">
            <w:r>
              <w:rPr>
                <w:webHidden/>
                <w:rStyle w:val="Vnculodendice"/>
                <w:rFonts w:eastAsia="" w:ascii="Times New Roman" w:hAnsi="Times New Roman" w:eastAsiaTheme="minorEastAsia"/>
                <w:i w:val="false"/>
                <w:iCs w:val="false"/>
                <w:color w:val="000000"/>
                <w:sz w:val="24"/>
                <w:szCs w:val="24"/>
                <w:shd w:fill="auto" w:val="clear"/>
                <w:lang w:bidi="hi-IN"/>
              </w:rPr>
              <w:t>10.</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13</w:t>
            </w:r>
            <w:r>
              <w:rPr>
                <w:webHidden/>
              </w:rPr>
              <w:fldChar w:fldCharType="end"/>
            </w:r>
          </w:hyperlink>
        </w:p>
        <w:p>
          <w:pPr>
            <w:pStyle w:val="TOC1"/>
            <w:spacing w:lineRule="auto" w:line="276" w:before="0" w:after="170"/>
            <w:ind w:hanging="0" w:left="0"/>
            <w:rPr/>
          </w:pPr>
          <w:hyperlink w:anchor="_Toc226962647">
            <w:r>
              <w:rPr>
                <w:webHidden/>
                <w:rStyle w:val="Vnculodendice"/>
                <w:rFonts w:eastAsia="" w:ascii="Times New Roman" w:hAnsi="Times New Roman" w:eastAsiaTheme="minorEastAsia"/>
                <w:i w:val="false"/>
                <w:iCs w:val="false"/>
                <w:color w:val="000000"/>
                <w:sz w:val="24"/>
                <w:szCs w:val="24"/>
                <w:shd w:fill="auto" w:val="clear"/>
                <w:lang w:bidi="hi-IN"/>
              </w:rPr>
              <w:t>11.</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13</w:t>
            </w:r>
            <w:r>
              <w:rPr>
                <w:webHidden/>
              </w:rPr>
              <w:fldChar w:fldCharType="end"/>
            </w:r>
          </w:hyperlink>
        </w:p>
        <w:p>
          <w:pPr>
            <w:pStyle w:val="TOC1"/>
            <w:spacing w:lineRule="auto" w:line="276" w:before="0" w:after="170"/>
            <w:ind w:hanging="0" w:left="0"/>
            <w:rPr/>
          </w:pPr>
          <w:hyperlink w:anchor="_Toc226962648">
            <w:r>
              <w:rPr>
                <w:webHidden/>
                <w:rStyle w:val="Vnculodendice"/>
                <w:rFonts w:eastAsia="" w:ascii="Times New Roman" w:hAnsi="Times New Roman" w:eastAsiaTheme="minorEastAsia"/>
                <w:i w:val="false"/>
                <w:iCs w:val="false"/>
                <w:color w:val="000000"/>
                <w:sz w:val="24"/>
                <w:szCs w:val="24"/>
                <w:shd w:fill="auto" w:val="clear"/>
                <w:lang w:bidi="hi-IN"/>
              </w:rPr>
              <w:t>12.</w:t>
            </w:r>
            <w:r>
              <w:rPr>
                <w:rStyle w:val="Vnculodendice"/>
                <w:rFonts w:eastAsia="" w:cs="Arial" w:ascii="Times New Roman" w:hAnsi="Times New Roman" w:cstheme="minorBidi" w:eastAsiaTheme="minorEastAsia"/>
                <w:i w:val="false"/>
                <w:iCs w:val="false"/>
                <w:color w:val="000000"/>
                <w:kern w:val="2"/>
                <w:sz w:val="24"/>
                <w:szCs w:val="24"/>
                <w:shd w:fill="auto" w:val="clear"/>
                <w14:ligatures w14:val="standardContextual"/>
              </w:rPr>
              <w:tab/>
            </w:r>
            <w:r>
              <w:rPr>
                <w:rStyle w:val="Vnculodendice"/>
                <w:rFonts w:eastAsia="" w:ascii="Times New Roman" w:hAnsi="Times New Roman" w:eastAsiaTheme="minorEastAsia"/>
                <w:i w:val="false"/>
                <w:iCs w:val="false"/>
                <w:color w:val="000000"/>
                <w:sz w:val="24"/>
                <w:szCs w:val="24"/>
                <w:shd w:fill="auto" w:val="clear"/>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rFonts w:ascii="Times New Roman" w:hAnsi="Times New Roman"/>
                <w:i w:val="false"/>
                <w:iCs w:val="false"/>
                <w:vanish w:val="false"/>
                <w:color w:val="000000"/>
                <w:sz w:val="24"/>
                <w:szCs w:val="24"/>
                <w:shd w:fill="auto" w:val="clear"/>
              </w:rPr>
              <w:tab/>
              <w:t>15</w:t>
            </w:r>
            <w:r>
              <w:rPr>
                <w:webHidden/>
              </w:rPr>
              <w:fldChar w:fldCharType="end"/>
            </w:r>
          </w:hyperlink>
        </w:p>
        <w:p>
          <w:pPr>
            <w:pStyle w:val="Normal"/>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r>
            <w:rPr>
              <w:sz w:val="24"/>
              <w:i w:val="false"/>
              <w:shd w:fill="auto" w:val="clear"/>
              <w:szCs w:val="24"/>
              <w:iCs w:val="false"/>
              <w:rFonts w:ascii="Times New Roman" w:hAnsi="Times New Roman"/>
              <w:color w:val="000000"/>
            </w:rPr>
            <w:fldChar w:fldCharType="end"/>
          </w:r>
        </w:p>
      </w:sdtContent>
    </w:sdt>
    <w:p>
      <w:pPr>
        <w:pStyle w:val="Normal"/>
        <w:suppressAutoHyphens w:val="false"/>
        <w:spacing w:lineRule="auto" w:line="276" w:before="0" w:after="170"/>
        <w:ind w:hanging="0" w:left="0"/>
        <w:rPr>
          <w:rFonts w:ascii="Times New Roman" w:hAnsi="Times New Roman" w:cs="Arial"/>
          <w:b/>
          <w:bCs/>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r>
      <w:r>
        <w:br w:type="page"/>
      </w:r>
    </w:p>
    <w:p>
      <w:pPr>
        <w:pStyle w:val="Normal"/>
        <w:spacing w:lineRule="auto" w:line="276" w:before="0" w:after="170"/>
        <w:ind w:hanging="0" w:left="0" w:right="0"/>
        <w:jc w:val="center"/>
        <w:rPr>
          <w:rFonts w:ascii="Times New Roman" w:hAnsi="Times New Roman" w:cs="Arial"/>
          <w:b/>
          <w:i w:val="false"/>
          <w:i w:val="false"/>
          <w:iCs w:val="false"/>
          <w:color w:val="000000"/>
          <w:sz w:val="24"/>
          <w:szCs w:val="24"/>
          <w:highlight w:val="none"/>
          <w:shd w:fill="auto" w:val="clear"/>
        </w:rPr>
      </w:pPr>
      <w:r>
        <w:rPr>
          <w:rFonts w:cs="Arial" w:ascii="Times New Roman" w:hAnsi="Times New Roman"/>
          <w:b/>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drawing>
          <wp:anchor behindDoc="0" distT="0" distB="0" distL="114300" distR="114300" simplePos="0" locked="0" layoutInCell="0" allowOverlap="1" relativeHeight="2">
            <wp:simplePos x="0" y="0"/>
            <wp:positionH relativeFrom="column">
              <wp:posOffset>2497455</wp:posOffset>
            </wp:positionH>
            <wp:positionV relativeFrom="paragraph">
              <wp:posOffset>-74295</wp:posOffset>
            </wp:positionV>
            <wp:extent cx="96393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963930" cy="805815"/>
                    </a:xfrm>
                    <a:prstGeom prst="rect">
                      <a:avLst/>
                    </a:prstGeom>
                    <a:noFill/>
                  </pic:spPr>
                </pic:pic>
              </a:graphicData>
            </a:graphic>
          </wp:anchor>
        </w:drawing>
      </w:r>
      <w:r>
        <w:rPr>
          <w:rFonts w:cs="Arial" w:ascii="Times New Roman" w:hAnsi="Times New Roman"/>
          <w:b/>
          <w:bCs/>
          <w:i w:val="false"/>
          <w:iCs w:val="false"/>
          <w:color w:val="000000"/>
          <w:sz w:val="24"/>
          <w:szCs w:val="24"/>
          <w:shd w:fill="auto" w:val="clear"/>
        </w:rPr>
        <w:t xml:space="preserve"> </w:t>
      </w:r>
      <w:r>
        <w:rPr>
          <w:rFonts w:eastAsia="Arial" w:cs="Arial" w:ascii="Times New Roman" w:hAnsi="Times New Roman"/>
          <w:b/>
          <w:bCs/>
          <w:i w:val="false"/>
          <w:iCs w:val="false"/>
          <w:color w:val="000000"/>
          <w:sz w:val="24"/>
          <w:szCs w:val="24"/>
          <w:shd w:fill="auto" w:val="clear"/>
        </w:rPr>
        <w:t>EXÉRCITO BRASILEIRO</w:t>
        <w:br/>
        <w:t>CMNE – 7a RM</w:t>
        <w:br/>
        <w:t>PARQUE REGIONAL DE MANUTENÇÃO/7</w:t>
        <w:br/>
        <w:t>(Pq R MB/7a RM/1947)</w:t>
      </w:r>
    </w:p>
    <w:p>
      <w:pPr>
        <w:pStyle w:val="normal1"/>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eastAsia="Arial" w:cs="Arial" w:ascii="Times New Roman" w:hAnsi="Times New Roman"/>
          <w:b/>
          <w:bCs/>
          <w:i w:val="false"/>
          <w:iCs w:val="false"/>
          <w:color w:val="000000"/>
          <w:sz w:val="24"/>
          <w:szCs w:val="24"/>
          <w:shd w:fill="auto" w:val="clear"/>
        </w:rPr>
        <w:t>PARQUE DE MANUTENÇÃO BATALHA DE CASA FORTE</w:t>
        <w:br/>
      </w:r>
      <w:r>
        <w:rPr>
          <w:rFonts w:eastAsia="Arial" w:cs="Arial" w:ascii="Times New Roman" w:hAnsi="Times New Roman"/>
          <w:b w:val="false"/>
          <w:bCs w:val="false"/>
          <w:i w:val="false"/>
          <w:iCs w:val="false"/>
          <w:color w:val="000000"/>
          <w:sz w:val="24"/>
          <w:szCs w:val="24"/>
          <w:shd w:fill="auto" w:val="clear"/>
        </w:rPr>
        <w:t>(Av. 17 de Agosto, 784, Casa Forte, Recife – PE, CEP 52.060-590)</w:t>
      </w:r>
    </w:p>
    <w:p>
      <w:pPr>
        <w:pStyle w:val="normal1"/>
        <w:spacing w:lineRule="auto" w:line="276" w:before="0" w:after="170"/>
        <w:ind w:hanging="0" w:left="0" w:right="0"/>
        <w:jc w:val="center"/>
        <w:rPr>
          <w:rFonts w:ascii="Times New Roman" w:hAnsi="Times New Roman" w:eastAsia="Arial" w:cs="Arial"/>
          <w:b w:val="false"/>
          <w:bCs w:val="false"/>
          <w:i w:val="false"/>
          <w:i w:val="false"/>
          <w:iCs w:val="false"/>
          <w:color w:val="000000"/>
          <w:sz w:val="24"/>
          <w:szCs w:val="24"/>
          <w:highlight w:val="none"/>
          <w:shd w:fill="auto" w:val="clear"/>
        </w:rPr>
      </w:pPr>
      <w:r>
        <w:rPr>
          <w:rFonts w:eastAsia="Arial" w:cs="Arial" w:ascii="Times New Roman" w:hAnsi="Times New Roman"/>
          <w:b w:val="false"/>
          <w:bCs w:val="false"/>
          <w:i w:val="false"/>
          <w:iCs w:val="false"/>
          <w:color w:val="000000"/>
          <w:sz w:val="24"/>
          <w:szCs w:val="24"/>
          <w:shd w:fill="auto" w:val="clear"/>
        </w:rPr>
      </w:r>
    </w:p>
    <w:p>
      <w:pPr>
        <w:pStyle w:val="normal1"/>
        <w:spacing w:lineRule="auto" w:line="276" w:before="0" w:after="170"/>
        <w:ind w:hanging="0" w:left="0" w:right="0"/>
        <w:jc w:val="center"/>
        <w:rPr>
          <w:rFonts w:ascii="Times New Roman" w:hAnsi="Times New Roman" w:eastAsia="Arial" w:cs="Arial"/>
          <w:b w:val="false"/>
          <w:bCs w:val="false"/>
          <w:i w:val="false"/>
          <w:i w:val="false"/>
          <w:iCs w:val="false"/>
          <w:color w:val="000000"/>
          <w:sz w:val="24"/>
          <w:szCs w:val="24"/>
          <w:highlight w:val="none"/>
          <w:shd w:fill="auto" w:val="clear"/>
        </w:rPr>
      </w:pPr>
      <w:r>
        <w:rPr>
          <w:rFonts w:eastAsia="Arial" w:cs="Arial" w:ascii="Times New Roman" w:hAnsi="Times New Roman"/>
          <w:b w:val="false"/>
          <w:bCs w:val="false"/>
          <w:i w:val="false"/>
          <w:iCs w:val="false"/>
          <w:color w:val="000000"/>
          <w:sz w:val="24"/>
          <w:szCs w:val="24"/>
          <w:shd w:fill="auto" w:val="clear"/>
        </w:rPr>
      </w:r>
    </w:p>
    <w:p>
      <w:pPr>
        <w:pStyle w:val="normal1"/>
        <w:spacing w:lineRule="auto" w:line="276" w:before="0" w:after="170"/>
        <w:ind w:hanging="0" w:left="0" w:right="0"/>
        <w:jc w:val="center"/>
        <w:rPr>
          <w:rFonts w:ascii="Times New Roman" w:hAnsi="Times New Roman" w:eastAsia="Arial" w:cs="Arial"/>
          <w:b w:val="false"/>
          <w:bCs w:val="false"/>
          <w:i w:val="false"/>
          <w:i w:val="false"/>
          <w:iCs w:val="false"/>
          <w:color w:val="000000"/>
          <w:sz w:val="24"/>
          <w:szCs w:val="24"/>
          <w:highlight w:val="none"/>
          <w:shd w:fill="auto" w:val="clear"/>
        </w:rPr>
      </w:pPr>
      <w:r>
        <w:rPr>
          <w:rFonts w:eastAsia="Arial" w:cs="Arial" w:ascii="Times New Roman" w:hAnsi="Times New Roman"/>
          <w:b w:val="false"/>
          <w:bCs w:val="false"/>
          <w:i w:val="false"/>
          <w:iCs w:val="false"/>
          <w:color w:val="000000"/>
          <w:sz w:val="24"/>
          <w:szCs w:val="24"/>
          <w:shd w:fill="auto" w:val="clear"/>
        </w:rPr>
      </w:r>
    </w:p>
    <w:p>
      <w:pPr>
        <w:pStyle w:val="Normal"/>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Torna-se público que o O PARQUE REGIONAL DE MANUTENÇÃO/7, por meio da SALC, sediado na Av. Dezessete de Agosto, 784, Casa Forte – Recife/PE, realizará licitação, para registro de preços, na modalidade  DISPENSA DE LICITAÇÃO, na forma ELETRÔNICA, nos termos da Lei nº 14.133, de 1º de abril de 2021, do Decreto nº 11.462, de 31 de março de 2023, e demais legislação aplicável e, ainda, de acordo com as condições estabelecidas neste AVISO.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0" w:name="_Toc226962637"/>
      <w:r>
        <w:rPr>
          <w:rFonts w:ascii="Times New Roman" w:hAnsi="Times New Roman"/>
          <w:i w:val="false"/>
          <w:iCs w:val="false"/>
          <w:color w:val="000000"/>
          <w:sz w:val="24"/>
          <w:szCs w:val="24"/>
          <w:shd w:fill="auto" w:val="clear"/>
        </w:rPr>
        <w:t xml:space="preserve">DO </w:t>
      </w:r>
      <w:bookmarkStart w:id="1" w:name="_Toc142925860"/>
      <w:r>
        <w:rPr>
          <w:rFonts w:ascii="Times New Roman" w:hAnsi="Times New Roman"/>
          <w:i w:val="false"/>
          <w:iCs w:val="false"/>
          <w:color w:val="000000"/>
          <w:sz w:val="24"/>
          <w:szCs w:val="24"/>
          <w:shd w:fill="auto" w:val="clear"/>
        </w:rPr>
        <w:t>OBJETO</w:t>
      </w:r>
      <w:bookmarkEnd w:id="0"/>
      <w:bookmarkEnd w:id="1"/>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objeto do presente procedimento é a escolha da proposta mais vantajosa para a contratação, por dispensa de licitação,</w:t>
      </w:r>
      <w:r>
        <w:rPr>
          <w:rFonts w:cs="Arial" w:ascii="Times New Roman" w:hAnsi="Times New Roman"/>
          <w:i w:val="false"/>
          <w:iCs w:val="false"/>
          <w:color w:val="000000"/>
          <w:sz w:val="24"/>
          <w:szCs w:val="24"/>
          <w:shd w:fill="auto" w:val="clear"/>
          <w:lang w:eastAsia="zh-CN"/>
        </w:rPr>
        <w:t>Contratação de empresa especializada em serviços de Impressão Corporativa (Outsourcing de Impressão) na modalidade FRANQUIA MENSAL DE PÁGINAS MAIS EXCEDENTE, compreendendo o fornecimento, instalação, configuração e a cessão de direito de uso de impressoras multifuncionais laser/led ou equivalentes, contemplando impressão para o Parque Regional de Manutenção/7, conforme condições, quantidades, exigências e estimativas, estabelecidas neste instrumento: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mais de um item, faculta-se ao fornecedor a participação em quantos forem de seu interesse.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critério de julgamento adotado será o </w:t>
      </w:r>
      <w:r>
        <w:rPr>
          <w:rFonts w:ascii="Times New Roman" w:hAnsi="Times New Roman"/>
          <w:b/>
          <w:bCs w:val="false"/>
          <w:i w:val="false"/>
          <w:iCs w:val="false"/>
          <w:color w:val="000000"/>
          <w:sz w:val="24"/>
          <w:szCs w:val="24"/>
          <w:shd w:fill="auto" w:val="clear"/>
        </w:rPr>
        <w:t xml:space="preserve">menor preço </w:t>
      </w:r>
      <w:r>
        <w:rPr>
          <w:rFonts w:ascii="Times New Roman" w:hAnsi="Times New Roman"/>
          <w:i w:val="false"/>
          <w:iCs w:val="false"/>
          <w:color w:val="000000"/>
          <w:sz w:val="24"/>
          <w:szCs w:val="24"/>
          <w:shd w:fill="auto" w:val="clear"/>
        </w:rPr>
        <w:t>, observadas as exigências contidas neste Aviso de Contratação Direta e seus Anexos quanto às especificações do objeto.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2" w:name="_Toc226962638"/>
      <w:r>
        <w:rPr>
          <w:rFonts w:ascii="Times New Roman" w:hAnsi="Times New Roman"/>
          <w:i w:val="false"/>
          <w:iCs w:val="false"/>
          <w:color w:val="000000"/>
          <w:sz w:val="24"/>
          <w:szCs w:val="24"/>
          <w:shd w:fill="auto" w:val="clear"/>
        </w:rPr>
        <w:t xml:space="preserve">DO </w:t>
      </w:r>
      <w:bookmarkStart w:id="3" w:name="_Toc142925861"/>
      <w:r>
        <w:rPr>
          <w:rFonts w:ascii="Times New Roman" w:hAnsi="Times New Roman"/>
          <w:i w:val="false"/>
          <w:iCs w:val="false"/>
          <w:color w:val="000000"/>
          <w:sz w:val="24"/>
          <w:szCs w:val="24"/>
          <w:shd w:fill="auto" w:val="clear"/>
        </w:rPr>
        <w:t>REGISTRO DE PREÇOS</w:t>
      </w:r>
      <w:bookmarkEnd w:id="2"/>
      <w:r>
        <w:rPr>
          <w:rFonts w:ascii="Times New Roman" w:hAnsi="Times New Roman"/>
          <w:i w:val="false"/>
          <w:iCs w:val="false"/>
          <w:color w:val="000000"/>
          <w:sz w:val="24"/>
          <w:szCs w:val="24"/>
          <w:shd w:fill="auto" w:val="clear"/>
        </w:rPr>
        <w:t xml:space="preserve"> </w:t>
      </w:r>
      <w:bookmarkEnd w:id="3"/>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As regras referentes aos órgãos gerenciador e participantes, bem como a eventuais adesões são as que constam da minuta de Ata de Registro de Preços.</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4" w:name="_Toc226962639"/>
      <w:r>
        <w:rPr>
          <w:rFonts w:ascii="Times New Roman" w:hAnsi="Times New Roman"/>
          <w:i w:val="false"/>
          <w:iCs w:val="false"/>
          <w:color w:val="000000"/>
          <w:sz w:val="24"/>
          <w:szCs w:val="24"/>
          <w:shd w:fill="auto" w:val="clear"/>
        </w:rPr>
        <w:t xml:space="preserve">DA </w:t>
      </w:r>
      <w:bookmarkStart w:id="5" w:name="_Toc142925862"/>
      <w:r>
        <w:rPr>
          <w:rFonts w:ascii="Times New Roman" w:hAnsi="Times New Roman"/>
          <w:i w:val="false"/>
          <w:iCs w:val="false"/>
          <w:color w:val="000000"/>
          <w:sz w:val="24"/>
          <w:szCs w:val="24"/>
          <w:shd w:fill="auto" w:val="clear"/>
        </w:rPr>
        <w:t>PARTICIPAÇÃO NA DISPENSA ELETRÔNICA</w:t>
      </w:r>
      <w:bookmarkEnd w:id="4"/>
      <w:bookmarkEnd w:id="5"/>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A </w:t>
      </w:r>
      <w:r>
        <w:rPr>
          <w:rFonts w:ascii="Times New Roman" w:hAnsi="Times New Roman"/>
          <w:i w:val="false"/>
          <w:iCs w:val="false"/>
          <w:color w:val="000000"/>
          <w:sz w:val="24"/>
          <w:szCs w:val="24"/>
          <w:shd w:fill="auto" w:val="clear"/>
        </w:rPr>
        <w:t>participação</w:t>
      </w:r>
      <w:r>
        <w:rPr>
          <w:rFonts w:ascii="Times New Roman" w:hAnsi="Times New Roman"/>
          <w:i w:val="false"/>
          <w:iCs w:val="false"/>
          <w:color w:val="000000"/>
          <w:sz w:val="24"/>
          <w:szCs w:val="24"/>
          <w:shd w:fill="auto" w:val="clea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3">
        <w:r>
          <w:rPr>
            <w:rStyle w:val="Hyperlink"/>
            <w:rFonts w:ascii="Times New Roman" w:hAnsi="Times New Roman"/>
            <w:i w:val="false"/>
            <w:iCs w:val="false"/>
            <w:color w:val="000000"/>
            <w:sz w:val="24"/>
            <w:szCs w:val="24"/>
            <w:u w:val="none"/>
            <w:shd w:fill="auto" w:val="clear"/>
          </w:rPr>
          <w:t>www.gov.br/compras</w:t>
        </w:r>
      </w:hyperlink>
      <w:r>
        <w:rPr>
          <w:rFonts w:ascii="Times New Roman" w:hAnsi="Times New Roman"/>
          <w:i w:val="false"/>
          <w:iCs w:val="false"/>
          <w:color w:val="000000"/>
          <w:sz w:val="24"/>
          <w:szCs w:val="24"/>
          <w:shd w:fill="auto" w:val="clear"/>
        </w:rPr>
        <w:t xml:space="preserve">. </w:t>
      </w:r>
    </w:p>
    <w:p>
      <w:pPr>
        <w:pStyle w:val="Nivel3"/>
        <w:numPr>
          <w:ilvl w:val="2"/>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O procedimento será divulgado no Compras.gov.br e no </w:t>
      </w:r>
      <w:hyperlink r:id="rId4">
        <w:r>
          <w:rPr>
            <w:rStyle w:val="Hyperlink"/>
            <w:rFonts w:ascii="Times New Roman" w:hAnsi="Times New Roman"/>
            <w:i w:val="false"/>
            <w:iCs w:val="false"/>
            <w:color w:val="000000"/>
            <w:sz w:val="24"/>
            <w:szCs w:val="24"/>
            <w:u w:val="none"/>
            <w:shd w:fill="auto" w:val="clear"/>
          </w:rPr>
          <w:t>Portal Nacional de Contratações Públicas - PNCP</w:t>
        </w:r>
      </w:hyperlink>
      <w:r>
        <w:rPr>
          <w:rFonts w:ascii="Times New Roman" w:hAnsi="Times New Roman"/>
          <w:i w:val="false"/>
          <w:iCs w:val="false"/>
          <w:color w:val="000000"/>
          <w:sz w:val="24"/>
          <w:szCs w:val="24"/>
          <w:shd w:fill="auto" w:val="clea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O Compras.gov.br poderá ser acessado pela web ou pelo </w:t>
      </w:r>
      <w:hyperlink r:id="rId5">
        <w:r>
          <w:rPr>
            <w:rStyle w:val="Hyperlink"/>
            <w:rFonts w:ascii="Times New Roman" w:hAnsi="Times New Roman"/>
            <w:i w:val="false"/>
            <w:iCs w:val="false"/>
            <w:color w:val="000000"/>
            <w:sz w:val="24"/>
            <w:szCs w:val="24"/>
            <w:u w:val="none"/>
            <w:shd w:fill="auto" w:val="clear"/>
          </w:rPr>
          <w:t>aplicativo Compras.gov.br.</w:t>
        </w:r>
      </w:hyperlink>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Para </w:t>
      </w:r>
      <w:r>
        <w:rPr>
          <w:rFonts w:ascii="Times New Roman" w:hAnsi="Times New Roman"/>
          <w:b/>
          <w:i w:val="false"/>
          <w:iCs w:val="false"/>
          <w:color w:val="000000"/>
          <w:sz w:val="24"/>
          <w:szCs w:val="24"/>
          <w:shd w:fill="auto" w:val="clear"/>
        </w:rPr>
        <w:t>nenhum</w:t>
      </w:r>
      <w:r>
        <w:rPr>
          <w:rFonts w:ascii="Times New Roman" w:hAnsi="Times New Roman"/>
          <w:i w:val="false"/>
          <w:iCs w:val="false"/>
          <w:color w:val="000000"/>
          <w:sz w:val="24"/>
          <w:szCs w:val="24"/>
          <w:shd w:fill="auto" w:val="clear"/>
        </w:rPr>
        <w:t>, a participação é exclusiva a microempresas e empresas de pequeno porte, nos termos do art. 49, inciso IV, c/c o art. 48, inciso I, da Lei Complementar nº 123, de 14 de dezembro de 2006.</w:t>
      </w:r>
    </w:p>
    <w:p>
      <w:pPr>
        <w:pStyle w:val="Nvel3-R"/>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6" w:name="_Ref144286315"/>
      <w:r>
        <w:rPr>
          <w:rFonts w:ascii="Times New Roman" w:hAnsi="Times New Roman"/>
          <w:i w:val="false"/>
          <w:iCs w:val="false"/>
          <w:color w:val="000000"/>
          <w:sz w:val="24"/>
          <w:szCs w:val="24"/>
          <w:shd w:fill="auto" w:val="clear"/>
        </w:rPr>
        <w:t>Não poderão participar desta dispensa de licitação:</w:t>
      </w:r>
      <w:bookmarkEnd w:id="6"/>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aquele que não atenda às condições deste Aviso de Contratação Direta e seu(s) anexo(s);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sociedade que desempenhe atividade incompatível com o objeto da dispensa;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empresas estrangeiras que não tenham representação legal no Brasil com poderes expressos para receber citação e responder administrativa ou judicialmente;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7" w:name="_Ref201821777"/>
      <w:r>
        <w:rPr>
          <w:rFonts w:ascii="Times New Roman" w:hAnsi="Times New Roman"/>
          <w:i w:val="false"/>
          <w:iCs w:val="false"/>
          <w:color w:val="000000"/>
          <w:sz w:val="24"/>
          <w:szCs w:val="24"/>
          <w:shd w:fill="auto" w:val="clea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8" w:name="_Ref201821778"/>
      <w:r>
        <w:rPr>
          <w:rFonts w:ascii="Times New Roman" w:hAnsi="Times New Roman"/>
          <w:i w:val="false"/>
          <w:iCs w:val="false"/>
          <w:color w:val="000000"/>
          <w:sz w:val="24"/>
          <w:szCs w:val="24"/>
          <w:shd w:fill="auto" w:val="clea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9" w:name="_Ref201821743"/>
      <w:r>
        <w:rPr>
          <w:rFonts w:ascii="Times New Roman" w:hAnsi="Times New Roman"/>
          <w:i w:val="false"/>
          <w:iCs w:val="false"/>
          <w:color w:val="000000"/>
          <w:sz w:val="24"/>
          <w:szCs w:val="24"/>
          <w:shd w:fill="auto" w:val="clear"/>
        </w:rPr>
        <w:t>pessoa física ou jurídica que se encontre, ao tempo da contratação, impossibilitada de contratar em decorrência de sanção que lhe foi imposta;</w:t>
      </w:r>
      <w:bookmarkEnd w:id="9"/>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spacing w:lineRule="auto" w:line="276" w:before="0" w:after="170"/>
        <w:ind w:hanging="0" w:left="0"/>
        <w:rPr/>
      </w:pPr>
      <w:r>
        <w:rPr>
          <w:rFonts w:ascii="Times New Roman" w:hAnsi="Times New Roman"/>
          <w:i w:val="false"/>
          <w:iCs w:val="false"/>
          <w:color w:val="000000"/>
          <w:sz w:val="24"/>
          <w:szCs w:val="24"/>
          <w:shd w:fill="auto" w:val="clear"/>
        </w:rPr>
        <w:t>empresas controladoras, controladas ou coligadas, nos termos da </w:t>
      </w:r>
      <w:hyperlink r:id="rId6">
        <w:r>
          <w:rPr>
            <w:rStyle w:val="Style8"/>
            <w:rFonts w:eastAsia="Calibri" w:ascii="Times New Roman" w:hAnsi="Times New Roman"/>
            <w:i w:val="false"/>
            <w:iCs w:val="false"/>
            <w:color w:val="000000"/>
            <w:sz w:val="24"/>
            <w:szCs w:val="24"/>
            <w:u w:val="none"/>
            <w:shd w:fill="auto" w:val="clear"/>
          </w:rPr>
          <w:t>Lei nº 6.404, de 15 de dezembro de 1976</w:t>
        </w:r>
      </w:hyperlink>
      <w:r>
        <w:rPr>
          <w:rFonts w:ascii="Times New Roman" w:hAnsi="Times New Roman"/>
          <w:i w:val="false"/>
          <w:iCs w:val="false"/>
          <w:color w:val="000000"/>
          <w:sz w:val="24"/>
          <w:szCs w:val="24"/>
          <w:shd w:fill="auto" w:val="clear"/>
        </w:rPr>
        <w:t>, concorrendo entre si;</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pessoas jurídicas reunidas em consórcio; </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Organização da Sociedade Civil de Interesse Público - OSCIP, atuando nessa condição.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sociedades cooperativas</w:t>
      </w:r>
      <w:bookmarkStart w:id="10" w:name="_Hlk519667815"/>
      <w:bookmarkEnd w:id="10"/>
      <w:r>
        <w:rPr>
          <w:rFonts w:ascii="Times New Roman" w:hAnsi="Times New Roman"/>
          <w:i w:val="false"/>
          <w:iCs w:val="false"/>
          <w:color w:val="000000"/>
          <w:sz w:val="24"/>
          <w:szCs w:val="24"/>
          <w:shd w:fill="auto" w:val="clear"/>
        </w:rPr>
        <w:t>.</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pessoas físicas.</w:t>
      </w:r>
    </w:p>
    <w:p>
      <w:pPr>
        <w:pStyle w:val="Nivel2"/>
        <w:numPr>
          <w:ilvl w:val="1"/>
          <w:numId w:val="1"/>
        </w:numPr>
        <w:spacing w:lineRule="auto" w:line="276" w:before="0" w:after="170"/>
        <w:ind w:hanging="0" w:left="0"/>
        <w:rPr/>
      </w:pPr>
      <w:bookmarkStart w:id="11" w:name="_Ref201821838"/>
      <w:r>
        <w:rPr>
          <w:rFonts w:ascii="Times New Roman" w:hAnsi="Times New Roman"/>
          <w:i w:val="false"/>
          <w:iCs w:val="false"/>
          <w:color w:val="000000"/>
          <w:sz w:val="24"/>
          <w:szCs w:val="24"/>
          <w:shd w:fill="auto" w:val="clea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"art9%C2%A71"</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 1º do art. 9º da Lei n.º 14.133, de 2021</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w:t>
      </w:r>
      <w:bookmarkEnd w:id="11"/>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impedimento de que trata o item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_Ref201821743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3.3.6</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 critério da Administração e exclusivamente a seu serviço, o autor dos projetos e a empresa a que se referem os 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_Ref201821777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3.3.4</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_Ref201821778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3.3.5</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Equiparam-se aos autores do projeto as empresas integrantes do mesmo grupo econômico.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disposto nos 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_Ref201821777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3.3.4</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_Ref201821778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3.3.5</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 vedação de que trata o item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_Ref201821838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3.4</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12" w:name="_Toc226962640"/>
      <w:r>
        <w:rPr>
          <w:rFonts w:ascii="Times New Roman" w:hAnsi="Times New Roman"/>
          <w:i w:val="false"/>
          <w:iCs w:val="false"/>
          <w:color w:val="000000"/>
          <w:sz w:val="24"/>
          <w:szCs w:val="24"/>
          <w:shd w:fill="auto" w:val="clear"/>
        </w:rPr>
        <w:t xml:space="preserve">DO </w:t>
      </w:r>
      <w:bookmarkStart w:id="13" w:name="_Toc142925863"/>
      <w:r>
        <w:rPr>
          <w:rFonts w:ascii="Times New Roman" w:hAnsi="Times New Roman"/>
          <w:i w:val="false"/>
          <w:iCs w:val="false"/>
          <w:color w:val="000000"/>
          <w:sz w:val="24"/>
          <w:szCs w:val="24"/>
          <w:shd w:fill="auto" w:val="clear"/>
        </w:rPr>
        <w:t>INGRESSO NA DISPENSA ELETRÔNICA E DO CADASTRAMENTO DA PROPOSTA INICIAL</w:t>
      </w:r>
      <w:bookmarkEnd w:id="12"/>
      <w:bookmarkEnd w:id="13"/>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ingresso do fornecedor na disputa da dispensa eletrônica ocorrerá com o cadastramento de sua proposta inicial, na forma deste item.</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w:t>
      </w:r>
      <w:r>
        <w:rPr>
          <w:rFonts w:ascii="Times New Roman" w:hAnsi="Times New Roman"/>
          <w:b/>
          <w:bCs/>
          <w:i w:val="false"/>
          <w:iCs w:val="false"/>
          <w:color w:val="000000"/>
          <w:sz w:val="24"/>
          <w:szCs w:val="24"/>
          <w:shd w:fill="auto" w:val="clear"/>
        </w:rPr>
        <w:t>NÃO</w:t>
      </w:r>
      <w:r>
        <w:rPr>
          <w:rFonts w:ascii="Times New Roman" w:hAnsi="Times New Roman"/>
          <w:i w:val="false"/>
          <w:iCs w:val="false"/>
          <w:color w:val="000000"/>
          <w:sz w:val="24"/>
          <w:szCs w:val="24"/>
          <w:shd w:fill="auto" w:val="clear"/>
        </w:rPr>
        <w:t>] poderá oferecer proposta em quantitativo inferior ao máximo previsto para contratação.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[Não será admitida a previsão de preços diferentes em razão de local de entrega ou de acondicionamento, tamanho de lote ou qualquer outro motivo] </w:t>
      </w:r>
      <w:r>
        <w:rPr>
          <w:rFonts w:ascii="Times New Roman" w:hAnsi="Times New Roman"/>
          <w:b/>
          <w:bCs/>
          <w:i w:val="false"/>
          <w:iCs w:val="false"/>
          <w:color w:val="000000"/>
          <w:sz w:val="24"/>
          <w:szCs w:val="24"/>
          <w:shd w:fill="auto" w:val="clear"/>
        </w:rPr>
        <w:t>OU</w:t>
      </w:r>
      <w:r>
        <w:rPr>
          <w:rFonts w:ascii="Times New Roman" w:hAnsi="Times New Roman"/>
          <w:i w:val="false"/>
          <w:iCs w:val="false"/>
          <w:color w:val="000000"/>
          <w:sz w:val="24"/>
          <w:szCs w:val="24"/>
          <w:shd w:fill="auto" w:val="clear"/>
        </w:rPr>
        <w:t xml:space="preserve"> [Será admitida a previsão de preços diferentes, conforme os critérios abaixo]:</w:t>
      </w:r>
    </w:p>
    <w:p>
      <w:pPr>
        <w:pStyle w:val="Nvel4-R"/>
        <w:numPr>
          <w:ilvl w:val="0"/>
          <w:numId w:val="0"/>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p>
      <w:pPr>
        <w:pStyle w:val="Normal"/>
        <w:numPr>
          <w:ilvl w:val="1"/>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 xml:space="preserve">Todas as especificações do </w:t>
      </w:r>
      <w:r>
        <w:rPr>
          <w:rFonts w:cs="Arial" w:ascii="Times New Roman" w:hAnsi="Times New Roman"/>
          <w:i w:val="false"/>
          <w:iCs w:val="false"/>
          <w:color w:val="000000"/>
          <w:sz w:val="24"/>
          <w:szCs w:val="24"/>
          <w:shd w:fill="auto" w:val="clear"/>
        </w:rPr>
        <w:t>objeto</w:t>
      </w:r>
      <w:r>
        <w:rPr>
          <w:rFonts w:cs="Arial" w:ascii="Times New Roman" w:hAnsi="Times New Roman"/>
          <w:i w:val="false"/>
          <w:iCs w:val="false"/>
          <w:color w:val="000000"/>
          <w:sz w:val="24"/>
          <w:szCs w:val="24"/>
          <w:shd w:fill="auto" w:val="clear"/>
        </w:rPr>
        <w:t xml:space="preserve"> contidas na proposta, em especial o preço ou o desconto ofertado, vinculam a Contratada.</w:t>
      </w:r>
    </w:p>
    <w:p>
      <w:pPr>
        <w:pStyle w:val="Normal"/>
        <w:numPr>
          <w:ilvl w:val="1"/>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Independentemente do percentual do tributo que constar da planilha, no pagamento serão retidos na fonte os percentuais estabelecidos pela legislação vigente.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apresentação das propostas implica obrigatoriedade do cumprimento das disposições nelas contidas, em conformidade com o que dispõe o Termo de Referência,</w:t>
      </w:r>
      <w:r>
        <w:rPr>
          <w:rFonts w:ascii="Times New Roman" w:hAnsi="Times New Roman"/>
          <w:i w:val="false"/>
          <w:iCs w:val="false"/>
          <w:color w:val="000000"/>
          <w:sz w:val="24"/>
          <w:szCs w:val="24"/>
          <w:shd w:fill="auto" w:val="clear"/>
        </w:rPr>
        <w:t xml:space="preserve"> Projeto Básico e Projeto Executivo</w:t>
      </w:r>
      <w:r>
        <w:rPr>
          <w:rFonts w:ascii="Times New Roman" w:hAnsi="Times New Roman"/>
          <w:i w:val="false"/>
          <w:iCs w:val="false"/>
          <w:color w:val="000000"/>
          <w:sz w:val="24"/>
          <w:szCs w:val="24"/>
          <w:shd w:fill="auto" w:val="clear"/>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prazo de validade da proposta não será inferior a </w:t>
      </w:r>
      <w:r>
        <w:rPr>
          <w:rFonts w:eastAsia="Arial" w:ascii="Times New Roman" w:hAnsi="Times New Roman"/>
          <w:b/>
          <w:i w:val="false"/>
          <w:iCs w:val="false"/>
          <w:color w:val="000000"/>
          <w:sz w:val="24"/>
          <w:szCs w:val="24"/>
          <w:shd w:fill="auto" w:val="clear"/>
        </w:rPr>
        <w:t>60</w:t>
      </w:r>
      <w:r>
        <w:rPr>
          <w:rFonts w:eastAsia="Arial"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dias</w:t>
      </w:r>
      <w:r>
        <w:rPr>
          <w:rFonts w:ascii="Times New Roman" w:hAnsi="Times New Roman"/>
          <w:b/>
          <w:i w:val="false"/>
          <w:iCs w:val="false"/>
          <w:color w:val="000000"/>
          <w:sz w:val="24"/>
          <w:szCs w:val="24"/>
          <w:shd w:fill="auto" w:val="clear"/>
        </w:rPr>
        <w:t>,</w:t>
      </w:r>
      <w:r>
        <w:rPr>
          <w:rFonts w:ascii="Times New Roman" w:hAnsi="Times New Roman"/>
          <w:i w:val="false"/>
          <w:iCs w:val="false"/>
          <w:color w:val="000000"/>
          <w:sz w:val="24"/>
          <w:szCs w:val="24"/>
          <w:shd w:fill="auto" w:val="clear"/>
        </w:rPr>
        <w:t xml:space="preserve"> a contar da data de sua apresentação.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No cadastramento da proposta inicial, o fornecedor deverá, também, assinalar Termo de Aceitação, em campo próprio do sistema eletrônico, relativo às seguintes declarações:</w:t>
      </w:r>
      <w:r>
        <w:rPr>
          <w:rFonts w:eastAsia="Zurich BT" w:ascii="Times New Roman" w:hAnsi="Times New Roman"/>
          <w:i w:val="false"/>
          <w:iCs w:val="false"/>
          <w:color w:val="000000"/>
          <w:sz w:val="24"/>
          <w:szCs w:val="24"/>
          <w:shd w:fill="auto" w:val="clear"/>
        </w:rPr>
        <w:t xml:space="preserve">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que inexistem fatos impeditivos para sua habilitação no certame, ciente da obrigatoriedade de declarar ocorrências posteriores;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que está ciente e concorda com as condições contidas no Aviso de Contratação Direta e seus anexos;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que se responsabiliza pelas transações que forem efetuadas no sistema, assumindo-as como firmes e verdadeiras;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que cumpre as exigências de reserva de cargos para pessoa com deficiência e para reabilitado da Previdência Social, previstas em lei e em outras normas específicas;</w:t>
      </w:r>
    </w:p>
    <w:p>
      <w:pPr>
        <w:pStyle w:val="Nivel3"/>
        <w:numPr>
          <w:ilvl w:val="2"/>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que não emprega menor de 18 anos em trabalho noturno, perigoso ou insalubre e não emprega menor de 16 anos, salvo menor, a partir de 14 anos, na condição de aprendiz, nos termos do </w:t>
      </w:r>
      <w:r>
        <w:fldChar w:fldCharType="begin"/>
      </w:r>
      <w:r>
        <w:rPr>
          <w:rStyle w:val="Hyperlink"/>
          <w:sz w:val="24"/>
          <w:i w:val="false"/>
          <w:u w:val="none"/>
          <w:shd w:fill="auto" w:val="clear"/>
          <w:szCs w:val="24"/>
          <w:iCs w:val="false"/>
          <w:rFonts w:ascii="Times New Roman" w:hAnsi="Times New Roman"/>
          <w:color w:val="000000"/>
        </w:rPr>
        <w:instrText xml:space="preserve"> HYPERLINK "https://normas.leg.br/?urn=urn:lex:br:federal:constituicao:1988-10-05;1988" \l "art7"</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7°, inciso XXXIII, da Constituição</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0" w:after="170"/>
        <w:ind w:hanging="0" w:left="0"/>
        <w:jc w:val="both"/>
        <w:rPr/>
      </w:pPr>
      <w:r>
        <w:rPr>
          <w:rFonts w:cs="Arial" w:ascii="Times New Roman" w:hAnsi="Times New Roman"/>
          <w:i w:val="false"/>
          <w:iCs w:val="false"/>
          <w:color w:val="000000"/>
          <w:sz w:val="24"/>
          <w:szCs w:val="24"/>
          <w:shd w:fill="auto" w:val="clear"/>
        </w:rPr>
        <w:t xml:space="preserve">O fornecedor organizado em cooperativa deverá declarar, ainda, em campo próprio do sistema eletrônico, que cumpre os requisitos estabelecidos no </w:t>
      </w:r>
      <w:r>
        <w:fldChar w:fldCharType="begin"/>
      </w:r>
      <w:r>
        <w:rPr>
          <w:rStyle w:val="Hyperlink"/>
          <w:sz w:val="24"/>
          <w:i w:val="false"/>
          <w:u w:val="none"/>
          <w:shd w:fill="auto" w:val="clear"/>
          <w:szCs w:val="24"/>
          <w:iCs w:val="false"/>
          <w:rFonts w:cs="Arial" w:ascii="Times New Roman" w:hAnsi="Times New Roman"/>
          <w:color w:val="000000"/>
        </w:rPr>
        <w:instrText xml:space="preserve"> HYPERLINK "http://www.planalto.gov.br/ccivil_03/_ato2019-2022/2021/lei/L14133.htm" \l "art16"</w:instrText>
      </w:r>
      <w:r>
        <w:rPr>
          <w:rStyle w:val="Hyperlink"/>
          <w:sz w:val="24"/>
          <w:i w:val="false"/>
          <w:u w:val="none"/>
          <w:shd w:fill="auto" w:val="clear"/>
          <w:szCs w:val="24"/>
          <w:iCs w:val="false"/>
          <w:rFonts w:cs="Arial" w:ascii="Times New Roman" w:hAnsi="Times New Roman"/>
          <w:color w:val="000000"/>
        </w:rPr>
        <w:fldChar w:fldCharType="separate"/>
      </w:r>
      <w:r>
        <w:rPr>
          <w:rStyle w:val="Hyperlink"/>
          <w:rFonts w:cs="Arial" w:ascii="Times New Roman" w:hAnsi="Times New Roman"/>
          <w:i w:val="false"/>
          <w:iCs w:val="false"/>
          <w:color w:val="000000"/>
          <w:sz w:val="24"/>
          <w:szCs w:val="24"/>
          <w:u w:val="none"/>
          <w:shd w:fill="auto" w:val="clear"/>
        </w:rPr>
        <w:t>art. 16 da Lei nº 14.133, de 2021.</w:t>
      </w:r>
      <w:r>
        <w:rPr>
          <w:rStyle w:val="Hyperlink"/>
          <w:sz w:val="24"/>
          <w:i w:val="false"/>
          <w:u w:val="none"/>
          <w:shd w:fill="auto" w:val="clear"/>
          <w:szCs w:val="24"/>
          <w:iCs w:val="false"/>
          <w:rFonts w:cs="Arial" w:ascii="Times New Roman" w:hAnsi="Times New Roman"/>
          <w:color w:val="000000"/>
        </w:rPr>
        <w:fldChar w:fldCharType="end"/>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sz w:val="24"/>
          <w:i w:val="false"/>
          <w:u w:val="none"/>
          <w:shd w:fill="auto" w:val="clear"/>
          <w:szCs w:val="24"/>
          <w:iCs w:val="false"/>
          <w:rFonts w:ascii="Times New Roman" w:hAnsi="Times New Roman"/>
          <w:color w:val="000000"/>
        </w:rPr>
        <w:instrText xml:space="preserve"> HYPERLINK "https://www.planalto.gov.br/ccivil_03/leis/lcp/lcp123.htm" \l "art3"</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3° da Lei Complementar nº 123, de 2006</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estando apto a usufruir do tratamento favorecido estabelecido em seus arts. 42 a 49, observado o disposto nos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"art4%C2%A71"</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 1º ao 3º do art. 4º, da Lei n.º 14.133, de 2021.</w:t>
      </w:r>
      <w:r>
        <w:rPr>
          <w:rStyle w:val="Hyperlink"/>
          <w:sz w:val="24"/>
          <w:i w:val="false"/>
          <w:u w:val="none"/>
          <w:shd w:fill="auto" w:val="clear"/>
          <w:szCs w:val="24"/>
          <w:iCs w:val="false"/>
          <w:rFonts w:ascii="Times New Roman" w:hAnsi="Times New Roman"/>
          <w:color w:val="000000"/>
        </w:rPr>
        <w:fldChar w:fldCharType="end"/>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Sem prejuízo do disposto acima, os lances poderão ser enviados manualmente, na forma da seção respectiva deste Aviso de Contratação Direta.</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valor final mínimo poderá ser alterado pelo fornecedor durante a fase de disputa, desde que não assuma valor superior a lance já registrado por ele no sistema.</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14" w:name="_Toc226962641"/>
      <w:r>
        <w:rPr>
          <w:rFonts w:ascii="Times New Roman" w:hAnsi="Times New Roman"/>
          <w:i w:val="false"/>
          <w:iCs w:val="false"/>
          <w:color w:val="000000"/>
          <w:sz w:val="24"/>
          <w:szCs w:val="24"/>
          <w:shd w:fill="auto" w:val="clear"/>
        </w:rPr>
        <w:t xml:space="preserve">DA </w:t>
      </w:r>
      <w:bookmarkStart w:id="15" w:name="_Toc142925864"/>
      <w:r>
        <w:rPr>
          <w:rFonts w:ascii="Times New Roman" w:hAnsi="Times New Roman"/>
          <w:i w:val="false"/>
          <w:iCs w:val="false"/>
          <w:color w:val="000000"/>
          <w:sz w:val="24"/>
          <w:szCs w:val="24"/>
          <w:shd w:fill="auto" w:val="clear"/>
        </w:rPr>
        <w:t>FASE DE LANCES</w:t>
      </w:r>
      <w:bookmarkEnd w:id="14"/>
      <w:bookmarkEnd w:id="15"/>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lance </w:t>
      </w:r>
      <w:r>
        <w:rPr>
          <w:rFonts w:ascii="Times New Roman" w:hAnsi="Times New Roman"/>
          <w:i w:val="false"/>
          <w:iCs w:val="false"/>
          <w:color w:val="000000"/>
          <w:sz w:val="24"/>
          <w:szCs w:val="24"/>
          <w:shd w:fill="auto" w:val="clear"/>
          <w:lang w:eastAsia="en-US"/>
        </w:rPr>
        <w:t>deverá</w:t>
      </w:r>
      <w:r>
        <w:rPr>
          <w:rFonts w:ascii="Times New Roman" w:hAnsi="Times New Roman"/>
          <w:i w:val="false"/>
          <w:iCs w:val="false"/>
          <w:color w:val="000000"/>
          <w:sz w:val="24"/>
          <w:szCs w:val="24"/>
          <w:shd w:fill="auto" w:val="clear"/>
        </w:rPr>
        <w:t xml:space="preserve"> ser ofertado pelo </w:t>
      </w:r>
      <w:r>
        <w:rPr>
          <w:rFonts w:ascii="Times New Roman" w:hAnsi="Times New Roman"/>
          <w:b/>
          <w:bCs/>
          <w:i w:val="false"/>
          <w:iCs w:val="false"/>
          <w:color w:val="000000"/>
          <w:sz w:val="24"/>
          <w:szCs w:val="24"/>
          <w:shd w:fill="auto" w:val="clear"/>
        </w:rPr>
        <w:t xml:space="preserve">valor unitário </w:t>
      </w:r>
      <w:r>
        <w:rPr>
          <w:rFonts w:ascii="Times New Roman" w:hAnsi="Times New Roman"/>
          <w:i w:val="false"/>
          <w:iCs w:val="false"/>
          <w:color w:val="000000"/>
          <w:sz w:val="24"/>
          <w:szCs w:val="24"/>
          <w:shd w:fill="auto" w:val="clear"/>
        </w:rPr>
        <w:t xml:space="preserve"> do item.</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somente poderá oferecer valor inferior ou percentual de desconto superior ao último lance por ele ofertado e registrado pelo sistema.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intervalo mínimo de diferença de valores ou percentuais entre os lances, que incidirá tanto em relação aos lances intermediários quanto em relação ao que cobrir a melhor oferta é de </w:t>
      </w:r>
      <w:r>
        <w:rPr>
          <w:rFonts w:ascii="Times New Roman" w:hAnsi="Times New Roman"/>
          <w:b/>
          <w:bCs/>
          <w:i w:val="false"/>
          <w:iCs w:val="false"/>
          <w:color w:val="000000"/>
          <w:sz w:val="24"/>
          <w:szCs w:val="24"/>
          <w:shd w:fill="auto" w:val="clear"/>
        </w:rPr>
        <w:t>1 %</w:t>
      </w:r>
      <w:r>
        <w:rPr>
          <w:rFonts w:ascii="Times New Roman" w:hAnsi="Times New Roman"/>
          <w:i w:val="false"/>
          <w:iCs w:val="false"/>
          <w:color w:val="000000"/>
          <w:sz w:val="24"/>
          <w:szCs w:val="24"/>
          <w:shd w:fill="auto" w:val="clear"/>
        </w:rPr>
        <w:t xml:space="preserve">  </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lances iguais ao menor já ofertado, prevalecerá aquele que for recebido e registrado primeiro no sistema.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Caso o fornecedor não apresente lances, concorrerá com o valor de sua proposta.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Durante o procedimento, os fornecedores serão informados, em tempo real, do valor do menor lance ou do maior desconto registrado, vedada a identificação do fornecedor.</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16" w:name="_Toc226962642"/>
      <w:r>
        <w:rPr>
          <w:rFonts w:ascii="Times New Roman" w:hAnsi="Times New Roman"/>
          <w:i w:val="false"/>
          <w:iCs w:val="false"/>
          <w:color w:val="000000"/>
          <w:sz w:val="24"/>
          <w:szCs w:val="24"/>
          <w:shd w:fill="auto" w:val="clear"/>
        </w:rPr>
        <w:t xml:space="preserve">DA FASE DE </w:t>
      </w:r>
      <w:bookmarkStart w:id="17" w:name="_Toc142925865"/>
      <w:r>
        <w:rPr>
          <w:rFonts w:ascii="Times New Roman" w:hAnsi="Times New Roman"/>
          <w:i w:val="false"/>
          <w:iCs w:val="false"/>
          <w:color w:val="000000"/>
          <w:sz w:val="24"/>
          <w:szCs w:val="24"/>
          <w:shd w:fill="auto" w:val="clear"/>
        </w:rPr>
        <w:t>JULGAMENTO E ACEITAÇÃO DAS PROPOSTAS</w:t>
      </w:r>
      <w:bookmarkEnd w:id="16"/>
      <w:r>
        <w:rPr>
          <w:rFonts w:ascii="Times New Roman" w:hAnsi="Times New Roman"/>
          <w:i w:val="false"/>
          <w:iCs w:val="false"/>
          <w:color w:val="000000"/>
          <w:sz w:val="24"/>
          <w:szCs w:val="24"/>
          <w:shd w:fill="auto" w:val="clear"/>
        </w:rPr>
        <w:t xml:space="preserve"> </w:t>
      </w:r>
      <w:bookmarkEnd w:id="17"/>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 negociação poderá ser feita com os demais fornecedores classificados, </w:t>
      </w:r>
      <w:r>
        <w:rPr>
          <w:rFonts w:ascii="Times New Roman" w:hAnsi="Times New Roman"/>
          <w:i w:val="false"/>
          <w:iCs w:val="false"/>
          <w:color w:val="000000"/>
          <w:sz w:val="24"/>
          <w:szCs w:val="24"/>
          <w:shd w:fill="auto" w:val="clear"/>
        </w:rPr>
        <w:t>exclusivamente por meio do sistema,</w:t>
      </w:r>
      <w:r>
        <w:rPr>
          <w:rFonts w:ascii="Times New Roman" w:hAnsi="Times New Roman"/>
          <w:i w:val="false"/>
          <w:iCs w:val="false"/>
          <w:color w:val="000000"/>
          <w:sz w:val="24"/>
          <w:szCs w:val="24"/>
          <w:shd w:fill="auto" w:val="clea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Em qualquer caso, concluída a negociação, se houver, o resultado será divulgado a todos e registrado na ata do procedimento da dispensa eletrônica, </w:t>
      </w:r>
      <w:r>
        <w:rPr>
          <w:rFonts w:ascii="Times New Roman" w:hAnsi="Times New Roman"/>
          <w:i w:val="false"/>
          <w:iCs w:val="false"/>
          <w:color w:val="000000"/>
          <w:sz w:val="24"/>
          <w:szCs w:val="24"/>
          <w:shd w:fill="auto" w:val="clear"/>
        </w:rPr>
        <w:t>devendo esta ser anexada aos autos do processo de contratação.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_Ref144286315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3.3</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 seguintes deste Aviso, especialmente quanto à existência de sanção que impeça a participação </w:t>
      </w:r>
      <w:r>
        <w:rPr>
          <w:rFonts w:ascii="Times New Roman" w:hAnsi="Times New Roman"/>
          <w:i w:val="false"/>
          <w:iCs w:val="false"/>
          <w:color w:val="000000"/>
          <w:sz w:val="24"/>
          <w:szCs w:val="24"/>
          <w:shd w:fill="auto" w:val="clear"/>
          <w:lang w:eastAsia="ar-SA"/>
        </w:rPr>
        <w:t xml:space="preserve">no processo de contratação direta </w:t>
      </w:r>
      <w:r>
        <w:rPr>
          <w:rFonts w:ascii="Times New Roman" w:hAnsi="Times New Roman"/>
          <w:i w:val="false"/>
          <w:iCs w:val="false"/>
          <w:color w:val="000000"/>
          <w:sz w:val="24"/>
          <w:szCs w:val="24"/>
          <w:shd w:fill="auto" w:val="clear"/>
        </w:rPr>
        <w:t>ou a futura contratação, mediante a consulta aos seguintes cadastros: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Sicaf;</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Cadastro Nacional de Empresas Inidôneas e Suspensas – CEIS,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Cadastro Nacional de Empresas Punidas – CNEP 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Lista de licitantes inidôneos, mantida pelo Tribunal de Contas da União.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consulta aos cadastros será realizada no nome e no CNPJ da empresa fornecedora.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consulta no CEIS quanto às sanções previstas na Lei nº 8.429, de 1992, também ocorrerá no nome e no CPF do sócio majoritário da empresa fornecedora, se houver, por força do art. 12 da citada lei.</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 tentativa de burla será verificada por meio dos vínculos societários, linhas de fornecimento </w:t>
      </w:r>
      <w:r>
        <w:rPr>
          <w:rFonts w:ascii="Times New Roman" w:hAnsi="Times New Roman"/>
          <w:i w:val="false"/>
          <w:iCs w:val="false"/>
          <w:color w:val="000000"/>
          <w:sz w:val="24"/>
          <w:szCs w:val="24"/>
          <w:shd w:fill="auto" w:val="clear"/>
        </w:rPr>
        <w:t>similares</w:t>
      </w:r>
      <w:r>
        <w:rPr>
          <w:rFonts w:ascii="Times New Roman" w:hAnsi="Times New Roman"/>
          <w:i w:val="false"/>
          <w:iCs w:val="false"/>
          <w:color w:val="000000"/>
          <w:sz w:val="24"/>
          <w:szCs w:val="24"/>
          <w:shd w:fill="auto" w:val="clear"/>
        </w:rPr>
        <w:t>, dentre outros.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w:t>
      </w:r>
      <w:r>
        <w:rPr>
          <w:rFonts w:ascii="Times New Roman" w:hAnsi="Times New Roman"/>
          <w:i w:val="false"/>
          <w:iCs w:val="false"/>
          <w:color w:val="000000"/>
          <w:sz w:val="24"/>
          <w:szCs w:val="24"/>
          <w:shd w:fill="auto" w:val="clear"/>
        </w:rPr>
        <w:t>fornecedor</w:t>
      </w: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será</w:t>
      </w:r>
      <w:r>
        <w:rPr>
          <w:rFonts w:ascii="Times New Roman" w:hAnsi="Times New Roman"/>
          <w:i w:val="false"/>
          <w:iCs w:val="false"/>
          <w:color w:val="000000"/>
          <w:sz w:val="24"/>
          <w:szCs w:val="24"/>
          <w:shd w:fill="auto" w:val="clear"/>
        </w:rPr>
        <w:t xml:space="preserve"> convocado para manifestação previamente a uma eventual desclassificação.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Constatada a existência de sanção, o </w:t>
      </w:r>
      <w:r>
        <w:rPr>
          <w:rFonts w:ascii="Times New Roman" w:hAnsi="Times New Roman"/>
          <w:i w:val="false"/>
          <w:iCs w:val="false"/>
          <w:color w:val="000000"/>
          <w:sz w:val="24"/>
          <w:szCs w:val="24"/>
          <w:shd w:fill="auto" w:val="clear"/>
        </w:rPr>
        <w:t>fornecedor</w:t>
      </w:r>
      <w:r>
        <w:rPr>
          <w:rFonts w:ascii="Times New Roman" w:hAnsi="Times New Roman"/>
          <w:i w:val="false"/>
          <w:iCs w:val="false"/>
          <w:color w:val="000000"/>
          <w:sz w:val="24"/>
          <w:szCs w:val="24"/>
          <w:shd w:fill="auto" w:val="clear"/>
        </w:rPr>
        <w:t xml:space="preserve"> será reputado inabilitado, por falta de condição de participação.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Será desclassificada a proposta vencedora que: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contiver vícios insanáveis</w:t>
      </w:r>
      <w:r>
        <w:rPr>
          <w:rFonts w:ascii="Times New Roman" w:hAnsi="Times New Roman"/>
          <w:i w:val="false"/>
          <w:iCs w:val="false"/>
          <w:color w:val="000000"/>
          <w:sz w:val="24"/>
          <w:szCs w:val="24"/>
          <w:shd w:fill="auto" w:val="clear"/>
        </w:rPr>
        <w:t>;</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obedecer às especificações técnicas pormenorizadas neste Aviso ou em seus anexos</w:t>
      </w:r>
      <w:r>
        <w:rPr>
          <w:rFonts w:ascii="Times New Roman" w:hAnsi="Times New Roman"/>
          <w:i w:val="false"/>
          <w:iCs w:val="false"/>
          <w:color w:val="000000"/>
          <w:sz w:val="24"/>
          <w:szCs w:val="24"/>
          <w:shd w:fill="auto" w:val="clear"/>
        </w:rPr>
        <w:t>;</w:t>
      </w:r>
    </w:p>
    <w:p>
      <w:pPr>
        <w:pStyle w:val="Nvel3Misto"/>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apresentar preços inexequíveis ou que permanecerem acima do preço máximo definido para a contratação;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tiver sua exequibilidade demonstrada, quando exigido pela Administração</w:t>
      </w:r>
      <w:r>
        <w:rPr>
          <w:rFonts w:ascii="Times New Roman" w:hAnsi="Times New Roman"/>
          <w:i w:val="false"/>
          <w:iCs w:val="false"/>
          <w:color w:val="000000"/>
          <w:sz w:val="24"/>
          <w:szCs w:val="24"/>
          <w:shd w:fill="auto" w:val="clear"/>
        </w:rPr>
        <w:t>;</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cumpra os critérios de aceitabilidade de preços definidos no Termo de Referência;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apresentar desconformidade com quaisquer outras exigências deste Aviso ou seus anexos, desde que insanável.</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Quando</w:t>
      </w:r>
      <w:r>
        <w:rPr>
          <w:rFonts w:ascii="Times New Roman" w:hAnsi="Times New Roman"/>
          <w:i w:val="false"/>
          <w:iCs w:val="false"/>
          <w:color w:val="000000"/>
          <w:sz w:val="24"/>
          <w:szCs w:val="24"/>
          <w:shd w:fill="auto" w:val="clea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Em contratação de obras ou serviços de engenharia, além das disposições acima, o critério de aceitabilidade de preços considerará o seguinte:</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Ressalvado o objeto ou parte dele sujeito ao regime de empreitada por preço unitário, o critério de aceitabilidade de preços será o valor global estimado para a contratação.</w:t>
      </w:r>
    </w:p>
    <w:p>
      <w:pPr>
        <w:pStyle w:val="Nvel4-R"/>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Para o objeto ou parte dele sujeito ao regime de empreitada por preço unitário o critério de aceitabilidade de preços será:</w:t>
      </w:r>
    </w:p>
    <w:p>
      <w:pPr>
        <w:pStyle w:val="Nvel4-R"/>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valor global estimado para a contratação;</w:t>
      </w:r>
    </w:p>
    <w:p>
      <w:pPr>
        <w:pStyle w:val="Nvel4-R"/>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Preços unitários: conforme Planilha de Custos elaborada pelo Contratante, anexa a este documento.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Serão consideradas inexequíveis as propostas cujos valores forem inferiores a 75% (setenta e cinco por cento) do valor orçado pela Administração.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ajuste de que trata este dispositivo se limita a sanar erros ou falhas que não alterem a substância das propostas;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Considera-se erro no preenchimento da planilha passível de correção a indicação de recolhimento de impostos e contribuições na forma do Simples Nacional, quando não cabível esse regime.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a proposta ou lance vencedor for desclassificado, será examinada a proposta ou lance subsequente, e, assim sucessivamente, na ordem de classificação.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necessidade, a sessão será suspensa, informando-se no “chat” a nova data e horário para a sua continuidade.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Encerrada a análise quanto à aceitação da proposta, será iniciada a fase de habilitação, observado o disposto neste Aviso de Contratação Direta.</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18" w:name="_Toc226962643"/>
      <w:r>
        <w:rPr>
          <w:rFonts w:ascii="Times New Roman" w:hAnsi="Times New Roman"/>
          <w:i w:val="false"/>
          <w:iCs w:val="false"/>
          <w:color w:val="000000"/>
          <w:sz w:val="24"/>
          <w:szCs w:val="24"/>
          <w:shd w:fill="auto" w:val="clear"/>
        </w:rPr>
        <w:t xml:space="preserve">DA FASE DE </w:t>
      </w:r>
      <w:bookmarkStart w:id="19" w:name="_Toc142925866"/>
      <w:r>
        <w:rPr>
          <w:rFonts w:ascii="Times New Roman" w:hAnsi="Times New Roman"/>
          <w:i w:val="false"/>
          <w:iCs w:val="false"/>
          <w:color w:val="000000"/>
          <w:sz w:val="24"/>
          <w:szCs w:val="24"/>
          <w:shd w:fill="auto" w:val="clear"/>
        </w:rPr>
        <w:t>HABILITAÇÃO</w:t>
      </w:r>
      <w:bookmarkEnd w:id="18"/>
      <w:bookmarkEnd w:id="19"/>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habilitação dos fornecedores será verificada por meio do Sicaf, nos documentos por ele abrangidos.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o consórcio não for formado integralmente por microempresas ou empresas de pequeno porte e o Termo de Referência exigir requisitos de habilitação econômico-financeira, haverá um acréscimo de [INSERIR UM PERCENTUAL ENTRE 10% A 30 %, SALVO SE HOUVER JUSTIFICATIVA NOS AUTOS PARA SUPRIMIR ESSE ACRÉSCIMO] para o consórcio em relação ao valor exigido para os fornecedores individuais.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ascii="Times New Roman" w:hAnsi="Times New Roman"/>
          <w:b/>
          <w:i w:val="false"/>
          <w:iCs w:val="false"/>
          <w:color w:val="000000"/>
          <w:sz w:val="24"/>
          <w:szCs w:val="24"/>
          <w:shd w:fill="auto" w:val="clear"/>
        </w:rPr>
        <w:t>XX</w:t>
      </w:r>
      <w:r>
        <w:rPr>
          <w:rFonts w:eastAsia="Arial" w:ascii="Times New Roman" w:hAnsi="Times New Roman"/>
          <w:i w:val="false"/>
          <w:iCs w:val="false"/>
          <w:color w:val="000000"/>
          <w:sz w:val="24"/>
          <w:szCs w:val="24"/>
          <w:shd w:fill="auto" w:val="clear"/>
        </w:rPr>
        <w:t xml:space="preserve"> </w:t>
      </w:r>
      <w:r>
        <w:rPr>
          <w:rFonts w:eastAsia="Arial" w:ascii="Times New Roman" w:hAnsi="Times New Roman"/>
          <w:i w:val="false"/>
          <w:iCs w:val="false"/>
          <w:color w:val="000000"/>
          <w:sz w:val="24"/>
          <w:szCs w:val="24"/>
          <w:shd w:fill="auto" w:val="clear"/>
        </w:rPr>
        <w:t>(</w:t>
      </w:r>
      <w:r>
        <w:rPr>
          <w:rFonts w:eastAsia="Arial" w:ascii="Times New Roman" w:hAnsi="Times New Roman"/>
          <w:b/>
          <w:i w:val="false"/>
          <w:iCs w:val="false"/>
          <w:color w:val="000000"/>
          <w:sz w:val="24"/>
          <w:szCs w:val="24"/>
          <w:shd w:fill="auto" w:val="clear"/>
        </w:rPr>
        <w:t>valor por extenso</w:t>
      </w:r>
      <w:r>
        <w:rPr>
          <w:rFonts w:eastAsia="Arial" w:ascii="Times New Roman" w:hAnsi="Times New Roman"/>
          <w:i w:val="false"/>
          <w:iCs w:val="false"/>
          <w:color w:val="000000"/>
          <w:sz w:val="24"/>
          <w:szCs w:val="24"/>
          <w:shd w:fill="auto" w:val="clear"/>
        </w:rPr>
        <w:t>)</w:t>
      </w:r>
      <w:r>
        <w:rPr>
          <w:rFonts w:ascii="Times New Roman" w:hAnsi="Times New Roman"/>
          <w:i w:val="false"/>
          <w:iCs w:val="false"/>
          <w:color w:val="000000"/>
          <w:sz w:val="24"/>
          <w:szCs w:val="24"/>
          <w:shd w:fill="auto" w:val="clear"/>
        </w:rPr>
        <w:t xml:space="preserve"> horas, sob pena de inabilitação.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serão aceitos documentos de habilitação com indicação de CNPJ/CPF diferentes, salvo aqueles legalmente permitidos.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necessidade de analisar minuciosamente os documentos exigidos, a sessão será suspensa, sendo informada a nova data e horário para a sua continuidade.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Será inabilitado o fornecedor que não comprovar sua habilitação, seja por não apresentar quaisquer dos documentos exigidos, ou apresentá-los em desacordo com o estabelecido neste Aviso de Contratação Direta.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Constatado o atendimento às exigências de habilitação, o fornecedor será habilitado.</w:t>
      </w:r>
    </w:p>
    <w:p>
      <w:pPr>
        <w:pStyle w:val="Nivel01"/>
        <w:numPr>
          <w:ilvl w:val="0"/>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bookmarkStart w:id="20" w:name="_Toc226962644"/>
      <w:r>
        <w:rPr>
          <w:rFonts w:ascii="Times New Roman" w:hAnsi="Times New Roman"/>
          <w:i w:val="false"/>
          <w:iCs w:val="false"/>
          <w:strike/>
          <w:color w:val="000000"/>
          <w:sz w:val="24"/>
          <w:szCs w:val="24"/>
          <w:shd w:fill="auto" w:val="clear"/>
        </w:rPr>
        <w:t xml:space="preserve">DA </w:t>
      </w:r>
      <w:bookmarkStart w:id="21" w:name="_Toc142925867"/>
      <w:r>
        <w:rPr>
          <w:rFonts w:ascii="Times New Roman" w:hAnsi="Times New Roman"/>
          <w:i w:val="false"/>
          <w:iCs w:val="false"/>
          <w:strike/>
          <w:color w:val="000000"/>
          <w:sz w:val="24"/>
          <w:szCs w:val="24"/>
          <w:shd w:fill="auto" w:val="clear"/>
        </w:rPr>
        <w:t>ATA DE REGISTRO DE PREÇOS</w:t>
      </w:r>
      <w:bookmarkEnd w:id="20"/>
      <w:bookmarkEnd w:id="21"/>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Homologado o resultado do procedimento, o fornecedor mais bem classificado terá o prazo de </w:t>
      </w:r>
      <w:r>
        <w:rPr>
          <w:rFonts w:eastAsia="Arial" w:ascii="Times New Roman" w:hAnsi="Times New Roman"/>
          <w:b/>
          <w:i w:val="false"/>
          <w:iCs w:val="false"/>
          <w:strike/>
          <w:color w:val="000000"/>
          <w:sz w:val="24"/>
          <w:szCs w:val="24"/>
          <w:shd w:fill="auto" w:val="clear"/>
        </w:rPr>
        <w:t>XX</w:t>
      </w:r>
      <w:r>
        <w:rPr>
          <w:rFonts w:eastAsia="Arial" w:ascii="Times New Roman" w:hAnsi="Times New Roman"/>
          <w:i w:val="false"/>
          <w:iCs w:val="false"/>
          <w:strike/>
          <w:color w:val="000000"/>
          <w:sz w:val="24"/>
          <w:szCs w:val="24"/>
          <w:shd w:fill="auto" w:val="clear"/>
        </w:rPr>
        <w:t xml:space="preserve"> </w:t>
      </w:r>
      <w:r>
        <w:rPr>
          <w:rFonts w:eastAsia="Arial" w:ascii="Times New Roman" w:hAnsi="Times New Roman"/>
          <w:i w:val="false"/>
          <w:iCs w:val="false"/>
          <w:strike/>
          <w:color w:val="000000"/>
          <w:sz w:val="24"/>
          <w:szCs w:val="24"/>
          <w:shd w:fill="auto" w:val="clear"/>
        </w:rPr>
        <w:t>(</w:t>
      </w:r>
      <w:r>
        <w:rPr>
          <w:rFonts w:eastAsia="Arial" w:ascii="Times New Roman" w:hAnsi="Times New Roman"/>
          <w:b/>
          <w:i w:val="false"/>
          <w:iCs w:val="false"/>
          <w:strike/>
          <w:color w:val="000000"/>
          <w:sz w:val="24"/>
          <w:szCs w:val="24"/>
          <w:shd w:fill="auto" w:val="clear"/>
        </w:rPr>
        <w:t>valor por extenso</w:t>
      </w:r>
      <w:r>
        <w:rPr>
          <w:rFonts w:eastAsia="Arial" w:ascii="Times New Roman" w:hAnsi="Times New Roman"/>
          <w:i w:val="false"/>
          <w:iCs w:val="false"/>
          <w:strike/>
          <w:color w:val="000000"/>
          <w:sz w:val="24"/>
          <w:szCs w:val="24"/>
          <w:shd w:fill="auto" w:val="clear"/>
        </w:rPr>
        <w:t>)</w:t>
      </w:r>
      <w:r>
        <w:rPr>
          <w:rFonts w:ascii="Times New Roman" w:hAnsi="Times New Roman"/>
          <w:i w:val="false"/>
          <w:iCs w:val="false"/>
          <w:strike/>
          <w:color w:val="000000"/>
          <w:sz w:val="24"/>
          <w:szCs w:val="24"/>
          <w:shd w:fill="auto" w:val="clear"/>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O prazo de convocação poderá ser prorrogado uma vez, por igual período, mediante solicitação do fornecedor mais bem classificado ou convocado, desde que:</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solicitação seja devidamente justificada e apresentada dentro do prazo; e</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justificativa apresentada seja aceita pela Administração.</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ata de registro de preços será assinada por meio de assinatura digital e disponibilizada no sistema de registro de preços.</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O preço registrado, com a indicação dos fornecedores, será divulgado no PNCP e disponibilizado durante a vigência da ata de registro de preços.</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O prazo de vigência da ata de registro de preços será de 1 (um) ano e poderá ser prorrogado, por igual período, desde que comprovado o preço vantajoso.</w:t>
      </w:r>
    </w:p>
    <w:p>
      <w:pPr>
        <w:pStyle w:val="Nvel3-R"/>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Em caso de prorrogação da ata, </w:t>
      </w:r>
      <w:r>
        <w:rPr>
          <w:rFonts w:ascii="Times New Roman" w:hAnsi="Times New Roman"/>
          <w:b/>
          <w:bCs/>
          <w:i w:val="false"/>
          <w:iCs w:val="false"/>
          <w:strike/>
          <w:color w:val="000000"/>
          <w:sz w:val="24"/>
          <w:szCs w:val="24"/>
          <w:shd w:fill="auto" w:val="clear"/>
        </w:rPr>
        <w:t>[poderá] OU [não poderá]</w:t>
      </w:r>
      <w:r>
        <w:rPr>
          <w:rFonts w:ascii="Times New Roman" w:hAnsi="Times New Roman"/>
          <w:i w:val="false"/>
          <w:iCs w:val="false"/>
          <w:strike/>
          <w:color w:val="000000"/>
          <w:sz w:val="24"/>
          <w:szCs w:val="24"/>
          <w:shd w:fill="auto" w:val="clear"/>
        </w:rPr>
        <w:t xml:space="preserve"> ser renovado o quantitativo originalmente registrado.</w:t>
      </w:r>
    </w:p>
    <w:p>
      <w:pPr>
        <w:pStyle w:val="Nivel01"/>
        <w:numPr>
          <w:ilvl w:val="0"/>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bookmarkStart w:id="22" w:name="_Toc226962645"/>
      <w:r>
        <w:rPr>
          <w:rFonts w:ascii="Times New Roman" w:hAnsi="Times New Roman"/>
          <w:i w:val="false"/>
          <w:iCs w:val="false"/>
          <w:strike/>
          <w:color w:val="000000"/>
          <w:sz w:val="24"/>
          <w:szCs w:val="24"/>
          <w:shd w:fill="auto" w:val="clear"/>
        </w:rPr>
        <w:t xml:space="preserve">DA </w:t>
      </w:r>
      <w:bookmarkStart w:id="23" w:name="_Toc142925868"/>
      <w:r>
        <w:rPr>
          <w:rFonts w:ascii="Times New Roman" w:hAnsi="Times New Roman"/>
          <w:i w:val="false"/>
          <w:iCs w:val="false"/>
          <w:strike/>
          <w:color w:val="000000"/>
          <w:sz w:val="24"/>
          <w:szCs w:val="24"/>
          <w:shd w:fill="auto" w:val="clear"/>
        </w:rPr>
        <w:t>FORMAÇÃO DO CADASTRO DE RESERVA</w:t>
      </w:r>
      <w:bookmarkEnd w:id="22"/>
      <w:bookmarkEnd w:id="23"/>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Após a homologação do procedimento, será incluído na ata, na forma de anexo, o registro:</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dos fornecedores </w:t>
      </w:r>
      <w:bookmarkStart w:id="24" w:name="_Hlk132991372"/>
      <w:r>
        <w:rPr>
          <w:rFonts w:ascii="Times New Roman" w:hAnsi="Times New Roman"/>
          <w:i w:val="false"/>
          <w:iCs w:val="false"/>
          <w:strike/>
          <w:color w:val="000000"/>
          <w:sz w:val="24"/>
          <w:szCs w:val="24"/>
          <w:shd w:fill="auto" w:val="clear"/>
        </w:rPr>
        <w:t xml:space="preserve">que </w:t>
      </w:r>
      <w:bookmarkStart w:id="25" w:name="_Hlk132989696"/>
      <w:r>
        <w:rPr>
          <w:rFonts w:ascii="Times New Roman" w:hAnsi="Times New Roman"/>
          <w:i w:val="false"/>
          <w:iCs w:val="false"/>
          <w:strike/>
          <w:color w:val="000000"/>
          <w:sz w:val="24"/>
          <w:szCs w:val="24"/>
          <w:shd w:fill="auto" w:val="clear"/>
        </w:rPr>
        <w:t>aceitarem cotar o objeto com preço igual ao do adjudicatári</w:t>
      </w:r>
      <w:bookmarkEnd w:id="24"/>
      <w:r>
        <w:rPr>
          <w:rFonts w:ascii="Times New Roman" w:hAnsi="Times New Roman"/>
          <w:i w:val="false"/>
          <w:iCs w:val="false"/>
          <w:strike/>
          <w:color w:val="000000"/>
          <w:sz w:val="24"/>
          <w:szCs w:val="24"/>
          <w:shd w:fill="auto" w:val="clear"/>
        </w:rPr>
        <w:t>o</w:t>
      </w:r>
      <w:bookmarkEnd w:id="25"/>
      <w:r>
        <w:rPr>
          <w:rFonts w:ascii="Times New Roman" w:hAnsi="Times New Roman"/>
          <w:i w:val="false"/>
          <w:iCs w:val="false"/>
          <w:strike/>
          <w:color w:val="000000"/>
          <w:sz w:val="24"/>
          <w:szCs w:val="24"/>
          <w:shd w:fill="auto"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dos fornecedores que mantiverem sua proposta original.</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Será respeitada, nas contratações, a ordem de classificação dos fornecedores registrados na ata.</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apresentação de novas propostas na forma deste item não prejudicará o resultado do procedimento em relação ao fornecedor mais bem classificado.</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Para fins da ordem de classificação, os fornecedores que aceitarem cotar o objeto com preço igual ao do adjudicatário antecederão aqueles que mantiverem sua proposta original.</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 habilitação dos fornecedores que comporão o cadastro de reserva será efetuada quando houver necessidade de contratação dos fornecedores remanescentes, nas seguintes hipóteses:</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quando o adjudicatário não assinar a ata de registro de preços no prazo e nas condições estabelecidos no aviso de dispensa; ou</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quando houver o cancelamento do registro do fornecedor ou do registro de preços, nas hipóteses previstas nos arts. 28 e 29 do Decreto nº 11.462, de 2023.</w:t>
      </w:r>
    </w:p>
    <w:p>
      <w:pPr>
        <w:pStyle w:val="Nivel2"/>
        <w:numPr>
          <w:ilvl w:val="1"/>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spacing w:lineRule="auto" w:line="276" w:before="0" w:after="170"/>
        <w:ind w:hanging="0" w:left="0"/>
        <w:rPr>
          <w:rFonts w:ascii="Times New Roman" w:hAnsi="Times New Roman"/>
          <w:i w:val="false"/>
          <w:i w:val="false"/>
          <w:iCs w:val="false"/>
          <w:strike/>
          <w:color w:val="000000"/>
          <w:sz w:val="24"/>
          <w:szCs w:val="24"/>
          <w:highlight w:val="none"/>
          <w:shd w:fill="auto" w:val="clear"/>
        </w:rPr>
      </w:pPr>
      <w:r>
        <w:rPr>
          <w:rFonts w:ascii="Times New Roman" w:hAnsi="Times New Roman"/>
          <w:i w:val="false"/>
          <w:iCs w:val="false"/>
          <w:strike/>
          <w:color w:val="000000"/>
          <w:sz w:val="24"/>
          <w:szCs w:val="24"/>
          <w:shd w:fill="auto"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26" w:name="_Toc226962646"/>
      <w:r>
        <w:rPr>
          <w:rFonts w:ascii="Times New Roman" w:hAnsi="Times New Roman"/>
          <w:i w:val="false"/>
          <w:iCs w:val="false"/>
          <w:color w:val="000000"/>
          <w:sz w:val="24"/>
          <w:szCs w:val="24"/>
          <w:shd w:fill="auto" w:val="clear"/>
        </w:rPr>
        <w:t xml:space="preserve">DA </w:t>
      </w:r>
      <w:bookmarkStart w:id="27" w:name="_Toc142925869"/>
      <w:r>
        <w:rPr>
          <w:rFonts w:ascii="Times New Roman" w:hAnsi="Times New Roman"/>
          <w:i w:val="false"/>
          <w:iCs w:val="false"/>
          <w:color w:val="000000"/>
          <w:sz w:val="24"/>
          <w:szCs w:val="24"/>
          <w:shd w:fill="auto" w:val="clear"/>
        </w:rPr>
        <w:t>CONTRATAÇÃO</w:t>
      </w:r>
      <w:bookmarkEnd w:id="26"/>
      <w:bookmarkEnd w:id="27"/>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Arial" w:ascii="Times New Roman" w:hAnsi="Times New Roman"/>
          <w:i w:val="false"/>
          <w:iCs w:val="false"/>
          <w:color w:val="000000"/>
          <w:sz w:val="24"/>
          <w:szCs w:val="24"/>
          <w:shd w:fill="auto" w:val="clear"/>
        </w:rPr>
        <w:t>Após a homologação e adjudicação, caso se conclua pela contratação, será firmado Termo de Contrato ou emitido instrumento equivalente.</w:t>
      </w:r>
    </w:p>
    <w:p>
      <w:pPr>
        <w:pStyle w:val="Nvel2Misto"/>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adjudicatário terá o prazo de </w:t>
      </w:r>
      <w:r>
        <w:rPr>
          <w:rFonts w:ascii="Times New Roman" w:hAnsi="Times New Roman"/>
          <w:b/>
          <w:i w:val="false"/>
          <w:iCs w:val="false"/>
          <w:color w:val="000000"/>
          <w:sz w:val="24"/>
          <w:szCs w:val="24"/>
          <w:shd w:fill="auto" w:val="clear"/>
        </w:rPr>
        <w:t xml:space="preserve">5 </w:t>
      </w: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dias</w:t>
      </w:r>
      <w:r>
        <w:rPr>
          <w:rFonts w:ascii="Times New Roman" w:hAnsi="Times New Roman"/>
          <w:i w:val="false"/>
          <w:iCs w:val="false"/>
          <w:color w:val="000000"/>
          <w:sz w:val="24"/>
          <w:szCs w:val="24"/>
          <w:shd w:fill="auto" w:val="clear"/>
        </w:rPr>
        <w:t xml:space="preserve"> úteis, contados a partir da data de sua convocação, para assinar o </w:t>
      </w:r>
      <w:r>
        <w:rPr>
          <w:rFonts w:ascii="Times New Roman" w:hAnsi="Times New Roman"/>
          <w:i w:val="false"/>
          <w:iCs w:val="false"/>
          <w:color w:val="000000"/>
          <w:sz w:val="24"/>
          <w:szCs w:val="24"/>
          <w:shd w:fill="auto" w:val="clear"/>
        </w:rPr>
        <w:t xml:space="preserve">Termo de Contrato  </w:t>
      </w:r>
      <w:r>
        <w:rPr>
          <w:rFonts w:ascii="Times New Roman" w:hAnsi="Times New Roman"/>
          <w:i w:val="false"/>
          <w:iCs w:val="false"/>
          <w:color w:val="000000"/>
          <w:sz w:val="24"/>
          <w:szCs w:val="24"/>
          <w:shd w:fill="auto" w:val="clear"/>
        </w:rPr>
        <w:t xml:space="preserve"> sob pena de decair o direito à contratação, sem prejuízo das sanções previstas neste Aviso de Contratação Direta.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ascii="Times New Roman" w:hAnsi="Times New Roman"/>
          <w:b/>
          <w:bCs/>
          <w:i w:val="false"/>
          <w:iCs w:val="false"/>
          <w:color w:val="000000"/>
          <w:sz w:val="24"/>
          <w:szCs w:val="24"/>
          <w:shd w:fill="auto" w:val="clear"/>
        </w:rPr>
        <w:t>05</w:t>
      </w:r>
      <w:r>
        <w:rPr>
          <w:rFonts w:eastAsia="Arial" w:ascii="Times New Roman" w:hAnsi="Times New Roman"/>
          <w:i w:val="false"/>
          <w:iCs w:val="false"/>
          <w:color w:val="000000"/>
          <w:sz w:val="24"/>
          <w:szCs w:val="24"/>
          <w:shd w:fill="auto" w:val="clear"/>
        </w:rPr>
        <w:t xml:space="preserve">  </w:t>
      </w:r>
      <w:r>
        <w:rPr>
          <w:rFonts w:ascii="Times New Roman" w:hAnsi="Times New Roman"/>
          <w:bCs/>
          <w:i w:val="false"/>
          <w:iCs w:val="false"/>
          <w:color w:val="000000"/>
          <w:sz w:val="24"/>
          <w:szCs w:val="24"/>
          <w:shd w:fill="auto" w:val="clear"/>
        </w:rPr>
        <w:t xml:space="preserve"> dias</w:t>
      </w:r>
      <w:r>
        <w:rPr>
          <w:rFonts w:ascii="Times New Roman" w:hAnsi="Times New Roman"/>
          <w:i w:val="false"/>
          <w:iCs w:val="false"/>
          <w:color w:val="000000"/>
          <w:sz w:val="24"/>
          <w:szCs w:val="24"/>
          <w:shd w:fill="auto" w:val="clear"/>
        </w:rPr>
        <w:t>, a contar da data de seu recebimento ou da disponibilização do acesso ao sistema de processo eletrônico.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prazo previsto no subitem anterior poderá ser prorrogado, por igual período, por solicitação justificada do adjudicatário e aceita pela Administração.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Aceite da Nota de Empenho ou do instrumento equivalente, emitida ao fornecedor adjudicado, implica o reconhecimento de que:</w:t>
      </w:r>
    </w:p>
    <w:p>
      <w:pPr>
        <w:pStyle w:val="Nvel3-R"/>
        <w:numPr>
          <w:ilvl w:val="2"/>
          <w:numId w:val="1"/>
        </w:numPr>
        <w:spacing w:lineRule="auto" w:line="276" w:before="0" w:after="170"/>
        <w:ind w:hanging="0" w:left="0"/>
        <w:rPr/>
      </w:pPr>
      <w:r>
        <w:rPr>
          <w:rFonts w:eastAsia="Arial" w:ascii="Times New Roman" w:hAnsi="Times New Roman"/>
          <w:i w:val="false"/>
          <w:iCs w:val="false"/>
          <w:color w:val="000000"/>
          <w:sz w:val="24"/>
          <w:szCs w:val="24"/>
          <w:shd w:fill="auto" w:val="clear"/>
        </w:rPr>
        <w:t xml:space="preserve">referida Nota está substituindo o contrato, aplicando-se à relação de negócios ali estabelecida as disposições da </w:t>
      </w:r>
      <w:hyperlink r:id="rId7">
        <w:r>
          <w:rPr>
            <w:rStyle w:val="Hyperlink"/>
            <w:rFonts w:eastAsia="Arial" w:ascii="Times New Roman" w:hAnsi="Times New Roman"/>
            <w:i w:val="false"/>
            <w:iCs w:val="false"/>
            <w:color w:val="000000"/>
            <w:sz w:val="24"/>
            <w:szCs w:val="24"/>
            <w:u w:val="none"/>
            <w:shd w:fill="auto" w:val="clear"/>
          </w:rPr>
          <w:t>Lei nº 14.133, de 2021</w:t>
        </w:r>
      </w:hyperlink>
      <w:r>
        <w:rPr>
          <w:rFonts w:eastAsia="Arial" w:ascii="Times New Roman" w:hAnsi="Times New Roman"/>
          <w:i w:val="false"/>
          <w:iCs w:val="false"/>
          <w:color w:val="000000"/>
          <w:sz w:val="24"/>
          <w:szCs w:val="24"/>
          <w:shd w:fill="auto" w:val="clear"/>
        </w:rPr>
        <w:t>;</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Arial" w:ascii="Times New Roman" w:hAnsi="Times New Roman"/>
          <w:i w:val="false"/>
          <w:iCs w:val="false"/>
          <w:color w:val="000000"/>
          <w:sz w:val="24"/>
          <w:szCs w:val="24"/>
          <w:shd w:fill="auto" w:val="clear"/>
        </w:rPr>
        <w:t>a contratada se vincula à sua proposta e às previsões contidas no Aviso de Contratação Direta e seus anexos;</w:t>
      </w:r>
    </w:p>
    <w:p>
      <w:pPr>
        <w:pStyle w:val="Nvel3-R"/>
        <w:numPr>
          <w:ilvl w:val="2"/>
          <w:numId w:val="1"/>
        </w:numPr>
        <w:spacing w:lineRule="auto" w:line="276" w:before="0" w:after="170"/>
        <w:ind w:hanging="0" w:left="0"/>
        <w:rPr/>
      </w:pPr>
      <w:r>
        <w:rPr>
          <w:rFonts w:eastAsia="Arial" w:ascii="Times New Roman" w:hAnsi="Times New Roman"/>
          <w:i w:val="false"/>
          <w:iCs w:val="false"/>
          <w:color w:val="000000"/>
          <w:sz w:val="24"/>
          <w:szCs w:val="24"/>
          <w:shd w:fill="auto" w:val="clear"/>
        </w:rPr>
        <w:t xml:space="preserve">a contratada reconhece que as hipóteses de rescisão são aquelas previstas nos </w:t>
      </w:r>
      <w:r>
        <w:fldChar w:fldCharType="begin"/>
      </w:r>
      <w:r>
        <w:rPr>
          <w:rStyle w:val="Hyperlink"/>
          <w:sz w:val="24"/>
          <w:i w:val="false"/>
          <w:u w:val="none"/>
          <w:shd w:fill="auto" w:val="clear"/>
          <w:szCs w:val="24"/>
          <w:iCs w:val="false"/>
          <w:rFonts w:eastAsia="Arial" w:ascii="Times New Roman" w:hAnsi="Times New Roman"/>
          <w:color w:val="000000"/>
        </w:rPr>
        <w:instrText xml:space="preserve"> HYPERLINK "http://www.planalto.gov.br/ccivil_03/_ato2019-2022/2021/lei/L14133.htm" \l "art137"</w:instrText>
      </w:r>
      <w:r>
        <w:rPr>
          <w:rStyle w:val="Hyperlink"/>
          <w:sz w:val="24"/>
          <w:i w:val="false"/>
          <w:u w:val="none"/>
          <w:shd w:fill="auto" w:val="clear"/>
          <w:szCs w:val="24"/>
          <w:iCs w:val="false"/>
          <w:rFonts w:eastAsia="Arial" w:ascii="Times New Roman" w:hAnsi="Times New Roman"/>
          <w:color w:val="000000"/>
        </w:rPr>
        <w:fldChar w:fldCharType="separate"/>
      </w:r>
      <w:r>
        <w:rPr>
          <w:rStyle w:val="Hyperlink"/>
          <w:rFonts w:eastAsia="Arial" w:ascii="Times New Roman" w:hAnsi="Times New Roman"/>
          <w:i w:val="false"/>
          <w:iCs w:val="false"/>
          <w:color w:val="000000"/>
          <w:sz w:val="24"/>
          <w:szCs w:val="24"/>
          <w:u w:val="none"/>
          <w:shd w:fill="auto" w:val="clear"/>
        </w:rPr>
        <w:t>arts. 137 e 138 da Lei nº 14.133, de 2021</w:t>
      </w:r>
      <w:r>
        <w:rPr>
          <w:rStyle w:val="Hyperlink"/>
          <w:sz w:val="24"/>
          <w:i w:val="false"/>
          <w:u w:val="none"/>
          <w:shd w:fill="auto" w:val="clear"/>
          <w:szCs w:val="24"/>
          <w:iCs w:val="false"/>
          <w:rFonts w:eastAsia="Arial" w:ascii="Times New Roman" w:hAnsi="Times New Roman"/>
          <w:color w:val="000000"/>
        </w:rPr>
        <w:fldChar w:fldCharType="end"/>
      </w:r>
      <w:r>
        <w:rPr>
          <w:rFonts w:ascii="Times New Roman" w:hAnsi="Times New Roman"/>
          <w:i w:val="false"/>
          <w:iCs w:val="false"/>
          <w:color w:val="000000"/>
          <w:sz w:val="24"/>
          <w:szCs w:val="24"/>
          <w:shd w:fill="auto" w:val="clear"/>
        </w:rPr>
        <w:t>,</w:t>
      </w:r>
      <w:r>
        <w:rPr>
          <w:rFonts w:eastAsia="Arial" w:ascii="Times New Roman" w:hAnsi="Times New Roman"/>
          <w:i w:val="false"/>
          <w:iCs w:val="false"/>
          <w:color w:val="000000"/>
          <w:sz w:val="24"/>
          <w:szCs w:val="24"/>
          <w:shd w:fill="auto" w:val="clear"/>
        </w:rPr>
        <w:t xml:space="preserve"> e reconhece os direitos da Administração previstos nos </w:t>
      </w:r>
      <w:r>
        <w:fldChar w:fldCharType="begin"/>
      </w:r>
      <w:r>
        <w:rPr>
          <w:rStyle w:val="Hyperlink"/>
          <w:sz w:val="24"/>
          <w:i w:val="false"/>
          <w:u w:val="none"/>
          <w:shd w:fill="auto" w:val="clear"/>
          <w:szCs w:val="24"/>
          <w:iCs w:val="false"/>
          <w:rFonts w:eastAsia="Arial" w:ascii="Times New Roman" w:hAnsi="Times New Roman"/>
          <w:color w:val="000000"/>
        </w:rPr>
        <w:instrText xml:space="preserve"> HYPERLINK "http://www.planalto.gov.br/ccivil_03/_ato2019-2022/2021/lei/L14133.htm" \l "art137"</w:instrText>
      </w:r>
      <w:r>
        <w:rPr>
          <w:rStyle w:val="Hyperlink"/>
          <w:sz w:val="24"/>
          <w:i w:val="false"/>
          <w:u w:val="none"/>
          <w:shd w:fill="auto" w:val="clear"/>
          <w:szCs w:val="24"/>
          <w:iCs w:val="false"/>
          <w:rFonts w:eastAsia="Arial" w:ascii="Times New Roman" w:hAnsi="Times New Roman"/>
          <w:color w:val="000000"/>
        </w:rPr>
        <w:fldChar w:fldCharType="separate"/>
      </w:r>
      <w:r>
        <w:rPr>
          <w:rStyle w:val="Hyperlink"/>
          <w:rFonts w:eastAsia="Arial" w:ascii="Times New Roman" w:hAnsi="Times New Roman"/>
          <w:i w:val="false"/>
          <w:iCs w:val="false"/>
          <w:color w:val="000000"/>
          <w:sz w:val="24"/>
          <w:szCs w:val="24"/>
          <w:u w:val="none"/>
          <w:shd w:fill="auto" w:val="clear"/>
        </w:rPr>
        <w:t>arts. 137 a 139 da mesma Lei</w:t>
      </w:r>
      <w:r>
        <w:rPr>
          <w:rStyle w:val="Hyperlink"/>
          <w:sz w:val="24"/>
          <w:i w:val="false"/>
          <w:u w:val="none"/>
          <w:shd w:fill="auto" w:val="clear"/>
          <w:szCs w:val="24"/>
          <w:iCs w:val="false"/>
          <w:rFonts w:eastAsia="Arial" w:ascii="Times New Roman" w:hAnsi="Times New Roman"/>
          <w:color w:val="000000"/>
        </w:rPr>
        <w:fldChar w:fldCharType="end"/>
      </w:r>
      <w:r>
        <w:rPr>
          <w:rFonts w:eastAsia="Arial" w:ascii="Times New Roman" w:hAnsi="Times New Roman"/>
          <w:i w:val="false"/>
          <w:iCs w:val="false"/>
          <w:color w:val="000000"/>
          <w:sz w:val="24"/>
          <w:szCs w:val="24"/>
          <w:shd w:fill="auto" w:val="clear"/>
        </w:rPr>
        <w:t>.</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eastAsia="Arial" w:ascii="Times New Roman" w:hAnsi="Times New Roman"/>
          <w:i w:val="false"/>
          <w:iCs w:val="false"/>
          <w:color w:val="000000"/>
          <w:sz w:val="24"/>
          <w:szCs w:val="24"/>
          <w:shd w:fill="auto" w:val="clear"/>
        </w:rPr>
        <w:t xml:space="preserve">O prazo de vigência da contratação é o estabelecido no Termo de Referência. </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28" w:name="_Toc226962647"/>
      <w:r>
        <w:rPr>
          <w:rFonts w:ascii="Times New Roman" w:hAnsi="Times New Roman"/>
          <w:i w:val="false"/>
          <w:iCs w:val="false"/>
          <w:color w:val="000000"/>
          <w:sz w:val="24"/>
          <w:szCs w:val="24"/>
          <w:shd w:fill="auto" w:val="clear"/>
        </w:rPr>
        <w:t xml:space="preserve">DAS </w:t>
      </w:r>
      <w:bookmarkStart w:id="29" w:name="_Toc142925870"/>
      <w:r>
        <w:rPr>
          <w:rFonts w:ascii="Times New Roman" w:hAnsi="Times New Roman"/>
          <w:i w:val="false"/>
          <w:iCs w:val="false"/>
          <w:color w:val="000000"/>
          <w:sz w:val="24"/>
          <w:szCs w:val="24"/>
          <w:shd w:fill="auto" w:val="clear"/>
        </w:rPr>
        <w:t>INFRAÇÕES E SANÇÕES ADMINISTRATIVAS</w:t>
      </w:r>
      <w:bookmarkEnd w:id="28"/>
      <w:bookmarkEnd w:id="29"/>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Comete infração administrativa o fornecedor que praticar quaisquer das hipóteses previstas no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"art155"</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155 da Lei nº 14.133, de 2021</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quais sejam: </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0" w:name="_Ref143509900"/>
      <w:r>
        <w:rPr>
          <w:rFonts w:ascii="Times New Roman" w:hAnsi="Times New Roman"/>
          <w:i w:val="false"/>
          <w:iCs w:val="false"/>
          <w:color w:val="000000"/>
          <w:sz w:val="24"/>
          <w:szCs w:val="24"/>
          <w:shd w:fill="auto" w:val="clear"/>
        </w:rPr>
        <w:t>dar causa à inexecução parcial do contrato;</w:t>
      </w:r>
      <w:bookmarkEnd w:id="30"/>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1" w:name="_Ref143510015"/>
      <w:r>
        <w:rPr>
          <w:rFonts w:ascii="Times New Roman" w:hAnsi="Times New Roman"/>
          <w:i w:val="false"/>
          <w:iCs w:val="false"/>
          <w:color w:val="000000"/>
          <w:sz w:val="24"/>
          <w:szCs w:val="24"/>
          <w:shd w:fill="auto" w:val="clear"/>
        </w:rPr>
        <w:t>dar causa à inexecução parcial do contrato que cause grave dano à Administração, ao funcionamento dos serviços públicos ou ao interesse coletivo;</w:t>
      </w:r>
      <w:bookmarkEnd w:id="31"/>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dar causa à inexecução total do contrato;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deixar de entregar a documentação exigida para o certame;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manter a proposta, salvo em decorrência de fato superveniente devidamente justificado;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celebrar o contrato ou não entregar a documentação exigida para a contratação, quando convocado dentro do prazo de validade de sua proposta;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w:t>
      </w:r>
      <w:bookmarkStart w:id="32" w:name="_Ref143510046"/>
      <w:r>
        <w:rPr>
          <w:rFonts w:ascii="Times New Roman" w:hAnsi="Times New Roman"/>
          <w:i w:val="false"/>
          <w:iCs w:val="false"/>
          <w:color w:val="000000"/>
          <w:sz w:val="24"/>
          <w:szCs w:val="24"/>
          <w:shd w:fill="auto" w:val="clear"/>
        </w:rPr>
        <w:t>ensejar o retardamento da execução ou da entrega do objeto da contratação direta sem motivo justificado;</w:t>
      </w:r>
      <w:bookmarkEnd w:id="32"/>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3" w:name="_Ref143510088"/>
      <w:r>
        <w:rPr>
          <w:rFonts w:ascii="Times New Roman" w:hAnsi="Times New Roman"/>
          <w:i w:val="false"/>
          <w:iCs w:val="false"/>
          <w:color w:val="000000"/>
          <w:sz w:val="24"/>
          <w:szCs w:val="24"/>
          <w:shd w:fill="auto" w:val="clear"/>
        </w:rPr>
        <w:t>apresentar declaração ou documentação falsa exigida para o certame ou prestar declaração falsa durante a dispensa eletrônica ou a execução do contrato;</w:t>
      </w:r>
      <w:bookmarkEnd w:id="33"/>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fraudar a dispensa eletrônica ou praticar ato fraudulento na execução do contrato;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comportar-se de modo inidôneo ou cometer fraude de qualquer natureza;</w:t>
      </w:r>
    </w:p>
    <w:p>
      <w:pPr>
        <w:pStyle w:val="Nivel4"/>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praticar atos ilícitos com vistas a frustrar os objetivos deste certame; e</w:t>
      </w:r>
    </w:p>
    <w:p>
      <w:pPr>
        <w:pStyle w:val="Nivel3"/>
        <w:numPr>
          <w:ilvl w:val="2"/>
          <w:numId w:val="1"/>
        </w:numPr>
        <w:spacing w:lineRule="auto" w:line="276" w:before="0" w:after="170"/>
        <w:ind w:hanging="0" w:left="0"/>
        <w:rPr/>
      </w:pPr>
      <w:bookmarkStart w:id="34" w:name="_Ref143509952"/>
      <w:bookmarkEnd w:id="34"/>
      <w:r>
        <w:rPr>
          <w:rFonts w:ascii="Times New Roman" w:hAnsi="Times New Roman"/>
          <w:i w:val="false"/>
          <w:iCs w:val="false"/>
          <w:color w:val="000000"/>
          <w:sz w:val="24"/>
          <w:szCs w:val="24"/>
          <w:shd w:fill="auto" w:val="clear"/>
        </w:rPr>
        <w:t>praticar ato lesivo previsto no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"art5"</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5º da Lei nº 12.846, de 1º de agosto de 2013.</w:t>
      </w:r>
      <w:r>
        <w:rPr>
          <w:rStyle w:val="Hyperlink"/>
          <w:sz w:val="24"/>
          <w:i w:val="false"/>
          <w:u w:val="none"/>
          <w:shd w:fill="auto" w:val="clear"/>
          <w:szCs w:val="24"/>
          <w:iCs w:val="false"/>
          <w:rFonts w:ascii="Times New Roman" w:hAnsi="Times New Roman"/>
          <w:color w:val="000000"/>
        </w:rPr>
        <w:fldChar w:fldCharType="end"/>
      </w:r>
    </w:p>
    <w:p>
      <w:pPr>
        <w:pStyle w:val="Nivel3"/>
        <w:numPr>
          <w:ilvl w:val="2"/>
          <w:numId w:val="1"/>
        </w:numPr>
        <w:spacing w:lineRule="auto" w:line="276" w:before="0" w:after="170"/>
        <w:ind w:hanging="0" w:left="0"/>
        <w:rPr/>
      </w:pPr>
      <w:r>
        <w:fldChar w:fldCharType="begin"/>
      </w:r>
      <w:r>
        <w:rPr>
          <w:sz w:val="24"/>
          <w:i w:val="false"/>
          <w:shd w:fill="auto" w:val="clear"/>
          <w:szCs w:val="24"/>
          <w:iCs w:val="false"/>
          <w:rFonts w:ascii="Times New Roman" w:hAnsi="Times New Roman"/>
          <w:color w:val="000000"/>
        </w:rPr>
        <w:instrText xml:space="preserve"> HYPERLINK "http://www.planalto.gov.br/ccivil_03/_ato2019-2022/2021/lei/L14133.htm" \l "art5"</w:instrText>
      </w:r>
      <w:r>
        <w:rPr>
          <w:sz w:val="24"/>
          <w:i w:val="false"/>
          <w:shd w:fill="auto" w:val="clear"/>
          <w:szCs w:val="24"/>
          <w:iCs w:val="false"/>
          <w:rFonts w:ascii="Times New Roman" w:hAnsi="Times New Roman"/>
          <w:color w:val="000000"/>
        </w:rPr>
        <w:fldChar w:fldCharType="separate"/>
      </w:r>
      <w:bookmarkStart w:id="35" w:name="_Ref143509952"/>
      <w:bookmarkEnd w:id="35"/>
      <w:r>
        <w:rPr>
          <w:rFonts w:ascii="Times New Roman" w:hAnsi="Times New Roman"/>
          <w:i w:val="false"/>
          <w:iCs w:val="false"/>
          <w:color w:val="000000"/>
          <w:sz w:val="24"/>
          <w:szCs w:val="24"/>
          <w:shd w:fill="auto" w:val="clear"/>
        </w:rPr>
        <w:t>O fornecedor que cometer qualquer das infrações discriminadas nos subitens anteriores ficará sujeito, sem prejuízo da responsabilidade civil e criminal, às seguintes sanções:</w:t>
      </w:r>
      <w:r>
        <w:rPr>
          <w:sz w:val="24"/>
          <w:i w:val="false"/>
          <w:shd w:fill="auto" w:val="clear"/>
          <w:szCs w:val="24"/>
          <w:iCs w:val="false"/>
          <w:rFonts w:ascii="Times New Roman" w:hAnsi="Times New Roman"/>
          <w:color w:val="000000"/>
        </w:rPr>
        <w:fldChar w:fldCharType="end"/>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6" w:name="_Hlk196926862"/>
      <w:r>
        <w:rPr>
          <w:rFonts w:ascii="Times New Roman" w:hAnsi="Times New Roman"/>
          <w:i w:val="false"/>
          <w:iCs w:val="false"/>
          <w:color w:val="000000"/>
          <w:sz w:val="24"/>
          <w:szCs w:val="24"/>
          <w:shd w:fill="auto" w:val="clear"/>
        </w:rPr>
        <w:t xml:space="preserve">Advertência pela falta do subitem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_Ref143509900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11.1.1</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deste Aviso de Contratação Direta, quando não se justificar a imposição de penalidade mais grave;</w:t>
      </w:r>
      <w:bookmarkEnd w:id="36"/>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Multa de </w:t>
      </w:r>
      <w:r>
        <w:rPr>
          <w:rFonts w:ascii="Times New Roman" w:hAnsi="Times New Roman"/>
          <w:i w:val="false"/>
          <w:iCs w:val="false"/>
          <w:color w:val="000000"/>
          <w:sz w:val="24"/>
          <w:szCs w:val="24"/>
          <w:shd w:fill="auto" w:val="clear"/>
        </w:rPr>
        <w:t>10</w:t>
      </w:r>
      <w:r>
        <w:rPr>
          <w:rFonts w:ascii="Times New Roman" w:hAnsi="Times New Roman"/>
          <w:i w:val="false"/>
          <w:iCs w:val="false"/>
          <w:color w:val="000000"/>
          <w:sz w:val="24"/>
          <w:szCs w:val="24"/>
          <w:shd w:fill="auto" w:val="clear"/>
        </w:rPr>
        <w:t xml:space="preserve">%  sobre o valor estimado do(s) item(s) prejudicado(s) pela conduta do fornecedor, por qualquer das infrações dos subitens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_Ref143509900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11.1.1</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a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_Ref143509952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11.1.12</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Impedimento de licitar e contratar no âmbito da Administração Pública direta e indireta do ente federativo que tiver aplicado a sanção, pelo prazo máximo de 3 (três) anos, nos casos dos subitens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_Ref143510015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11.1.2</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a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_Ref143510046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11.1.7</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deste Aviso de Contratação Direta, quando não se justificar a imposição de penalidade mais grave;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_Ref143510088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11.1.8</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a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_Ref143509952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11.1.12</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bem como nos demais casos que justifiquem a imposição da penalidade mais grave.</w:t>
      </w:r>
    </w:p>
    <w:p>
      <w:pPr>
        <w:pStyle w:val="Normal"/>
        <w:numPr>
          <w:ilvl w:val="1"/>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Todas as sanções previstas neste Aviso poderão ser aplicadas cumulativamente com a multa.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Antes da aplicação da multa, será facultada a defesa do interessado no prazo de 15 (quinze) dias úteis, contado da data de sua intimação.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Previamente ao encaminhamento à cobrança judicial, a multa poderá ser recolhida administrativamente no prazo máximo de </w:t>
      </w:r>
      <w:r>
        <w:rPr>
          <w:rFonts w:eastAsia="Arial" w:ascii="Times New Roman" w:hAnsi="Times New Roman"/>
          <w:b/>
          <w:i w:val="false"/>
          <w:iCs w:val="false"/>
          <w:color w:val="000000"/>
          <w:sz w:val="24"/>
          <w:szCs w:val="24"/>
          <w:shd w:fill="auto" w:val="clear"/>
        </w:rPr>
        <w:t>10</w:t>
      </w:r>
      <w:r>
        <w:rPr>
          <w:rFonts w:eastAsia="Arial"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dias, a contar da data do recebimento da comunicação enviada pela autoridade competente.</w:t>
      </w:r>
      <w:bookmarkStart w:id="37" w:name="_Hlk78351618"/>
      <w:bookmarkEnd w:id="37"/>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A aplicação das sanções realizar-se-á em processo administrativo que assegure o contraditório e a ampla defesa ao Contratado, observando-se o procedimento previsto no caput</w:t>
      </w:r>
      <w:r>
        <w:rPr>
          <w:rFonts w:ascii="Times New Roman" w:hAnsi="Times New Roman"/>
          <w:b/>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 xml:space="preserve">e parágrafos do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"art158"</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158 da Lei nº 14.133, de 2021</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para as penalidades de impedimento de licitar e contratar e de declaração de inidoneidade para licitar ou contratar.</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Na aplicação das sanções serão considerados: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natureza e a gravidade da infração cometida;</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peculiaridades do caso concreto;</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circunstâncias agravantes ou atenuantes;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danos que dela provierem para o Contratante; e</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implantação ou o aperfeiçoamento de programa de integridade, conforme normas e orientações dos órgãos de controle.</w:t>
      </w:r>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Os atos previstos como infrações administrativas na </w:t>
      </w:r>
      <w:hyperlink r:id="rId8">
        <w:r>
          <w:rPr>
            <w:rStyle w:val="Hyperlink"/>
            <w:rFonts w:ascii="Times New Roman" w:hAnsi="Times New Roman"/>
            <w:i w:val="false"/>
            <w:iCs w:val="false"/>
            <w:color w:val="000000"/>
            <w:sz w:val="24"/>
            <w:szCs w:val="24"/>
            <w:u w:val="none"/>
            <w:shd w:fill="auto" w:val="clear"/>
          </w:rPr>
          <w:t>Lei nº 14.133, de 2021</w:t>
        </w:r>
      </w:hyperlink>
      <w:r>
        <w:rPr>
          <w:rFonts w:ascii="Times New Roman" w:hAnsi="Times New Roman"/>
          <w:i w:val="false"/>
          <w:iCs w:val="false"/>
          <w:color w:val="000000"/>
          <w:sz w:val="24"/>
          <w:szCs w:val="24"/>
          <w:shd w:fill="auto" w:val="clear"/>
        </w:rPr>
        <w:t xml:space="preserve">, ou em outras leis de licitações e contratos da Administração Pública que também sejam tipificados como atos lesivos na </w:t>
      </w:r>
      <w:hyperlink r:id="rId9">
        <w:r>
          <w:rPr>
            <w:rStyle w:val="Hyperlink"/>
            <w:rFonts w:ascii="Times New Roman" w:hAnsi="Times New Roman"/>
            <w:i w:val="false"/>
            <w:iCs w:val="false"/>
            <w:color w:val="000000"/>
            <w:sz w:val="24"/>
            <w:szCs w:val="24"/>
            <w:u w:val="none"/>
            <w:shd w:fill="auto" w:val="clear"/>
          </w:rPr>
          <w:t>Lei nº 12.846, de 1º de agosto de 2013</w:t>
        </w:r>
      </w:hyperlink>
      <w:r>
        <w:rPr>
          <w:rFonts w:ascii="Times New Roman" w:hAnsi="Times New Roman"/>
          <w:i w:val="false"/>
          <w:iCs w:val="false"/>
          <w:color w:val="000000"/>
          <w:sz w:val="24"/>
          <w:szCs w:val="24"/>
          <w:shd w:fill="auto" w:val="clear"/>
        </w:rPr>
        <w:t>, serão apurados e julgados conjuntamente, nos mesmos autos, observados o rito procedimental e autoridade competente definidos na referida Lei.</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spacing w:lineRule="auto" w:line="276" w:before="0" w:after="170"/>
        <w:ind w:hanging="0" w:left="0"/>
        <w:rPr/>
      </w:pPr>
      <w:r>
        <w:rPr>
          <w:rFonts w:ascii="Times New Roman" w:hAnsi="Times New Roman"/>
          <w:i w:val="false"/>
          <w:iCs w:val="false"/>
          <w:color w:val="000000"/>
          <w:sz w:val="24"/>
          <w:szCs w:val="24"/>
          <w:shd w:fill="auto" w:val="clear"/>
        </w:rPr>
        <w:t xml:space="preserve">As sanções de impedimento de licitar e contratar e declaração de inidoneidade para licitar ou contratar são passíveis de reabilitação na forma do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"art163"</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163 da Lei nº 14.133, de 2021.</w:t>
      </w:r>
      <w:r>
        <w:rPr>
          <w:rStyle w:val="Hyperlink"/>
          <w:sz w:val="24"/>
          <w:i w:val="false"/>
          <w:u w:val="none"/>
          <w:shd w:fill="auto" w:val="clear"/>
          <w:szCs w:val="24"/>
          <w:iCs w:val="false"/>
          <w:rFonts w:ascii="Times New Roman" w:hAnsi="Times New Roman"/>
          <w:color w:val="000000"/>
        </w:rPr>
        <w:fldChar w:fldCharType="end"/>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sanções por atos praticados no decorrer da contratação estão previstas nos anexos a este Aviso.</w:t>
      </w:r>
    </w:p>
    <w:p>
      <w:pPr>
        <w:pStyle w:val="Nivel01"/>
        <w:numPr>
          <w:ilvl w:val="0"/>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38" w:name="_Toc226962648"/>
      <w:bookmarkStart w:id="39" w:name="_Toc142925871"/>
      <w:r>
        <w:rPr>
          <w:rFonts w:ascii="Times New Roman" w:hAnsi="Times New Roman"/>
          <w:i w:val="false"/>
          <w:iCs w:val="false"/>
          <w:color w:val="000000"/>
          <w:sz w:val="24"/>
          <w:szCs w:val="24"/>
          <w:shd w:fill="auto" w:val="clear"/>
        </w:rPr>
        <w:t>DAS DISPOSIÇÕES GERAIS</w:t>
      </w:r>
      <w:bookmarkEnd w:id="38"/>
      <w:bookmarkEnd w:id="39"/>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No caso de todos os fornecedores restarem desclassificados ou inabilitados (procedimento fracassado), a Administração poderá:</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40" w:name="_Ref143510170"/>
      <w:r>
        <w:rPr>
          <w:rFonts w:ascii="Times New Roman" w:hAnsi="Times New Roman"/>
          <w:i w:val="false"/>
          <w:iCs w:val="false"/>
          <w:color w:val="000000"/>
          <w:sz w:val="24"/>
          <w:szCs w:val="24"/>
          <w:shd w:fill="auto" w:val="clear"/>
        </w:rPr>
        <w:t>republicar o presente Aviso com uma nova data;</w:t>
      </w:r>
      <w:bookmarkEnd w:id="40"/>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bookmarkStart w:id="41" w:name="_Ref143510198"/>
      <w:r>
        <w:rPr>
          <w:rFonts w:ascii="Times New Roman" w:hAnsi="Times New Roman"/>
          <w:i w:val="false"/>
          <w:iCs w:val="false"/>
          <w:color w:val="000000"/>
          <w:sz w:val="24"/>
          <w:szCs w:val="24"/>
          <w:shd w:fill="auto" w:val="clear"/>
        </w:rPr>
        <w:t>valer-se, para a contratação, de proposta obtida na pesquisa de preços que serviu de base ao procedimento, se houver, privilegiando-se os menores preços, sempre que possível, e desde que atendidas às condições de habilitação exigidas</w:t>
      </w:r>
      <w:bookmarkEnd w:id="41"/>
      <w:r>
        <w:rPr>
          <w:rFonts w:ascii="Times New Roman" w:hAnsi="Times New Roman"/>
          <w:i w:val="false"/>
          <w:iCs w:val="false"/>
          <w:color w:val="000000"/>
          <w:sz w:val="24"/>
          <w:szCs w:val="24"/>
          <w:shd w:fill="auto" w:val="clear"/>
        </w:rPr>
        <w:t>;</w:t>
      </w:r>
    </w:p>
    <w:p>
      <w:pPr>
        <w:pStyle w:val="Normal"/>
        <w:numPr>
          <w:ilvl w:val="3"/>
          <w:numId w:val="1"/>
        </w:numPr>
        <w:spacing w:lineRule="auto" w:line="276" w:before="0" w:after="170"/>
        <w:ind w:hanging="0" w:lef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No caso do subitem anterior, a contratação será operacionalizada fora deste procedimento.</w:t>
      </w:r>
    </w:p>
    <w:p>
      <w:pPr>
        <w:pStyle w:val="Nivel4"/>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fixar prazo para que possa haver adequação das propostas ou da documentação de habilitação, conforme o caso.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As providências dos subitens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_Ref143510170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12.1.1</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e </w:t>
      </w:r>
      <w:r>
        <w:rPr>
          <w:rFonts w:ascii="Times New Roman" w:hAnsi="Times New Roman"/>
          <w:i w:val="false"/>
          <w:iCs w:val="false"/>
          <w:color w:val="000000"/>
          <w:sz w:val="24"/>
          <w:szCs w:val="24"/>
          <w:shd w:fill="auto" w:val="clear"/>
        </w:rPr>
        <w:fldChar w:fldCharType="begin"/>
      </w:r>
      <w:r>
        <w:rPr>
          <w:sz w:val="24"/>
          <w:i w:val="false"/>
          <w:shd w:fill="auto" w:val="clear"/>
          <w:szCs w:val="24"/>
          <w:iCs w:val="false"/>
          <w:rFonts w:ascii="Times New Roman" w:hAnsi="Times New Roman"/>
          <w:color w:val="000000"/>
        </w:rPr>
        <w:instrText xml:space="preserve"> REF _Ref143510198 \r \r \h </w:instrText>
      </w:r>
      <w:r>
        <w:rPr>
          <w:sz w:val="24"/>
          <w:i w:val="false"/>
          <w:shd w:fill="auto" w:val="clear"/>
          <w:szCs w:val="24"/>
          <w:iCs w:val="false"/>
          <w:rFonts w:ascii="Times New Roman" w:hAnsi="Times New Roman"/>
          <w:color w:val="000000"/>
        </w:rPr>
        <w:fldChar w:fldCharType="separate"/>
      </w:r>
      <w:r>
        <w:rPr>
          <w:sz w:val="24"/>
          <w:i w:val="false"/>
          <w:shd w:fill="auto" w:val="clear"/>
          <w:szCs w:val="24"/>
          <w:iCs w:val="false"/>
          <w:rFonts w:ascii="Times New Roman" w:hAnsi="Times New Roman"/>
          <w:color w:val="000000"/>
        </w:rPr>
        <w:t>12.1.2</w:t>
      </w:r>
      <w:r>
        <w:rPr>
          <w:sz w:val="24"/>
          <w:i w:val="fals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também poderão ser utilizadas se não houver o comparecimento de quaisquer fornecedores interessados (procedimento deserto).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Em caso de divergência entre disposições deste Aviso de Contratação Direta e de seus anexos ou demais peças que compõem o processo, prevalecerá as deste Aviso.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Da sessão pública será divulgada Ata no sistema eletrônico.</w:t>
      </w:r>
    </w:p>
    <w:p>
      <w:pPr>
        <w:pStyle w:val="Nivel2"/>
        <w:numPr>
          <w:ilvl w:val="1"/>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Integram este Aviso de Contratação Direta, para todos os fins e efeitos, os seguintes anexos:</w:t>
      </w:r>
    </w:p>
    <w:p>
      <w:pPr>
        <w:pStyle w:val="Nivel3"/>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ANEXO I – Termo de Referência</w:t>
      </w:r>
    </w:p>
    <w:p>
      <w:pPr>
        <w:pStyle w:val="Nivel4"/>
        <w:numPr>
          <w:ilvl w:val="3"/>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Apêndice do Anexo I – Estudo Técnico Preliminar;</w:t>
      </w:r>
    </w:p>
    <w:p>
      <w:pPr>
        <w:pStyle w:val="Nvel3-R"/>
        <w:numPr>
          <w:ilvl w:val="2"/>
          <w:numId w:val="1"/>
        </w:numPr>
        <w:spacing w:lineRule="auto" w:line="276" w:before="0" w:after="170"/>
        <w:ind w:hanging="0" w:lef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ANEXO III – Minuta de Termo de Contrato;</w:t>
      </w:r>
    </w:p>
    <w:p>
      <w:pPr>
        <w:pStyle w:val="Normal"/>
        <w:spacing w:lineRule="auto" w:line="276" w:before="0" w:after="170"/>
        <w:ind w:hanging="0" w:left="0" w:right="0"/>
        <w:jc w:val="right"/>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26 de Outubro de 2026</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Sampaio – 2° Sgt</w:t>
        <w:br/>
        <w:t xml:space="preserve"> Membro da equipe de planejamento</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_________________________________________</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Aguiar - 1° Sgt</w:t>
        <w:br/>
        <w:t>Membro da equipe de planejamento</w:t>
        <w:br/>
      </w:r>
    </w:p>
    <w:p>
      <w:pPr>
        <w:pStyle w:val="Normal"/>
        <w:spacing w:lineRule="auto" w:line="276" w:before="0" w:after="170"/>
        <w:ind w:hanging="0" w:left="0" w:right="0"/>
        <w:jc w:val="center"/>
        <w:rPr>
          <w:rFonts w:ascii="Times New Roman" w:hAnsi="Times New Roman" w:eastAsia="MS Mincho" w:cs="Arial"/>
          <w:b/>
          <w:i w:val="false"/>
          <w:i w:val="false"/>
          <w:iCs w:val="false"/>
          <w:color w:val="000000"/>
          <w:sz w:val="24"/>
          <w:szCs w:val="24"/>
          <w:highlight w:val="none"/>
          <w:shd w:fill="auto" w:val="clear"/>
        </w:rPr>
      </w:pPr>
      <w:r>
        <w:rPr>
          <w:rFonts w:eastAsia="MS Mincho" w:cs="Arial" w:ascii="Times New Roman" w:hAnsi="Times New Roman"/>
          <w:b/>
          <w:i w:val="false"/>
          <w:iCs w:val="false"/>
          <w:color w:val="000000"/>
          <w:sz w:val="24"/>
          <w:szCs w:val="24"/>
          <w:shd w:fill="auto" w:val="clear"/>
        </w:rPr>
        <w:br/>
        <w:t>__</w:t>
      </w:r>
      <w:r>
        <w:rPr>
          <w:rFonts w:eastAsia="MS Mincho" w:cs="Arial" w:ascii="Times New Roman" w:hAnsi="Times New Roman"/>
          <w:b w:val="false"/>
          <w:bCs w:val="false"/>
          <w:i w:val="false"/>
          <w:iCs w:val="false"/>
          <w:color w:val="000000"/>
          <w:sz w:val="24"/>
          <w:szCs w:val="24"/>
          <w:shd w:fill="auto" w:val="clear"/>
        </w:rPr>
        <w:t>______________________________________________</w:t>
        <w:br/>
        <w:t>Almir – CAP</w:t>
        <w:br/>
        <w:t>Chefe da equipe de planejamento</w:t>
      </w:r>
    </w:p>
    <w:p>
      <w:pPr>
        <w:pStyle w:val="Normal"/>
        <w:spacing w:lineRule="auto" w:line="276" w:before="0" w:after="170"/>
        <w:ind w:hanging="0" w:left="0" w:right="0"/>
        <w:jc w:val="center"/>
        <w:rPr>
          <w:rFonts w:ascii="Times New Roman" w:hAnsi="Times New Roman" w:eastAsia="MS Mincho" w:cs="Arial"/>
          <w:b/>
          <w:i w:val="false"/>
          <w:i w:val="false"/>
          <w:iCs w:val="false"/>
          <w:color w:val="000000"/>
          <w:sz w:val="24"/>
          <w:szCs w:val="24"/>
          <w:highlight w:val="none"/>
          <w:shd w:fill="auto" w:val="clear"/>
        </w:rPr>
      </w:pPr>
      <w:r>
        <w:rPr>
          <w:rFonts w:eastAsia="MS Mincho" w:cs="Arial" w:ascii="Times New Roman" w:hAnsi="Times New Roman"/>
          <w:b/>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eastAsia="MS Mincho" w:cs="Arial"/>
          <w:b/>
          <w:i w:val="false"/>
          <w:i w:val="false"/>
          <w:iCs w:val="false"/>
          <w:color w:val="000000"/>
          <w:sz w:val="24"/>
          <w:szCs w:val="24"/>
          <w:highlight w:val="none"/>
          <w:shd w:fill="auto" w:val="clear"/>
        </w:rPr>
      </w:pPr>
      <w:r>
        <w:rPr>
          <w:rFonts w:eastAsia="MS Mincho" w:cs="Arial" w:ascii="Times New Roman" w:hAnsi="Times New Roman"/>
          <w:b/>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eastAsia="MS Mincho" w:cs="Arial"/>
          <w:b/>
          <w:i w:val="false"/>
          <w:i w:val="false"/>
          <w:iCs w:val="false"/>
          <w:color w:val="000000"/>
          <w:sz w:val="24"/>
          <w:szCs w:val="24"/>
          <w:highlight w:val="none"/>
          <w:shd w:fill="auto" w:val="clear"/>
        </w:rPr>
      </w:pPr>
      <w:r>
        <w:rPr>
          <w:rFonts w:eastAsia="MS Mincho" w:cs="Arial" w:ascii="Times New Roman" w:hAnsi="Times New Roman"/>
          <w:b/>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______________________________________</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bookmarkStart w:id="42" w:name="_Hlk82471863_Copia_1"/>
      <w:bookmarkEnd w:id="42"/>
      <w:r>
        <w:rPr>
          <w:rFonts w:ascii="Times New Roman" w:hAnsi="Times New Roman"/>
          <w:i w:val="false"/>
          <w:iCs w:val="false"/>
          <w:color w:val="000000"/>
          <w:sz w:val="24"/>
          <w:szCs w:val="24"/>
          <w:shd w:fill="auto" w:val="clear"/>
        </w:rPr>
        <w:t>JABIS – TC</w:t>
        <w:br/>
        <w:t>Ordenador de despesa</w:t>
      </w:r>
    </w:p>
    <w:sectPr>
      <w:headerReference w:type="even" r:id="rId10"/>
      <w:footerReference w:type="even" r:id="rId11"/>
      <w:footerReference w:type="default" r:id="rId12"/>
      <w:footerReference w:type="first" r:id="rId13"/>
      <w:type w:val="nextPage"/>
      <w:pgSz w:w="11906" w:h="16838"/>
      <w:pgMar w:left="1134" w:right="1134" w:gutter="0" w:header="0" w:top="709"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swiss"/>
    <w:pitch w:val="variable"/>
  </w:font>
  <w:font w:name="Segoe UI">
    <w:charset w:val="00"/>
    <w:family w:val="swiss"/>
    <w:pitch w:val="variable"/>
  </w:font>
  <w:font w:name="Liberation Sans">
    <w:altName w:val="Arial"/>
    <w:charset w:val="00"/>
    <w:family w:val="swiss"/>
    <w:pitch w:val="variable"/>
  </w:font>
  <w:font w:name="Calibri Light">
    <w:charset w:val="00"/>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 ARABIC </w:instrText>
    </w:r>
    <w:r>
      <w:rPr>
        <w:sz w:val="18"/>
        <w:szCs w:val="18"/>
        <w:color w:themeColor="text2" w:themeShade="bf" w:val="323E4F"/>
      </w:rPr>
      <w:fldChar w:fldCharType="separate"/>
    </w:r>
    <w:r>
      <w:rPr>
        <w:sz w:val="18"/>
        <w:szCs w:val="18"/>
        <w:color w:themeColor="text2" w:themeShade="bf" w:val="323E4F"/>
      </w:rPr>
      <w:t>20</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eastAsia="pt-BR" w:val="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Comment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LinkdaInternetuser" w:customStyle="1">
    <w:name w:val="Link da Internet (user)"/>
    <w:qFormat/>
    <w:rsid w:val="00c074da"/>
    <w:rPr>
      <w:color w:val="000080"/>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Linkdainternetvisitadouser" w:customStyle="1">
    <w:name w:val="Link da internet visitado (user)"/>
    <w:basedOn w:val="DefaultParagraphFont"/>
    <w:uiPriority w:val="99"/>
    <w:semiHidden/>
    <w:unhideWhenUsed/>
    <w:qFormat/>
    <w:rsid w:val="00c074da"/>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Hyperlink">
    <w:name w:val="Hyperlink"/>
    <w:basedOn w:val="DefaultParagraphFont"/>
    <w:uiPriority w:val="99"/>
    <w:unhideWhenUsed/>
    <w:rsid w:val="00c074da"/>
    <w:rPr>
      <w:color w:themeColor="hyperlink" w:val="0563C1"/>
      <w:u w:val="single"/>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name w:val="Índice"/>
    <w:basedOn w:val="Normal"/>
    <w:qFormat/>
    <w:pPr>
      <w:suppressLineNumbers/>
    </w:pPr>
    <w:rPr>
      <w:rFonts w:cs="Lucida 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ndiceuser" w:customStyle="1">
    <w:name w:val="Índice (user)"/>
    <w:basedOn w:val="Normal"/>
    <w:qFormat/>
    <w:rsid w:val="00c074da"/>
    <w:pPr>
      <w:suppressLineNumbers/>
    </w:pPr>
    <w:rPr>
      <w:rFonts w:cs="FreeSans"/>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eastAsia="zh-CN" w:bidi="hi-IN" w:val="pt-BR"/>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CommentText">
    <w:name w:val="annotation text"/>
    <w:basedOn w:val="Normal"/>
    <w:link w:val="TextodecomentrioChar"/>
    <w:unhideWhenUsed/>
    <w:rsid w:val="00c074da"/>
    <w:pPr/>
    <w:rPr>
      <w:szCs w:val="20"/>
    </w:rPr>
  </w:style>
  <w:style w:type="paragraph" w:styleId="annotationsubject">
    <w:name w:val="annotation subject"/>
    <w:basedOn w:val="CommentText"/>
    <w:next w:val="Comment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eastAsia="pt-BR" w:val="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Times New Roman"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normal1">
    <w:name w:val="normal1"/>
    <w:qFormat/>
    <w:pPr>
      <w:widowControl/>
      <w:suppressAutoHyphens w:val="true"/>
      <w:bidi w:val="0"/>
      <w:spacing w:before="0" w:after="0" w:lineRule="auto" w:line="259"/>
      <w:jc w:val="left"/>
    </w:pPr>
    <w:rPr>
      <w:rFonts w:ascii="Ecofont_Spranq_eco_Sans" w:hAnsi="Ecofont_Spranq_eco_Sans" w:eastAsia="Ecofont_Spranq_eco_Sans" w:cs="Ecofont_Spranq_eco_Sans"/>
      <w:color w:val="00000A"/>
      <w:kern w:val="0"/>
      <w:sz w:val="24"/>
      <w:szCs w:val="24"/>
      <w:lang w:val="en-US" w:eastAsia="zh-CN" w:bidi="hi-IN"/>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http://www.gov.br/compras" TargetMode="External"/><Relationship Id="rId4" Type="http://schemas.openxmlformats.org/officeDocument/2006/relationships/hyperlink" Target="http://www.pncp.gov.br/" TargetMode="External"/><Relationship Id="rId5" Type="http://schemas.openxmlformats.org/officeDocument/2006/relationships/hyperlink" Target="https://www.gov.br/compras/pt-br/sistemas/conheca-o-compras/aplicativo-compras" TargetMode="External"/><Relationship Id="rId6" Type="http://schemas.openxmlformats.org/officeDocument/2006/relationships/hyperlink" Target="http://www.planalto.gov.br/ccivil_03/LEIS/L6404consol.htm"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s://www.planalto.gov.br/ccivil_03/_ato2011-2014/2013/lei/l12846.htm"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TotalTime>
  <Application>LibreOffice/25.2.7.2$Windows_x86 LibreOffice_project/5cbfd1ab6520636bb5f7b99185aa69bd7456825d</Application>
  <AppVersion>15.0000</AppVersion>
  <Pages>20</Pages>
  <Words>7039</Words>
  <Characters>39648</Characters>
  <CharactersWithSpaces>46214</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2026-10-27T14:32:10Z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