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ind w:hanging="0" w:start="4518" w:end="0"/>
        <w:rPr>
          <w:sz w:val="20"/>
        </w:rPr>
      </w:pPr>
      <w:r>
        <w:rPr/>
        <w:drawing>
          <wp:inline distT="0" distB="0" distL="0" distR="0">
            <wp:extent cx="668020" cy="66738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2"/>
                    <a:stretch>
                      <a:fillRect/>
                    </a:stretch>
                  </pic:blipFill>
                  <pic:spPr bwMode="auto">
                    <a:xfrm>
                      <a:off x="0" y="0"/>
                      <a:ext cx="668020" cy="667385"/>
                    </a:xfrm>
                    <a:prstGeom prst="rect">
                      <a:avLst/>
                    </a:prstGeom>
                    <a:noFill/>
                  </pic:spPr>
                </pic:pic>
              </a:graphicData>
            </a:graphic>
          </wp:inline>
        </w:drawing>
      </w:r>
    </w:p>
    <w:p>
      <w:pPr>
        <w:pStyle w:val="Normal"/>
        <w:spacing w:before="98" w:after="0"/>
        <w:ind w:hanging="0" w:start="3546" w:end="3545"/>
        <w:jc w:val="center"/>
        <w:rPr>
          <w:b/>
          <w:sz w:val="20"/>
        </w:rPr>
      </w:pPr>
      <w:r>
        <w:rPr>
          <w:b/>
          <w:sz w:val="20"/>
        </w:rPr>
        <w:t>MINISTÉRIO</w:t>
      </w:r>
      <w:r>
        <w:rPr>
          <w:b/>
          <w:spacing w:val="-13"/>
          <w:sz w:val="20"/>
        </w:rPr>
        <w:t xml:space="preserve"> </w:t>
      </w:r>
      <w:r>
        <w:rPr>
          <w:b/>
          <w:sz w:val="20"/>
        </w:rPr>
        <w:t>DA</w:t>
      </w:r>
      <w:r>
        <w:rPr>
          <w:b/>
          <w:spacing w:val="-12"/>
          <w:sz w:val="20"/>
        </w:rPr>
        <w:t xml:space="preserve"> </w:t>
      </w:r>
      <w:r>
        <w:rPr>
          <w:b/>
          <w:sz w:val="20"/>
        </w:rPr>
        <w:t>DEFESA EXÉRCITO BRASILEIRO DECEx - DPHCEx</w:t>
      </w:r>
    </w:p>
    <w:p>
      <w:pPr>
        <w:pStyle w:val="Normal"/>
        <w:spacing w:before="1" w:after="0"/>
        <w:ind w:hanging="0" w:start="1908" w:end="1910"/>
        <w:jc w:val="center"/>
        <w:rPr>
          <w:b/>
          <w:sz w:val="20"/>
        </w:rPr>
      </w:pPr>
      <w:r>
        <w:rPr>
          <w:b/>
          <w:sz w:val="20"/>
        </w:rPr>
        <w:t>MUSEU</w:t>
      </w:r>
      <w:r>
        <w:rPr>
          <w:b/>
          <w:spacing w:val="-7"/>
          <w:sz w:val="20"/>
        </w:rPr>
        <w:t xml:space="preserve"> </w:t>
      </w:r>
      <w:r>
        <w:rPr>
          <w:b/>
          <w:sz w:val="20"/>
        </w:rPr>
        <w:t>HISTÓRICO</w:t>
      </w:r>
      <w:r>
        <w:rPr>
          <w:b/>
          <w:spacing w:val="-6"/>
          <w:sz w:val="20"/>
        </w:rPr>
        <w:t xml:space="preserve"> </w:t>
      </w:r>
      <w:r>
        <w:rPr>
          <w:b/>
          <w:sz w:val="20"/>
        </w:rPr>
        <w:t>DO</w:t>
      </w:r>
      <w:r>
        <w:rPr>
          <w:b/>
          <w:spacing w:val="-6"/>
          <w:sz w:val="20"/>
        </w:rPr>
        <w:t xml:space="preserve"> </w:t>
      </w:r>
      <w:r>
        <w:rPr>
          <w:b/>
          <w:sz w:val="20"/>
        </w:rPr>
        <w:t>EXÉRCITO</w:t>
      </w:r>
      <w:r>
        <w:rPr>
          <w:b/>
          <w:spacing w:val="-6"/>
          <w:sz w:val="20"/>
        </w:rPr>
        <w:t xml:space="preserve"> </w:t>
      </w:r>
      <w:r>
        <w:rPr>
          <w:b/>
          <w:sz w:val="20"/>
        </w:rPr>
        <w:t>E</w:t>
      </w:r>
      <w:r>
        <w:rPr>
          <w:b/>
          <w:spacing w:val="-8"/>
          <w:sz w:val="20"/>
        </w:rPr>
        <w:t xml:space="preserve"> </w:t>
      </w:r>
      <w:r>
        <w:rPr>
          <w:b/>
          <w:sz w:val="20"/>
        </w:rPr>
        <w:t>FORTE</w:t>
      </w:r>
      <w:r>
        <w:rPr>
          <w:b/>
          <w:spacing w:val="-8"/>
          <w:sz w:val="20"/>
        </w:rPr>
        <w:t xml:space="preserve"> </w:t>
      </w:r>
      <w:r>
        <w:rPr>
          <w:b/>
          <w:sz w:val="20"/>
        </w:rPr>
        <w:t>DE</w:t>
      </w:r>
      <w:r>
        <w:rPr>
          <w:b/>
          <w:spacing w:val="-8"/>
          <w:sz w:val="20"/>
        </w:rPr>
        <w:t xml:space="preserve"> </w:t>
      </w:r>
      <w:r>
        <w:rPr>
          <w:b/>
          <w:sz w:val="20"/>
        </w:rPr>
        <w:t>COPACABANA (3º G A Cos / 1934)</w:t>
      </w:r>
    </w:p>
    <w:p>
      <w:pPr>
        <w:pStyle w:val="Heading2"/>
        <w:rPr/>
      </w:pPr>
      <w:r>
        <w:rPr/>
        <w:t>JUSTIFICATIVA</w:t>
      </w:r>
      <w:r>
        <w:rPr>
          <w:spacing w:val="-8"/>
        </w:rPr>
        <w:t xml:space="preserve"> </w:t>
      </w:r>
      <w:r>
        <w:rPr/>
        <w:t>PARA</w:t>
      </w:r>
      <w:r>
        <w:rPr>
          <w:spacing w:val="-8"/>
        </w:rPr>
        <w:t xml:space="preserve"> </w:t>
      </w:r>
      <w:r>
        <w:rPr/>
        <w:t>A</w:t>
      </w:r>
      <w:r>
        <w:rPr>
          <w:spacing w:val="-7"/>
        </w:rPr>
        <w:t xml:space="preserve"> </w:t>
      </w:r>
      <w:r>
        <w:rPr/>
        <w:t>NECESSIDADE</w:t>
      </w:r>
      <w:r>
        <w:rPr>
          <w:spacing w:val="-8"/>
        </w:rPr>
        <w:t xml:space="preserve"> </w:t>
      </w:r>
      <w:r>
        <w:rPr/>
        <w:t>DE</w:t>
      </w:r>
      <w:r>
        <w:rPr>
          <w:spacing w:val="-5"/>
        </w:rPr>
        <w:t xml:space="preserve"> </w:t>
      </w:r>
      <w:r>
        <w:rPr>
          <w:spacing w:val="-2"/>
        </w:rPr>
        <w:t>CONTRATAÇÃO</w:t>
      </w:r>
    </w:p>
    <w:p>
      <w:pPr>
        <w:pStyle w:val="BodyText"/>
        <w:spacing w:before="135" w:after="0"/>
        <w:ind w:firstLine="708" w:start="168" w:end="159"/>
        <w:rPr/>
      </w:pPr>
      <w:r>
        <w:rPr/>
        <w:t xml:space="preserve">Trata-se da contratação de serviço de alimentação destinado ao atendimento do </w:t>
      </w:r>
      <w:r>
        <w:rPr/>
        <w:t>III Painel de Direito Fundacional</w:t>
      </w:r>
      <w:r>
        <w:rPr/>
        <w:t xml:space="preserve"> a ser realizado nas instalações do Museu Histórico do Exército e Forte de Copacabana (MHEx/FC), com a participação de </w:t>
      </w:r>
      <w:r>
        <w:rPr/>
        <w:t xml:space="preserve">Oficiais-Generais, integrantes da Asse Ap As Jurd e demais Asse/Div do DECEx, integrantes indicados pelas Diretorias subordinadas ( DESMIl, DEPA, DETMil, DPHCEx e CCFEx) </w:t>
      </w:r>
      <w:r>
        <w:rPr/>
        <w:t>e civis convidados</w:t>
      </w:r>
      <w:r>
        <w:rPr/>
        <w:t>.</w:t>
      </w:r>
    </w:p>
    <w:p>
      <w:pPr>
        <w:pStyle w:val="BodyText"/>
        <w:spacing w:before="51" w:after="0"/>
        <w:ind w:firstLine="708" w:start="168" w:end="166"/>
        <w:rPr/>
      </w:pPr>
      <w:r>
        <w:rPr/>
        <w:t xml:space="preserve">O exercício </w:t>
      </w:r>
      <w:r>
        <w:rPr/>
        <w:t>tem por objetivo realizar intercâmbio de informações entre o Departamento de Educação e Cultura do Exército e Instituições do segmento civil acerca do Direito Fundaciona</w:t>
      </w:r>
      <w:r>
        <w:rPr/>
        <w:t>l. O Referido evento tem</w:t>
      </w:r>
      <w:r>
        <w:rPr/>
        <w:t xml:space="preserve"> previsão de utilização das instalações do Forte de Copacabana para realização de conferências, palestras e demais atividades relacionadas ao exercício.</w:t>
      </w:r>
    </w:p>
    <w:p>
      <w:pPr>
        <w:pStyle w:val="BodyText"/>
        <w:spacing w:before="51" w:after="0"/>
        <w:ind w:firstLine="708" w:start="168" w:end="166"/>
        <w:rPr/>
      </w:pPr>
      <w:r>
        <w:rPr/>
        <w:t xml:space="preserve">Para atendimento da demanda de alimentação, foram inicialmente consideradas as condições e os valores constantes das Atas de Registro de Preços nº 20/2025 e nº 21/2025, decorrentes de procedimento licitatório realizado pela Base de Administração e Apoio da 1ª Região Militar, cujos objetos contemplam serviços de alimentação destinados a eventos institucionais. </w:t>
      </w:r>
    </w:p>
    <w:p>
      <w:pPr>
        <w:pStyle w:val="BodyText"/>
        <w:spacing w:before="48" w:after="0"/>
        <w:ind w:firstLine="708" w:start="168" w:end="168"/>
        <w:rPr/>
      </w:pPr>
      <w:r>
        <w:rPr/>
        <w:t>Entretanto, embora os serviços registrados nas referidas Atas sejam compatíveis com a necessidade apresentada, não foi possível operacionalizar a contratação para atendimento do MHEx/FC por intermédio desses instrumentos, considerando que as Atas não admitem adesão e que não foi possível a realização do respectivo empenho em favor desta Organização Militar.</w:t>
      </w:r>
    </w:p>
    <w:p>
      <w:pPr>
        <w:pStyle w:val="BodyText"/>
        <w:spacing w:before="52" w:after="0"/>
        <w:ind w:firstLine="708" w:start="168" w:end="162"/>
        <w:rPr/>
      </w:pPr>
      <w:r>
        <w:rPr/>
        <w:t>Diante dessa impossibilidade e da necessidade de assegurar o atendimento do evento, optou-se pela realização de contratação própria, utilizando-se como referência as especificações e os valores praticados nas mencionadas Atas de Registro de Preços. Tal solução permite preservar parâmetros de preços anteriormente obtidos pela Administração por meio de procedimento competitivo, mantendo condições compatíveis com aquelas já estabelecidas para serviços de mesma natureza.</w:t>
      </w:r>
    </w:p>
    <w:p>
      <w:pPr>
        <w:pStyle w:val="BodyText"/>
        <w:spacing w:before="50" w:after="0"/>
        <w:ind w:firstLine="708" w:start="168" w:end="167"/>
        <w:rPr/>
      </w:pPr>
      <w:r>
        <w:rPr/>
        <w:t xml:space="preserve">A contratação contempla os serviços de alimentação necessários à realização do </w:t>
      </w:r>
      <w:r>
        <w:rPr/>
        <w:t>III Painel de Direito Fundacional</w:t>
      </w:r>
      <w:r>
        <w:rPr/>
        <w:t xml:space="preserve">, conforme memória de cálculo constante dos autos, alcançando o valor total de R$ </w:t>
      </w:r>
      <w:r>
        <w:rPr/>
        <w:t>16.518,60</w:t>
      </w:r>
      <w:r>
        <w:rPr/>
        <w:t xml:space="preserve"> (</w:t>
      </w:r>
      <w:r>
        <w:rPr/>
        <w:t>dezesseis mil e quinhentos e dezoito reais e sessenta centavos</w:t>
      </w:r>
      <w:r>
        <w:rPr/>
        <w:t>), correspondente ao montante destinado à alimentação n</w:t>
      </w:r>
      <w:r>
        <w:rPr/>
        <w:t>a</w:t>
      </w:r>
      <w:r>
        <w:rPr/>
        <w:t xml:space="preserve"> </w:t>
      </w:r>
      <w:r>
        <w:rPr/>
        <w:t xml:space="preserve">Nota de Crédito 2026NC005528 </w:t>
      </w:r>
      <w:r>
        <w:rPr/>
        <w:t xml:space="preserve"> – D</w:t>
      </w:r>
      <w:r>
        <w:rPr/>
        <w:t>E</w:t>
      </w:r>
      <w:r>
        <w:rPr/>
        <w:t>CEx.</w:t>
      </w:r>
    </w:p>
    <w:p>
      <w:pPr>
        <w:pStyle w:val="BodyText"/>
        <w:ind w:firstLine="708" w:start="168" w:end="161"/>
        <w:rPr/>
      </w:pPr>
      <w:r>
        <w:rPr/>
        <w:t>A solução apresenta-se adequada ao atendimento da necessidade administrativa, uma vez que possibilita a prestação do serviço dentro das condições necessárias à realização do exercício, preservando-se como</w:t>
      </w:r>
      <w:r>
        <w:rPr>
          <w:spacing w:val="-3"/>
        </w:rPr>
        <w:t xml:space="preserve"> </w:t>
      </w:r>
      <w:r>
        <w:rPr/>
        <w:t>parâmetro</w:t>
      </w:r>
      <w:r>
        <w:rPr>
          <w:spacing w:val="-2"/>
        </w:rPr>
        <w:t xml:space="preserve"> </w:t>
      </w:r>
      <w:r>
        <w:rPr/>
        <w:t>valores</w:t>
      </w:r>
      <w:r>
        <w:rPr>
          <w:spacing w:val="-1"/>
        </w:rPr>
        <w:t xml:space="preserve"> </w:t>
      </w:r>
      <w:r>
        <w:rPr/>
        <w:t>provenientes de</w:t>
      </w:r>
      <w:r>
        <w:rPr>
          <w:spacing w:val="-1"/>
        </w:rPr>
        <w:t xml:space="preserve"> </w:t>
      </w:r>
      <w:r>
        <w:rPr/>
        <w:t>procedimento</w:t>
      </w:r>
      <w:r>
        <w:rPr>
          <w:spacing w:val="-1"/>
        </w:rPr>
        <w:t xml:space="preserve"> </w:t>
      </w:r>
      <w:r>
        <w:rPr/>
        <w:t>licitatório</w:t>
      </w:r>
      <w:r>
        <w:rPr>
          <w:spacing w:val="-2"/>
        </w:rPr>
        <w:t xml:space="preserve"> </w:t>
      </w:r>
      <w:r>
        <w:rPr/>
        <w:t>anterior</w:t>
      </w:r>
      <w:r>
        <w:rPr>
          <w:spacing w:val="-2"/>
        </w:rPr>
        <w:t xml:space="preserve"> </w:t>
      </w:r>
      <w:r>
        <w:rPr/>
        <w:t>e</w:t>
      </w:r>
      <w:r>
        <w:rPr>
          <w:spacing w:val="-2"/>
        </w:rPr>
        <w:t xml:space="preserve"> </w:t>
      </w:r>
      <w:r>
        <w:rPr/>
        <w:t>evitando</w:t>
      </w:r>
      <w:r>
        <w:rPr>
          <w:spacing w:val="-1"/>
        </w:rPr>
        <w:t xml:space="preserve"> </w:t>
      </w:r>
      <w:r>
        <w:rPr/>
        <w:t>prejuízo</w:t>
      </w:r>
      <w:r>
        <w:rPr>
          <w:spacing w:val="-2"/>
        </w:rPr>
        <w:t xml:space="preserve"> </w:t>
      </w:r>
      <w:r>
        <w:rPr/>
        <w:t>ao</w:t>
      </w:r>
      <w:r>
        <w:rPr>
          <w:spacing w:val="-2"/>
        </w:rPr>
        <w:t xml:space="preserve"> </w:t>
      </w:r>
      <w:r>
        <w:rPr/>
        <w:t>planejamento das atividades previstas.</w:t>
      </w:r>
    </w:p>
    <w:p>
      <w:pPr>
        <w:pStyle w:val="BodyText"/>
        <w:ind w:firstLine="708" w:start="168" w:end="167"/>
        <w:rPr/>
      </w:pPr>
      <w:r>
        <w:rPr/>
        <w:t>Diante</w:t>
      </w:r>
      <w:r>
        <w:rPr>
          <w:spacing w:val="-1"/>
        </w:rPr>
        <w:t xml:space="preserve"> </w:t>
      </w:r>
      <w:r>
        <w:rPr/>
        <w:t>do</w:t>
      </w:r>
      <w:r>
        <w:rPr>
          <w:spacing w:val="-1"/>
        </w:rPr>
        <w:t xml:space="preserve"> </w:t>
      </w:r>
      <w:r>
        <w:rPr/>
        <w:t>exposto,</w:t>
      </w:r>
      <w:r>
        <w:rPr>
          <w:spacing w:val="-1"/>
        </w:rPr>
        <w:t xml:space="preserve"> </w:t>
      </w:r>
      <w:r>
        <w:rPr/>
        <w:t>considerando</w:t>
      </w:r>
      <w:r>
        <w:rPr>
          <w:spacing w:val="-3"/>
        </w:rPr>
        <w:t xml:space="preserve"> </w:t>
      </w:r>
      <w:r>
        <w:rPr/>
        <w:t>a</w:t>
      </w:r>
      <w:r>
        <w:rPr>
          <w:spacing w:val="-1"/>
        </w:rPr>
        <w:t xml:space="preserve"> </w:t>
      </w:r>
      <w:r>
        <w:rPr/>
        <w:t>relevância</w:t>
      </w:r>
      <w:r>
        <w:rPr>
          <w:spacing w:val="-3"/>
        </w:rPr>
        <w:t xml:space="preserve"> </w:t>
      </w:r>
      <w:r>
        <w:rPr/>
        <w:t>institucional do</w:t>
      </w:r>
      <w:r>
        <w:rPr>
          <w:spacing w:val="-1"/>
        </w:rPr>
        <w:t xml:space="preserve"> </w:t>
      </w:r>
      <w:r>
        <w:rPr>
          <w:spacing w:val="-1"/>
        </w:rPr>
        <w:t>III Painel de Direito Fundacional</w:t>
      </w:r>
      <w:r>
        <w:rPr/>
        <w:t>,</w:t>
      </w:r>
      <w:r>
        <w:rPr>
          <w:spacing w:val="-3"/>
        </w:rPr>
        <w:t xml:space="preserve"> </w:t>
      </w:r>
      <w:r>
        <w:rPr/>
        <w:t>a</w:t>
      </w:r>
      <w:r>
        <w:rPr>
          <w:spacing w:val="-1"/>
        </w:rPr>
        <w:t xml:space="preserve"> </w:t>
      </w:r>
      <w:r>
        <w:rPr/>
        <w:t>impossibilidade</w:t>
      </w:r>
      <w:r>
        <w:rPr>
          <w:spacing w:val="-1"/>
        </w:rPr>
        <w:t xml:space="preserve"> </w:t>
      </w:r>
      <w:r>
        <w:rPr/>
        <w:t>de utilização direta das Atas de Registro de Preços disponíveis, a</w:t>
      </w:r>
      <w:r>
        <w:rPr>
          <w:spacing w:val="-2"/>
        </w:rPr>
        <w:t xml:space="preserve"> </w:t>
      </w:r>
      <w:r>
        <w:rPr/>
        <w:t>necessidade de</w:t>
      </w:r>
      <w:r>
        <w:rPr>
          <w:spacing w:val="-2"/>
        </w:rPr>
        <w:t xml:space="preserve"> </w:t>
      </w:r>
      <w:r>
        <w:rPr/>
        <w:t>assegurar a prestação do</w:t>
      </w:r>
      <w:r>
        <w:rPr>
          <w:spacing w:val="-2"/>
        </w:rPr>
        <w:t xml:space="preserve"> </w:t>
      </w:r>
      <w:r>
        <w:rPr/>
        <w:t>serviço de alimentação e a adoção, como referência, de valores anteriormente obtidos pela Administração em procedimento competitivo, esta autoridade entende como mais adequada a adoção da contratação direta, sem realização de disputa, mediante dispensa de licitação fundamentada no art. 75, inciso II, da Lei nº</w:t>
      </w:r>
      <w:r>
        <w:rPr>
          <w:spacing w:val="40"/>
        </w:rPr>
        <w:t xml:space="preserve"> </w:t>
      </w:r>
      <w:r>
        <w:rPr/>
        <w:t>14.133/2021, determinando o prosseguimento da respectiva instrução processual pelos setores competentes.</w:t>
      </w:r>
    </w:p>
    <w:p>
      <w:pPr>
        <w:pStyle w:val="BodyText"/>
        <w:spacing w:before="0" w:after="0"/>
        <w:ind w:hanging="0" w:start="0" w:end="0"/>
        <w:jc w:val="start"/>
        <w:rPr/>
      </w:pPr>
      <w:r>
        <w:rPr/>
      </w:r>
    </w:p>
    <w:p>
      <w:pPr>
        <w:pStyle w:val="BodyText"/>
        <w:spacing w:before="176" w:after="0"/>
        <w:ind w:hanging="0" w:start="0" w:end="0"/>
        <w:jc w:val="start"/>
        <w:rPr/>
      </w:pPr>
      <w:r>
        <w:rPr/>
      </w:r>
    </w:p>
    <w:p>
      <w:pPr>
        <w:pStyle w:val="Heading1"/>
        <w:rPr/>
      </w:pPr>
      <w:r>
        <w:rPr/>
        <w:t>JOÃO</w:t>
      </w:r>
      <w:r>
        <w:rPr>
          <w:spacing w:val="-2"/>
        </w:rPr>
        <w:t xml:space="preserve"> </w:t>
      </w:r>
      <w:r>
        <w:rPr/>
        <w:t>FELIPPE</w:t>
      </w:r>
      <w:r>
        <w:rPr>
          <w:spacing w:val="-2"/>
        </w:rPr>
        <w:t xml:space="preserve"> </w:t>
      </w:r>
      <w:r>
        <w:rPr/>
        <w:t>ALVES</w:t>
      </w:r>
      <w:r>
        <w:rPr>
          <w:spacing w:val="-2"/>
        </w:rPr>
        <w:t xml:space="preserve"> </w:t>
      </w:r>
      <w:r>
        <w:rPr/>
        <w:t>RIBEIRO</w:t>
      </w:r>
      <w:r>
        <w:rPr>
          <w:spacing w:val="-1"/>
        </w:rPr>
        <w:t xml:space="preserve"> </w:t>
      </w:r>
      <w:r>
        <w:rPr/>
        <w:t>GALVÃO –</w:t>
      </w:r>
      <w:r>
        <w:rPr>
          <w:spacing w:val="-2"/>
        </w:rPr>
        <w:t xml:space="preserve"> </w:t>
      </w:r>
      <w:r>
        <w:rPr/>
        <w:t>Cel</w:t>
      </w:r>
      <w:r>
        <w:rPr>
          <w:spacing w:val="-1"/>
        </w:rPr>
        <w:t xml:space="preserve"> </w:t>
      </w:r>
      <w:r>
        <w:rPr>
          <w:spacing w:val="-5"/>
        </w:rPr>
        <w:t>Art</w:t>
      </w:r>
    </w:p>
    <w:p>
      <w:pPr>
        <w:pStyle w:val="Normal"/>
        <w:spacing w:before="41" w:after="0"/>
        <w:ind w:hanging="0" w:start="1910" w:end="1910"/>
        <w:jc w:val="center"/>
        <w:rPr>
          <w:sz w:val="24"/>
        </w:rPr>
      </w:pPr>
      <w:r>
        <w:rPr>
          <w:sz w:val="24"/>
        </w:rPr>
        <w:t>Ordenador</w:t>
      </w:r>
      <w:r>
        <w:rPr>
          <w:spacing w:val="-1"/>
          <w:sz w:val="24"/>
        </w:rPr>
        <w:t xml:space="preserve"> </w:t>
      </w:r>
      <w:r>
        <w:rPr>
          <w:sz w:val="24"/>
        </w:rPr>
        <w:t>de</w:t>
      </w:r>
      <w:r>
        <w:rPr>
          <w:spacing w:val="-2"/>
          <w:sz w:val="24"/>
        </w:rPr>
        <w:t xml:space="preserve"> </w:t>
      </w:r>
      <w:r>
        <w:rPr>
          <w:sz w:val="24"/>
        </w:rPr>
        <w:t>Despesas</w:t>
      </w:r>
      <w:r>
        <w:rPr>
          <w:spacing w:val="-2"/>
          <w:sz w:val="24"/>
        </w:rPr>
        <w:t xml:space="preserve"> </w:t>
      </w:r>
      <w:r>
        <w:rPr>
          <w:sz w:val="24"/>
        </w:rPr>
        <w:t xml:space="preserve">do </w:t>
      </w:r>
      <w:r>
        <w:rPr>
          <w:spacing w:val="-2"/>
          <w:sz w:val="24"/>
        </w:rPr>
        <w:t>MHEx/FC</w:t>
      </w:r>
    </w:p>
    <w:sectPr>
      <w:type w:val="nextPage"/>
      <w:pgSz w:w="12240" w:h="15840"/>
      <w:pgMar w:left="1080" w:right="1080" w:gutter="0" w:header="0" w:top="760" w:footer="0" w:bottom="28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20"/>
  <w:defaultTabStop w:val="720"/>
  <w:autoHyphenation w:val="true"/>
  <w:hyphenationZone w:val="0"/>
  <w:compat>
    <w:ulTrailSpace/>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bidi w:val="0"/>
      <w:spacing w:lineRule="auto" w:line="240" w:before="0" w:after="0"/>
      <w:ind w:start="0" w:end="0"/>
      <w:jc w:val="start"/>
    </w:pPr>
    <w:rPr>
      <w:rFonts w:ascii="Times New Roman" w:hAnsi="Times New Roman" w:eastAsia="Times New Roman" w:cs="Times New Roman"/>
      <w:color w:val="auto"/>
      <w:kern w:val="0"/>
      <w:sz w:val="22"/>
      <w:szCs w:val="22"/>
      <w:lang w:val="pt-PT" w:eastAsia="en-US" w:bidi="ar-SA"/>
    </w:rPr>
  </w:style>
  <w:style w:type="paragraph" w:styleId="Heading1">
    <w:name w:val="heading 1"/>
    <w:basedOn w:val="Normal"/>
    <w:uiPriority w:val="1"/>
    <w:qFormat/>
    <w:pPr>
      <w:ind w:start="1912" w:end="1910"/>
      <w:jc w:val="center"/>
      <w:outlineLvl w:val="1"/>
    </w:pPr>
    <w:rPr>
      <w:rFonts w:ascii="Times New Roman" w:hAnsi="Times New Roman" w:eastAsia="Times New Roman" w:cs="Times New Roman"/>
      <w:b/>
      <w:bCs/>
      <w:sz w:val="24"/>
      <w:szCs w:val="24"/>
      <w:lang w:val="pt-PT" w:eastAsia="en-US" w:bidi="ar-SA"/>
    </w:rPr>
  </w:style>
  <w:style w:type="paragraph" w:styleId="Heading2">
    <w:name w:val="heading 2"/>
    <w:basedOn w:val="Normal"/>
    <w:uiPriority w:val="1"/>
    <w:qFormat/>
    <w:pPr>
      <w:spacing w:before="141" w:after="0"/>
      <w:jc w:val="center"/>
      <w:outlineLvl w:val="2"/>
    </w:pPr>
    <w:rPr>
      <w:rFonts w:ascii="Times New Roman" w:hAnsi="Times New Roman" w:eastAsia="Times New Roman" w:cs="Times New Roman"/>
      <w:b/>
      <w:bCs/>
      <w:sz w:val="22"/>
      <w:szCs w:val="22"/>
      <w:lang w:val="pt-PT" w:eastAsia="en-US" w:bidi="ar-SA"/>
    </w:rPr>
  </w:style>
  <w:style w:type="character" w:styleId="DefaultParagraphFont" w:default="1">
    <w:name w:val="Default Paragraph Font"/>
    <w:uiPriority w:val="1"/>
    <w:semiHidden/>
    <w:unhideWhenUsed/>
    <w:rPr/>
  </w:style>
  <w:style w:type="paragraph" w:styleId="Ttulo">
    <w:name w:val="Título"/>
    <w:basedOn w:val="Normal"/>
    <w:next w:val="BodyTex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qFormat/>
    <w:pPr>
      <w:spacing w:before="49" w:after="0"/>
      <w:ind w:firstLine="708" w:start="168"/>
      <w:jc w:val="both"/>
    </w:pPr>
    <w:rPr>
      <w:rFonts w:ascii="Times New Roman" w:hAnsi="Times New Roman" w:eastAsia="Times New Roman" w:cs="Times New Roman"/>
      <w:sz w:val="22"/>
      <w:szCs w:val="22"/>
      <w:lang w:val="pt-PT" w:eastAsia="en-US" w:bidi="ar-SA"/>
    </w:rPr>
  </w:style>
  <w:style w:type="paragraph" w:styleId="List">
    <w:name w:val="List"/>
    <w:basedOn w:val="BodyText"/>
    <w:pPr/>
    <w:rPr>
      <w:rFonts w:cs="Arial"/>
    </w:rPr>
  </w:style>
  <w:style w:type="paragraph" w:styleId="Caption">
    <w:name w:val="caption"/>
    <w:basedOn w:val="Normal"/>
    <w:pPr>
      <w:suppressLineNumbers/>
      <w:spacing w:before="120" w:after="120"/>
    </w:pPr>
    <w:rPr>
      <w:rFonts w:cs="Arial"/>
      <w:i/>
      <w:iCs/>
      <w:sz w:val="24"/>
      <w:szCs w:val="24"/>
    </w:rPr>
  </w:style>
  <w:style w:type="paragraph" w:styleId="ndice">
    <w:name w:val="Índice"/>
    <w:basedOn w:val="Normal"/>
    <w:pPr>
      <w:suppressLineNumbers/>
    </w:pPr>
    <w:rPr>
      <w:rFonts w:cs="Arial"/>
    </w:rPr>
  </w:style>
  <w:style w:type="paragraph" w:styleId="ListParagraph">
    <w:name w:val="List Paragraph"/>
    <w:basedOn w:val="Normal"/>
    <w:uiPriority w:val="1"/>
    <w:qFormat/>
    <w:pPr/>
    <w:rPr>
      <w:lang w:val="pt-PT" w:eastAsia="en-US" w:bidi="ar-SA"/>
    </w:rPr>
  </w:style>
  <w:style w:type="paragraph" w:styleId="TableParagraph">
    <w:name w:val="Table Paragraph"/>
    <w:basedOn w:val="Normal"/>
    <w:uiPriority w:val="1"/>
    <w:qFormat/>
    <w:pPr/>
    <w:rPr>
      <w:lang w:val="pt-PT" w:eastAsia="en-US" w:bidi="ar-SA"/>
    </w:rPr>
  </w:style>
  <w:style w:type="numbering" w:styleId="Semlista" w:default="1">
    <w:name w:val="Sem lista"/>
    <w:uiPriority w:val="99"/>
    <w:semiHidden/>
    <w:unhideWhenUsed/>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pitchFamily="0" charset="1"/>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TotalTime>
  <Application>LibreOffice/26.8.1.1$Windows_X86_64 LibreOffice_project/bf6ef2662401c7d6dce671ab4deb26ee0af3a7c1</Application>
  <AppVersion>15.0000</AppVersion>
  <Pages>1</Pages>
  <Words>498</Words>
  <Characters>3059</Characters>
  <CharactersWithSpaces>3548</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2026-10-28T17:50:46Z</dcterms:created>
  <dc:creator>python-docx</dc:creator>
  <dc:description/>
  <dc:language>pt-BR</dc:language>
  <cp:lastModifiedBy/>
  <cp:lastPrinted>2026-10-28T15:17:32Z</cp:lastPrinted>
  <dcterms:modified xsi:type="dcterms:W3CDTF">2026-10-28T15:18:24Z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2026-10-13T00:00:00Z</vt:filetime>
  </property>
  <property fmtid="{D5CDD505-2E9C-101B-9397-08002B2CF9AE}" pid="4" name="Creator">
    <vt:lpwstr>Microsoft® Word 2019</vt:lpwstr>
  </property>
  <property fmtid="{D5CDD505-2E9C-101B-9397-08002B2CF9AE}" pid="5" name="LastSaved">
    <vt:filetime>2026-10-28T00:00:00Z</vt:filetime>
  </property>
  <property fmtid="{D5CDD505-2E9C-101B-9397-08002B2CF9AE}" pid="6" name="Producer">
    <vt:lpwstr>Microsoft® Word 2019</vt:lpwstr>
  </property>
</Properties>
</file>