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MEMÓRIA DE CÁLCULO DA PESQUISA DE PREÇOS Nº 137/2026</w:t>
      </w:r>
    </w:p>
    <w:p>
      <w:pPr>
        <w:spacing w:after="240"/>
      </w:pPr>
      <w:r>
        <w:rPr>
          <w:i/>
        </w:rPr>
        <w:t>Processo administrativo 64320.019906/2026-13 • UASG 160140 • Comando da 9ª Região Militar/MS</w:t>
      </w:r>
    </w:p>
    <w:p>
      <w:pPr>
        <w:pStyle w:val="Heading1"/>
      </w:pPr>
      <w:r>
        <w:t>1. Identificação da pesquisa</w:t>
      </w:r>
    </w:p>
    <w:p>
      <w:pPr>
        <w:keepLines/>
      </w:pPr>
      <w:r>
        <w:t>Pesquisa de Preços nº 137/2026, UASG 160140, concluída em 15/10/2026. Objeto registrado: aquisição de motor para portão deslizante. CATMAT 389725. Quantidade: 01 unidade. Método definido no relatório: mediana.</w:t>
      </w:r>
    </w:p>
    <w:p>
      <w:pPr>
        <w:pStyle w:val="Heading1"/>
      </w:pPr>
      <w:r>
        <w:t>2. Referências de preços utilizadas</w:t>
      </w:r>
    </w:p>
    <w:p>
      <w:pPr>
        <w:keepLines/>
      </w:pPr>
      <w:r>
        <w:t>A amostra final contém três registros da mesma compra pública nº 92668705900792026, UASG 926687, realizada em 16/03/2026. Os registros são os itens 2, 4 e 6 da contratação.</w:t>
      </w:r>
    </w:p>
    <w:tbl>
      <w:tblPr>
        <w:tblStyle w:val="LightShading-Accent1"/>
        <w:tblW w:type="auto" w:w="0"/>
        <w:jc w:val="center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rPr>
          <w:tblHeader/>
        </w:trPr>
        <w:tc>
          <w:tcPr>
            <w:tcW w:type="dxa" w:w="2493"/>
          </w:tcPr>
          <w:p>
            <w:pPr>
              <w:spacing w:after="20" w:before="20"/>
            </w:pPr>
            <w:r>
              <w:rPr>
                <w:b/>
                <w:color w:val="14364E"/>
                <w:sz w:val="17"/>
              </w:rPr>
              <w:t>Item</w:t>
            </w:r>
          </w:p>
        </w:tc>
        <w:tc>
          <w:tcPr>
            <w:tcW w:type="dxa" w:w="2493"/>
          </w:tcPr>
          <w:p>
            <w:pPr>
              <w:spacing w:after="20" w:before="20"/>
            </w:pPr>
            <w:r>
              <w:rPr>
                <w:b/>
                <w:color w:val="14364E"/>
                <w:sz w:val="17"/>
              </w:rPr>
              <w:t>UASG / Compra</w:t>
            </w:r>
          </w:p>
        </w:tc>
        <w:tc>
          <w:tcPr>
            <w:tcW w:type="dxa" w:w="2493"/>
          </w:tcPr>
          <w:p>
            <w:pPr>
              <w:spacing w:after="20" w:before="20"/>
            </w:pPr>
            <w:r>
              <w:rPr>
                <w:b/>
                <w:color w:val="14364E"/>
                <w:sz w:val="17"/>
              </w:rPr>
              <w:t>Fornecedor</w:t>
            </w:r>
          </w:p>
        </w:tc>
        <w:tc>
          <w:tcPr>
            <w:tcW w:type="dxa" w:w="2493"/>
          </w:tcPr>
          <w:p>
            <w:pPr>
              <w:spacing w:after="20" w:before="20"/>
            </w:pPr>
            <w:r>
              <w:rPr>
                <w:b/>
                <w:color w:val="14364E"/>
                <w:sz w:val="17"/>
              </w:rPr>
              <w:t>Valor</w:t>
            </w:r>
          </w:p>
        </w:tc>
      </w:tr>
      <w:tr>
        <w:tc>
          <w:tcPr>
            <w:tcW w:type="dxa" w:w="2493"/>
            <w:vAlign w:val="center"/>
          </w:tcPr>
          <w:p>
            <w:pPr>
              <w:spacing w:after="20" w:before="20"/>
            </w:pPr>
            <w:r>
              <w:rPr>
                <w:sz w:val="17"/>
              </w:rPr>
              <w:t>2</w:t>
            </w:r>
          </w:p>
        </w:tc>
        <w:tc>
          <w:tcPr>
            <w:tcW w:type="dxa" w:w="2493"/>
            <w:vAlign w:val="center"/>
          </w:tcPr>
          <w:p>
            <w:pPr>
              <w:spacing w:after="20" w:before="20"/>
            </w:pPr>
            <w:r>
              <w:rPr>
                <w:sz w:val="17"/>
              </w:rPr>
              <w:t>926687 / 92668705900792026</w:t>
            </w:r>
          </w:p>
        </w:tc>
        <w:tc>
          <w:tcPr>
            <w:tcW w:type="dxa" w:w="2493"/>
            <w:vAlign w:val="center"/>
          </w:tcPr>
          <w:p>
            <w:pPr>
              <w:spacing w:after="20" w:before="20"/>
            </w:pPr>
            <w:r>
              <w:rPr>
                <w:sz w:val="17"/>
              </w:rPr>
              <w:t>ULTRA MAX COMERCIAL LTDA</w:t>
            </w:r>
          </w:p>
        </w:tc>
        <w:tc>
          <w:tcPr>
            <w:tcW w:type="dxa" w:w="2493"/>
            <w:vAlign w:val="center"/>
          </w:tcPr>
          <w:p>
            <w:pPr>
              <w:spacing w:after="20" w:before="20"/>
            </w:pPr>
            <w:r>
              <w:rPr>
                <w:sz w:val="17"/>
              </w:rPr>
              <w:t>R$ 6.200,00</w:t>
            </w:r>
          </w:p>
        </w:tc>
      </w:tr>
      <w:tr>
        <w:tc>
          <w:tcPr>
            <w:tcW w:type="dxa" w:w="2493"/>
            <w:vAlign w:val="center"/>
          </w:tcPr>
          <w:p>
            <w:pPr>
              <w:spacing w:after="20" w:before="20"/>
            </w:pPr>
            <w:r>
              <w:rPr>
                <w:sz w:val="17"/>
              </w:rPr>
              <w:t>4</w:t>
            </w:r>
          </w:p>
        </w:tc>
        <w:tc>
          <w:tcPr>
            <w:tcW w:type="dxa" w:w="2493"/>
            <w:vAlign w:val="center"/>
          </w:tcPr>
          <w:p>
            <w:pPr>
              <w:spacing w:after="20" w:before="20"/>
            </w:pPr>
            <w:r>
              <w:rPr>
                <w:sz w:val="17"/>
              </w:rPr>
              <w:t>926687 / 92668705900792026</w:t>
            </w:r>
          </w:p>
        </w:tc>
        <w:tc>
          <w:tcPr>
            <w:tcW w:type="dxa" w:w="2493"/>
            <w:vAlign w:val="center"/>
          </w:tcPr>
          <w:p>
            <w:pPr>
              <w:spacing w:after="20" w:before="20"/>
            </w:pPr>
            <w:r>
              <w:rPr>
                <w:sz w:val="17"/>
              </w:rPr>
              <w:t>PHO ALMEIDA SERVIÇOS E COMÉRCIO DE MATERIAIS LTDA</w:t>
            </w:r>
          </w:p>
        </w:tc>
        <w:tc>
          <w:tcPr>
            <w:tcW w:type="dxa" w:w="2493"/>
            <w:vAlign w:val="center"/>
          </w:tcPr>
          <w:p>
            <w:pPr>
              <w:spacing w:after="20" w:before="20"/>
            </w:pPr>
            <w:r>
              <w:rPr>
                <w:sz w:val="17"/>
              </w:rPr>
              <w:t>R$ 7.400,00</w:t>
            </w:r>
          </w:p>
        </w:tc>
      </w:tr>
      <w:tr>
        <w:tc>
          <w:tcPr>
            <w:tcW w:type="dxa" w:w="2493"/>
            <w:vAlign w:val="center"/>
          </w:tcPr>
          <w:p>
            <w:pPr>
              <w:spacing w:after="20" w:before="20"/>
            </w:pPr>
            <w:r>
              <w:rPr>
                <w:sz w:val="17"/>
              </w:rPr>
              <w:t>6</w:t>
            </w:r>
          </w:p>
        </w:tc>
        <w:tc>
          <w:tcPr>
            <w:tcW w:type="dxa" w:w="2493"/>
            <w:vAlign w:val="center"/>
          </w:tcPr>
          <w:p>
            <w:pPr>
              <w:spacing w:after="20" w:before="20"/>
            </w:pPr>
            <w:r>
              <w:rPr>
                <w:sz w:val="17"/>
              </w:rPr>
              <w:t>926687 / 92668705900792026</w:t>
            </w:r>
          </w:p>
        </w:tc>
        <w:tc>
          <w:tcPr>
            <w:tcW w:type="dxa" w:w="2493"/>
            <w:vAlign w:val="center"/>
          </w:tcPr>
          <w:p>
            <w:pPr>
              <w:spacing w:after="20" w:before="20"/>
            </w:pPr>
            <w:r>
              <w:rPr>
                <w:sz w:val="17"/>
              </w:rPr>
              <w:t>PHO ALMEIDA SERVIÇOS E COMÉRCIO DE MATERIAIS LTDA</w:t>
            </w:r>
          </w:p>
        </w:tc>
        <w:tc>
          <w:tcPr>
            <w:tcW w:type="dxa" w:w="2493"/>
            <w:vAlign w:val="center"/>
          </w:tcPr>
          <w:p>
            <w:pPr>
              <w:spacing w:after="20" w:before="20"/>
            </w:pPr>
            <w:r>
              <w:rPr>
                <w:sz w:val="17"/>
              </w:rPr>
              <w:t>R$ 8.000,00</w:t>
            </w:r>
          </w:p>
        </w:tc>
      </w:tr>
    </w:tbl>
    <w:p>
      <w:pPr>
        <w:pStyle w:val="Heading1"/>
      </w:pPr>
      <w:r>
        <w:t>3. Cálculos</w:t>
      </w:r>
    </w:p>
    <w:tbl>
      <w:tblPr>
        <w:tblStyle w:val="LightShading-Accent1"/>
        <w:tblW w:type="auto" w:w="0"/>
        <w:jc w:val="center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rPr>
          <w:tblHeader/>
        </w:trPr>
        <w:tc>
          <w:tcPr>
            <w:tcW w:type="dxa" w:w="3324"/>
          </w:tcPr>
          <w:p>
            <w:pPr>
              <w:spacing w:after="20" w:before="20"/>
            </w:pPr>
            <w:r>
              <w:rPr>
                <w:b/>
                <w:color w:val="14364E"/>
                <w:sz w:val="17"/>
              </w:rPr>
              <w:t>Indicador</w:t>
            </w:r>
          </w:p>
        </w:tc>
        <w:tc>
          <w:tcPr>
            <w:tcW w:type="dxa" w:w="3324"/>
          </w:tcPr>
          <w:p>
            <w:pPr>
              <w:spacing w:after="20" w:before="20"/>
            </w:pPr>
            <w:r>
              <w:rPr>
                <w:b/>
                <w:color w:val="14364E"/>
                <w:sz w:val="17"/>
              </w:rPr>
              <w:t>Operação</w:t>
            </w:r>
          </w:p>
        </w:tc>
        <w:tc>
          <w:tcPr>
            <w:tcW w:type="dxa" w:w="3324"/>
          </w:tcPr>
          <w:p>
            <w:pPr>
              <w:spacing w:after="20" w:before="20"/>
            </w:pPr>
            <w:r>
              <w:rPr>
                <w:b/>
                <w:color w:val="14364E"/>
                <w:sz w:val="17"/>
              </w:rPr>
              <w:t>Resultado</w:t>
            </w:r>
          </w:p>
        </w:tc>
      </w:tr>
      <w:tr>
        <w:tc>
          <w:tcPr>
            <w:tcW w:type="dxa" w:w="3324"/>
            <w:vAlign w:val="center"/>
          </w:tcPr>
          <w:p>
            <w:pPr>
              <w:spacing w:after="20" w:before="20"/>
            </w:pPr>
            <w:r>
              <w:rPr>
                <w:sz w:val="17"/>
              </w:rPr>
              <w:t>Menor preço</w:t>
            </w:r>
          </w:p>
        </w:tc>
        <w:tc>
          <w:tcPr>
            <w:tcW w:type="dxa" w:w="3324"/>
            <w:vAlign w:val="center"/>
          </w:tcPr>
          <w:p>
            <w:pPr>
              <w:spacing w:after="20" w:before="20"/>
            </w:pPr>
            <w:r>
              <w:rPr>
                <w:sz w:val="17"/>
              </w:rPr>
              <w:t>Mínimo de 6.200,00; 7.400,00; 8.000,00</w:t>
            </w:r>
          </w:p>
        </w:tc>
        <w:tc>
          <w:tcPr>
            <w:tcW w:type="dxa" w:w="3324"/>
            <w:vAlign w:val="center"/>
          </w:tcPr>
          <w:p>
            <w:pPr>
              <w:spacing w:after="20" w:before="20"/>
            </w:pPr>
            <w:r>
              <w:rPr>
                <w:sz w:val="17"/>
              </w:rPr>
              <w:t>R$ 6.200,00</w:t>
            </w:r>
          </w:p>
        </w:tc>
      </w:tr>
      <w:tr>
        <w:tc>
          <w:tcPr>
            <w:tcW w:type="dxa" w:w="3324"/>
            <w:vAlign w:val="center"/>
          </w:tcPr>
          <w:p>
            <w:pPr>
              <w:spacing w:after="20" w:before="20"/>
            </w:pPr>
            <w:r>
              <w:rPr>
                <w:sz w:val="17"/>
              </w:rPr>
              <w:t>Média aritmética</w:t>
            </w:r>
          </w:p>
        </w:tc>
        <w:tc>
          <w:tcPr>
            <w:tcW w:type="dxa" w:w="3324"/>
            <w:vAlign w:val="center"/>
          </w:tcPr>
          <w:p>
            <w:pPr>
              <w:spacing w:after="20" w:before="20"/>
            </w:pPr>
            <w:r>
              <w:rPr>
                <w:sz w:val="17"/>
              </w:rPr>
              <w:t>(6.200,00 + 7.400,00 + 8.000,00) ÷ 3</w:t>
            </w:r>
          </w:p>
        </w:tc>
        <w:tc>
          <w:tcPr>
            <w:tcW w:type="dxa" w:w="3324"/>
            <w:vAlign w:val="center"/>
          </w:tcPr>
          <w:p>
            <w:pPr>
              <w:spacing w:after="20" w:before="20"/>
            </w:pPr>
            <w:r>
              <w:rPr>
                <w:sz w:val="17"/>
              </w:rPr>
              <w:t>R$ 7.200,00</w:t>
            </w:r>
          </w:p>
        </w:tc>
      </w:tr>
      <w:tr>
        <w:tc>
          <w:tcPr>
            <w:tcW w:type="dxa" w:w="3324"/>
            <w:vAlign w:val="center"/>
          </w:tcPr>
          <w:p>
            <w:pPr>
              <w:spacing w:after="20" w:before="20"/>
            </w:pPr>
            <w:r>
              <w:rPr>
                <w:sz w:val="17"/>
              </w:rPr>
              <w:t>Mediana</w:t>
            </w:r>
          </w:p>
        </w:tc>
        <w:tc>
          <w:tcPr>
            <w:tcW w:type="dxa" w:w="3324"/>
            <w:vAlign w:val="center"/>
          </w:tcPr>
          <w:p>
            <w:pPr>
              <w:spacing w:after="20" w:before="20"/>
            </w:pPr>
            <w:r>
              <w:rPr>
                <w:sz w:val="17"/>
              </w:rPr>
              <w:t>Valor central da série ordenada</w:t>
            </w:r>
          </w:p>
        </w:tc>
        <w:tc>
          <w:tcPr>
            <w:tcW w:type="dxa" w:w="3324"/>
            <w:vAlign w:val="center"/>
          </w:tcPr>
          <w:p>
            <w:pPr>
              <w:spacing w:after="20" w:before="20"/>
            </w:pPr>
            <w:r>
              <w:rPr>
                <w:sz w:val="17"/>
              </w:rPr>
              <w:t>R$ 7.400,00</w:t>
            </w:r>
          </w:p>
        </w:tc>
      </w:tr>
      <w:tr>
        <w:tc>
          <w:tcPr>
            <w:tcW w:type="dxa" w:w="3324"/>
            <w:vAlign w:val="center"/>
          </w:tcPr>
          <w:p>
            <w:pPr>
              <w:spacing w:after="20" w:before="20"/>
            </w:pPr>
            <w:r>
              <w:rPr>
                <w:sz w:val="17"/>
              </w:rPr>
              <w:t>Maior preço</w:t>
            </w:r>
          </w:p>
        </w:tc>
        <w:tc>
          <w:tcPr>
            <w:tcW w:type="dxa" w:w="3324"/>
            <w:vAlign w:val="center"/>
          </w:tcPr>
          <w:p>
            <w:pPr>
              <w:spacing w:after="20" w:before="20"/>
            </w:pPr>
            <w:r>
              <w:rPr>
                <w:sz w:val="17"/>
              </w:rPr>
              <w:t>Máximo de 6.200,00; 7.400,00; 8.000,00</w:t>
            </w:r>
          </w:p>
        </w:tc>
        <w:tc>
          <w:tcPr>
            <w:tcW w:type="dxa" w:w="3324"/>
            <w:vAlign w:val="center"/>
          </w:tcPr>
          <w:p>
            <w:pPr>
              <w:spacing w:after="20" w:before="20"/>
            </w:pPr>
            <w:r>
              <w:rPr>
                <w:sz w:val="17"/>
              </w:rPr>
              <w:t>R$ 8.000,00</w:t>
            </w:r>
          </w:p>
        </w:tc>
      </w:tr>
    </w:tbl>
    <w:p>
      <w:pPr>
        <w:keepLines/>
      </w:pPr>
      <w:r>
        <w:t>O valor de referência apurado pelo método da mediana é R$ 7.400,00 (sete mil e quatrocentos reais). O relatório oficial registra média de R$ 7.200,00 e coeficiente de variação de 10,3935%.</w:t>
      </w:r>
    </w:p>
    <w:p>
      <w:pPr>
        <w:pStyle w:val="Heading1"/>
      </w:pPr>
      <w:r>
        <w:t>4. Registro da seleção da amostra</w:t>
      </w:r>
    </w:p>
    <w:p>
      <w:pPr>
        <w:keepLines/>
      </w:pPr>
      <w:r>
        <w:t>A Pesquisa nº 137/2026 foi atualizada de sete para três referências. O relatório consolidado contém exclusivamente os itens 2, 4 e 6 da compra 92668705900792026. O relatório final não apresenta a relação individual nem a motivação dos quatro registros retirados.</w:t>
      </w:r>
    </w:p>
    <w:p>
      <w:pPr>
        <w:pStyle w:val="Heading1"/>
      </w:pPr>
      <w:r>
        <w:t>5. Relação com o objeto da contratação</w:t>
      </w:r>
    </w:p>
    <w:p>
      <w:pPr>
        <w:keepLines/>
      </w:pPr>
      <w:r>
        <w:t>O objeto descrito no DFD nº 137/2026, no ETP nº 48/2026 e no TR nº 33/2026 consiste em conjunto completo de automatização, fornecido e instalado, com capacidade nominal mínima de 3.000 kg, entrada elétrica de 220 V, cremalheira de aço de 7,5 m, roldanas, dispositivos de segurança e testes. A pesquisa oficial está registrada sob o CATMAT 389725. O relatório sintético relaciona os preços, as datas, os fornecedores e a identificação dos itens do pregão.</w:t>
      </w:r>
    </w:p>
    <w:p>
      <w:pPr>
        <w:pStyle w:val="Heading1"/>
      </w:pPr>
      <w:r>
        <w:t>6. Fundamentação normativa</w:t>
      </w:r>
    </w:p>
    <w:p>
      <w:pPr>
        <w:keepLines/>
      </w:pPr>
      <w:r>
        <w:t>Esta memória registra os elementos de cálculo do valor de referência, conforme o art. 3º, VII, e o art. 6º da IN SEGES/ME nº 65/2021. Integra a documentação da estimativa do TR, conforme o art. 9º, IX, da IN SEGES/ME nº 81/2022.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50" w:right="1134" w:bottom="822" w:left="1134" w:header="397" w:footer="39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5E7182"/>
        <w:sz w:val="16"/>
      </w:rPr>
      <w:t>Versão editável para inserção no processo oficial  •  15/10/2026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rPr>
        <w:b/>
        <w:color w:val="5E7182"/>
        <w:sz w:val="16"/>
      </w:rPr>
      <w:t>COMANDO DA 9ª REGIÃO MILITAR  |  UASG 160140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64" w:lineRule="auto"/>
    </w:pPr>
    <w:rPr>
      <w:rFonts w:ascii="Aptos" w:hAnsi="Aptos"/>
      <w:color w:val="23313C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60" w:after="60"/>
      <w:outlineLvl w:val="0"/>
    </w:pPr>
    <w:rPr>
      <w:rFonts w:asciiTheme="majorHAnsi" w:eastAsiaTheme="majorEastAsia" w:hAnsiTheme="majorHAnsi" w:cstheme="majorBidi" w:ascii="Aptos" w:hAnsi="Aptos"/>
      <w:b/>
      <w:bCs/>
      <w:color w:val="14364E"/>
      <w:sz w:val="2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40" w:after="40"/>
      <w:outlineLvl w:val="1"/>
    </w:pPr>
    <w:rPr>
      <w:rFonts w:asciiTheme="majorHAnsi" w:eastAsiaTheme="majorEastAsia" w:hAnsiTheme="majorHAnsi" w:cstheme="majorBidi" w:ascii="Aptos" w:hAnsi="Aptos"/>
      <w:b/>
      <w:bCs/>
      <w:color w:val="156071"/>
      <w:sz w:val="2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40" w:line="240" w:lineRule="auto" w:before="0"/>
      <w:contextualSpacing/>
    </w:pPr>
    <w:rPr>
      <w:rFonts w:asciiTheme="majorHAnsi" w:eastAsiaTheme="majorEastAsia" w:hAnsiTheme="majorHAnsi" w:cstheme="majorBidi" w:ascii="Aptos Display" w:hAnsi="Aptos Display"/>
      <w:b/>
      <w:color w:val="14364E"/>
      <w:spacing w:val="5"/>
      <w:kern w:val="28"/>
      <w:sz w:val="3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