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comments.xml" ContentType="application/vnd.openxmlformats-officedocument.wordprocessingml.comments+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rPr>
          <w:rFonts w:cs="Arial"/>
          <w:b/>
          <w:bCs/>
          <w:i/>
          <w:iCs/>
          <w:color w:val="FF0000"/>
          <w:szCs w:val="18"/>
        </w:rPr>
      </w:pPr>
      <w:r>
        <w:rPr>
          <w:rFonts w:cs="Arial"/>
          <w:b/>
          <w:bCs/>
          <w:i/>
          <w:iCs/>
          <w:color w:val="FF0000"/>
          <w:szCs w:val="18"/>
        </w:rPr>
      </w:r>
    </w:p>
    <w:p>
      <w:pPr>
        <w:pStyle w:val="Normal"/>
        <w:rPr>
          <w:rFonts w:cs="Arial"/>
          <w:b/>
          <w:bCs/>
          <w:i/>
          <w:iCs/>
          <w:color w:val="FF0000"/>
          <w:szCs w:val="18"/>
        </w:rPr>
      </w:pPr>
      <w:r>
        <w:rPr>
          <w:rFonts w:cs="Arial"/>
          <w:b/>
          <w:bCs/>
          <w:i/>
          <w:iCs/>
          <w:color w:val="FF0000"/>
          <w:szCs w:val="18"/>
        </w:rPr>
      </w:r>
    </w:p>
    <w:p>
      <w:pPr>
        <w:pStyle w:val="Normal"/>
        <w:rPr>
          <w:rFonts w:cs="Arial"/>
          <w:b/>
          <w:bCs/>
          <w:i/>
          <w:iCs/>
          <w:color w:val="FF0000"/>
          <w:szCs w:val="18"/>
        </w:rPr>
      </w:pPr>
      <w:r>
        <w:rPr>
          <w:rFonts w:cs="Arial"/>
          <w:b/>
          <w:bCs/>
          <w:i/>
          <w:iCs/>
          <w:color w:val="FF0000"/>
          <w:szCs w:val="18"/>
        </w:rPr>
      </w:r>
    </w:p>
    <w:p>
      <w:pPr>
        <w:pStyle w:val="Normal"/>
        <w:rPr>
          <w:rFonts w:cs="Arial"/>
          <w:b/>
          <w:bCs/>
          <w:i/>
          <w:iCs/>
          <w:color w:val="FF0000"/>
          <w:szCs w:val="18"/>
        </w:rPr>
      </w:pPr>
      <w:r>
        <w:rPr>
          <w:rFonts w:cs="Arial"/>
          <w:b/>
          <w:bCs/>
          <w:i/>
          <w:iCs/>
          <w:color w:val="FF0000"/>
          <w:szCs w:val="18"/>
        </w:rPr>
      </w:r>
    </w:p>
    <w:p>
      <w:pPr>
        <w:pStyle w:val="Normal"/>
        <w:rPr/>
      </w:pPr>
      <w:commentRangeStart w:id="0"/>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pPr>
      <w:r>
        <w:rPr>
          <w:rFonts w:cs="Arial"/>
          <w:color w:val="405CA1"/>
          <w:sz w:val="56"/>
          <w:szCs w:val="56"/>
        </w:rPr>
        <w:t>DIRETA</w:t>
      </w:r>
      <w:commentRangeEnd w:id="0"/>
      <w:r>
        <w:commentReference w:id="0"/>
      </w:r>
      <w:r>
        <w:rPr>
          <w:rFonts w:cs="Arial"/>
          <w:color w:val="405CA1"/>
          <w:sz w:val="56"/>
          <w:szCs w:val="56"/>
        </w:rPr>
      </w:r>
    </w:p>
    <w:p>
      <w:pPr>
        <w:pStyle w:val="Normal"/>
        <w:rPr>
          <w:rFonts w:cs="Arial"/>
          <w:b/>
          <w:bCs/>
          <w:color w:val="5B5B5F"/>
          <w:sz w:val="28"/>
          <w:szCs w:val="28"/>
        </w:rPr>
      </w:pPr>
      <w:r>
        <w:rPr/>
      </w:r>
    </w:p>
    <w:p>
      <w:pPr>
        <w:pStyle w:val="Normal"/>
        <w:spacing w:lineRule="auto" w:line="259"/>
        <w:rPr>
          <w:rFonts w:cs="Arial"/>
          <w:b/>
          <w:bCs/>
          <w:color w:val="405CA1"/>
          <w:sz w:val="32"/>
          <w:szCs w:val="32"/>
        </w:rPr>
      </w:pPr>
      <w:r>
        <w:rPr>
          <w:rFonts w:cs="Arial"/>
          <w:b/>
          <w:bCs/>
          <w:color w:val="405CA1"/>
          <w:sz w:val="32"/>
          <w:szCs w:val="32"/>
        </w:rPr>
      </w:r>
    </w:p>
    <w:p>
      <w:pPr>
        <w:pStyle w:val="Normal"/>
        <w:spacing w:lineRule="auto" w:line="259"/>
        <w:rPr>
          <w:rFonts w:cs="Arial"/>
          <w:b/>
          <w:bCs/>
          <w:color w:val="405CA1"/>
          <w:sz w:val="32"/>
          <w:szCs w:val="32"/>
        </w:rPr>
      </w:pPr>
      <w:r>
        <w:rPr>
          <w:rFonts w:cs="Arial"/>
          <w:b/>
          <w:bCs/>
          <w:color w:val="405CA1"/>
          <w:sz w:val="32"/>
          <w:szCs w:val="32"/>
        </w:rPr>
        <w:t>CONTRATANTE (UASG)</w:t>
      </w:r>
    </w:p>
    <w:p>
      <w:pPr>
        <w:pStyle w:val="Normal"/>
        <w:rPr>
          <w:rFonts w:cs="Arial"/>
          <w:bCs/>
          <w:color w:val="5B5B5F"/>
          <w:sz w:val="28"/>
          <w:szCs w:val="28"/>
        </w:rPr>
      </w:pPr>
      <w:r>
        <w:rPr>
          <w:rFonts w:cs="Arial"/>
          <w:bCs/>
          <w:color w:val="5B5B5F"/>
          <w:sz w:val="28"/>
          <w:szCs w:val="28"/>
        </w:rPr>
        <w:t>160212 – 27º Batalhão Logístico</w:t>
      </w:r>
    </w:p>
    <w:p>
      <w:pPr>
        <w:pStyle w:val="Normal"/>
        <w:rPr>
          <w:rFonts w:cs="Arial"/>
          <w:b/>
          <w:bCs/>
          <w:color w:val="405CA1"/>
          <w:sz w:val="32"/>
          <w:szCs w:val="32"/>
        </w:rPr>
      </w:pPr>
      <w:r>
        <w:rPr>
          <w:rFonts w:cs="Arial"/>
          <w:b/>
          <w:bCs/>
          <w:color w:val="405CA1"/>
          <w:sz w:val="32"/>
          <w:szCs w:val="32"/>
        </w:rPr>
      </w:r>
    </w:p>
    <w:p>
      <w:pPr>
        <w:pStyle w:val="Normal"/>
        <w:rPr>
          <w:rFonts w:cs="Arial"/>
          <w:b/>
          <w:bCs/>
          <w:color w:val="405CA1"/>
          <w:sz w:val="32"/>
          <w:szCs w:val="32"/>
        </w:rPr>
      </w:pPr>
      <w:r>
        <w:rPr>
          <w:rFonts w:cs="Arial"/>
          <w:b/>
          <w:bCs/>
          <w:color w:val="405CA1"/>
          <w:sz w:val="32"/>
          <w:szCs w:val="32"/>
        </w:rPr>
        <w:t>OBJETO</w:t>
      </w:r>
    </w:p>
    <w:p>
      <w:pPr>
        <w:pStyle w:val="Normal"/>
        <w:jc w:val="both"/>
        <w:rPr>
          <w:rFonts w:cs="Arial"/>
          <w:color w:val="5B5B5F"/>
          <w:sz w:val="28"/>
          <w:szCs w:val="28"/>
        </w:rPr>
      </w:pPr>
      <w:r>
        <w:rPr>
          <w:rFonts w:cs="Arial"/>
          <w:color w:val="5B5B5F"/>
          <w:sz w:val="28"/>
          <w:szCs w:val="28"/>
        </w:rPr>
        <w:t>Escolha da melhor proposta para contratação de plano de telefonia móvel com aparelho celular.</w:t>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
          <w:bCs/>
          <w:color w:val="5B5B5F"/>
          <w:sz w:val="28"/>
          <w:szCs w:val="28"/>
        </w:rPr>
      </w:pPr>
      <w:r>
        <w:rPr>
          <w:rFonts w:cs="Arial"/>
          <w:b/>
          <w:bCs/>
          <w:color w:val="5B5B5F"/>
          <w:sz w:val="28"/>
          <w:szCs w:val="28"/>
        </w:rPr>
        <w:t xml:space="preserve">R$ </w:t>
      </w:r>
      <w:r>
        <w:rPr>
          <w:rFonts w:cs="Arial"/>
          <w:b/>
          <w:bCs/>
          <w:color w:val="5B5B5F"/>
          <w:sz w:val="28"/>
          <w:szCs w:val="28"/>
        </w:rPr>
        <w:t>2.016,00</w:t>
      </w:r>
    </w:p>
    <w:p>
      <w:pPr>
        <w:pStyle w:val="Normal"/>
        <w:rPr>
          <w:rFonts w:cs="Arial"/>
          <w:color w:val="5B5B5F"/>
          <w:sz w:val="32"/>
          <w:szCs w:val="32"/>
        </w:rPr>
      </w:pPr>
      <w:r>
        <w:rPr>
          <w:rFonts w:cs="Arial"/>
          <w:color w:val="5B5B5F"/>
          <w:sz w:val="32"/>
          <w:szCs w:val="32"/>
        </w:rPr>
      </w:r>
    </w:p>
    <w:p>
      <w:pPr>
        <w:pStyle w:val="Normal"/>
        <w:rPr>
          <w:rFonts w:cs="Arial"/>
          <w:b/>
          <w:bCs/>
          <w:color w:val="405CA1"/>
          <w:sz w:val="32"/>
          <w:szCs w:val="32"/>
        </w:rPr>
      </w:pPr>
      <w:r>
        <w:rPr>
          <w:rFonts w:cs="Arial"/>
          <w:b/>
          <w:bCs/>
          <w:color w:val="405CA1"/>
          <w:sz w:val="32"/>
          <w:szCs w:val="32"/>
        </w:rPr>
        <w:t xml:space="preserve">DATA DA SESSÃO </w:t>
      </w:r>
    </w:p>
    <w:p>
      <w:pPr>
        <w:pStyle w:val="Normal"/>
        <w:rPr/>
      </w:pPr>
      <w:r>
        <w:rPr>
          <w:rFonts w:cs="Arial"/>
          <w:color w:val="5B5B5F"/>
          <w:sz w:val="28"/>
          <w:szCs w:val="28"/>
        </w:rPr>
        <w:t>De 0</w:t>
      </w:r>
      <w:r>
        <w:rPr>
          <w:rFonts w:cs="Arial"/>
          <w:color w:val="5B5B5F"/>
          <w:sz w:val="28"/>
          <w:szCs w:val="28"/>
        </w:rPr>
        <w:t>6</w:t>
      </w:r>
      <w:r>
        <w:rPr>
          <w:rFonts w:cs="Arial"/>
          <w:b/>
          <w:bCs/>
          <w:color w:val="5B5B5F"/>
          <w:sz w:val="28"/>
          <w:szCs w:val="28"/>
        </w:rPr>
        <w:t>/0</w:t>
      </w:r>
      <w:r>
        <w:rPr>
          <w:rFonts w:cs="Arial"/>
          <w:b/>
          <w:bCs/>
          <w:color w:val="5B5B5F"/>
          <w:sz w:val="28"/>
          <w:szCs w:val="28"/>
        </w:rPr>
        <w:t>5</w:t>
      </w:r>
      <w:r>
        <w:rPr>
          <w:rFonts w:cs="Arial"/>
          <w:b/>
          <w:bCs/>
          <w:color w:val="5B5B5F"/>
          <w:sz w:val="28"/>
          <w:szCs w:val="28"/>
        </w:rPr>
        <w:t>/2025</w:t>
      </w:r>
    </w:p>
    <w:p>
      <w:pPr>
        <w:pStyle w:val="Normal"/>
        <w:rPr>
          <w:rFonts w:cs="Arial"/>
          <w:color w:val="5B5B5F"/>
          <w:sz w:val="32"/>
          <w:szCs w:val="32"/>
        </w:rPr>
      </w:pPr>
      <w:r>
        <w:rPr>
          <w:rFonts w:cs="Arial"/>
          <w:color w:val="5B5B5F"/>
          <w:sz w:val="32"/>
          <w:szCs w:val="32"/>
        </w:rPr>
      </w:r>
    </w:p>
    <w:p>
      <w:pPr>
        <w:pStyle w:val="Normal"/>
        <w:rPr/>
      </w:pPr>
      <w:commentRangeStart w:id="1"/>
      <w:r>
        <w:rPr>
          <w:rFonts w:cs="Arial"/>
          <w:b/>
          <w:bCs/>
          <w:color w:val="405CA1"/>
          <w:sz w:val="32"/>
          <w:szCs w:val="32"/>
        </w:rPr>
        <w:t>HORÁRIO DA FASE DE LANCES</w:t>
      </w:r>
    </w:p>
    <w:p>
      <w:pPr>
        <w:pStyle w:val="Normal"/>
        <w:rPr/>
      </w:pPr>
      <w:r>
        <w:rPr>
          <w:rFonts w:cs="Arial"/>
          <w:color w:val="5B5B5F"/>
          <w:sz w:val="28"/>
          <w:szCs w:val="28"/>
        </w:rPr>
        <w:t>Das 08h até 14h</w:t>
      </w:r>
      <w:commentRangeEnd w:id="1"/>
      <w:r>
        <w:commentReference w:id="1"/>
      </w:r>
      <w:r>
        <w:rPr>
          <w:rFonts w:cs="Arial"/>
          <w:color w:val="5B5B5F"/>
          <w:sz w:val="28"/>
          <w:szCs w:val="28"/>
        </w:rPr>
      </w:r>
    </w:p>
    <w:p>
      <w:pPr>
        <w:pStyle w:val="Normal"/>
        <w:rPr>
          <w:rFonts w:cs="Arial"/>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r>
        <w:br w:type="page"/>
      </w:r>
    </w:p>
    <w:p>
      <w:pPr>
        <w:pStyle w:val="Normal"/>
        <w:spacing w:lineRule="auto" w:line="276" w:before="0" w:after="0"/>
        <w:jc w:val="center"/>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p>
    <w:sdt>
      <w:sdtPr>
        <w:docPartObj>
          <w:docPartGallery w:val="Table of Contents"/>
          <w:docPartUnique w:val="true"/>
        </w:docPartObj>
      </w:sdtPr>
      <w:sdtContent>
        <w:p>
          <w:pPr>
            <w:pStyle w:val="TOCHeading"/>
            <w:ind w:hanging="0" w:start="0" w:end="0"/>
            <w:rPr/>
          </w:pPr>
          <w:r>
            <w:rPr/>
            <w:t>Sumário</w:t>
          </w:r>
        </w:p>
        <w:p>
          <w:pPr>
            <w:pStyle w:val="TOC1"/>
            <w:rPr/>
          </w:pPr>
          <w:r>
            <w:fldChar w:fldCharType="begin"/>
          </w:r>
          <w:r>
            <w:rPr>
              <w:rStyle w:val="Vnculodendice"/>
              <w:rFonts w:eastAsia="Arial Unicode MS"/>
              <w:vanish w:val="false"/>
              <w:color w:val="auto"/>
              <w:lang w:bidi="hi-IN"/>
            </w:rPr>
            <w:instrText xml:space="preserve"> TOC \o "1-3" \h</w:instrText>
          </w:r>
          <w:r>
            <w:rPr>
              <w:rStyle w:val="Vnculodendice"/>
              <w:rFonts w:eastAsia="Arial Unicode MS"/>
              <w:vanish w:val="false"/>
              <w:color w:val="auto"/>
              <w:lang w:bidi="hi-IN"/>
            </w:rPr>
            <w:fldChar w:fldCharType="separate"/>
          </w:r>
          <w:hyperlink w:anchor="_Toc142925860">
            <w:r>
              <w:rPr>
                <w:rStyle w:val="Vnculodendice"/>
                <w:rFonts w:eastAsia="Arial Unicode MS"/>
                <w:vanish w:val="false"/>
                <w:color w:val="auto"/>
                <w:lang w:bidi="hi-IN"/>
              </w:rPr>
              <w:t>1.</w:t>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rFonts w:eastAsia="Arial Unicode MS"/>
                <w:vanish w:val="false"/>
                <w:color w:val="auto"/>
                <w:lang w:bidi="hi-IN"/>
              </w:rPr>
              <w:t>OBJETO DA CONTRATAÇÃO DIRETA</w:t>
            </w:r>
            <w:r>
              <w:rPr>
                <w:webHidden/>
              </w:rPr>
              <w:fldChar w:fldCharType="end"/>
            </w:r>
          </w:hyperlink>
          <w:hyperlink w:anchor="_Toc142925860">
            <w:r>
              <w:rPr>
                <w:webHidden/>
              </w:rPr>
              <w:fldChar w:fldCharType="begin"/>
            </w:r>
            <w:r>
              <w:rPr>
                <w:webHidden/>
              </w:rPr>
              <w:instrText xml:space="preserve">PAGEREF _Toc142925860 \h</w:instrText>
            </w:r>
            <w:r>
              <w:rPr>
                <w:webHidden/>
              </w:rPr>
              <w:fldChar w:fldCharType="separate"/>
            </w:r>
            <w:r>
              <w:rPr>
                <w:rStyle w:val="Vnculodendice"/>
                <w:vanish w:val="false"/>
              </w:rPr>
              <w:tab/>
              <w:t>4</w:t>
            </w:r>
            <w:r>
              <w:rPr>
                <w:webHidden/>
              </w:rPr>
              <w:fldChar w:fldCharType="end"/>
            </w:r>
          </w:hyperlink>
        </w:p>
        <w:p>
          <w:pPr>
            <w:pStyle w:val="TOC1"/>
            <w:rPr/>
          </w:pPr>
          <w:hyperlink w:anchor="_Toc142925861">
            <w:r>
              <w:rPr>
                <w:rStyle w:val="Vnculodendice"/>
                <w:rFonts w:eastAsia="Arial Unicode MS"/>
                <w:vanish w:val="false"/>
                <w:color w:val="auto"/>
                <w:lang w:bidi="hi-IN"/>
              </w:rPr>
              <w:t>2.</w:t>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eastAsia="Arial Unicode MS"/>
                <w:vanish w:val="false"/>
                <w:color w:val="000000"/>
                <w:shd w:fill="00FFFF" w:val="clear"/>
                <w:lang w:bidi="hi-IN"/>
              </w:rPr>
              <w:t>REGISTRO DE PREÇOS</w:t>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rFonts w:eastAsia="Arial Unicode MS"/>
                <w:vanish w:val="false"/>
                <w:color w:val="auto"/>
                <w:lang w:bidi="hi-IN"/>
              </w:rPr>
              <w:t xml:space="preserve"> </w:t>
            </w:r>
            <w:r>
              <w:rPr>
                <w:webHidden/>
              </w:rPr>
              <w:fldChar w:fldCharType="end"/>
            </w:r>
          </w:hyperlink>
          <w:hyperlink w:anchor="_Toc142925861">
            <w:r>
              <w:rPr>
                <w:webHidden/>
              </w:rPr>
              <w:fldChar w:fldCharType="begin"/>
            </w:r>
            <w:r>
              <w:rPr>
                <w:webHidden/>
              </w:rPr>
              <w:instrText xml:space="preserve">PAGEREF _Toc142925861 \h</w:instrText>
            </w:r>
            <w:r>
              <w:rPr>
                <w:webHidden/>
              </w:rPr>
              <w:fldChar w:fldCharType="separate"/>
            </w:r>
            <w:r>
              <w:rPr>
                <w:rStyle w:val="Vnculodendice"/>
                <w:vanish w:val="false"/>
              </w:rPr>
              <w:tab/>
              <w:t>5</w:t>
            </w:r>
            <w:r>
              <w:rPr>
                <w:webHidden/>
              </w:rPr>
              <w:fldChar w:fldCharType="end"/>
            </w:r>
          </w:hyperlink>
        </w:p>
        <w:p>
          <w:pPr>
            <w:pStyle w:val="TOC1"/>
            <w:rPr/>
          </w:pPr>
          <w:hyperlink w:anchor="_Toc142925862">
            <w:r>
              <w:rPr>
                <w:rStyle w:val="Vnculodendice"/>
                <w:rFonts w:eastAsia="Arial Unicode MS"/>
                <w:vanish w:val="false"/>
                <w:color w:val="auto"/>
                <w:lang w:bidi="hi-IN"/>
              </w:rPr>
              <w:t>3.</w:t>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rFonts w:eastAsia="Arial Unicode MS"/>
                <w:vanish w:val="false"/>
                <w:color w:val="auto"/>
                <w:lang w:bidi="hi-IN"/>
              </w:rPr>
              <w:t>PARTICIPAÇÃO NA DISPENSA ELETRÔNICA.</w:t>
            </w:r>
            <w:r>
              <w:rPr>
                <w:webHidden/>
              </w:rPr>
              <w:fldChar w:fldCharType="end"/>
            </w:r>
          </w:hyperlink>
          <w:hyperlink w:anchor="_Toc142925862">
            <w:r>
              <w:rPr>
                <w:webHidden/>
              </w:rPr>
              <w:fldChar w:fldCharType="begin"/>
            </w:r>
            <w:r>
              <w:rPr>
                <w:webHidden/>
              </w:rPr>
              <w:instrText xml:space="preserve">PAGEREF _Toc142925862 \h</w:instrText>
            </w:r>
            <w:r>
              <w:rPr>
                <w:webHidden/>
              </w:rPr>
              <w:fldChar w:fldCharType="separate"/>
            </w:r>
            <w:r>
              <w:rPr>
                <w:rStyle w:val="Vnculodendice"/>
                <w:vanish w:val="false"/>
              </w:rPr>
              <w:tab/>
              <w:t>5</w:t>
            </w:r>
            <w:r>
              <w:rPr>
                <w:webHidden/>
              </w:rPr>
              <w:fldChar w:fldCharType="end"/>
            </w:r>
          </w:hyperlink>
        </w:p>
        <w:p>
          <w:pPr>
            <w:pStyle w:val="TOC1"/>
            <w:rPr/>
          </w:pPr>
          <w:hyperlink w:anchor="_Toc142925863">
            <w:r>
              <w:rPr>
                <w:rStyle w:val="Vnculodendice"/>
                <w:rFonts w:eastAsia="Arial Unicode MS"/>
                <w:vanish w:val="false"/>
                <w:color w:val="auto"/>
                <w:lang w:bidi="hi-IN"/>
              </w:rPr>
              <w:t>4.</w:t>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rFonts w:eastAsia="Arial Unicode MS"/>
                <w:vanish w:val="false"/>
                <w:color w:val="auto"/>
                <w:lang w:bidi="hi-IN"/>
              </w:rPr>
              <w:t>INGRESSO NA DISPENSA ELETRÔNICA E CADASTRAMENTO DA PROPOSTA INICIAL</w:t>
            </w:r>
            <w:r>
              <w:rPr>
                <w:webHidden/>
              </w:rPr>
              <w:fldChar w:fldCharType="end"/>
            </w:r>
          </w:hyperlink>
          <w:hyperlink w:anchor="_Toc142925863">
            <w:r>
              <w:rPr>
                <w:webHidden/>
              </w:rPr>
              <w:fldChar w:fldCharType="begin"/>
            </w:r>
            <w:r>
              <w:rPr>
                <w:webHidden/>
              </w:rPr>
              <w:instrText xml:space="preserve">PAGEREF _Toc142925863 \h</w:instrText>
            </w:r>
            <w:r>
              <w:rPr>
                <w:webHidden/>
              </w:rPr>
              <w:fldChar w:fldCharType="separate"/>
            </w:r>
            <w:r>
              <w:rPr>
                <w:rStyle w:val="Vnculodendice"/>
                <w:vanish w:val="false"/>
              </w:rPr>
              <w:tab/>
              <w:t>6</w:t>
            </w:r>
            <w:r>
              <w:rPr>
                <w:webHidden/>
              </w:rPr>
              <w:fldChar w:fldCharType="end"/>
            </w:r>
          </w:hyperlink>
        </w:p>
        <w:p>
          <w:pPr>
            <w:pStyle w:val="TOC1"/>
            <w:rPr/>
          </w:pPr>
          <w:hyperlink w:anchor="_Toc142925864">
            <w:r>
              <w:rPr>
                <w:rStyle w:val="Vnculodendice"/>
                <w:rFonts w:eastAsia="Arial Unicode MS"/>
                <w:vanish w:val="false"/>
                <w:color w:val="auto"/>
                <w:lang w:bidi="hi-IN"/>
              </w:rPr>
              <w:t>5.</w:t>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rFonts w:eastAsia="Arial Unicode MS"/>
                <w:vanish w:val="false"/>
                <w:color w:val="auto"/>
                <w:lang w:bidi="hi-IN"/>
              </w:rPr>
              <w:t>FASE DE LANCES</w:t>
            </w:r>
            <w:r>
              <w:rPr>
                <w:webHidden/>
              </w:rPr>
              <w:fldChar w:fldCharType="end"/>
            </w:r>
          </w:hyperlink>
          <w:hyperlink w:anchor="_Toc142925864">
            <w:r>
              <w:rPr>
                <w:webHidden/>
              </w:rPr>
              <w:fldChar w:fldCharType="begin"/>
            </w:r>
            <w:r>
              <w:rPr>
                <w:webHidden/>
              </w:rPr>
              <w:instrText xml:space="preserve">PAGEREF _Toc142925864 \h</w:instrText>
            </w:r>
            <w:r>
              <w:rPr>
                <w:webHidden/>
              </w:rPr>
              <w:fldChar w:fldCharType="separate"/>
            </w:r>
            <w:r>
              <w:rPr>
                <w:rStyle w:val="Vnculodendice"/>
                <w:vanish w:val="false"/>
              </w:rPr>
              <w:tab/>
              <w:t>8</w:t>
            </w:r>
            <w:r>
              <w:rPr>
                <w:webHidden/>
              </w:rPr>
              <w:fldChar w:fldCharType="end"/>
            </w:r>
          </w:hyperlink>
        </w:p>
        <w:p>
          <w:pPr>
            <w:pStyle w:val="TOC1"/>
            <w:rPr/>
          </w:pPr>
          <w:hyperlink w:anchor="_Toc142925865">
            <w:r>
              <w:rPr>
                <w:rStyle w:val="Vnculodendice"/>
                <w:rFonts w:eastAsia="Arial Unicode MS"/>
                <w:vanish w:val="false"/>
                <w:color w:val="auto"/>
                <w:lang w:bidi="hi-IN"/>
              </w:rPr>
              <w:t>6.</w:t>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vanish w:val="false"/>
              </w:rPr>
              <w:t xml:space="preserve">JULGAMENTO E ACEITAÇÃO DAS PROPOSTAS </w:t>
            </w:r>
            <w:r>
              <w:rPr>
                <w:webHidden/>
              </w:rPr>
              <w:fldChar w:fldCharType="end"/>
            </w:r>
          </w:hyperlink>
          <w:hyperlink w:anchor="_Toc142925865">
            <w:r>
              <w:rPr>
                <w:webHidden/>
              </w:rPr>
              <w:fldChar w:fldCharType="begin"/>
            </w:r>
            <w:r>
              <w:rPr>
                <w:webHidden/>
              </w:rPr>
              <w:instrText xml:space="preserve">PAGEREF _Toc142925865 \h</w:instrText>
            </w:r>
            <w:r>
              <w:rPr>
                <w:webHidden/>
              </w:rPr>
              <w:fldChar w:fldCharType="separate"/>
            </w:r>
            <w:r>
              <w:rPr>
                <w:rStyle w:val="Vnculodendice"/>
                <w:vanish w:val="false"/>
              </w:rPr>
              <w:tab/>
              <w:t>9</w:t>
            </w:r>
            <w:r>
              <w:rPr>
                <w:webHidden/>
              </w:rPr>
              <w:fldChar w:fldCharType="end"/>
            </w:r>
          </w:hyperlink>
        </w:p>
        <w:p>
          <w:pPr>
            <w:pStyle w:val="TOC1"/>
            <w:rPr/>
          </w:pPr>
          <w:hyperlink w:anchor="_Toc142925866">
            <w:r>
              <w:rPr>
                <w:rStyle w:val="Vnculodendice"/>
                <w:rFonts w:eastAsia="Arial Unicode MS"/>
                <w:vanish w:val="false"/>
                <w:color w:val="auto"/>
                <w:lang w:bidi="hi-IN"/>
              </w:rPr>
              <w:t>7.</w:t>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rFonts w:eastAsia="Arial Unicode MS"/>
                <w:vanish w:val="false"/>
                <w:color w:val="auto"/>
                <w:lang w:bidi="hi-IN"/>
              </w:rPr>
              <w:t>HABILITAÇÃO</w:t>
            </w:r>
            <w:r>
              <w:rPr>
                <w:webHidden/>
              </w:rPr>
              <w:fldChar w:fldCharType="end"/>
            </w:r>
          </w:hyperlink>
          <w:hyperlink w:anchor="_Toc142925866">
            <w:r>
              <w:rPr>
                <w:webHidden/>
              </w:rPr>
              <w:fldChar w:fldCharType="begin"/>
            </w:r>
            <w:r>
              <w:rPr>
                <w:webHidden/>
              </w:rPr>
              <w:instrText xml:space="preserve">PAGEREF _Toc142925866 \h</w:instrText>
            </w:r>
            <w:r>
              <w:rPr>
                <w:webHidden/>
              </w:rPr>
              <w:fldChar w:fldCharType="separate"/>
            </w:r>
            <w:r>
              <w:rPr>
                <w:rStyle w:val="Vnculodendice"/>
                <w:vanish w:val="false"/>
              </w:rPr>
              <w:tab/>
              <w:t>10</w:t>
            </w:r>
            <w:r>
              <w:rPr>
                <w:webHidden/>
              </w:rPr>
              <w:fldChar w:fldCharType="end"/>
            </w:r>
          </w:hyperlink>
        </w:p>
        <w:p>
          <w:pPr>
            <w:pStyle w:val="TOC1"/>
            <w:rPr/>
          </w:pPr>
          <w:hyperlink w:anchor="_Toc142925867">
            <w:r>
              <w:rPr>
                <w:rStyle w:val="Vnculodendice"/>
                <w:rFonts w:eastAsia="Arial Unicode MS"/>
                <w:i/>
                <w:iCs/>
                <w:vanish w:val="false"/>
                <w:color w:val="000000"/>
                <w:shd w:fill="00FFFF" w:val="clear"/>
                <w:lang w:bidi="hi-IN"/>
              </w:rPr>
              <w:t>8.</w:t>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rFonts w:eastAsia="Arial Unicode MS"/>
                <w:vanish w:val="false"/>
                <w:color w:val="000000"/>
                <w:shd w:fill="00FFFF" w:val="clear"/>
                <w:lang w:bidi="hi-IN"/>
              </w:rPr>
              <w:t>ATA DE REGISTRO DE PREÇOS</w:t>
            </w:r>
            <w:r>
              <w:rPr>
                <w:webHidden/>
              </w:rPr>
              <w:fldChar w:fldCharType="end"/>
            </w:r>
          </w:hyperlink>
          <w:hyperlink w:anchor="_Toc142925867">
            <w:r>
              <w:rPr>
                <w:webHidden/>
              </w:rPr>
              <w:fldChar w:fldCharType="begin"/>
            </w:r>
            <w:r>
              <w:rPr>
                <w:webHidden/>
              </w:rPr>
              <w:instrText xml:space="preserve">PAGEREF _Toc142925867 \h</w:instrText>
            </w:r>
            <w:r>
              <w:rPr>
                <w:webHidden/>
              </w:rPr>
              <w:fldChar w:fldCharType="separate"/>
            </w:r>
            <w:r>
              <w:rPr>
                <w:rStyle w:val="Vnculodendice"/>
                <w:vanish w:val="false"/>
              </w:rPr>
              <w:tab/>
              <w:t>12</w:t>
            </w:r>
            <w:r>
              <w:rPr>
                <w:webHidden/>
              </w:rPr>
              <w:fldChar w:fldCharType="end"/>
            </w:r>
          </w:hyperlink>
        </w:p>
        <w:p>
          <w:pPr>
            <w:pStyle w:val="TOC1"/>
            <w:rPr/>
          </w:pPr>
          <w:hyperlink w:anchor="_Toc142925868">
            <w:r>
              <w:rPr>
                <w:rStyle w:val="Vnculodendice"/>
                <w:rFonts w:eastAsia="Arial Unicode MS"/>
                <w:b/>
                <w:vanish w:val="false"/>
                <w:color w:val="000000"/>
                <w:shd w:fill="00FFFF" w:val="clear"/>
                <w:lang w:bidi="hi-IN"/>
              </w:rPr>
              <w:t>9.</w:t>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rFonts w:eastAsia="Arial Unicode MS"/>
                <w:vanish w:val="false"/>
                <w:color w:val="000000"/>
                <w:shd w:fill="00FFFF" w:val="clear"/>
                <w:lang w:bidi="hi-IN"/>
              </w:rPr>
              <w:t>FORMAÇÃO DO CADASTRO DE RESERVA</w:t>
            </w:r>
            <w:r>
              <w:rPr>
                <w:webHidden/>
              </w:rPr>
              <w:fldChar w:fldCharType="end"/>
            </w:r>
          </w:hyperlink>
          <w:hyperlink w:anchor="_Toc142925868">
            <w:r>
              <w:rPr>
                <w:webHidden/>
              </w:rPr>
              <w:fldChar w:fldCharType="begin"/>
            </w:r>
            <w:r>
              <w:rPr>
                <w:webHidden/>
              </w:rPr>
              <w:instrText xml:space="preserve">PAGEREF _Toc142925868 \h</w:instrText>
            </w:r>
            <w:r>
              <w:rPr>
                <w:webHidden/>
              </w:rPr>
              <w:fldChar w:fldCharType="separate"/>
            </w:r>
            <w:r>
              <w:rPr>
                <w:rStyle w:val="Vnculodendice"/>
                <w:vanish w:val="false"/>
              </w:rPr>
              <w:tab/>
              <w:t>13</w:t>
            </w:r>
            <w:r>
              <w:rPr>
                <w:webHidden/>
              </w:rPr>
              <w:fldChar w:fldCharType="end"/>
            </w:r>
          </w:hyperlink>
        </w:p>
        <w:p>
          <w:pPr>
            <w:pStyle w:val="TOC1"/>
            <w:rPr/>
          </w:pPr>
          <w:hyperlink w:anchor="_Toc142925869">
            <w:r>
              <w:rPr>
                <w:rStyle w:val="Vnculodendice"/>
                <w:rFonts w:eastAsia="Arial Unicode MS"/>
                <w:vanish w:val="false"/>
                <w:color w:val="auto"/>
                <w:lang w:bidi="hi-IN"/>
              </w:rPr>
              <w:t>10.</w:t>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rFonts w:eastAsia="Arial Unicode MS"/>
                <w:vanish w:val="false"/>
                <w:color w:val="auto"/>
                <w:lang w:bidi="hi-IN"/>
              </w:rPr>
              <w:t>CONTRATAÇÃO</w:t>
            </w:r>
            <w:r>
              <w:rPr>
                <w:webHidden/>
              </w:rPr>
              <w:fldChar w:fldCharType="end"/>
            </w:r>
          </w:hyperlink>
          <w:hyperlink w:anchor="_Toc142925869">
            <w:r>
              <w:rPr>
                <w:webHidden/>
              </w:rPr>
              <w:fldChar w:fldCharType="begin"/>
            </w:r>
            <w:r>
              <w:rPr>
                <w:webHidden/>
              </w:rPr>
              <w:instrText xml:space="preserve">PAGEREF _Toc142925869 \h</w:instrText>
            </w:r>
            <w:r>
              <w:rPr>
                <w:webHidden/>
              </w:rPr>
              <w:fldChar w:fldCharType="separate"/>
            </w:r>
            <w:r>
              <w:rPr>
                <w:rStyle w:val="Vnculodendice"/>
                <w:vanish w:val="false"/>
              </w:rPr>
              <w:tab/>
              <w:t>13</w:t>
            </w:r>
            <w:r>
              <w:rPr>
                <w:webHidden/>
              </w:rPr>
              <w:fldChar w:fldCharType="end"/>
            </w:r>
          </w:hyperlink>
        </w:p>
        <w:p>
          <w:pPr>
            <w:pStyle w:val="TOC1"/>
            <w:rPr/>
          </w:pPr>
          <w:hyperlink w:anchor="_Toc142925870">
            <w:r>
              <w:rPr>
                <w:rStyle w:val="Vnculodendice"/>
                <w:rFonts w:eastAsia="Arial Unicode MS"/>
                <w:vanish w:val="false"/>
                <w:color w:val="auto"/>
                <w:lang w:bidi="hi-IN"/>
              </w:rPr>
              <w:t>11.</w:t>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rFonts w:eastAsia="Arial Unicode MS"/>
                <w:vanish w:val="false"/>
                <w:color w:val="auto"/>
                <w:lang w:bidi="hi-IN"/>
              </w:rPr>
              <w:t>INFRAÇÕES E SANÇÕES ADMINISTRATIVAS</w:t>
            </w:r>
            <w:r>
              <w:rPr>
                <w:webHidden/>
              </w:rPr>
              <w:fldChar w:fldCharType="end"/>
            </w:r>
          </w:hyperlink>
          <w:hyperlink w:anchor="_Toc142925870">
            <w:r>
              <w:rPr>
                <w:webHidden/>
              </w:rPr>
              <w:fldChar w:fldCharType="begin"/>
            </w:r>
            <w:r>
              <w:rPr>
                <w:webHidden/>
              </w:rPr>
              <w:instrText xml:space="preserve">PAGEREF _Toc142925870 \h</w:instrText>
            </w:r>
            <w:r>
              <w:rPr>
                <w:webHidden/>
              </w:rPr>
              <w:fldChar w:fldCharType="separate"/>
            </w:r>
            <w:r>
              <w:rPr>
                <w:rStyle w:val="Vnculodendice"/>
                <w:vanish w:val="false"/>
              </w:rPr>
              <w:tab/>
              <w:t>14</w:t>
            </w:r>
            <w:r>
              <w:rPr>
                <w:webHidden/>
              </w:rPr>
              <w:fldChar w:fldCharType="end"/>
            </w:r>
          </w:hyperlink>
        </w:p>
        <w:p>
          <w:pPr>
            <w:pStyle w:val="TOC1"/>
            <w:rPr/>
          </w:pPr>
          <w:hyperlink w:anchor="_Toc142925871">
            <w:r>
              <w:rPr>
                <w:rStyle w:val="Vnculodendice"/>
                <w:rFonts w:eastAsia="Arial Unicode MS"/>
                <w:vanish w:val="false"/>
                <w:color w:val="auto"/>
                <w:lang w:bidi="hi-IN"/>
              </w:rPr>
              <w:t>12.</w:t>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rFonts w:cs="Arial" w:ascii="Calibri" w:hAnsi="Calibri"/>
                <w:vanish w:val="false"/>
                <w:sz w:val="22"/>
                <w:szCs w:val="22"/>
              </w:rPr>
              <w:tab/>
            </w:r>
            <w:r>
              <w:rPr>
                <w:webHidden/>
              </w:rPr>
              <w:fldChar w:fldCharType="end"/>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rFonts w:eastAsia="Arial Unicode MS"/>
                <w:vanish w:val="false"/>
                <w:color w:val="auto"/>
                <w:lang w:bidi="hi-IN"/>
              </w:rPr>
              <w:t>DAS DISPOSIÇÕES GERAIS</w:t>
            </w:r>
            <w:r>
              <w:rPr>
                <w:webHidden/>
              </w:rPr>
              <w:fldChar w:fldCharType="end"/>
            </w:r>
          </w:hyperlink>
          <w:hyperlink w:anchor="_Toc142925871">
            <w:r>
              <w:rPr>
                <w:webHidden/>
              </w:rPr>
              <w:fldChar w:fldCharType="begin"/>
            </w:r>
            <w:r>
              <w:rPr>
                <w:webHidden/>
              </w:rPr>
              <w:instrText xml:space="preserve">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Cs/>
          <w:color w:val="FF0000"/>
          <w:szCs w:val="20"/>
        </w:rPr>
      </w:pPr>
      <w:r>
        <w:rPr>
          <w:rFonts w:cs="Arial"/>
          <w:b/>
          <w:bCs/>
          <w:i/>
          <w:iCs/>
          <w:color w:val="FF0000"/>
          <w:szCs w:val="20"/>
        </w:rPr>
      </w:r>
    </w:p>
    <w:p>
      <w:pPr>
        <w:pStyle w:val="Normal"/>
        <w:suppressAutoHyphens w:val="false"/>
        <w:spacing w:lineRule="auto" w:line="259" w:before="0" w:after="160"/>
        <w:rPr>
          <w:rFonts w:cs="Arial"/>
          <w:b/>
          <w:bCs/>
          <w:i/>
          <w:iCs/>
          <w:color w:val="FF0000"/>
          <w:szCs w:val="20"/>
        </w:rPr>
      </w:pPr>
      <w:r>
        <w:rPr>
          <w:rFonts w:cs="Arial"/>
          <w:b/>
          <w:bCs/>
          <w:i/>
          <w:iCs/>
          <w:color w:val="FF0000"/>
          <w:szCs w:val="20"/>
        </w:rPr>
      </w:r>
      <w:r>
        <w:br w:type="page"/>
      </w:r>
    </w:p>
    <w:p>
      <w:pPr>
        <w:pStyle w:val="Normal"/>
        <w:spacing w:lineRule="auto" w:line="276" w:before="0" w:after="0"/>
        <w:jc w:val="center"/>
        <w:rPr>
          <w:rFonts w:cs="Arial"/>
          <w:b/>
          <w:bCs/>
          <w:i/>
          <w:iCs/>
          <w:color w:val="auto"/>
          <w:szCs w:val="20"/>
        </w:rPr>
      </w:pPr>
      <w:r>
        <w:rPr>
          <w:rFonts w:cs="Arial"/>
          <w:b/>
          <w:bCs/>
          <w:i/>
          <w:iCs/>
          <w:color w:val="auto"/>
          <w:szCs w:val="20"/>
        </w:rPr>
        <w:t>ÓRGÃO OU ENTIDADE PÚBLICA</w:t>
      </w:r>
    </w:p>
    <w:p>
      <w:pPr>
        <w:pStyle w:val="Normal"/>
        <w:jc w:val="center"/>
        <w:rPr/>
      </w:pPr>
      <w:r>
        <w:rPr>
          <w:rFonts w:cs="Arial"/>
          <w:b/>
          <w:bCs/>
          <w:color w:val="auto"/>
          <w:szCs w:val="20"/>
        </w:rPr>
        <w:t xml:space="preserve">AVISO DE CONTRATAÇÃO DIRETA </w:t>
      </w:r>
    </w:p>
    <w:p>
      <w:pPr>
        <w:pStyle w:val="Normal"/>
        <w:spacing w:lineRule="auto" w:line="276"/>
        <w:jc w:val="center"/>
        <w:rPr>
          <w:rFonts w:cs="Arial"/>
          <w:b/>
          <w:bCs/>
          <w:color w:val="auto"/>
          <w:szCs w:val="20"/>
        </w:rPr>
      </w:pPr>
      <w:r>
        <w:rPr>
          <w:rFonts w:cs="Arial"/>
          <w:b/>
          <w:bCs/>
          <w:color w:val="auto"/>
          <w:szCs w:val="20"/>
        </w:rPr>
      </w:r>
    </w:p>
    <w:p>
      <w:pPr>
        <w:pStyle w:val="Normal"/>
        <w:spacing w:lineRule="auto" w:line="276" w:before="0" w:after="120"/>
        <w:ind w:hanging="0" w:start="0" w:end="-15"/>
        <w:jc w:val="center"/>
        <w:rPr>
          <w:rFonts w:cs="Arial"/>
          <w:b/>
          <w:bCs/>
          <w:color w:val="auto"/>
          <w:szCs w:val="20"/>
        </w:rPr>
      </w:pPr>
      <w:r>
        <w:rPr>
          <w:rFonts w:cs="Arial"/>
          <w:b/>
          <w:bCs/>
          <w:color w:val="auto"/>
          <w:szCs w:val="20"/>
        </w:rPr>
        <w:t>(Processo Administrativo n.° 64138.00</w:t>
      </w:r>
      <w:r>
        <w:rPr>
          <w:rFonts w:cs="Arial"/>
          <w:b/>
          <w:bCs/>
          <w:color w:val="auto"/>
          <w:szCs w:val="20"/>
        </w:rPr>
        <w:t>2832</w:t>
      </w:r>
      <w:r>
        <w:rPr>
          <w:rFonts w:cs="Arial"/>
          <w:b/>
          <w:bCs/>
          <w:color w:val="auto"/>
          <w:szCs w:val="20"/>
        </w:rPr>
        <w:t>/202</w:t>
      </w:r>
      <w:r>
        <w:rPr>
          <w:rFonts w:cs="Arial"/>
          <w:b/>
          <w:bCs/>
          <w:color w:val="auto"/>
          <w:szCs w:val="20"/>
        </w:rPr>
        <w:t>6</w:t>
      </w:r>
      <w:r>
        <w:rPr>
          <w:rFonts w:cs="Arial"/>
          <w:b/>
          <w:bCs/>
          <w:color w:val="auto"/>
          <w:szCs w:val="20"/>
        </w:rPr>
        <w:t>-</w:t>
      </w:r>
      <w:r>
        <w:rPr>
          <w:rFonts w:cs="Arial"/>
          <w:b/>
          <w:bCs/>
          <w:color w:val="auto"/>
          <w:szCs w:val="20"/>
        </w:rPr>
        <w:t>35</w:t>
      </w:r>
      <w:r>
        <w:rPr>
          <w:rFonts w:cs="Arial"/>
          <w:b/>
          <w:bCs/>
          <w:color w:val="auto"/>
          <w:szCs w:val="20"/>
        </w:rPr>
        <w:t>)</w:t>
      </w:r>
    </w:p>
    <w:p>
      <w:pPr>
        <w:pStyle w:val="Normal"/>
        <w:rPr>
          <w:rFonts w:cs="Arial"/>
          <w:color w:val="auto"/>
        </w:rPr>
      </w:pPr>
      <w:r>
        <w:rPr>
          <w:rFonts w:cs="Arial"/>
          <w:color w:val="auto"/>
        </w:rPr>
      </w:r>
    </w:p>
    <w:p>
      <w:pPr>
        <w:pStyle w:val="Normal"/>
        <w:snapToGrid w:val="false"/>
        <w:spacing w:lineRule="auto" w:line="276" w:before="0" w:after="120"/>
        <w:ind w:firstLine="540" w:start="0" w:end="-30"/>
        <w:jc w:val="both"/>
        <w:rPr/>
      </w:pPr>
      <w:commentRangeStart w:id="2"/>
      <w:r>
        <w:rPr>
          <w:rFonts w:cs="Arial"/>
          <w:color w:val="auto"/>
          <w:szCs w:val="20"/>
        </w:rPr>
        <w:t>Torna-se público que o(a)</w:t>
      </w:r>
      <w:r>
        <w:rPr>
          <w:rFonts w:eastAsia="Arial" w:cs="Arial"/>
          <w:color w:val="auto"/>
          <w:szCs w:val="20"/>
        </w:rPr>
        <w:t xml:space="preserve"> </w:t>
      </w:r>
      <w:r>
        <w:rPr>
          <w:rFonts w:eastAsia="Arial" w:cs="Arial"/>
          <w:color w:val="auto"/>
          <w:sz w:val="20"/>
          <w:szCs w:val="20"/>
          <w:lang w:eastAsia="pt-BR"/>
        </w:rPr>
        <w:t>27º Batalhão logístico</w:t>
      </w:r>
      <w:r>
        <w:rPr>
          <w:rFonts w:cs="Arial"/>
          <w:color w:val="auto"/>
          <w:szCs w:val="20"/>
        </w:rPr>
        <w:t xml:space="preserve">, por meio da SALC, realizará Dispensa Eletrônica, </w:t>
      </w:r>
      <w:r>
        <w:rPr>
          <w:rFonts w:cs="Arial"/>
          <w:bCs/>
          <w:color w:val="auto"/>
          <w:szCs w:val="20"/>
        </w:rPr>
        <w:t>com critério de julgamento</w:t>
      </w:r>
      <w:r>
        <w:rPr>
          <w:rFonts w:cs="Arial"/>
          <w:b/>
          <w:bCs/>
          <w:color w:val="auto"/>
          <w:szCs w:val="20"/>
        </w:rPr>
        <w:t xml:space="preserve"> </w:t>
      </w:r>
      <w:r>
        <w:rPr>
          <w:rFonts w:cs="Arial"/>
          <w:i/>
          <w:color w:val="auto"/>
          <w:szCs w:val="20"/>
        </w:rPr>
        <w:t>menor preço</w:t>
      </w:r>
      <w:r>
        <w:rPr>
          <w:rFonts w:cs="Arial"/>
          <w:b/>
          <w:bCs/>
          <w:i/>
          <w:color w:val="auto"/>
          <w:szCs w:val="20"/>
        </w:rPr>
        <w:t xml:space="preserve">, </w:t>
      </w:r>
      <w:r>
        <w:rPr>
          <w:rFonts w:cs="Arial"/>
          <w:color w:val="auto"/>
          <w:szCs w:val="20"/>
        </w:rPr>
        <w:t xml:space="preserve">na hipótese do </w:t>
      </w:r>
      <w:r>
        <w:fldChar w:fldCharType="begin"/>
      </w:r>
      <w:r>
        <w:rPr>
          <w:rStyle w:val="Style8"/>
          <w:rFonts w:cs="Arial"/>
          <w:color w:val="auto"/>
          <w:szCs w:val="20"/>
          <w:u w:val="single"/>
        </w:rPr>
        <w:instrText xml:space="preserve"> HYPERLINK "http://www.planalto.gov.br/ccivil_03/_ato2019-2022/2021/lei/L14133.htm" \l "art75"</w:instrText>
      </w:r>
      <w:r>
        <w:rPr>
          <w:rStyle w:val="Style8"/>
          <w:rFonts w:cs="Arial"/>
          <w:color w:val="auto"/>
          <w:szCs w:val="20"/>
          <w:u w:val="single"/>
        </w:rPr>
        <w:fldChar w:fldCharType="separate"/>
      </w:r>
      <w:r>
        <w:rPr>
          <w:rStyle w:val="Style8"/>
          <w:rFonts w:cs="Arial"/>
          <w:color w:val="auto"/>
          <w:szCs w:val="20"/>
          <w:u w:val="single"/>
        </w:rPr>
        <w:t>art. 75</w:t>
      </w:r>
      <w:r>
        <w:rPr>
          <w:rStyle w:val="Style8"/>
          <w:rFonts w:cs="Arial"/>
          <w:color w:val="auto"/>
          <w:szCs w:val="20"/>
          <w:u w:val="single"/>
        </w:rPr>
        <w:fldChar w:fldCharType="end"/>
      </w:r>
      <w:r>
        <w:rPr>
          <w:rFonts w:cs="Arial"/>
          <w:i/>
          <w:iCs/>
          <w:color w:val="auto"/>
          <w:szCs w:val="20"/>
        </w:rPr>
        <w:t>, inciso II,</w:t>
      </w:r>
      <w:r>
        <w:rPr>
          <w:rFonts w:cs="Arial"/>
          <w:color w:val="auto"/>
          <w:szCs w:val="20"/>
        </w:rPr>
        <w:t xml:space="preserve"> </w:t>
      </w:r>
      <w:r>
        <w:rPr>
          <w:rFonts w:cs="Arial"/>
          <w:bCs/>
          <w:color w:val="auto"/>
          <w:szCs w:val="20"/>
        </w:rPr>
        <w:t xml:space="preserve">nos termos da </w:t>
      </w:r>
      <w:hyperlink r:id="rId2">
        <w:r>
          <w:rPr>
            <w:rStyle w:val="Style8"/>
            <w:rFonts w:cs="Arial"/>
            <w:bCs/>
            <w:color w:val="auto"/>
            <w:szCs w:val="20"/>
            <w:u w:val="single"/>
          </w:rPr>
          <w:t>Lei n.º 14.133, de 1º de abril de 2021</w:t>
        </w:r>
      </w:hyperlink>
      <w:r>
        <w:rPr>
          <w:rFonts w:cs="Arial"/>
          <w:bCs/>
          <w:color w:val="auto"/>
          <w:szCs w:val="20"/>
        </w:rPr>
        <w:t xml:space="preserve">, da </w:t>
      </w:r>
      <w:hyperlink r:id="rId3">
        <w:r>
          <w:rPr>
            <w:rStyle w:val="Style8"/>
            <w:rFonts w:cs="Arial"/>
            <w:bCs/>
            <w:color w:val="auto"/>
            <w:szCs w:val="20"/>
            <w:u w:val="single"/>
          </w:rPr>
          <w:t>Instrução Normativa Seges/ME nº 67, de 2021</w:t>
        </w:r>
      </w:hyperlink>
      <w:r>
        <w:rPr>
          <w:color w:val="000000"/>
          <w:shd w:fill="00FFFF" w:val="clear"/>
        </w:rPr>
        <w:t>,</w:t>
      </w:r>
      <w:r>
        <w:rPr>
          <w:color w:val="auto"/>
        </w:rPr>
        <w:t xml:space="preserve"> </w:t>
      </w:r>
      <w:r>
        <w:rPr>
          <w:rFonts w:cs="Arial"/>
          <w:bCs/>
          <w:color w:val="auto"/>
          <w:szCs w:val="20"/>
        </w:rPr>
        <w:t>e demais normas aplicáveis</w:t>
      </w:r>
      <w:r>
        <w:rPr>
          <w:rFonts w:cs="Arial"/>
          <w:color w:val="auto"/>
          <w:szCs w:val="20"/>
        </w:rPr>
        <w:t>.</w:t>
      </w:r>
      <w:commentRangeEnd w:id="2"/>
      <w:r>
        <w:commentReference w:id="2"/>
      </w:r>
      <w:r>
        <w:rPr>
          <w:rFonts w:cs="Arial"/>
          <w:color w:val="auto"/>
          <w:szCs w:val="20"/>
        </w:rPr>
      </w:r>
    </w:p>
    <w:p>
      <w:pPr>
        <w:pStyle w:val="Normal"/>
        <w:spacing w:lineRule="auto" w:line="276"/>
        <w:jc w:val="both"/>
        <w:rPr>
          <w:rFonts w:cs="Arial"/>
          <w:color w:val="auto"/>
          <w:szCs w:val="20"/>
        </w:rPr>
      </w:pPr>
      <w:r>
        <w:rPr>
          <w:rFonts w:cs="Arial"/>
          <w:color w:val="auto"/>
          <w:szCs w:val="20"/>
        </w:rPr>
      </w:r>
    </w:p>
    <w:p>
      <w:pPr>
        <w:pStyle w:val="Normal"/>
        <w:spacing w:lineRule="auto" w:line="276"/>
        <w:jc w:val="both"/>
        <w:rPr>
          <w:rFonts w:cs="Arial"/>
          <w:color w:val="auto"/>
          <w:szCs w:val="20"/>
        </w:rPr>
      </w:pPr>
      <w:r>
        <w:rPr>
          <w:rFonts w:cs="Arial"/>
          <w:color w:val="auto"/>
          <w:szCs w:val="20"/>
        </w:rPr>
      </w:r>
    </w:p>
    <w:p>
      <w:pPr>
        <w:pStyle w:val="Normal"/>
        <w:spacing w:lineRule="auto" w:line="276"/>
        <w:jc w:val="both"/>
        <w:rPr>
          <w:rFonts w:cs="Arial"/>
          <w:b/>
          <w:bCs/>
          <w:color w:val="auto"/>
          <w:szCs w:val="20"/>
        </w:rPr>
      </w:pPr>
      <w:r>
        <w:rPr>
          <w:rFonts w:cs="Arial"/>
          <w:b/>
          <w:bCs/>
          <w:color w:val="auto"/>
          <w:szCs w:val="20"/>
        </w:rPr>
        <w:t>Data da sessão:</w:t>
      </w:r>
    </w:p>
    <w:p>
      <w:pPr>
        <w:pStyle w:val="Normal"/>
        <w:rPr/>
      </w:pPr>
      <w:commentRangeStart w:id="3"/>
      <w:r>
        <w:rPr>
          <w:rFonts w:cs="Arial"/>
          <w:b/>
          <w:bCs/>
          <w:color w:val="auto"/>
          <w:szCs w:val="20"/>
        </w:rPr>
        <w:t>Horário da Fase de Lances:</w:t>
      </w:r>
      <w:r>
        <w:rPr>
          <w:rFonts w:cs="Arial"/>
          <w:color w:val="auto"/>
          <w:szCs w:val="20"/>
        </w:rPr>
        <w:t xml:space="preserve"> </w:t>
      </w:r>
      <w:r>
        <w:rPr>
          <w:rFonts w:eastAsia="Times New Roman" w:cs="Arial"/>
          <w:i/>
          <w:iCs/>
          <w:color w:val="auto"/>
          <w:sz w:val="20"/>
          <w:szCs w:val="20"/>
          <w:lang w:eastAsia="pt-BR"/>
        </w:rPr>
        <w:t>08</w:t>
      </w:r>
      <w:r>
        <w:rPr>
          <w:rFonts w:cs="Arial"/>
          <w:i/>
          <w:iCs/>
          <w:color w:val="auto"/>
          <w:szCs w:val="20"/>
        </w:rPr>
        <w:t>:</w:t>
      </w:r>
      <w:r>
        <w:rPr>
          <w:rFonts w:eastAsia="Times New Roman" w:cs="Arial"/>
          <w:i/>
          <w:iCs/>
          <w:color w:val="auto"/>
          <w:sz w:val="20"/>
          <w:szCs w:val="20"/>
          <w:lang w:eastAsia="pt-BR"/>
        </w:rPr>
        <w:t>00h</w:t>
      </w:r>
      <w:r>
        <w:rPr>
          <w:rFonts w:cs="Arial"/>
          <w:color w:val="auto"/>
          <w:szCs w:val="20"/>
        </w:rPr>
        <w:t xml:space="preserve"> às 14</w:t>
      </w:r>
      <w:r>
        <w:rPr>
          <w:rFonts w:cs="Arial"/>
          <w:i/>
          <w:color w:val="auto"/>
          <w:szCs w:val="20"/>
        </w:rPr>
        <w:t>:00h</w:t>
      </w:r>
      <w:commentRangeEnd w:id="3"/>
      <w:r>
        <w:commentReference w:id="3"/>
      </w:r>
      <w:r>
        <w:rPr>
          <w:rFonts w:cs="Arial"/>
          <w:i/>
          <w:color w:val="auto"/>
          <w:szCs w:val="20"/>
        </w:rPr>
      </w:r>
    </w:p>
    <w:p>
      <w:pPr>
        <w:pStyle w:val="Normal"/>
        <w:rPr/>
      </w:pPr>
      <w:r>
        <w:rPr>
          <w:rFonts w:cs="Arial"/>
          <w:b/>
          <w:bCs/>
          <w:color w:val="auto"/>
          <w:szCs w:val="20"/>
        </w:rPr>
        <w:t>Link</w:t>
      </w:r>
      <w:r>
        <w:rPr>
          <w:rFonts w:cs="Arial"/>
          <w:color w:val="auto"/>
          <w:szCs w:val="20"/>
        </w:rPr>
        <w:t xml:space="preserve">: </w:t>
      </w:r>
      <w:r>
        <w:rPr>
          <w:rFonts w:cs="Arial"/>
          <w:bCs/>
          <w:color w:val="auto"/>
          <w:szCs w:val="20"/>
        </w:rPr>
        <w:t xml:space="preserve"> </w:t>
      </w:r>
      <w:hyperlink r:id="rId4">
        <w:r>
          <w:rPr>
            <w:rStyle w:val="Style8"/>
            <w:rFonts w:cs="Arial"/>
            <w:bCs/>
            <w:color w:val="0563C1"/>
            <w:szCs w:val="20"/>
            <w:u w:val="single"/>
          </w:rPr>
          <w:t>www.gov.br/compras</w:t>
        </w:r>
      </w:hyperlink>
    </w:p>
    <w:p>
      <w:pPr>
        <w:pStyle w:val="Normal"/>
        <w:spacing w:lineRule="auto" w:line="276"/>
        <w:ind w:hanging="0" w:start="0" w:end="-15"/>
        <w:jc w:val="both"/>
        <w:rPr/>
      </w:pPr>
      <w:r>
        <w:rPr>
          <w:rFonts w:cs="Arial"/>
          <w:b/>
          <w:bCs/>
          <w:i/>
          <w:iCs/>
          <w:color w:val="auto"/>
          <w:szCs w:val="20"/>
        </w:rPr>
        <w:t>Critério de Julgamento:</w:t>
      </w:r>
      <w:r>
        <w:rPr>
          <w:rFonts w:cs="Arial"/>
          <w:color w:val="auto"/>
          <w:szCs w:val="20"/>
        </w:rPr>
        <w:t xml:space="preserve"> </w:t>
      </w:r>
      <w:r>
        <w:rPr>
          <w:rFonts w:cs="Arial"/>
          <w:i/>
          <w:iCs/>
          <w:color w:val="auto"/>
          <w:szCs w:val="20"/>
        </w:rPr>
        <w:t>menor preço</w:t>
      </w:r>
    </w:p>
    <w:p>
      <w:pPr>
        <w:pStyle w:val="Normal"/>
        <w:spacing w:lineRule="auto" w:line="276"/>
        <w:ind w:hanging="0" w:start="0" w:end="-15"/>
        <w:jc w:val="both"/>
        <w:rPr>
          <w:rFonts w:cs="Arial"/>
          <w:b/>
          <w:bCs/>
          <w:i/>
          <w:iCs/>
          <w:color w:val="FF0000"/>
        </w:rPr>
      </w:pPr>
      <w:r>
        <w:rPr>
          <w:rFonts w:cs="Arial"/>
          <w:b/>
          <w:bCs/>
          <w:i/>
          <w:iCs/>
          <w:color w:val="FF0000"/>
        </w:rPr>
      </w:r>
    </w:p>
    <w:p>
      <w:pPr>
        <w:pStyle w:val="Normal"/>
        <w:rPr/>
      </w:pPr>
      <w:r>
        <w:rPr/>
      </w:r>
    </w:p>
    <w:p>
      <w:pPr>
        <w:pStyle w:val="Heading1"/>
        <w:rPr/>
      </w:pPr>
      <w:bookmarkStart w:id="0" w:name="_Toc142925860"/>
      <w:r>
        <w:rPr/>
        <w:t>OBJETO DA CONTRATAÇÃO DIRETA</w:t>
      </w:r>
      <w:bookmarkEnd w:id="0"/>
    </w:p>
    <w:p>
      <w:pPr>
        <w:pStyle w:val="PADRO"/>
        <w:keepNext w:val="false"/>
        <w:widowControl/>
        <w:numPr>
          <w:ilvl w:val="1"/>
          <w:numId w:val="7"/>
        </w:numPr>
        <w:shd w:val="clear" w:fill="auto"/>
        <w:spacing w:before="120" w:after="120"/>
        <w:ind w:hanging="432" w:start="716" w:end="0"/>
        <w:rPr/>
      </w:pPr>
      <w:r>
        <w:rPr>
          <w:rFonts w:cs="Arial" w:ascii="Arial" w:hAnsi="Arial"/>
          <w:color w:val="000000"/>
          <w:szCs w:val="20"/>
        </w:rPr>
        <w:t>O objeto do presente procedimento é a escolha da proposta mais vantajosa para a aquisição</w:t>
      </w:r>
      <w:r>
        <w:rPr>
          <w:rFonts w:cs="Arial" w:ascii="Arial" w:hAnsi="Arial"/>
          <w:szCs w:val="20"/>
        </w:rPr>
        <w:t xml:space="preserve">, </w:t>
      </w:r>
      <w:r>
        <w:rPr>
          <w:rFonts w:cs="Arial" w:ascii="Arial" w:hAnsi="Arial"/>
          <w:color w:val="000000"/>
          <w:szCs w:val="20"/>
        </w:rPr>
        <w:t xml:space="preserve">por dispensa de licitação, de </w:t>
      </w:r>
      <w:r>
        <w:rPr>
          <w:rFonts w:cs="Arial" w:ascii="Arial" w:hAnsi="Arial"/>
          <w:color w:val="000000"/>
          <w:szCs w:val="20"/>
        </w:rPr>
        <w:t>CAPACHO FIBRA DE VINIL</w:t>
      </w:r>
      <w:r>
        <w:rPr>
          <w:rFonts w:cs="Arial" w:ascii="Arial" w:hAnsi="Arial"/>
          <w:b/>
          <w:bCs/>
          <w:color w:val="000000"/>
          <w:szCs w:val="20"/>
        </w:rPr>
        <w:t xml:space="preserve"> </w:t>
      </w:r>
      <w:r>
        <w:rPr>
          <w:rFonts w:cs="Arial" w:ascii="Arial" w:hAnsi="Arial"/>
          <w:color w:val="000000"/>
          <w:szCs w:val="20"/>
        </w:rPr>
        <w:t>conforme condições, quantidades e exigências estabelecidas neste Aviso de Contratação Direta e seus anexos.</w:t>
      </w:r>
    </w:p>
    <w:p>
      <w:pPr>
        <w:pStyle w:val="PADRO"/>
        <w:keepNext w:val="false"/>
        <w:widowControl/>
        <w:numPr>
          <w:ilvl w:val="2"/>
          <w:numId w:val="7"/>
        </w:numPr>
        <w:shd w:val="clear" w:fill="auto"/>
        <w:spacing w:before="120" w:after="120"/>
        <w:ind w:hanging="504" w:start="1224" w:end="0"/>
        <w:rPr>
          <w:rFonts w:ascii="Arial" w:hAnsi="Arial" w:cs="Arial"/>
          <w:szCs w:val="20"/>
        </w:rPr>
      </w:pPr>
      <w:r>
        <w:rPr>
          <w:rFonts w:cs="Arial" w:ascii="Arial" w:hAnsi="Arial"/>
          <w:szCs w:val="20"/>
        </w:rPr>
        <w:t>Havendo mais de um item, faculta-se ao fornecedor a participação em quantos forem de seu interesse.</w:t>
      </w:r>
    </w:p>
    <w:p>
      <w:pPr>
        <w:pStyle w:val="PADRO"/>
        <w:keepNext w:val="false"/>
        <w:widowControl/>
        <w:numPr>
          <w:ilvl w:val="1"/>
          <w:numId w:val="7"/>
        </w:numPr>
        <w:shd w:val="clear" w:fill="auto"/>
        <w:spacing w:before="120" w:after="120"/>
        <w:ind w:hanging="432" w:start="716" w:end="0"/>
        <w:rPr/>
      </w:pPr>
      <w:r>
        <w:rPr>
          <w:rFonts w:cs="Arial" w:ascii="Arial" w:hAnsi="Arial"/>
          <w:color w:val="auto"/>
          <w:szCs w:val="20"/>
        </w:rPr>
        <w:t>O critério de julgamento adotado será o</w:t>
      </w:r>
      <w:r>
        <w:rPr>
          <w:rFonts w:cs="Arial" w:ascii="Arial" w:hAnsi="Arial"/>
          <w:i/>
          <w:iCs/>
          <w:color w:val="auto"/>
          <w:szCs w:val="20"/>
        </w:rPr>
        <w:t xml:space="preserve"> menor preço,</w:t>
      </w:r>
      <w:r>
        <w:rPr>
          <w:rFonts w:cs="Arial" w:ascii="Arial" w:hAnsi="Arial"/>
          <w:color w:val="auto"/>
          <w:szCs w:val="20"/>
        </w:rPr>
        <w:t xml:space="preserve"> obse</w:t>
      </w:r>
      <w:r>
        <w:rPr>
          <w:rFonts w:cs="Arial" w:ascii="Arial" w:hAnsi="Arial"/>
          <w:szCs w:val="20"/>
        </w:rPr>
        <w:t>rvadas as exigências contidas neste Aviso de Contratação Direta e seus Anexos quanto às especificações do objeto.</w:t>
      </w:r>
    </w:p>
    <w:p>
      <w:pPr>
        <w:pStyle w:val="Heading1"/>
        <w:rPr/>
      </w:pPr>
      <w:bookmarkStart w:id="1" w:name="_Toc142925862"/>
      <w:r>
        <w:rPr/>
        <w:t>PARTICIPAÇÃO NA DISPENSA ELETRÔNICA.</w:t>
      </w:r>
      <w:bookmarkEnd w:id="1"/>
    </w:p>
    <w:p>
      <w:pPr>
        <w:pStyle w:val="Normal"/>
        <w:numPr>
          <w:ilvl w:val="1"/>
          <w:numId w:val="7"/>
        </w:numPr>
        <w:spacing w:lineRule="auto" w:line="276" w:before="120" w:after="120"/>
        <w:ind w:hanging="0" w:start="425" w:end="0"/>
        <w:jc w:val="both"/>
        <w:rPr/>
      </w:pPr>
      <w:r>
        <w:rPr>
          <w:rFonts w:cs="Arial"/>
          <w:szCs w:val="20"/>
        </w:rPr>
        <w:t xml:space="preserve">A </w:t>
      </w:r>
      <w:r>
        <w:rPr>
          <w:rFonts w:cs="Arial"/>
          <w:color w:val="000000"/>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Style8"/>
            <w:rFonts w:cs="Arial"/>
            <w:bCs/>
            <w:color w:val="0563C1"/>
            <w:szCs w:val="20"/>
            <w:u w:val="single"/>
          </w:rPr>
          <w:t>www.gov.br/compras</w:t>
        </w:r>
      </w:hyperlink>
      <w:r>
        <w:rPr>
          <w:rFonts w:cs="Arial"/>
          <w:bCs/>
          <w:szCs w:val="20"/>
        </w:rPr>
        <w:t>.</w:t>
      </w:r>
      <w:r>
        <w:rPr>
          <w:rFonts w:cs="Arial"/>
          <w:szCs w:val="20"/>
        </w:rPr>
        <w:t xml:space="preserve"> </w:t>
      </w:r>
    </w:p>
    <w:p>
      <w:pPr>
        <w:pStyle w:val="Normal"/>
        <w:numPr>
          <w:ilvl w:val="2"/>
          <w:numId w:val="7"/>
        </w:numPr>
        <w:spacing w:lineRule="auto" w:line="276" w:before="120" w:after="120"/>
        <w:jc w:val="both"/>
        <w:rPr/>
      </w:pPr>
      <w:r>
        <w:rPr>
          <w:rFonts w:cs="Arial"/>
          <w:szCs w:val="20"/>
        </w:rPr>
        <w:t xml:space="preserve">O procedimento será divulgado no Compras.gov.br e no </w:t>
      </w:r>
      <w:hyperlink r:id="rId6">
        <w:r>
          <w:rPr>
            <w:rStyle w:val="Style8"/>
            <w:rFonts w:cs="Arial"/>
            <w:color w:val="0563C1"/>
            <w:szCs w:val="20"/>
            <w:u w:val="single"/>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7"/>
        </w:numPr>
        <w:spacing w:lineRule="auto" w:line="276" w:before="120" w:after="120"/>
        <w:jc w:val="both"/>
        <w:rPr/>
      </w:pPr>
      <w:r>
        <w:rPr>
          <w:rFonts w:cs="Arial"/>
          <w:szCs w:val="20"/>
        </w:rPr>
        <w:t xml:space="preserve">O Compras.gov.br poderá ser acessado pela web ou pelo </w:t>
      </w:r>
      <w:hyperlink r:id="rId7">
        <w:r>
          <w:rPr>
            <w:rStyle w:val="Style8"/>
            <w:rFonts w:cs="Arial"/>
            <w:color w:val="0563C1"/>
            <w:szCs w:val="20"/>
            <w:u w:val="single"/>
          </w:rPr>
          <w:t>aplicativo Compras.gov.br.</w:t>
        </w:r>
      </w:hyperlink>
    </w:p>
    <w:p>
      <w:pPr>
        <w:pStyle w:val="Normal"/>
        <w:numPr>
          <w:ilvl w:val="2"/>
          <w:numId w:val="7"/>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7"/>
        </w:numPr>
        <w:spacing w:lineRule="auto" w:line="276" w:before="120" w:after="120"/>
        <w:jc w:val="both"/>
        <w:rPr/>
      </w:pPr>
      <w:r>
        <w:rPr>
          <w:rFonts w:eastAsia="Times New Roman" w:cs="Arial"/>
          <w:i/>
          <w:iCs/>
          <w:color w:val="auto"/>
          <w:sz w:val="20"/>
          <w:szCs w:val="20"/>
          <w:lang w:eastAsia="pt-BR"/>
        </w:rPr>
        <w:t>A</w:t>
      </w:r>
      <w:r>
        <w:rPr>
          <w:rFonts w:cs="Arial"/>
          <w:i/>
          <w:iCs/>
          <w:color w:val="auto"/>
          <w:szCs w:val="20"/>
        </w:rPr>
        <w:t xml:space="preserve"> participação é exclusiva a microempresas e empresas de </w:t>
      </w:r>
      <w:commentRangeStart w:id="4"/>
      <w:r>
        <w:rPr>
          <w:rFonts w:cs="Arial"/>
          <w:i/>
          <w:iCs/>
          <w:color w:val="auto"/>
          <w:szCs w:val="20"/>
        </w:rPr>
        <w:t>pequeno</w:t>
      </w:r>
      <w:r>
        <w:rPr>
          <w:rFonts w:cs="Arial"/>
          <w:i/>
          <w:iCs/>
          <w:color w:val="auto"/>
          <w:szCs w:val="20"/>
        </w:rPr>
      </w:r>
      <w:commentRangeEnd w:id="4"/>
      <w:r>
        <w:commentReference w:id="4"/>
      </w:r>
      <w:r>
        <w:rPr>
          <w:rFonts w:cs="Arial"/>
          <w:i/>
          <w:iCs/>
          <w:color w:val="auto"/>
          <w:szCs w:val="20"/>
        </w:rPr>
        <w:t xml:space="preserve"> porte, nos termos do art. 49, inciso IV, c/c o art. 48, inciso I, da Lei Complementar nº 123, de 14 de dezembro de 2006.</w:t>
      </w:r>
    </w:p>
    <w:p>
      <w:pPr>
        <w:pStyle w:val="Normal"/>
        <w:numPr>
          <w:ilvl w:val="2"/>
          <w:numId w:val="7"/>
        </w:numPr>
        <w:snapToGrid w:val="false"/>
        <w:spacing w:lineRule="auto" w:line="276" w:before="120" w:after="120"/>
        <w:jc w:val="both"/>
        <w:rPr>
          <w:rFonts w:cs="Arial"/>
          <w:i/>
          <w:iCs/>
          <w:color w:val="auto"/>
          <w:szCs w:val="20"/>
        </w:rPr>
      </w:pPr>
      <w:r>
        <w:rPr>
          <w:rFonts w:cs="Arial"/>
          <w:i/>
          <w:iCs/>
          <w:color w:val="auto"/>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7"/>
        </w:numPr>
        <w:snapToGrid w:val="false"/>
        <w:spacing w:lineRule="auto" w:line="276" w:before="120" w:after="120"/>
        <w:jc w:val="both"/>
        <w:rPr>
          <w:rFonts w:cs="Arial"/>
          <w:i/>
          <w:iCs/>
          <w:color w:val="auto"/>
          <w:szCs w:val="20"/>
        </w:rPr>
      </w:pPr>
      <w:r>
        <w:rPr>
          <w:rFonts w:cs="Arial"/>
          <w:i/>
          <w:iCs/>
          <w:color w:val="auto"/>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color w:val="000000"/>
          <w:szCs w:val="20"/>
        </w:rPr>
      </w:pPr>
      <w:r>
        <w:rPr>
          <w:rFonts w:cs="Arial"/>
          <w:color w:val="000000"/>
          <w:szCs w:val="20"/>
        </w:rPr>
      </w:r>
    </w:p>
    <w:p>
      <w:pPr>
        <w:pStyle w:val="Normal"/>
        <w:numPr>
          <w:ilvl w:val="1"/>
          <w:numId w:val="7"/>
        </w:numPr>
        <w:spacing w:lineRule="auto" w:line="276" w:before="120" w:after="120"/>
        <w:ind w:hanging="0" w:start="425" w:end="0"/>
        <w:jc w:val="both"/>
        <w:rPr>
          <w:rFonts w:cs="Arial"/>
          <w:color w:val="000000"/>
          <w:szCs w:val="20"/>
        </w:rPr>
      </w:pPr>
      <w:bookmarkStart w:id="2" w:name="_Ref144286315"/>
      <w:r>
        <w:rPr>
          <w:rFonts w:cs="Arial"/>
          <w:color w:val="000000"/>
          <w:szCs w:val="20"/>
        </w:rPr>
        <w:t>Não poderão participar desta dispensa de licitação os fornecedores:</w:t>
      </w:r>
      <w:bookmarkEnd w:id="2"/>
    </w:p>
    <w:p>
      <w:pPr>
        <w:pStyle w:val="Normal"/>
        <w:numPr>
          <w:ilvl w:val="2"/>
          <w:numId w:val="7"/>
        </w:numPr>
        <w:spacing w:lineRule="auto" w:line="276" w:before="120" w:after="120"/>
        <w:jc w:val="both"/>
        <w:rPr>
          <w:rFonts w:cs="Arial"/>
          <w:color w:val="000000"/>
          <w:szCs w:val="20"/>
        </w:rPr>
      </w:pPr>
      <w:r>
        <w:rPr>
          <w:rFonts w:cs="Arial"/>
          <w:color w:val="000000"/>
          <w:szCs w:val="20"/>
        </w:rPr>
        <w:t>que não atendam às condições deste Aviso de Contratação Direta e seu(s) anexo(s);</w:t>
      </w:r>
    </w:p>
    <w:p>
      <w:pPr>
        <w:pStyle w:val="Normal"/>
        <w:numPr>
          <w:ilvl w:val="2"/>
          <w:numId w:val="7"/>
        </w:numPr>
        <w:spacing w:lineRule="auto" w:line="276" w:before="120" w:after="120"/>
        <w:jc w:val="both"/>
        <w:rPr>
          <w:rFonts w:cs="Arial"/>
          <w:color w:val="000000"/>
          <w:szCs w:val="20"/>
        </w:rPr>
      </w:pPr>
      <w:r>
        <w:rPr>
          <w:rFonts w:cs="Arial"/>
          <w:color w:val="000000"/>
          <w:szCs w:val="20"/>
        </w:rPr>
        <w:t>estrangeiros que não tenham representação legal no Brasil com poderes expressos para receber citação e responder administrativa ou judicialmente;</w:t>
      </w:r>
    </w:p>
    <w:p>
      <w:pPr>
        <w:pStyle w:val="Normal"/>
        <w:numPr>
          <w:ilvl w:val="2"/>
          <w:numId w:val="7"/>
        </w:numPr>
        <w:spacing w:lineRule="auto" w:line="276" w:before="120" w:after="120"/>
        <w:jc w:val="both"/>
        <w:rPr>
          <w:rFonts w:cs="Arial"/>
          <w:color w:val="000000"/>
          <w:szCs w:val="20"/>
        </w:rPr>
      </w:pPr>
      <w:r>
        <w:rPr>
          <w:rFonts w:cs="Arial"/>
          <w:color w:val="000000"/>
          <w:szCs w:val="20"/>
        </w:rPr>
        <w:t>que se enquadrem nas seguintes vedações:</w:t>
      </w:r>
    </w:p>
    <w:p>
      <w:pPr>
        <w:pStyle w:val="Normal"/>
        <w:numPr>
          <w:ilvl w:val="3"/>
          <w:numId w:val="5"/>
        </w:numPr>
        <w:spacing w:lineRule="auto" w:line="276" w:before="120" w:after="120"/>
        <w:jc w:val="both"/>
        <w:rPr>
          <w:rFonts w:cs="Arial"/>
          <w:color w:val="000000"/>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pPr>
      <w:r>
        <w:rPr>
          <w:rFonts w:cs="Arial"/>
          <w:color w:val="000000"/>
          <w:szCs w:val="20"/>
        </w:rPr>
        <w:t>empresas controladoras, controladas ou coligadas, nos termos da </w:t>
      </w:r>
      <w:hyperlink r:id="rId8">
        <w:r>
          <w:rPr>
            <w:rStyle w:val="Style8"/>
            <w:rFonts w:eastAsia="Calibri" w:cs="Arial"/>
            <w:color w:val="0563C1"/>
            <w:szCs w:val="20"/>
            <w:u w:val="single"/>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7"/>
        </w:numPr>
        <w:spacing w:lineRule="auto" w:line="276" w:before="120" w:after="120"/>
        <w:jc w:val="both"/>
        <w:rPr>
          <w:rFonts w:cs="Arial"/>
          <w:color w:val="000000"/>
          <w:szCs w:val="20"/>
        </w:rPr>
      </w:pPr>
      <w:r>
        <w:rPr>
          <w:rFonts w:cs="Arial"/>
          <w:color w:val="000000"/>
          <w:szCs w:val="20"/>
        </w:rPr>
        <w:t>Equiparam-se aos autores do projeto as empresas integrantes do mesmo grupo econômico;</w:t>
      </w:r>
    </w:p>
    <w:p>
      <w:pPr>
        <w:pStyle w:val="Normal"/>
        <w:numPr>
          <w:ilvl w:val="3"/>
          <w:numId w:val="7"/>
        </w:numPr>
        <w:spacing w:lineRule="auto" w:line="276" w:before="120" w:after="120"/>
        <w:jc w:val="both"/>
        <w:rPr/>
      </w:pPr>
      <w:r>
        <w:rPr>
          <w:rFonts w:cs="Arial"/>
          <w:color w:val="000000"/>
          <w:szCs w:val="20"/>
        </w:rPr>
        <w:t xml:space="preserve"> </w:t>
      </w:r>
      <w:r>
        <w:rPr>
          <w:rFonts w:cs="Arial"/>
          <w:color w:val="000000"/>
          <w:szCs w:val="20"/>
        </w:rPr>
        <w:t xml:space="preserve">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w:t>
      </w:r>
      <w:r>
        <w:rPr>
          <w:rFonts w:cs="Arial"/>
          <w:color w:val="auto"/>
          <w:szCs w:val="20"/>
        </w:rPr>
        <w:t>utilização fraudulenta da personalidade jurídica do fornecedor;</w:t>
      </w:r>
    </w:p>
    <w:p>
      <w:pPr>
        <w:pStyle w:val="Normal"/>
        <w:numPr>
          <w:ilvl w:val="2"/>
          <w:numId w:val="7"/>
        </w:numPr>
        <w:spacing w:lineRule="auto" w:line="276" w:before="120" w:after="120"/>
        <w:jc w:val="both"/>
        <w:rPr/>
      </w:pPr>
      <w:commentRangeStart w:id="5"/>
      <w:r>
        <w:rPr>
          <w:rFonts w:cs="Arial"/>
          <w:color w:val="auto"/>
          <w:szCs w:val="20"/>
        </w:rPr>
        <w:t>organizações da Sociedade Civil de Interesse Público - OSCIP, atuando nessa condição (Acórdão nº 746/2014-TCU-Plenário); e</w:t>
      </w:r>
    </w:p>
    <w:p>
      <w:pPr>
        <w:pStyle w:val="Normal"/>
        <w:numPr>
          <w:ilvl w:val="1"/>
          <w:numId w:val="7"/>
        </w:numPr>
        <w:spacing w:lineRule="auto" w:line="276" w:before="120" w:after="120"/>
        <w:jc w:val="both"/>
        <w:rPr/>
      </w:pPr>
      <w:r>
        <w:rPr>
          <w:rFonts w:cs="Arial"/>
          <w:i/>
          <w:color w:val="auto"/>
          <w:szCs w:val="20"/>
        </w:rPr>
        <w:t xml:space="preserve">Será permitida a participação de cooperativas, desde que apresentem demonstrativo de atuação em regime cooperado, com repartição de receitas e despesas entre os cooperados e atendam ao </w:t>
      </w:r>
      <w:r>
        <w:fldChar w:fldCharType="begin"/>
      </w:r>
      <w:r>
        <w:rPr>
          <w:rStyle w:val="Style8"/>
          <w:color w:val="0563C1"/>
          <w:u w:val="single"/>
        </w:rPr>
        <w:instrText xml:space="preserve"> HYPERLINK "http://www.planalto.gov.br/ccivil_03/_ato2019-2022/2021/lei/L14133.htm" \l "art16"</w:instrText>
      </w:r>
      <w:r>
        <w:rPr>
          <w:rStyle w:val="Style8"/>
          <w:color w:val="0563C1"/>
          <w:u w:val="single"/>
        </w:rPr>
        <w:fldChar w:fldCharType="separate"/>
      </w:r>
      <w:commentRangeStart w:id="6"/>
      <w:r>
        <w:rPr>
          <w:rStyle w:val="Style8"/>
          <w:color w:val="0563C1"/>
          <w:u w:val="single"/>
        </w:rPr>
        <w:t>art. 16 da Lei nº 14.133, de 2021</w:t>
      </w:r>
      <w:r>
        <w:rPr>
          <w:rStyle w:val="Style8"/>
          <w:color w:val="0563C1"/>
          <w:u w:val="single"/>
        </w:rPr>
        <w:fldChar w:fldCharType="end"/>
      </w:r>
      <w:r>
        <w:rPr>
          <w:color w:val="0563C1"/>
          <w:u w:val="single"/>
        </w:rPr>
      </w:r>
      <w:commentRangeEnd w:id="6"/>
      <w:r>
        <w:commentReference w:id="6"/>
      </w:r>
      <w:r>
        <w:rPr>
          <w:rFonts w:cs="Arial"/>
          <w:i/>
          <w:color w:val="auto"/>
          <w:szCs w:val="20"/>
        </w:rPr>
        <w:t>.</w:t>
      </w:r>
    </w:p>
    <w:p>
      <w:pPr>
        <w:pStyle w:val="Normal"/>
        <w:numPr>
          <w:ilvl w:val="2"/>
          <w:numId w:val="7"/>
        </w:numPr>
        <w:spacing w:lineRule="auto" w:line="276" w:before="120" w:after="120"/>
        <w:jc w:val="both"/>
        <w:rPr/>
      </w:pPr>
      <w:r>
        <w:rPr>
          <w:rFonts w:cs="Arial"/>
          <w:i/>
          <w:iCs/>
          <w:color w:val="auto"/>
        </w:rPr>
        <w:t xml:space="preserve">Em sendo permitida a participação de cooperativas, serão estendidas a elas os benefícios previstos para as microempresas e empresas de pequeno porte quando elas atenderem ao disposto </w:t>
      </w:r>
      <w:r>
        <w:fldChar w:fldCharType="begin"/>
      </w:r>
      <w:r>
        <w:rPr>
          <w:rStyle w:val="Style8"/>
          <w:rFonts w:cs="Arial"/>
          <w:i/>
          <w:iCs/>
          <w:color w:val="auto"/>
          <w:u w:val="single"/>
        </w:rPr>
        <w:instrText xml:space="preserve"> HYPERLINK "https://www.planalto.gov.br/ccivil_03/_ato2007-2010/2007/lei/l11488.htm" \l "art34"</w:instrText>
      </w:r>
      <w:r>
        <w:rPr>
          <w:rStyle w:val="Style8"/>
          <w:rFonts w:cs="Arial"/>
          <w:i/>
          <w:iCs/>
          <w:color w:val="auto"/>
          <w:u w:val="single"/>
        </w:rPr>
        <w:fldChar w:fldCharType="separate"/>
      </w:r>
      <w:r>
        <w:rPr>
          <w:rStyle w:val="Style8"/>
          <w:rFonts w:cs="Arial"/>
          <w:i/>
          <w:iCs/>
          <w:color w:val="auto"/>
          <w:u w:val="single"/>
        </w:rPr>
        <w:t>no art. 34 da Lei n.º 11.488, de 15 de junho de 2007</w:t>
      </w:r>
      <w:r>
        <w:rPr>
          <w:rStyle w:val="Style8"/>
          <w:rFonts w:cs="Arial"/>
          <w:i/>
          <w:iCs/>
          <w:color w:val="auto"/>
          <w:u w:val="single"/>
        </w:rPr>
        <w:fldChar w:fldCharType="end"/>
      </w:r>
      <w:r>
        <w:rPr>
          <w:rFonts w:cs="Arial"/>
          <w:i/>
          <w:iCs/>
          <w:color w:val="auto"/>
        </w:rPr>
        <w:t>.</w:t>
      </w:r>
      <w:commentRangeEnd w:id="5"/>
      <w:r>
        <w:commentReference w:id="5"/>
      </w:r>
      <w:r>
        <w:rPr>
          <w:rFonts w:cs="Arial"/>
          <w:i/>
          <w:iCs/>
          <w:color w:val="auto"/>
        </w:rPr>
      </w:r>
    </w:p>
    <w:p>
      <w:pPr>
        <w:pStyle w:val="Normal"/>
        <w:numPr>
          <w:ilvl w:val="1"/>
          <w:numId w:val="7"/>
        </w:numPr>
        <w:spacing w:lineRule="auto" w:line="276" w:before="120" w:after="120"/>
        <w:ind w:hanging="0" w:start="425" w:end="0"/>
        <w:jc w:val="both"/>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Style8"/>
          <w:rFonts w:cs="Arial"/>
          <w:bCs/>
          <w:color w:val="0563C1"/>
          <w:u w:val="single"/>
        </w:rPr>
        <w:instrText xml:space="preserve"> HYPERLINK "http://www.planalto.gov.br/ccivil_03/_ato2019-2022/2021/lei/L14133.htm" \l "art9%C2%A71"</w:instrText>
      </w:r>
      <w:r>
        <w:rPr>
          <w:rStyle w:val="Style8"/>
          <w:rFonts w:cs="Arial"/>
          <w:bCs/>
          <w:color w:val="0563C1"/>
          <w:u w:val="single"/>
        </w:rPr>
        <w:fldChar w:fldCharType="separate"/>
      </w:r>
      <w:r>
        <w:rPr>
          <w:rStyle w:val="Style8"/>
          <w:rFonts w:cs="Arial"/>
          <w:bCs/>
          <w:color w:val="0563C1"/>
          <w:u w:val="single"/>
        </w:rPr>
        <w:t>§ 1º do art. 9º da Lei n.º 14.133, de 2021</w:t>
      </w:r>
      <w:r>
        <w:rPr>
          <w:rStyle w:val="Style8"/>
          <w:rFonts w:cs="Arial"/>
          <w:bCs/>
          <w:color w:val="0563C1"/>
          <w:u w:val="single"/>
        </w:rPr>
        <w:fldChar w:fldCharType="end"/>
      </w:r>
      <w:r>
        <w:rPr>
          <w:rFonts w:cs="Arial"/>
          <w:bCs/>
        </w:rPr>
        <w:t>.</w:t>
      </w:r>
    </w:p>
    <w:p>
      <w:pPr>
        <w:pStyle w:val="Normal"/>
        <w:spacing w:lineRule="auto" w:line="276" w:before="120" w:after="120"/>
        <w:ind w:hanging="0" w:start="425" w:end="0"/>
        <w:jc w:val="both"/>
        <w:rPr>
          <w:rFonts w:cs="Arial"/>
          <w:bCs/>
        </w:rPr>
      </w:pPr>
      <w:r>
        <w:rPr>
          <w:rFonts w:cs="Arial"/>
          <w:bCs/>
        </w:rPr>
      </w:r>
    </w:p>
    <w:p>
      <w:pPr>
        <w:pStyle w:val="Heading1"/>
        <w:rPr/>
      </w:pPr>
      <w:bookmarkStart w:id="3" w:name="_Toc142925863"/>
      <w:r>
        <w:rPr/>
        <w:t>INGRESSO NA DISPENSA ELETRÔNICA E CADASTRAMENTO DA PROPOSTA INICIAL</w:t>
      </w:r>
      <w:bookmarkEnd w:id="3"/>
    </w:p>
    <w:p>
      <w:pPr>
        <w:pStyle w:val="Normal"/>
        <w:numPr>
          <w:ilvl w:val="1"/>
          <w:numId w:val="7"/>
        </w:numPr>
        <w:snapToGrid w:val="false"/>
        <w:spacing w:lineRule="auto" w:line="276" w:before="120" w:after="120"/>
        <w:ind w:hanging="0" w:start="425" w:end="0"/>
        <w:jc w:val="both"/>
        <w:rPr>
          <w:rFonts w:cs="Arial"/>
          <w:color w:val="000000"/>
          <w:szCs w:val="20"/>
        </w:rPr>
      </w:pPr>
      <w:r>
        <w:rPr>
          <w:rFonts w:cs="Arial"/>
          <w:color w:val="000000"/>
          <w:szCs w:val="20"/>
        </w:rPr>
        <w:t>O ingresso do fornecedor na disputa da dispensa eletrônica ocorrerá com o cadastramento de sua proposta inicial, na forma deste item.</w:t>
      </w:r>
    </w:p>
    <w:p>
      <w:pPr>
        <w:pStyle w:val="Normal"/>
        <w:numPr>
          <w:ilvl w:val="1"/>
          <w:numId w:val="7"/>
        </w:numPr>
        <w:snapToGrid w:val="false"/>
        <w:spacing w:lineRule="auto" w:line="276" w:before="120" w:after="120"/>
        <w:ind w:hanging="0" w:start="425" w:end="0"/>
        <w:jc w:val="both"/>
        <w:rPr/>
      </w:pPr>
      <w:r>
        <w:rPr>
          <w:rFonts w:cs="Arial"/>
          <w:color w:val="000000"/>
          <w:szCs w:val="20"/>
        </w:rPr>
        <w:t>O fornecedor interessado, após a divulgação do Aviso de Contratação Direta, e</w:t>
      </w:r>
      <w:r>
        <w:rPr>
          <w:rFonts w:cs="Arial"/>
          <w:color w:val="auto"/>
          <w:szCs w:val="20"/>
        </w:rPr>
        <w:t>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numPr>
          <w:ilvl w:val="2"/>
          <w:numId w:val="7"/>
        </w:numPr>
        <w:ind w:hanging="504" w:start="1224" w:end="0"/>
        <w:rPr/>
      </w:pPr>
      <w:r>
        <w:rPr>
          <w:rFonts w:cs="Arial"/>
          <w:i/>
          <w:iCs/>
          <w:color w:val="000000"/>
          <w:shd w:fill="00FFFF" w:val="clear"/>
        </w:rPr>
        <w:t xml:space="preserve">O fornecedor NÃO poderá oferecer proposta em quantitativo inferior ao </w:t>
      </w:r>
      <w:commentRangeStart w:id="7"/>
      <w:r>
        <w:rPr>
          <w:rFonts w:cs="Arial"/>
          <w:i/>
          <w:iCs/>
          <w:color w:val="000000"/>
          <w:shd w:fill="00FFFF" w:val="clear"/>
        </w:rPr>
        <w:t>máximo</w:t>
      </w:r>
      <w:r>
        <w:rPr>
          <w:rFonts w:cs="Arial"/>
          <w:i/>
          <w:iCs/>
          <w:color w:val="000000"/>
          <w:shd w:fill="00FFFF" w:val="clear"/>
        </w:rPr>
      </w:r>
      <w:commentRangeEnd w:id="7"/>
      <w:r>
        <w:commentReference w:id="7"/>
      </w:r>
      <w:r>
        <w:rPr>
          <w:rFonts w:cs="Arial"/>
          <w:i/>
          <w:iCs/>
          <w:color w:val="000000"/>
          <w:shd w:fill="00FFFF" w:val="clear"/>
        </w:rPr>
        <w:t xml:space="preserve"> previsto para contratação.</w:t>
      </w:r>
    </w:p>
    <w:p>
      <w:pPr>
        <w:pStyle w:val="ListParagraph"/>
        <w:numPr>
          <w:ilvl w:val="2"/>
          <w:numId w:val="7"/>
        </w:numPr>
        <w:ind w:hanging="504" w:start="1224" w:end="0"/>
        <w:rPr/>
      </w:pPr>
      <w:r>
        <w:rPr>
          <w:rFonts w:cs="Arial"/>
          <w:i/>
          <w:iCs/>
          <w:color w:val="000000"/>
          <w:shd w:fill="00FFFF" w:val="clear"/>
        </w:rPr>
        <w:t xml:space="preserve">Não será admitida a previsão de preços diferentes em razão de local de entrega </w:t>
      </w:r>
      <w:commentRangeStart w:id="8"/>
      <w:r>
        <w:rPr>
          <w:rFonts w:cs="Arial"/>
          <w:i/>
          <w:iCs/>
          <w:color w:val="000000"/>
          <w:shd w:fill="00FFFF" w:val="clear"/>
        </w:rPr>
        <w:t>ou</w:t>
      </w:r>
      <w:r>
        <w:rPr>
          <w:rFonts w:cs="Arial"/>
          <w:i/>
          <w:iCs/>
          <w:color w:val="000000"/>
          <w:shd w:fill="00FFFF" w:val="clear"/>
        </w:rPr>
      </w:r>
      <w:commentRangeEnd w:id="8"/>
      <w:r>
        <w:commentReference w:id="8"/>
      </w:r>
      <w:r>
        <w:rPr>
          <w:rFonts w:cs="Arial"/>
          <w:i/>
          <w:iCs/>
          <w:color w:val="000000"/>
          <w:shd w:fill="00FFFF" w:val="clear"/>
        </w:rPr>
        <w:t xml:space="preserve"> de acondicionamento, tamanho de lote ou qualquer outro motivo.</w:t>
      </w:r>
    </w:p>
    <w:p>
      <w:pPr>
        <w:pStyle w:val="ListParagraph"/>
        <w:ind w:hanging="0" w:start="720" w:end="0"/>
        <w:rPr>
          <w:rFonts w:cs="Arial"/>
          <w:i/>
          <w:iCs/>
          <w:szCs w:val="20"/>
          <w:shd w:fill="00FFFF" w:val="clear"/>
        </w:rPr>
      </w:pPr>
      <w:r>
        <w:rPr>
          <w:rFonts w:cs="Arial"/>
          <w:i/>
          <w:iCs/>
          <w:szCs w:val="20"/>
          <w:shd w:fill="00FFFF" w:val="clear"/>
        </w:rPr>
      </w:r>
    </w:p>
    <w:p>
      <w:pPr>
        <w:pStyle w:val="Normal"/>
        <w:numPr>
          <w:ilvl w:val="1"/>
          <w:numId w:val="7"/>
        </w:numPr>
        <w:spacing w:lineRule="auto" w:line="276" w:before="120" w:after="120"/>
        <w:ind w:hanging="0" w:start="425" w:end="0"/>
        <w:jc w:val="both"/>
        <w:rPr/>
      </w:pPr>
      <w:r>
        <w:rPr>
          <w:rFonts w:cs="Arial"/>
          <w:szCs w:val="20"/>
        </w:rPr>
        <w:t xml:space="preserve">Todas as especificações do </w:t>
      </w:r>
      <w:r>
        <w:rPr>
          <w:rFonts w:cs="Arial"/>
          <w:color w:val="000000"/>
          <w:szCs w:val="20"/>
        </w:rPr>
        <w:t>objeto</w:t>
      </w:r>
      <w:r>
        <w:rPr>
          <w:rFonts w:cs="Arial"/>
          <w:szCs w:val="20"/>
        </w:rPr>
        <w:t xml:space="preserve"> contidas na proposta, em especial o preço ou o desconto ofertados, vinculam a Contratada.</w:t>
      </w:r>
    </w:p>
    <w:p>
      <w:pPr>
        <w:pStyle w:val="Normal"/>
        <w:numPr>
          <w:ilvl w:val="1"/>
          <w:numId w:val="7"/>
        </w:numPr>
        <w:spacing w:lineRule="auto" w:line="276" w:before="120" w:after="120"/>
        <w:ind w:hanging="0" w:start="425" w:end="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7"/>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7"/>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7"/>
        </w:numPr>
        <w:spacing w:lineRule="auto" w:line="276" w:before="120" w:after="120"/>
        <w:ind w:hanging="0" w:start="425" w:end="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7"/>
        </w:numPr>
        <w:spacing w:lineRule="auto" w:line="276" w:before="120" w:after="120"/>
        <w:ind w:hanging="0" w:start="425" w:end="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7"/>
        </w:numPr>
        <w:spacing w:lineRule="auto" w:line="276" w:before="120" w:after="120"/>
        <w:ind w:hanging="0" w:start="425" w:end="0"/>
        <w:jc w:val="both"/>
        <w:rPr/>
      </w:pPr>
      <w:commentRangeStart w:id="9"/>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commentRangeEnd w:id="9"/>
      <w:r>
        <w:commentReference w:id="9"/>
      </w:r>
      <w:r>
        <w:rPr>
          <w:rFonts w:cs="Arial"/>
          <w:szCs w:val="20"/>
        </w:rPr>
      </w:r>
    </w:p>
    <w:p>
      <w:pPr>
        <w:pStyle w:val="Normal"/>
        <w:numPr>
          <w:ilvl w:val="1"/>
          <w:numId w:val="7"/>
        </w:numPr>
        <w:spacing w:lineRule="auto" w:line="276" w:before="120" w:after="120"/>
        <w:ind w:hanging="0" w:start="425" w:end="0"/>
        <w:jc w:val="both"/>
        <w:rPr/>
      </w:pPr>
      <w:commentRangeStart w:id="10"/>
      <w:r>
        <w:rPr>
          <w:rFonts w:cs="Arial"/>
          <w:color w:val="000000"/>
          <w:szCs w:val="20"/>
        </w:rPr>
        <w:t xml:space="preserve">O </w:t>
      </w:r>
      <w:r>
        <w:rPr>
          <w:rFonts w:cs="Arial"/>
          <w:szCs w:val="20"/>
        </w:rPr>
        <w:t>prazo</w:t>
      </w:r>
      <w:r>
        <w:rPr>
          <w:rFonts w:cs="Arial"/>
          <w:color w:val="000000"/>
          <w:szCs w:val="20"/>
        </w:rPr>
        <w:t xml:space="preserve"> de validade </w:t>
      </w:r>
      <w:r>
        <w:rPr>
          <w:rFonts w:cs="Arial"/>
          <w:szCs w:val="20"/>
        </w:rPr>
        <w:t>da</w:t>
      </w:r>
      <w:r>
        <w:rPr>
          <w:rFonts w:cs="Arial"/>
          <w:color w:val="000000"/>
          <w:szCs w:val="20"/>
        </w:rPr>
        <w:t xml:space="preserve"> proposta não será inferior a</w:t>
      </w:r>
      <w:r>
        <w:rPr>
          <w:rFonts w:cs="Arial"/>
          <w:color w:val="auto"/>
          <w:szCs w:val="20"/>
        </w:rPr>
        <w:t xml:space="preserve"> 60(sessenta.) dias</w:t>
      </w:r>
      <w:r>
        <w:rPr>
          <w:rFonts w:cs="Arial"/>
          <w:b/>
          <w:bCs/>
          <w:color w:val="auto"/>
          <w:szCs w:val="20"/>
        </w:rPr>
        <w:t>,</w:t>
      </w:r>
      <w:r>
        <w:rPr>
          <w:rFonts w:cs="Arial"/>
          <w:color w:val="000000"/>
          <w:szCs w:val="20"/>
        </w:rPr>
        <w:t xml:space="preserve"> a contar da data de sua apresentação.</w:t>
      </w:r>
      <w:commentRangeEnd w:id="10"/>
      <w:r>
        <w:commentReference w:id="10"/>
      </w:r>
      <w:r>
        <w:rPr>
          <w:rFonts w:cs="Arial"/>
          <w:color w:val="000000"/>
          <w:szCs w:val="20"/>
        </w:rPr>
      </w:r>
    </w:p>
    <w:p>
      <w:pPr>
        <w:pStyle w:val="Normal"/>
        <w:numPr>
          <w:ilvl w:val="1"/>
          <w:numId w:val="7"/>
        </w:numPr>
        <w:spacing w:lineRule="auto" w:line="276" w:before="120" w:after="120"/>
        <w:ind w:hanging="0" w:start="425" w:end="0"/>
        <w:jc w:val="both"/>
        <w:rPr/>
      </w:pPr>
      <w:r>
        <w:rPr>
          <w:rFonts w:cs="Arial"/>
          <w:color w:val="000000"/>
          <w:szCs w:val="20"/>
        </w:rPr>
        <w:t>No cadastramento da proposta inicial, o fornecedor deverá, também, assinalar Termo de Aceitação, em campo próprio do sistema eletrônico, relativo às seguintes declarações:</w:t>
      </w:r>
      <w:r>
        <w:rPr>
          <w:rFonts w:eastAsia="Zurich BT" w:cs="Arial"/>
          <w:color w:val="000000"/>
          <w:szCs w:val="20"/>
        </w:rPr>
        <w:t xml:space="preserve"> </w:t>
      </w:r>
    </w:p>
    <w:p>
      <w:pPr>
        <w:pStyle w:val="ListParagraph"/>
        <w:numPr>
          <w:ilvl w:val="0"/>
          <w:numId w:val="3"/>
        </w:numPr>
        <w:tabs>
          <w:tab w:val="clear" w:pos="708"/>
          <w:tab w:val="left" w:pos="1440" w:leader="none"/>
        </w:tabs>
        <w:snapToGrid w:val="false"/>
        <w:spacing w:lineRule="auto" w:line="276" w:before="120" w:after="120"/>
        <w:ind w:hanging="435" w:start="435" w:end="0"/>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hanging="435" w:start="1002" w:end="0"/>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hanging="435" w:start="1002" w:end="0"/>
        <w:contextualSpacing/>
        <w:jc w:val="both"/>
        <w:rPr>
          <w:rFonts w:cs="Arial"/>
          <w:bCs/>
          <w:vanish/>
          <w:color w:val="000000"/>
          <w:szCs w:val="20"/>
        </w:rPr>
      </w:pPr>
      <w:r>
        <w:rPr>
          <w:rFonts w:cs="Arial"/>
          <w:bCs/>
          <w:vanish/>
          <w:color w:val="000000"/>
          <w:szCs w:val="20"/>
        </w:rPr>
      </w:r>
    </w:p>
    <w:p>
      <w:pPr>
        <w:pStyle w:val="ListParagraph"/>
        <w:numPr>
          <w:ilvl w:val="1"/>
          <w:numId w:val="3"/>
        </w:numPr>
        <w:tabs>
          <w:tab w:val="clear" w:pos="708"/>
          <w:tab w:val="left" w:pos="1440" w:leader="none"/>
        </w:tabs>
        <w:snapToGrid w:val="false"/>
        <w:spacing w:lineRule="auto" w:line="276" w:before="120" w:after="120"/>
        <w:ind w:hanging="435" w:start="1002" w:end="0"/>
        <w:contextualSpacing/>
        <w:jc w:val="both"/>
        <w:rPr>
          <w:rFonts w:cs="Arial"/>
          <w:bCs/>
          <w:vanish/>
          <w:color w:val="000000"/>
          <w:szCs w:val="20"/>
        </w:rPr>
      </w:pPr>
      <w:r>
        <w:rPr>
          <w:rFonts w:cs="Arial"/>
          <w:bCs/>
          <w:vanish/>
          <w:color w:val="000000"/>
          <w:szCs w:val="20"/>
        </w:rPr>
      </w:r>
    </w:p>
    <w:p>
      <w:pPr>
        <w:pStyle w:val="Normal"/>
        <w:numPr>
          <w:ilvl w:val="2"/>
          <w:numId w:val="7"/>
        </w:numPr>
        <w:spacing w:lineRule="auto" w:line="276" w:before="120" w:after="120"/>
        <w:jc w:val="both"/>
        <w:rPr>
          <w:rFonts w:cs="Arial"/>
          <w:color w:val="000000"/>
          <w:szCs w:val="20"/>
        </w:rPr>
      </w:pPr>
      <w:r>
        <w:rPr>
          <w:rFonts w:cs="Arial"/>
          <w:color w:val="000000"/>
          <w:szCs w:val="20"/>
        </w:rPr>
        <w:t>que inexistem fatos impeditivos para sua habilitação no certame, ciente da obrigatoriedade de declarar ocorrências posteriores;</w:t>
      </w:r>
    </w:p>
    <w:p>
      <w:pPr>
        <w:pStyle w:val="Normal"/>
        <w:numPr>
          <w:ilvl w:val="2"/>
          <w:numId w:val="7"/>
        </w:numPr>
        <w:spacing w:lineRule="auto" w:line="276" w:before="120" w:after="120"/>
        <w:jc w:val="both"/>
        <w:rPr>
          <w:rFonts w:cs="Arial"/>
          <w:color w:val="000000"/>
          <w:szCs w:val="20"/>
        </w:rPr>
      </w:pPr>
      <w:r>
        <w:rPr>
          <w:rFonts w:cs="Arial"/>
          <w:color w:val="000000"/>
          <w:szCs w:val="20"/>
        </w:rPr>
        <w:t>que está ciente e concorda com as condições contidas no Aviso de Contratação Direta e seus anexos;</w:t>
      </w:r>
    </w:p>
    <w:p>
      <w:pPr>
        <w:pStyle w:val="Normal"/>
        <w:numPr>
          <w:ilvl w:val="2"/>
          <w:numId w:val="7"/>
        </w:numPr>
        <w:spacing w:lineRule="auto" w:line="276" w:before="120" w:after="120"/>
        <w:jc w:val="both"/>
        <w:rPr>
          <w:rFonts w:cs="Arial"/>
          <w:color w:val="000000"/>
          <w:szCs w:val="20"/>
        </w:rPr>
      </w:pPr>
      <w:r>
        <w:rPr>
          <w:rFonts w:cs="Arial"/>
          <w:color w:val="000000"/>
          <w:szCs w:val="20"/>
        </w:rPr>
        <w:t>que se responsabiliza pelas transações que forem efetuadas no sistema, assumindo-as como firmes e verdadeiras;</w:t>
      </w:r>
    </w:p>
    <w:p>
      <w:pPr>
        <w:pStyle w:val="Normal"/>
        <w:numPr>
          <w:ilvl w:val="2"/>
          <w:numId w:val="7"/>
        </w:numPr>
        <w:spacing w:lineRule="auto" w:line="276" w:before="120" w:after="120"/>
        <w:jc w:val="both"/>
        <w:rPr/>
      </w:pPr>
      <w:r>
        <w:rPr>
          <w:rFonts w:cs="Arial"/>
          <w:color w:val="000000"/>
          <w:szCs w:val="20"/>
        </w:rPr>
        <w:t xml:space="preserve">que cumpre as exigências de reserva de cargos para pessoa com deficiência e para reabilitado da Previdência Social, de que trata </w:t>
      </w:r>
      <w:r>
        <w:fldChar w:fldCharType="begin"/>
      </w:r>
      <w:r>
        <w:rPr>
          <w:rStyle w:val="Style8"/>
          <w:rFonts w:cs="Arial"/>
          <w:color w:val="0563C1"/>
          <w:szCs w:val="20"/>
          <w:u w:val="single"/>
        </w:rPr>
        <w:instrText xml:space="preserve"> HYPERLINK "https://www.planalto.gov.br/ccivil_03/leis/l8213cons.htm" \l "art93"</w:instrText>
      </w:r>
      <w:r>
        <w:rPr>
          <w:rStyle w:val="Style8"/>
          <w:rFonts w:cs="Arial"/>
          <w:color w:val="0563C1"/>
          <w:szCs w:val="20"/>
          <w:u w:val="single"/>
        </w:rPr>
        <w:fldChar w:fldCharType="separate"/>
      </w:r>
      <w:r>
        <w:rPr>
          <w:rStyle w:val="Style8"/>
          <w:rFonts w:cs="Arial"/>
          <w:color w:val="0563C1"/>
          <w:szCs w:val="20"/>
          <w:u w:val="single"/>
        </w:rPr>
        <w:t>o art. 93 da Lei nº 8.213/91</w:t>
      </w:r>
      <w:r>
        <w:rPr>
          <w:rStyle w:val="Style8"/>
          <w:rFonts w:cs="Arial"/>
          <w:color w:val="0563C1"/>
          <w:szCs w:val="20"/>
          <w:u w:val="single"/>
        </w:rPr>
        <w:fldChar w:fldCharType="end"/>
      </w:r>
      <w:r>
        <w:rPr>
          <w:rFonts w:cs="Arial"/>
          <w:color w:val="000000"/>
          <w:szCs w:val="20"/>
        </w:rPr>
        <w:t>.</w:t>
      </w:r>
    </w:p>
    <w:p>
      <w:pPr>
        <w:pStyle w:val="Normal"/>
        <w:numPr>
          <w:ilvl w:val="2"/>
          <w:numId w:val="7"/>
        </w:numPr>
        <w:spacing w:lineRule="auto" w:line="276" w:before="120" w:after="120"/>
        <w:jc w:val="both"/>
        <w:rPr/>
      </w:pPr>
      <w:r>
        <w:rPr>
          <w:rFonts w:cs="Arial"/>
          <w:color w:val="000000"/>
          <w:szCs w:val="20"/>
        </w:rPr>
        <w:t xml:space="preserve">que não emprega menor de 18 anos em trabalho noturno, perigoso ou insalubre e não emprega menor de 16 anos, salvo menor, a partir de 14 anos, na condição de aprendiz, nos termos do </w:t>
      </w:r>
      <w:r>
        <w:fldChar w:fldCharType="begin"/>
      </w:r>
      <w:r>
        <w:rPr>
          <w:rStyle w:val="Style8"/>
          <w:rFonts w:cs="Arial"/>
          <w:color w:val="0563C1"/>
          <w:szCs w:val="20"/>
          <w:u w:val="single"/>
        </w:rPr>
        <w:instrText xml:space="preserve"> HYPERLINK "https://normas.leg.br/?urn=urn:lex:br:federal:constituicao:1988-10-05;1988" \l "art7"</w:instrText>
      </w:r>
      <w:r>
        <w:rPr>
          <w:rStyle w:val="Style8"/>
          <w:rFonts w:cs="Arial"/>
          <w:color w:val="0563C1"/>
          <w:szCs w:val="20"/>
          <w:u w:val="single"/>
        </w:rPr>
        <w:fldChar w:fldCharType="separate"/>
      </w:r>
      <w:r>
        <w:rPr>
          <w:rStyle w:val="Style8"/>
          <w:rFonts w:cs="Arial"/>
          <w:color w:val="0563C1"/>
          <w:szCs w:val="20"/>
          <w:u w:val="single"/>
        </w:rPr>
        <w:t>artigo 7°, XXXIII, da Constituição</w:t>
      </w:r>
      <w:r>
        <w:rPr>
          <w:rStyle w:val="Style8"/>
          <w:rFonts w:cs="Arial"/>
          <w:color w:val="0563C1"/>
          <w:szCs w:val="20"/>
          <w:u w:val="single"/>
        </w:rPr>
        <w:fldChar w:fldCharType="end"/>
      </w:r>
      <w:r>
        <w:rPr>
          <w:rFonts w:cs="Arial"/>
          <w:color w:val="000000"/>
          <w:szCs w:val="20"/>
        </w:rPr>
        <w:t>;</w:t>
      </w:r>
    </w:p>
    <w:p>
      <w:pPr>
        <w:pStyle w:val="Normal"/>
        <w:numPr>
          <w:ilvl w:val="1"/>
          <w:numId w:val="7"/>
        </w:numPr>
        <w:spacing w:lineRule="auto" w:line="276" w:before="120" w:after="120"/>
        <w:jc w:val="both"/>
        <w:rPr/>
      </w:pPr>
      <w:r>
        <w:rPr>
          <w:rFonts w:cs="Arial"/>
          <w:color w:val="000000"/>
          <w:szCs w:val="20"/>
        </w:rPr>
        <w:t xml:space="preserve">O fornecedor organizado em cooperativa deverá declarar, ainda, em campo próprio do sistema eletrônico, que cumpre os requisitos estabelecidos no </w:t>
      </w:r>
      <w:r>
        <w:fldChar w:fldCharType="begin"/>
      </w:r>
      <w:r>
        <w:rPr>
          <w:rStyle w:val="Style8"/>
          <w:rFonts w:cs="Arial"/>
          <w:color w:val="0563C1"/>
          <w:szCs w:val="20"/>
          <w:u w:val="single"/>
        </w:rPr>
        <w:instrText xml:space="preserve"> HYPERLINK "http://www.planalto.gov.br/ccivil_03/_ato2019-2022/2021/lei/L14133.htm" \l "art16"</w:instrText>
      </w:r>
      <w:r>
        <w:rPr>
          <w:rStyle w:val="Style8"/>
          <w:rFonts w:cs="Arial"/>
          <w:color w:val="0563C1"/>
          <w:szCs w:val="20"/>
          <w:u w:val="single"/>
        </w:rPr>
        <w:fldChar w:fldCharType="separate"/>
      </w:r>
      <w:r>
        <w:rPr>
          <w:rStyle w:val="Style8"/>
          <w:rFonts w:cs="Arial"/>
          <w:color w:val="0563C1"/>
          <w:szCs w:val="20"/>
          <w:u w:val="single"/>
        </w:rPr>
        <w:t>artigo 16 da Lei nº 14.133, de 2021.</w:t>
      </w:r>
      <w:r>
        <w:rPr>
          <w:rStyle w:val="Style8"/>
          <w:rFonts w:cs="Arial"/>
          <w:color w:val="0563C1"/>
          <w:szCs w:val="20"/>
          <w:u w:val="single"/>
        </w:rPr>
        <w:fldChar w:fldCharType="end"/>
      </w:r>
    </w:p>
    <w:p>
      <w:pPr>
        <w:pStyle w:val="Normal"/>
        <w:numPr>
          <w:ilvl w:val="1"/>
          <w:numId w:val="7"/>
        </w:numPr>
        <w:spacing w:lineRule="auto" w:line="276" w:before="120" w:after="120"/>
        <w:jc w:val="both"/>
        <w:rPr/>
      </w:pPr>
      <w:commentRangeStart w:id="11"/>
      <w:r>
        <w:rPr>
          <w:rFonts w:cs="Arial"/>
          <w:color w:val="auto"/>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Style8"/>
          <w:rFonts w:cs="Arial"/>
          <w:color w:val="auto"/>
          <w:szCs w:val="20"/>
          <w:u w:val="single"/>
        </w:rPr>
        <w:instrText xml:space="preserve"> HYPERLINK "https://www.planalto.gov.br/ccivil_03/leis/lcp/lcp123.htm" \l "art3"</w:instrText>
      </w:r>
      <w:r>
        <w:rPr>
          <w:rStyle w:val="Style8"/>
          <w:rFonts w:cs="Arial"/>
          <w:color w:val="auto"/>
          <w:szCs w:val="20"/>
          <w:u w:val="single"/>
        </w:rPr>
        <w:fldChar w:fldCharType="separate"/>
      </w:r>
      <w:r>
        <w:rPr>
          <w:rStyle w:val="Style8"/>
          <w:rFonts w:cs="Arial"/>
          <w:color w:val="auto"/>
          <w:szCs w:val="20"/>
          <w:u w:val="single"/>
        </w:rPr>
        <w:t>artigo 3° da Lei Complementar nº 123, de 2006</w:t>
      </w:r>
      <w:r>
        <w:rPr>
          <w:rStyle w:val="Style8"/>
          <w:rFonts w:cs="Arial"/>
          <w:color w:val="auto"/>
          <w:szCs w:val="20"/>
          <w:u w:val="single"/>
        </w:rPr>
        <w:fldChar w:fldCharType="end"/>
      </w:r>
      <w:r>
        <w:rPr>
          <w:rFonts w:cs="Arial"/>
          <w:color w:val="auto"/>
          <w:szCs w:val="20"/>
        </w:rPr>
        <w:t xml:space="preserve">, estando apto a usufruir do tratamento favorecido estabelecido em seus arts. 42 a 49, observado o disposto nos </w:t>
      </w:r>
      <w:r>
        <w:fldChar w:fldCharType="begin"/>
      </w:r>
      <w:r>
        <w:rPr>
          <w:rStyle w:val="Style8"/>
          <w:color w:val="0563C1"/>
          <w:u w:val="single"/>
        </w:rPr>
        <w:instrText xml:space="preserve"> HYPERLINK "http://www.planalto.gov.br/ccivil_03/_ato2019-2022/2021/lei/L14133.htm" \l "art4%C2%A71"</w:instrText>
      </w:r>
      <w:r>
        <w:rPr>
          <w:rStyle w:val="Style8"/>
          <w:color w:val="0563C1"/>
          <w:u w:val="single"/>
        </w:rPr>
        <w:fldChar w:fldCharType="separate"/>
      </w:r>
      <w:r>
        <w:rPr>
          <w:rStyle w:val="Style8"/>
          <w:color w:val="0563C1"/>
          <w:u w:val="single"/>
        </w:rPr>
        <w:t>§§ 1º ao 3º do art. 4º, da Lei n.º 14.133, de 2021.</w:t>
      </w:r>
      <w:r>
        <w:rPr>
          <w:rStyle w:val="Style8"/>
          <w:color w:val="0563C1"/>
          <w:u w:val="single"/>
        </w:rPr>
        <w:fldChar w:fldCharType="end"/>
      </w:r>
      <w:commentRangeEnd w:id="11"/>
      <w:r>
        <w:commentReference w:id="11"/>
      </w:r>
      <w:r>
        <w:rPr>
          <w:color w:val="0563C1"/>
          <w:u w:val="single"/>
        </w:rPr>
      </w:r>
    </w:p>
    <w:p>
      <w:pPr>
        <w:pStyle w:val="Normal"/>
        <w:numPr>
          <w:ilvl w:val="1"/>
          <w:numId w:val="7"/>
        </w:numPr>
        <w:spacing w:lineRule="auto" w:line="276" w:before="120" w:after="120"/>
        <w:jc w:val="both"/>
        <w:rPr/>
      </w:pPr>
      <w:commentRangeStart w:id="12"/>
      <w:r>
        <w:rPr>
          <w:rFonts w:cs="Arial"/>
          <w:i/>
          <w:color w:val="auto"/>
          <w:szCs w:val="20"/>
        </w:rPr>
        <w:t>Desde que disponibilizada a funcionalidade no sistema, fica facultado ao fornecedor, ao cadastrar sua proposta inicial, a parametrização de valor final mínimo, com o registro do seu lance final aceitável.</w:t>
      </w:r>
    </w:p>
    <w:p>
      <w:pPr>
        <w:pStyle w:val="Normal"/>
        <w:numPr>
          <w:ilvl w:val="2"/>
          <w:numId w:val="7"/>
        </w:numPr>
        <w:spacing w:lineRule="auto" w:line="276" w:before="120" w:after="120"/>
        <w:jc w:val="both"/>
        <w:rPr>
          <w:rFonts w:cs="Arial"/>
          <w:i/>
          <w:color w:val="auto"/>
          <w:szCs w:val="20"/>
        </w:rPr>
      </w:pPr>
      <w:r>
        <w:rPr>
          <w:rFonts w:cs="Arial"/>
          <w:i/>
          <w:color w:val="auto"/>
          <w:szCs w:val="20"/>
        </w:rPr>
        <w:t xml:space="preserve">Feita essa opção os lances serão enviados automaticamente pelo sistema, respeitados os limites cadastrados pelo fornecedor e o intervalo mínimo entre lances previsto neste aviso. </w:t>
      </w:r>
    </w:p>
    <w:p>
      <w:pPr>
        <w:pStyle w:val="Normal"/>
        <w:numPr>
          <w:ilvl w:val="3"/>
          <w:numId w:val="7"/>
        </w:numPr>
        <w:spacing w:lineRule="auto" w:line="276" w:before="120" w:after="120"/>
        <w:jc w:val="both"/>
        <w:rPr>
          <w:rFonts w:cs="Arial"/>
          <w:i/>
          <w:color w:val="auto"/>
          <w:szCs w:val="20"/>
        </w:rPr>
      </w:pPr>
      <w:r>
        <w:rPr>
          <w:rFonts w:cs="Arial"/>
          <w:i/>
          <w:color w:val="auto"/>
          <w:szCs w:val="20"/>
        </w:rPr>
        <w:t>Sem prejuízo do disposto acima, os lances poderão ser enviados manualmente, na forma da seção respectiva deste Aviso de Contratação Direta;</w:t>
      </w:r>
    </w:p>
    <w:p>
      <w:pPr>
        <w:pStyle w:val="Normal"/>
        <w:numPr>
          <w:ilvl w:val="2"/>
          <w:numId w:val="7"/>
        </w:numPr>
        <w:spacing w:lineRule="auto" w:line="276" w:before="120" w:after="120"/>
        <w:jc w:val="both"/>
        <w:rPr>
          <w:rFonts w:cs="Arial"/>
          <w:i/>
          <w:color w:val="auto"/>
          <w:szCs w:val="20"/>
        </w:rPr>
      </w:pPr>
      <w:r>
        <w:rPr>
          <w:rFonts w:cs="Arial"/>
          <w:i/>
          <w:color w:val="auto"/>
          <w:szCs w:val="20"/>
        </w:rPr>
        <w:t>O valor final mínimo poderá ser alterado pelo fornecedor durante a fase de disputa, desde que não assuma valor superior a lance já registrado por ele no sistema.</w:t>
      </w:r>
    </w:p>
    <w:p>
      <w:pPr>
        <w:pStyle w:val="Normal"/>
        <w:numPr>
          <w:ilvl w:val="2"/>
          <w:numId w:val="7"/>
        </w:numPr>
        <w:spacing w:lineRule="auto" w:line="276" w:before="120" w:after="120"/>
        <w:jc w:val="both"/>
        <w:rPr/>
      </w:pPr>
      <w:r>
        <w:rPr>
          <w:rFonts w:cs="Arial"/>
          <w:i/>
          <w:color w:val="auto"/>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commentRangeEnd w:id="12"/>
      <w:r>
        <w:commentReference w:id="12"/>
      </w:r>
      <w:r>
        <w:rPr>
          <w:rFonts w:cs="Arial"/>
          <w:i/>
          <w:color w:val="auto"/>
          <w:szCs w:val="20"/>
        </w:rPr>
      </w:r>
    </w:p>
    <w:p>
      <w:pPr>
        <w:pStyle w:val="Heading1"/>
        <w:rPr>
          <w:color w:val="auto"/>
        </w:rPr>
      </w:pPr>
      <w:bookmarkStart w:id="4" w:name="_Toc142925864"/>
      <w:r>
        <w:rPr>
          <w:color w:val="auto"/>
        </w:rPr>
        <w:t>FASE DE LANCES</w:t>
      </w:r>
      <w:bookmarkEnd w:id="4"/>
    </w:p>
    <w:p>
      <w:pPr>
        <w:pStyle w:val="ListParagraph"/>
        <w:numPr>
          <w:ilvl w:val="1"/>
          <w:numId w:val="7"/>
        </w:numPr>
        <w:spacing w:lineRule="auto" w:line="276" w:before="120" w:after="120"/>
        <w:ind w:hanging="432" w:start="716" w:end="0"/>
        <w:contextualSpacing/>
        <w:jc w:val="both"/>
        <w:rPr/>
      </w:pPr>
      <w:r>
        <w:rPr>
          <w:rFonts w:cs="Arial"/>
          <w:color w:val="000000"/>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szCs w:val="20"/>
          <w:lang w:eastAsia="en-US"/>
        </w:rPr>
        <w:t>sendo encerrado no horário de finalização de lances também já previsto neste aviso.</w:t>
      </w:r>
    </w:p>
    <w:p>
      <w:pPr>
        <w:pStyle w:val="ListParagraph"/>
        <w:numPr>
          <w:ilvl w:val="1"/>
          <w:numId w:val="7"/>
        </w:numPr>
        <w:spacing w:lineRule="auto" w:line="276" w:before="120" w:after="120"/>
        <w:ind w:hanging="432" w:start="716" w:end="0"/>
        <w:contextualSpacing/>
        <w:jc w:val="both"/>
        <w:rPr>
          <w:rFonts w:cs="Arial"/>
          <w:color w:val="000000"/>
          <w:szCs w:val="20"/>
        </w:rPr>
      </w:pPr>
      <w:r>
        <w:rPr>
          <w:rFonts w:cs="Arial"/>
          <w:color w:val="000000"/>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7"/>
        </w:numPr>
        <w:spacing w:lineRule="auto" w:line="276" w:before="120" w:after="120"/>
        <w:ind w:hanging="504" w:start="1224" w:end="0"/>
        <w:contextualSpacing/>
        <w:jc w:val="both"/>
        <w:rPr/>
      </w:pPr>
      <w:r>
        <w:rPr>
          <w:rFonts w:cs="Arial"/>
          <w:szCs w:val="20"/>
        </w:rPr>
        <w:t xml:space="preserve">O lance </w:t>
      </w:r>
      <w:r>
        <w:rPr>
          <w:rFonts w:cs="Arial"/>
          <w:color w:val="000000"/>
          <w:szCs w:val="20"/>
          <w:lang w:eastAsia="en-US"/>
        </w:rPr>
        <w:t>deverá</w:t>
      </w:r>
      <w:r>
        <w:rPr>
          <w:rFonts w:cs="Arial"/>
          <w:szCs w:val="20"/>
        </w:rPr>
        <w:t xml:space="preserve"> ser ofertado pel</w:t>
      </w:r>
      <w:r>
        <w:rPr>
          <w:rFonts w:cs="Arial"/>
          <w:color w:val="auto"/>
          <w:szCs w:val="20"/>
        </w:rPr>
        <w:t xml:space="preserve">o </w:t>
      </w:r>
      <w:r>
        <w:rPr>
          <w:rFonts w:cs="Arial"/>
          <w:i/>
          <w:iCs/>
          <w:color w:val="auto"/>
          <w:szCs w:val="20"/>
        </w:rPr>
        <w:t xml:space="preserve">valor unitário </w:t>
      </w:r>
      <w:r>
        <w:rPr>
          <w:rFonts w:cs="Arial"/>
          <w:color w:val="auto"/>
          <w:szCs w:val="20"/>
        </w:rPr>
        <w:t>do ite</w:t>
      </w:r>
      <w:r>
        <w:rPr>
          <w:rFonts w:cs="Arial"/>
          <w:szCs w:val="20"/>
        </w:rPr>
        <w:t>m.</w:t>
      </w:r>
    </w:p>
    <w:p>
      <w:pPr>
        <w:pStyle w:val="Quote"/>
        <w:numPr>
          <w:ilvl w:val="1"/>
          <w:numId w:val="7"/>
        </w:numPr>
        <w:pBdr>
          <w:top w:val="nil"/>
          <w:left w:val="nil"/>
          <w:bottom w:val="nil"/>
          <w:right w:val="nil"/>
        </w:pBdr>
        <w:shd w:val="clear" w:fill="FFFFFF"/>
        <w:spacing w:lineRule="auto" w:line="276" w:before="120" w:after="120"/>
        <w:contextualSpacing/>
        <w:rPr>
          <w:rFonts w:cs="Arial"/>
          <w:i w:val="false"/>
          <w:iCs w:val="false"/>
          <w:color w:val="000000"/>
          <w:szCs w:val="20"/>
        </w:rPr>
      </w:pPr>
      <w:r>
        <w:rPr>
          <w:rFonts w:cs="Arial"/>
          <w:i w:val="false"/>
          <w:iCs w:val="false"/>
          <w:color w:val="000000"/>
          <w:szCs w:val="20"/>
        </w:rPr>
        <w:t>O fornecedor somente poderá oferecer valor inferior ou percentual de desconto superior ao último lance por ele ofertado e registrado pelo sistema.</w:t>
      </w:r>
    </w:p>
    <w:p>
      <w:pPr>
        <w:pStyle w:val="ListParagraph"/>
        <w:numPr>
          <w:ilvl w:val="2"/>
          <w:numId w:val="7"/>
        </w:numPr>
        <w:spacing w:lineRule="auto" w:line="276" w:before="120" w:after="120"/>
        <w:ind w:hanging="504" w:start="1224" w:end="0"/>
        <w:contextualSpacing/>
        <w:jc w:val="both"/>
        <w:rPr>
          <w:rFonts w:cs="Arial"/>
          <w:color w:val="000000"/>
          <w:szCs w:val="20"/>
          <w:lang w:eastAsia="en-US"/>
        </w:rPr>
      </w:pPr>
      <w:r>
        <w:rPr>
          <w:rFonts w:cs="Arial"/>
          <w:color w:val="000000"/>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7"/>
        </w:numPr>
        <w:spacing w:lineRule="auto" w:line="276" w:before="120" w:after="120"/>
        <w:ind w:hanging="504" w:start="1224" w:end="0"/>
        <w:contextualSpacing/>
        <w:jc w:val="both"/>
        <w:rPr/>
      </w:pPr>
      <w:r>
        <w:rPr>
          <w:rFonts w:cs="Arial"/>
          <w:szCs w:val="20"/>
        </w:rPr>
        <w:t>O intervalo mínimo de diferença de valores ou percentuais entre os lances, que incidirá tanto em relação</w:t>
      </w:r>
      <w:r>
        <w:rPr>
          <w:rFonts w:cs="Arial"/>
          <w:color w:val="auto"/>
          <w:szCs w:val="20"/>
        </w:rPr>
        <w:t xml:space="preserve"> aos lances intermediários quanto em relação ao que cobrir a melhor oferta é de</w:t>
      </w:r>
      <w:r>
        <w:rPr>
          <w:rFonts w:cs="Arial"/>
          <w:i/>
          <w:iCs/>
          <w:color w:val="auto"/>
          <w:szCs w:val="20"/>
        </w:rPr>
        <w:t xml:space="preserve"> </w:t>
      </w:r>
      <w:r>
        <w:rPr>
          <w:rFonts w:eastAsia="Times New Roman" w:cs="Arial"/>
          <w:i/>
          <w:iCs/>
          <w:color w:val="auto"/>
          <w:sz w:val="20"/>
          <w:szCs w:val="20"/>
          <w:lang w:eastAsia="pt-BR"/>
        </w:rPr>
        <w:t>0,01</w:t>
      </w:r>
      <w:r>
        <w:rPr>
          <w:rFonts w:cs="Arial"/>
          <w:i/>
          <w:iCs/>
          <w:color w:val="auto"/>
          <w:szCs w:val="20"/>
        </w:rPr>
        <w:t xml:space="preserve"> (um centavo de real).</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Havendo lances iguais ao menor já ofertado, prevalecerá aquele que for recebido e registrado primeiro no sistema.</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Caso o fornecedor não apresente lances, concorrerá com o valor de sua proposta.</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Durante o procedimento, os fornecedores serão informados, em tempo real, do valor do menor lance ou do maior desconto registrado, vedada a identificação do fornecedor.</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7"/>
        </w:numPr>
        <w:spacing w:lineRule="auto" w:line="276" w:before="120" w:after="120"/>
        <w:ind w:hanging="504" w:start="1224" w:end="0"/>
        <w:contextualSpacing/>
        <w:jc w:val="both"/>
        <w:rPr>
          <w:rFonts w:cs="Arial"/>
          <w:color w:val="000000"/>
          <w:szCs w:val="20"/>
          <w:lang w:eastAsia="en-US"/>
        </w:rPr>
      </w:pPr>
      <w:r>
        <w:rPr>
          <w:rFonts w:cs="Arial"/>
          <w:color w:val="000000"/>
          <w:szCs w:val="20"/>
          <w:lang w:eastAsia="en-US"/>
        </w:rPr>
        <w:t>O encerramento da fase de lances ocorrerá de forma automática pontualmente no horário indicado, sem qualquer possibilidade de prorrogação e não havendo tempo aleatório ou mecanismo similar.</w:t>
      </w:r>
    </w:p>
    <w:p>
      <w:pPr>
        <w:pStyle w:val="Heading1"/>
        <w:rPr/>
      </w:pPr>
      <w:bookmarkStart w:id="5" w:name="_Toc142925865"/>
      <w:r>
        <w:rPr/>
        <w:t xml:space="preserve">JULGAMENTO E ACEITAÇÃO DAS PROPOSTAS </w:t>
      </w:r>
      <w:bookmarkEnd w:id="5"/>
    </w:p>
    <w:p>
      <w:pPr>
        <w:pStyle w:val="ListParagraph"/>
        <w:numPr>
          <w:ilvl w:val="1"/>
          <w:numId w:val="7"/>
        </w:numPr>
        <w:spacing w:lineRule="auto" w:line="276" w:before="120" w:after="120"/>
        <w:ind w:hanging="432" w:start="716" w:end="0"/>
        <w:contextualSpacing/>
        <w:jc w:val="both"/>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7"/>
        </w:numPr>
        <w:spacing w:lineRule="auto" w:line="276" w:before="120" w:after="120"/>
        <w:ind w:hanging="504" w:start="1224" w:end="0"/>
        <w:contextualSpacing/>
        <w:jc w:val="both"/>
        <w:rPr>
          <w:rFonts w:cs="Arial"/>
          <w:color w:val="000000"/>
          <w:szCs w:val="20"/>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7"/>
        </w:numPr>
        <w:spacing w:lineRule="auto" w:line="276" w:before="120" w:after="120"/>
        <w:ind w:hanging="504" w:start="1224" w:end="0"/>
        <w:contextualSpacing/>
        <w:jc w:val="both"/>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7"/>
        </w:numPr>
        <w:spacing w:lineRule="auto" w:line="276" w:before="120" w:after="120"/>
        <w:ind w:hanging="432" w:start="716" w:end="0"/>
        <w:contextualSpacing/>
        <w:jc w:val="both"/>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7"/>
        </w:numPr>
        <w:spacing w:lineRule="auto" w:line="276" w:before="120" w:after="120"/>
        <w:ind w:hanging="432" w:start="716" w:end="0"/>
        <w:contextualSpacing/>
        <w:jc w:val="both"/>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7"/>
        </w:numPr>
        <w:spacing w:lineRule="auto" w:line="276" w:before="120" w:after="120"/>
        <w:ind w:hanging="432" w:start="716" w:end="0"/>
        <w:contextualSpacing/>
        <w:jc w:val="both"/>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\r \h </w:instrText>
      </w:r>
      <w:r>
        <w:rPr>
          <w:rFonts w:cs="Arial"/>
        </w:rPr>
        <w:fldChar w:fldCharType="separate"/>
      </w:r>
      <w:r>
        <w:rPr>
          <w:rFonts w:cs="Arial"/>
        </w:rPr>
        <w:t>1.5</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7"/>
        </w:numPr>
        <w:spacing w:lineRule="auto" w:line="276" w:before="120" w:after="120"/>
        <w:ind w:hanging="504" w:start="1224" w:end="0"/>
        <w:contextualSpacing/>
        <w:jc w:val="both"/>
        <w:rPr>
          <w:rFonts w:cs="Arial"/>
          <w:color w:val="000000"/>
          <w:szCs w:val="20"/>
        </w:rPr>
      </w:pPr>
      <w:r>
        <w:rPr>
          <w:rFonts w:cs="Arial"/>
          <w:color w:val="000000"/>
          <w:szCs w:val="20"/>
        </w:rPr>
        <w:t xml:space="preserve">SICAF;  </w:t>
      </w:r>
    </w:p>
    <w:p>
      <w:pPr>
        <w:pStyle w:val="ListParagraph"/>
        <w:numPr>
          <w:ilvl w:val="2"/>
          <w:numId w:val="7"/>
        </w:numPr>
        <w:spacing w:lineRule="auto" w:line="276" w:before="120" w:after="120"/>
        <w:ind w:hanging="504" w:start="1224" w:end="0"/>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7"/>
        </w:numPr>
        <w:spacing w:lineRule="auto" w:line="276" w:before="120" w:after="120"/>
        <w:ind w:hanging="504" w:start="1224" w:end="0"/>
        <w:contextualSpacing/>
        <w:jc w:val="both"/>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7"/>
        </w:numPr>
        <w:spacing w:lineRule="auto" w:line="276" w:before="120" w:after="120"/>
        <w:ind w:hanging="432" w:start="716" w:end="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7"/>
        </w:numPr>
        <w:spacing w:lineRule="auto" w:line="276" w:before="120" w:after="120"/>
        <w:ind w:hanging="432" w:start="716" w:end="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7"/>
        </w:numPr>
        <w:spacing w:lineRule="auto" w:line="276" w:before="120" w:after="120"/>
        <w:ind w:hanging="504" w:start="1224" w:end="0"/>
        <w:contextualSpacing/>
        <w:jc w:val="both"/>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7"/>
        </w:numPr>
        <w:spacing w:lineRule="auto" w:line="276" w:before="120" w:after="120"/>
        <w:ind w:hanging="504" w:start="1224" w:end="0"/>
        <w:contextualSpacing/>
        <w:jc w:val="both"/>
        <w:rPr/>
      </w:pPr>
      <w:r>
        <w:rPr>
          <w:rFonts w:cs="Arial"/>
        </w:rPr>
        <w:t xml:space="preserve">O </w:t>
      </w:r>
      <w:r>
        <w:rPr>
          <w:rFonts w:cs="Arial"/>
          <w:color w:val="000000"/>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7"/>
        </w:numPr>
        <w:spacing w:lineRule="auto" w:line="276" w:before="120" w:after="120"/>
        <w:ind w:hanging="504" w:start="1224" w:end="0"/>
        <w:contextualSpacing/>
        <w:jc w:val="both"/>
        <w:rPr/>
      </w:pPr>
      <w:r>
        <w:rPr>
          <w:rFonts w:cs="Arial"/>
        </w:rPr>
        <w:t xml:space="preserve">Constatada a existência de sanção, o </w:t>
      </w:r>
      <w:r>
        <w:rPr>
          <w:rFonts w:cs="Arial"/>
          <w:color w:val="000000"/>
          <w:szCs w:val="20"/>
        </w:rPr>
        <w:t>fornecedor</w:t>
      </w:r>
      <w:r>
        <w:rPr>
          <w:rFonts w:cs="Arial"/>
        </w:rPr>
        <w:t xml:space="preserve"> será reputado inabilitado, por falta de condição de participação.</w:t>
      </w:r>
    </w:p>
    <w:p>
      <w:pPr>
        <w:pStyle w:val="ListParagraph"/>
        <w:numPr>
          <w:ilvl w:val="1"/>
          <w:numId w:val="7"/>
        </w:numPr>
        <w:spacing w:lineRule="auto" w:line="276" w:before="120" w:after="120"/>
        <w:ind w:hanging="432" w:start="716" w:end="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 xml:space="preserve">Será desclassificada a proposta vencedora que: </w:t>
      </w:r>
    </w:p>
    <w:p>
      <w:pPr>
        <w:pStyle w:val="ListParagraph"/>
        <w:numPr>
          <w:ilvl w:val="2"/>
          <w:numId w:val="7"/>
        </w:numPr>
        <w:spacing w:lineRule="auto" w:line="276" w:before="120" w:after="120"/>
        <w:ind w:hanging="504" w:start="1224" w:end="0"/>
        <w:contextualSpacing/>
        <w:jc w:val="both"/>
        <w:rPr/>
      </w:pPr>
      <w:r>
        <w:rPr>
          <w:rFonts w:cs="Arial"/>
          <w:color w:val="000000"/>
          <w:szCs w:val="20"/>
        </w:rPr>
        <w:t>contiver vícios insanáveis</w:t>
      </w:r>
      <w:r>
        <w:rPr>
          <w:rFonts w:cs="Arial"/>
          <w:iCs/>
          <w:color w:val="000000"/>
          <w:szCs w:val="20"/>
        </w:rPr>
        <w:t>;</w:t>
      </w:r>
    </w:p>
    <w:p>
      <w:pPr>
        <w:pStyle w:val="ListParagraph"/>
        <w:numPr>
          <w:ilvl w:val="2"/>
          <w:numId w:val="7"/>
        </w:numPr>
        <w:spacing w:lineRule="auto" w:line="276" w:before="120" w:after="120"/>
        <w:ind w:hanging="504" w:start="1224" w:end="0"/>
        <w:contextualSpacing/>
        <w:jc w:val="both"/>
        <w:rPr/>
      </w:pPr>
      <w:r>
        <w:rPr>
          <w:rFonts w:cs="Arial"/>
          <w:color w:val="000000"/>
          <w:szCs w:val="20"/>
        </w:rPr>
        <w:t>não obedecer às especificações técnicas pormenorizadas neste aviso ou em seus anexos</w:t>
      </w:r>
      <w:r>
        <w:rPr>
          <w:rFonts w:cs="Arial"/>
          <w:iCs/>
          <w:color w:val="000000"/>
          <w:szCs w:val="20"/>
        </w:rPr>
        <w:t>;</w:t>
      </w:r>
    </w:p>
    <w:p>
      <w:pPr>
        <w:pStyle w:val="ListParagraph"/>
        <w:numPr>
          <w:ilvl w:val="2"/>
          <w:numId w:val="7"/>
        </w:numPr>
        <w:spacing w:lineRule="auto" w:line="276" w:before="120" w:after="120"/>
        <w:ind w:hanging="504" w:start="1224" w:end="0"/>
        <w:contextualSpacing/>
        <w:jc w:val="both"/>
        <w:rPr/>
      </w:pPr>
      <w:commentRangeStart w:id="13"/>
      <w:r>
        <w:rPr>
          <w:rFonts w:cs="Arial"/>
          <w:color w:val="auto"/>
          <w:szCs w:val="20"/>
        </w:rPr>
        <w:t>apresentar preços inexequíveis ou que permanecerem acima do preço máximo definido para a contratação;</w:t>
      </w:r>
      <w:commentRangeEnd w:id="13"/>
      <w:r>
        <w:commentReference w:id="13"/>
      </w:r>
      <w:r>
        <w:rPr>
          <w:rFonts w:cs="Arial"/>
          <w:color w:val="auto"/>
          <w:szCs w:val="20"/>
        </w:rPr>
      </w:r>
    </w:p>
    <w:p>
      <w:pPr>
        <w:pStyle w:val="ListParagraph"/>
        <w:numPr>
          <w:ilvl w:val="2"/>
          <w:numId w:val="7"/>
        </w:numPr>
        <w:spacing w:lineRule="auto" w:line="276" w:before="120" w:after="120"/>
        <w:ind w:hanging="504" w:start="1224" w:end="0"/>
        <w:contextualSpacing/>
        <w:jc w:val="both"/>
        <w:rPr/>
      </w:pPr>
      <w:r>
        <w:rPr>
          <w:rFonts w:cs="Arial"/>
          <w:color w:val="000000"/>
          <w:szCs w:val="20"/>
        </w:rPr>
        <w:t>não tiver sua exequibilidade demonstrada, quando exigido pela Administração</w:t>
      </w:r>
      <w:r>
        <w:rPr>
          <w:rFonts w:cs="Arial"/>
          <w:iCs/>
          <w:color w:val="000000"/>
          <w:szCs w:val="20"/>
        </w:rPr>
        <w:t>;</w:t>
      </w:r>
    </w:p>
    <w:p>
      <w:pPr>
        <w:pStyle w:val="ListParagraph"/>
        <w:numPr>
          <w:ilvl w:val="2"/>
          <w:numId w:val="7"/>
        </w:numPr>
        <w:spacing w:lineRule="auto" w:line="276" w:before="120" w:after="120"/>
        <w:ind w:hanging="504" w:start="1224" w:end="0"/>
        <w:contextualSpacing/>
        <w:jc w:val="both"/>
        <w:rPr>
          <w:rFonts w:cs="Arial"/>
          <w:color w:val="000000"/>
          <w:szCs w:val="20"/>
        </w:rPr>
      </w:pPr>
      <w:r>
        <w:rPr>
          <w:rFonts w:cs="Arial"/>
          <w:color w:val="000000"/>
          <w:szCs w:val="20"/>
        </w:rPr>
        <w:t>apresentar desconformidade com quaisquer outras exigências deste aviso ou seus anexos, desde que insanável.</w:t>
      </w:r>
    </w:p>
    <w:p>
      <w:pPr>
        <w:pStyle w:val="ListParagraph"/>
        <w:numPr>
          <w:ilvl w:val="1"/>
          <w:numId w:val="7"/>
        </w:numPr>
        <w:spacing w:lineRule="auto" w:line="276" w:before="120" w:after="120"/>
        <w:ind w:hanging="432" w:start="716" w:end="0"/>
        <w:contextualSpacing/>
        <w:jc w:val="both"/>
        <w:rPr/>
      </w:pPr>
      <w:r>
        <w:rPr>
          <w:rFonts w:cs="Arial"/>
          <w:color w:val="000000"/>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7"/>
        </w:numPr>
        <w:spacing w:lineRule="auto" w:line="276" w:before="120" w:after="120"/>
        <w:ind w:hanging="504" w:start="1224" w:end="0"/>
        <w:contextualSpacing/>
        <w:jc w:val="both"/>
        <w:rPr>
          <w:rFonts w:cs="Arial"/>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7"/>
        </w:numPr>
        <w:spacing w:lineRule="auto" w:line="276" w:before="120" w:after="120"/>
        <w:ind w:hanging="504" w:start="1224" w:end="0"/>
        <w:contextualSpacing/>
        <w:jc w:val="both"/>
        <w:rPr>
          <w:rFonts w:cs="Arial"/>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7"/>
        </w:numPr>
        <w:spacing w:lineRule="auto" w:line="276" w:before="120" w:after="120"/>
        <w:ind w:hanging="432" w:start="716" w:end="-15"/>
        <w:contextualSpacing/>
        <w:jc w:val="both"/>
        <w:rPr/>
      </w:pPr>
      <w:r>
        <w:rPr>
          <w:rFonts w:cs="Arial"/>
          <w:color w:val="000000"/>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szCs w:val="20"/>
          <w:lang w:eastAsia="en-US"/>
        </w:rPr>
        <w:t xml:space="preserve">, poderão ser efetuadas diligências, para que o fornecedor comprove a exequibilidade da proposta.  </w:t>
      </w:r>
    </w:p>
    <w:p>
      <w:pPr>
        <w:pStyle w:val="ListParagraph"/>
        <w:numPr>
          <w:ilvl w:val="1"/>
          <w:numId w:val="7"/>
        </w:numPr>
        <w:spacing w:lineRule="auto" w:line="276" w:before="120" w:after="120"/>
        <w:ind w:hanging="432" w:start="716" w:end="0"/>
        <w:contextualSpacing/>
        <w:jc w:val="both"/>
        <w:rPr/>
      </w:pPr>
      <w:r>
        <w:rPr>
          <w:rFonts w:cs="Arial"/>
          <w:color w:val="000000"/>
          <w:szCs w:val="20"/>
          <w:lang w:eastAsia="en-US"/>
        </w:rPr>
        <w:t xml:space="preserve">Erros no preenchimento da planilha não constituem motivo para a desclassificação da proposta. A planilha </w:t>
      </w:r>
      <w:r>
        <w:rPr>
          <w:rFonts w:cs="Arial"/>
          <w:szCs w:val="20"/>
        </w:rPr>
        <w:t>poderá</w:t>
      </w:r>
      <w:r>
        <w:rPr>
          <w:rFonts w:cs="Arial"/>
          <w:color w:val="000000"/>
          <w:szCs w:val="20"/>
          <w:lang w:eastAsia="en-US"/>
        </w:rPr>
        <w:t xml:space="preserve"> ser ajustada pelo fornecedor, no prazo indicado pelo sistema, desde que não haja majoração do preço.</w:t>
      </w:r>
    </w:p>
    <w:p>
      <w:pPr>
        <w:pStyle w:val="ListParagraph"/>
        <w:numPr>
          <w:ilvl w:val="2"/>
          <w:numId w:val="7"/>
        </w:numPr>
        <w:spacing w:lineRule="auto" w:line="276" w:before="120" w:after="120"/>
        <w:ind w:hanging="504" w:start="1224" w:end="0"/>
        <w:contextualSpacing/>
        <w:jc w:val="both"/>
        <w:rPr>
          <w:rFonts w:cs="Arial"/>
          <w:color w:val="000000"/>
          <w:szCs w:val="20"/>
          <w:lang w:eastAsia="en-US"/>
        </w:rPr>
      </w:pPr>
      <w:r>
        <w:rPr>
          <w:rFonts w:cs="Arial"/>
          <w:color w:val="000000"/>
          <w:szCs w:val="20"/>
          <w:lang w:eastAsia="en-US"/>
        </w:rPr>
        <w:t>O ajuste de que trata este dispositivo se limita a sanar erros ou falhas que não alterem a substância das propostas;</w:t>
      </w:r>
    </w:p>
    <w:p>
      <w:pPr>
        <w:pStyle w:val="ListParagraph"/>
        <w:numPr>
          <w:ilvl w:val="2"/>
          <w:numId w:val="7"/>
        </w:numPr>
        <w:spacing w:lineRule="auto" w:line="276" w:before="120" w:after="120"/>
        <w:ind w:hanging="504" w:start="1224" w:end="0"/>
        <w:contextualSpacing/>
        <w:jc w:val="both"/>
        <w:rPr>
          <w:rFonts w:cs="Arial"/>
          <w:color w:val="000000"/>
          <w:szCs w:val="20"/>
          <w:lang w:eastAsia="en-US"/>
        </w:rPr>
      </w:pPr>
      <w:r>
        <w:rPr>
          <w:rFonts w:cs="Arial"/>
          <w:color w:val="000000"/>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Se a proposta ou lance vencedor for desclassificado, será examinada a proposta ou lance subsequente, e, assim sucessivamente, na ordem de classificação.</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Havendo necessidade, a sessão será suspensa, informando-se no “chat” a nova data e horário para a sua continuidade.</w:t>
      </w:r>
    </w:p>
    <w:p>
      <w:pPr>
        <w:pStyle w:val="ListParagraph"/>
        <w:numPr>
          <w:ilvl w:val="1"/>
          <w:numId w:val="7"/>
        </w:numPr>
        <w:spacing w:lineRule="auto" w:line="276" w:before="120" w:after="120"/>
        <w:ind w:hanging="432" w:start="716" w:end="0"/>
        <w:contextualSpacing/>
        <w:jc w:val="both"/>
        <w:rPr>
          <w:rFonts w:cs="Arial"/>
          <w:color w:val="000000"/>
          <w:szCs w:val="20"/>
          <w:lang w:eastAsia="en-US"/>
        </w:rPr>
      </w:pPr>
      <w:r>
        <w:rPr>
          <w:rFonts w:cs="Arial"/>
          <w:color w:val="000000"/>
          <w:szCs w:val="20"/>
          <w:lang w:eastAsia="en-US"/>
        </w:rPr>
        <w:t>Encerrada a análise quanto à aceitação da proposta, será iniciada a fase de habilitação, observado o disposto neste Aviso de Contratação Direta. </w:t>
      </w:r>
    </w:p>
    <w:p>
      <w:pPr>
        <w:pStyle w:val="Heading1"/>
        <w:rPr/>
      </w:pPr>
      <w:bookmarkStart w:id="6" w:name="_Toc142925866"/>
      <w:r>
        <w:rPr/>
        <w:t>HABILITAÇÃO</w:t>
      </w:r>
      <w:bookmarkEnd w:id="6"/>
    </w:p>
    <w:p>
      <w:pPr>
        <w:pStyle w:val="Normal"/>
        <w:numPr>
          <w:ilvl w:val="1"/>
          <w:numId w:val="7"/>
        </w:numPr>
        <w:spacing w:lineRule="auto" w:line="276" w:before="120" w:after="120"/>
        <w:contextualSpacing/>
        <w:jc w:val="both"/>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7"/>
        </w:numPr>
        <w:spacing w:lineRule="auto" w:line="276" w:before="120" w:after="120"/>
        <w:contextualSpacing/>
        <w:jc w:val="both"/>
        <w:rPr/>
      </w:pPr>
      <w:r>
        <w:rPr>
          <w:rFonts w:cs="Arial"/>
          <w:szCs w:val="20"/>
        </w:rPr>
        <w:t>A habilitação dos fornecedores será verificada por meio do SICAF, nos documentos por ele abrangidos</w:t>
      </w:r>
      <w:r>
        <w:rPr>
          <w:rFonts w:cs="Arial"/>
          <w:color w:val="000000"/>
          <w:szCs w:val="20"/>
        </w:rPr>
        <w:t>.</w:t>
      </w:r>
    </w:p>
    <w:p>
      <w:pPr>
        <w:pStyle w:val="Normal"/>
        <w:numPr>
          <w:ilvl w:val="2"/>
          <w:numId w:val="7"/>
        </w:numPr>
        <w:spacing w:lineRule="auto" w:line="276" w:before="120" w:after="120"/>
        <w:contextualSpacing/>
        <w:jc w:val="both"/>
        <w:rPr>
          <w:rFonts w:cs="Arial"/>
          <w:color w:val="000000"/>
          <w:szCs w:val="20"/>
        </w:rPr>
      </w:pPr>
      <w:r>
        <w:rPr>
          <w:rFonts w:cs="Arial"/>
          <w:color w:val="000000"/>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7"/>
        </w:numPr>
        <w:spacing w:lineRule="auto" w:line="276" w:before="120" w:after="120"/>
        <w:contextualSpacing/>
        <w:jc w:val="both"/>
        <w:rPr>
          <w:rFonts w:cs="Arial"/>
          <w:color w:val="000000"/>
          <w:szCs w:val="20"/>
        </w:rPr>
      </w:pPr>
      <w:r>
        <w:rPr>
          <w:rFonts w:cs="Arial"/>
          <w:color w:val="000000"/>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7"/>
        </w:numPr>
        <w:spacing w:lineRule="auto" w:line="276" w:before="120" w:after="120"/>
        <w:contextualSpacing/>
        <w:jc w:val="both"/>
        <w:rPr/>
      </w:pPr>
      <w:r>
        <w:rPr>
          <w:rFonts w:cs="Arial"/>
          <w:color w:val="000000"/>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b/>
          <w:bCs/>
          <w:color w:val="000000"/>
          <w:sz w:val="24"/>
          <w:szCs w:val="24"/>
          <w:u w:val="single"/>
        </w:rPr>
        <w:t xml:space="preserve">6 horas </w:t>
      </w:r>
      <w:r>
        <w:rPr>
          <w:rFonts w:cs="Arial"/>
          <w:color w:val="000000"/>
          <w:szCs w:val="20"/>
        </w:rPr>
        <w:t>sob pena de inabilitação. (</w:t>
      </w:r>
      <w:r>
        <w:fldChar w:fldCharType="begin"/>
      </w:r>
      <w:r>
        <w:rPr>
          <w:rStyle w:val="Style8"/>
          <w:rFonts w:cs="Arial"/>
          <w:color w:val="0563C1"/>
          <w:szCs w:val="20"/>
          <w:u w:val="single"/>
        </w:rPr>
        <w:instrText xml:space="preserve"> HYPERLINK "https://www.in.gov.br/en/web/dou/-/instrucao-normativa-seges/me-n-67-de-8-de-julho-de-2021-330985107" \l "art19%C2%A73"</w:instrText>
      </w:r>
      <w:r>
        <w:rPr>
          <w:rStyle w:val="Style8"/>
          <w:rFonts w:cs="Arial"/>
          <w:color w:val="0563C1"/>
          <w:szCs w:val="20"/>
          <w:u w:val="single"/>
        </w:rPr>
        <w:fldChar w:fldCharType="separate"/>
      </w:r>
      <w:r>
        <w:rPr>
          <w:rStyle w:val="Style8"/>
          <w:rFonts w:cs="Arial"/>
          <w:color w:val="0563C1"/>
          <w:szCs w:val="20"/>
          <w:u w:val="single"/>
        </w:rPr>
        <w:t>art. 19, § 3º, da IN Seges/ME nº 67, de 2021</w:t>
      </w:r>
      <w:r>
        <w:rPr>
          <w:rStyle w:val="Style8"/>
          <w:rFonts w:cs="Arial"/>
          <w:color w:val="0563C1"/>
          <w:szCs w:val="20"/>
          <w:u w:val="single"/>
        </w:rPr>
        <w:fldChar w:fldCharType="end"/>
      </w:r>
      <w:r>
        <w:rPr>
          <w:rFonts w:cs="Arial"/>
          <w:color w:val="000000"/>
          <w:szCs w:val="20"/>
        </w:rPr>
        <w:t>).</w:t>
      </w:r>
    </w:p>
    <w:p>
      <w:pPr>
        <w:pStyle w:val="Normal"/>
        <w:numPr>
          <w:ilvl w:val="1"/>
          <w:numId w:val="7"/>
        </w:numPr>
        <w:spacing w:lineRule="auto" w:line="276" w:before="120" w:after="120"/>
        <w:contextualSpacing/>
        <w:jc w:val="both"/>
        <w:rPr>
          <w:rFonts w:cs="Arial"/>
          <w:color w:val="000000"/>
          <w:szCs w:val="20"/>
        </w:rPr>
      </w:pPr>
      <w:r>
        <w:rPr>
          <w:rFonts w:cs="Arial"/>
          <w:color w:val="000000"/>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7"/>
        </w:numPr>
        <w:spacing w:lineRule="auto" w:line="276" w:before="120" w:after="120"/>
        <w:contextualSpacing/>
        <w:jc w:val="both"/>
        <w:rPr>
          <w:rFonts w:cs="Arial"/>
          <w:color w:val="000000"/>
          <w:szCs w:val="20"/>
        </w:rPr>
      </w:pPr>
      <w:r>
        <w:rPr>
          <w:rFonts w:cs="Arial"/>
          <w:color w:val="000000"/>
          <w:szCs w:val="20"/>
        </w:rPr>
        <w:t>Não serão aceitos documentos de habilitação com indicação de CNPJ/CPF diferentes, salvo aqueles legalmente permitidos.</w:t>
      </w:r>
    </w:p>
    <w:p>
      <w:pPr>
        <w:pStyle w:val="Normal"/>
        <w:numPr>
          <w:ilvl w:val="1"/>
          <w:numId w:val="7"/>
        </w:numPr>
        <w:spacing w:lineRule="auto" w:line="276" w:before="120" w:after="120"/>
        <w:contextualSpacing/>
        <w:jc w:val="both"/>
        <w:rPr>
          <w:rFonts w:cs="Arial"/>
          <w:color w:val="000000"/>
          <w:szCs w:val="20"/>
        </w:rPr>
      </w:pPr>
      <w:r>
        <w:rPr>
          <w:rFonts w:cs="Arial"/>
          <w:color w:val="00000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7"/>
        </w:numPr>
        <w:spacing w:lineRule="auto" w:line="276" w:before="120" w:after="120"/>
        <w:contextualSpacing/>
        <w:jc w:val="both"/>
        <w:rPr/>
      </w:pPr>
      <w:r>
        <w:rPr>
          <w:rFonts w:cs="Arial"/>
          <w:color w:val="000000"/>
          <w:szCs w:val="20"/>
        </w:rPr>
        <w:t xml:space="preserve">Serão aceitos registros de CNPJ de fornecedor matriz e filial com diferenças de números de documentos pertinentes ao CND e ao CRF/FGTS, quando for comprovada </w:t>
      </w:r>
      <w:r>
        <w:rPr>
          <w:rFonts w:cs="Arial"/>
          <w:color w:val="auto"/>
          <w:szCs w:val="20"/>
        </w:rPr>
        <w:t>a centralização do recolhimento dessas contribuições.</w:t>
      </w:r>
    </w:p>
    <w:p>
      <w:pPr>
        <w:pStyle w:val="Normal"/>
        <w:numPr>
          <w:ilvl w:val="1"/>
          <w:numId w:val="7"/>
        </w:numPr>
        <w:spacing w:lineRule="auto" w:line="276" w:before="120" w:after="120"/>
        <w:contextualSpacing/>
        <w:jc w:val="both"/>
        <w:rPr/>
      </w:pPr>
      <w:commentRangeStart w:id="14"/>
      <w:r>
        <w:rPr>
          <w:rFonts w:cs="Arial"/>
          <w:i/>
          <w:color w:val="auto"/>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7"/>
        </w:numPr>
        <w:spacing w:lineRule="auto" w:line="276" w:before="120" w:after="120"/>
        <w:contextualSpacing/>
        <w:jc w:val="both"/>
        <w:rPr/>
      </w:pPr>
      <w:r>
        <w:rPr>
          <w:rFonts w:cs="Arial"/>
          <w:i/>
          <w:color w:val="auto"/>
          <w:szCs w:val="20"/>
        </w:rPr>
        <w:t>Não havendo a comprovação cumulativa dos requisitos de habilitação, a inabilitação recairá sobre o(s) item(ns) de menor(es) valor(es) cuja retirada(s) seja(m) suficiente(s) para a habilitação do fornecedor nos remanescentes.</w:t>
      </w:r>
      <w:commentRangeEnd w:id="14"/>
      <w:r>
        <w:commentReference w:id="14"/>
      </w:r>
      <w:r>
        <w:rPr>
          <w:rFonts w:cs="Arial"/>
          <w:i/>
          <w:color w:val="auto"/>
          <w:szCs w:val="20"/>
        </w:rPr>
      </w:r>
    </w:p>
    <w:p>
      <w:pPr>
        <w:pStyle w:val="Normal"/>
        <w:spacing w:lineRule="auto" w:line="276" w:before="120" w:after="120"/>
        <w:ind w:hanging="0" w:start="1224" w:end="0"/>
        <w:contextualSpacing/>
        <w:jc w:val="both"/>
        <w:rPr>
          <w:rFonts w:cs="Arial"/>
          <w:i/>
          <w:color w:val="FF0000"/>
          <w:szCs w:val="20"/>
        </w:rPr>
      </w:pPr>
      <w:r>
        <w:rPr>
          <w:rFonts w:cs="Arial"/>
          <w:i/>
          <w:color w:val="FF0000"/>
          <w:szCs w:val="20"/>
        </w:rPr>
      </w:r>
    </w:p>
    <w:p>
      <w:pPr>
        <w:pStyle w:val="Normal"/>
        <w:numPr>
          <w:ilvl w:val="1"/>
          <w:numId w:val="7"/>
        </w:numPr>
        <w:spacing w:lineRule="auto" w:line="276" w:before="120" w:after="120"/>
        <w:contextualSpacing/>
        <w:jc w:val="both"/>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7"/>
        </w:numPr>
        <w:spacing w:lineRule="auto" w:line="276" w:before="120" w:after="120"/>
        <w:contextualSpacing/>
        <w:jc w:val="both"/>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7"/>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7"/>
        </w:numPr>
        <w:spacing w:lineRule="auto" w:line="276" w:before="120" w:after="120"/>
        <w:contextualSpacing/>
        <w:jc w:val="both"/>
        <w:rPr>
          <w:rFonts w:cs="Arial"/>
          <w:iCs/>
        </w:rPr>
      </w:pPr>
      <w:r>
        <w:rPr>
          <w:rFonts w:cs="Arial"/>
          <w:iCs/>
        </w:rPr>
        <w:t>Constatado o atendimento às exigências de habilitação, o fornecedor será habilitado.</w:t>
      </w:r>
    </w:p>
    <w:p>
      <w:pPr>
        <w:pStyle w:val="Heading1"/>
        <w:rPr/>
      </w:pPr>
      <w:bookmarkStart w:id="7" w:name="_Toc142925869"/>
      <w:commentRangeStart w:id="15"/>
      <w:r>
        <w:rPr/>
        <w:t>CONTRATAÇÃO</w:t>
      </w:r>
      <w:bookmarkEnd w:id="7"/>
    </w:p>
    <w:p>
      <w:pPr>
        <w:pStyle w:val="Normal"/>
        <w:numPr>
          <w:ilvl w:val="1"/>
          <w:numId w:val="7"/>
        </w:numPr>
        <w:spacing w:lineRule="auto" w:line="276" w:before="120" w:after="120"/>
        <w:ind w:hanging="0" w:start="425" w:end="0"/>
        <w:jc w:val="both"/>
        <w:rPr/>
      </w:pPr>
      <w:commentRangeStart w:id="16"/>
      <w:r>
        <w:rPr>
          <w:rFonts w:eastAsia="Arial" w:cs="Arial"/>
          <w:color w:val="000000"/>
          <w:szCs w:val="20"/>
        </w:rPr>
        <w:t>Após a homologação e adjudicação, caso se conclua pela contratação, será firmado Termo de Contr</w:t>
      </w:r>
      <w:r>
        <w:rPr>
          <w:rFonts w:eastAsia="Arial" w:cs="Arial"/>
          <w:color w:val="auto"/>
          <w:szCs w:val="20"/>
        </w:rPr>
        <w:t>ato ou emitido instrumento equivalente.</w:t>
      </w:r>
      <w:commentRangeEnd w:id="16"/>
      <w:r>
        <w:commentReference w:id="16"/>
      </w:r>
      <w:r>
        <w:rPr>
          <w:rFonts w:eastAsia="Arial" w:cs="Arial"/>
          <w:color w:val="auto"/>
          <w:szCs w:val="20"/>
        </w:rPr>
      </w:r>
    </w:p>
    <w:p>
      <w:pPr>
        <w:pStyle w:val="Normal"/>
        <w:numPr>
          <w:ilvl w:val="1"/>
          <w:numId w:val="7"/>
        </w:numPr>
        <w:spacing w:lineRule="auto" w:line="276" w:before="120" w:after="120"/>
        <w:ind w:hanging="0" w:start="425" w:end="0"/>
        <w:jc w:val="both"/>
        <w:rPr/>
      </w:pPr>
      <w:r>
        <w:rPr>
          <w:rFonts w:eastAsia="Arial" w:cs="Arial"/>
          <w:color w:val="auto"/>
          <w:szCs w:val="20"/>
        </w:rPr>
        <w:t xml:space="preserve">O adjudicatário terá o prazo de </w:t>
      </w:r>
      <w:r>
        <w:rPr>
          <w:rFonts w:eastAsia="Arial" w:cs="Arial"/>
          <w:i/>
          <w:color w:val="auto"/>
          <w:sz w:val="20"/>
          <w:szCs w:val="20"/>
          <w:lang w:eastAsia="pt-BR"/>
        </w:rPr>
        <w:t>1</w:t>
      </w:r>
      <w:r>
        <w:rPr>
          <w:rFonts w:eastAsia="Arial" w:cs="Arial"/>
          <w:i/>
          <w:color w:val="auto"/>
          <w:szCs w:val="20"/>
        </w:rPr>
        <w:t>(</w:t>
      </w:r>
      <w:r>
        <w:rPr>
          <w:rFonts w:eastAsia="Arial" w:cs="Arial"/>
          <w:i/>
          <w:color w:val="auto"/>
          <w:sz w:val="20"/>
          <w:szCs w:val="20"/>
          <w:lang w:eastAsia="pt-BR"/>
        </w:rPr>
        <w:t>um</w:t>
      </w:r>
      <w:r>
        <w:rPr>
          <w:rFonts w:eastAsia="Arial" w:cs="Arial"/>
          <w:i/>
          <w:color w:val="auto"/>
          <w:szCs w:val="20"/>
        </w:rPr>
        <w:t>) diaa útil,</w:t>
      </w:r>
      <w:r>
        <w:rPr>
          <w:rFonts w:eastAsia="Arial" w:cs="Arial"/>
          <w:color w:val="auto"/>
          <w:szCs w:val="20"/>
        </w:rPr>
        <w:t xml:space="preserve"> contados a partir da data de sua convocação, </w:t>
      </w:r>
      <w:r>
        <w:rPr>
          <w:rFonts w:eastAsia="Arial" w:cs="Arial"/>
          <w:color w:val="auto"/>
          <w:szCs w:val="20"/>
          <w:u w:val="none"/>
        </w:rPr>
        <w:t xml:space="preserve">para </w:t>
      </w:r>
      <w:r>
        <w:rPr>
          <w:rFonts w:eastAsia="Arial" w:cs="Arial"/>
          <w:i/>
          <w:color w:val="auto"/>
          <w:szCs w:val="20"/>
          <w:u w:val="none"/>
        </w:rPr>
        <w:t>aceitar</w:t>
      </w:r>
      <w:r>
        <w:rPr>
          <w:rFonts w:eastAsia="Arial" w:cs="Arial"/>
          <w:i/>
          <w:color w:val="auto"/>
          <w:szCs w:val="20"/>
        </w:rPr>
        <w:t xml:space="preserve"> instrumento equivalente, sendo a Nota de Empenho o instrumento substitutivo do contrato, </w:t>
      </w:r>
      <w:r>
        <w:rPr>
          <w:rFonts w:eastAsia="Arial" w:cs="Arial"/>
          <w:color w:val="auto"/>
          <w:szCs w:val="20"/>
        </w:rPr>
        <w:t xml:space="preserve">sob pena de decair o direito à contratação, sem prejuízo das sanções previstas neste Aviso de Contratação Direta. </w:t>
      </w:r>
    </w:p>
    <w:p>
      <w:pPr>
        <w:pStyle w:val="Normal"/>
        <w:numPr>
          <w:ilvl w:val="2"/>
          <w:numId w:val="7"/>
        </w:numPr>
        <w:spacing w:lineRule="auto" w:line="276" w:before="120" w:after="120"/>
        <w:jc w:val="both"/>
        <w:rPr/>
      </w:pPr>
      <w:r>
        <w:rPr>
          <w:rFonts w:eastAsia="Arial" w:cs="Arial"/>
          <w:color w:val="auto"/>
          <w:szCs w:val="20"/>
        </w:rPr>
        <w:t>Alternativamente à convocação para compa</w:t>
      </w:r>
      <w:r>
        <w:rPr>
          <w:rFonts w:eastAsia="Arial" w:cs="Arial"/>
          <w:color w:val="000000"/>
          <w:szCs w:val="20"/>
        </w:rPr>
        <w:t xml:space="preserve">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Pr>
          <w:rFonts w:eastAsia="Arial" w:cs="Arial"/>
          <w:color w:val="000000"/>
          <w:sz w:val="20"/>
          <w:szCs w:val="20"/>
          <w:lang w:eastAsia="pt-BR"/>
        </w:rPr>
        <w:t>2</w:t>
      </w:r>
      <w:r>
        <w:rPr>
          <w:rFonts w:eastAsia="Arial" w:cs="Arial"/>
          <w:color w:val="000000"/>
          <w:szCs w:val="20"/>
        </w:rPr>
        <w:t xml:space="preserve"> (dois) dias, a contar da data de seu recebimento</w:t>
      </w:r>
      <w:r>
        <w:rPr>
          <w:rFonts w:eastAsia="Arial"/>
          <w:color w:val="000000"/>
        </w:rPr>
        <w:t xml:space="preserve"> ou da disponibilização do acesso ao sistema de processo eletrônico.</w:t>
      </w:r>
    </w:p>
    <w:p>
      <w:pPr>
        <w:pStyle w:val="Normal"/>
        <w:numPr>
          <w:ilvl w:val="2"/>
          <w:numId w:val="7"/>
        </w:numPr>
        <w:spacing w:lineRule="auto" w:line="276" w:before="120" w:after="120"/>
        <w:jc w:val="both"/>
        <w:rPr/>
      </w:pPr>
      <w:r>
        <w:rPr>
          <w:rFonts w:eastAsia="Arial" w:cs="Arial"/>
          <w:color w:val="000000"/>
          <w:szCs w:val="20"/>
        </w:rPr>
        <w:t>O prazo previsto no subitem anterior poderá ser prorrogado, por igual período, por solicitação justificada do adjudicatário e aceita pela Administração.</w:t>
      </w:r>
      <w:commentRangeEnd w:id="15"/>
      <w:r>
        <w:commentReference w:id="15"/>
      </w:r>
      <w:r>
        <w:rPr>
          <w:rFonts w:eastAsia="Arial" w:cs="Arial"/>
          <w:color w:val="000000"/>
          <w:szCs w:val="20"/>
        </w:rPr>
      </w:r>
    </w:p>
    <w:p>
      <w:pPr>
        <w:pStyle w:val="Normal"/>
        <w:numPr>
          <w:ilvl w:val="1"/>
          <w:numId w:val="7"/>
        </w:numPr>
        <w:spacing w:lineRule="auto" w:line="276" w:before="120" w:after="120"/>
        <w:ind w:hanging="0" w:start="425" w:end="0"/>
        <w:jc w:val="both"/>
        <w:rPr/>
      </w:pPr>
      <w:commentRangeStart w:id="17"/>
      <w:r>
        <w:rPr>
          <w:rFonts w:eastAsia="Arial" w:cs="Arial"/>
          <w:i/>
          <w:color w:val="auto"/>
          <w:szCs w:val="20"/>
        </w:rPr>
        <w:t>O Aceite da Nota de Empenho, emitida ao fornecedor adjudicado, implica o reconhecimento de que:</w:t>
      </w:r>
    </w:p>
    <w:p>
      <w:pPr>
        <w:pStyle w:val="Normal"/>
        <w:numPr>
          <w:ilvl w:val="2"/>
          <w:numId w:val="7"/>
        </w:numPr>
        <w:spacing w:lineRule="auto" w:line="276" w:before="120" w:after="120"/>
        <w:jc w:val="both"/>
        <w:rPr/>
      </w:pPr>
      <w:r>
        <w:rPr>
          <w:rFonts w:eastAsia="Arial" w:cs="Arial"/>
          <w:i/>
          <w:color w:val="auto"/>
          <w:szCs w:val="20"/>
        </w:rPr>
        <w:t xml:space="preserve">referida Nota está substituindo o contrato, aplicando-se à relação de negócios ali estabelecida as disposições da </w:t>
      </w:r>
      <w:hyperlink r:id="rId9">
        <w:r>
          <w:rPr>
            <w:rStyle w:val="Style8"/>
            <w:rFonts w:eastAsia="Arial" w:cs="Arial"/>
            <w:i/>
            <w:color w:val="auto"/>
            <w:szCs w:val="20"/>
            <w:u w:val="single"/>
          </w:rPr>
          <w:t>Lei nº 14.133, de 2021</w:t>
        </w:r>
      </w:hyperlink>
      <w:r>
        <w:rPr>
          <w:rFonts w:eastAsia="Arial" w:cs="Arial"/>
          <w:i/>
          <w:color w:val="auto"/>
          <w:szCs w:val="20"/>
        </w:rPr>
        <w:t>;</w:t>
      </w:r>
    </w:p>
    <w:p>
      <w:pPr>
        <w:pStyle w:val="Normal"/>
        <w:numPr>
          <w:ilvl w:val="2"/>
          <w:numId w:val="7"/>
        </w:numPr>
        <w:spacing w:lineRule="auto" w:line="276" w:before="120" w:after="120"/>
        <w:jc w:val="both"/>
        <w:rPr>
          <w:rFonts w:eastAsia="Arial" w:cs="Arial"/>
          <w:i/>
          <w:color w:val="auto"/>
          <w:szCs w:val="20"/>
        </w:rPr>
      </w:pPr>
      <w:r>
        <w:rPr>
          <w:rFonts w:eastAsia="Arial" w:cs="Arial"/>
          <w:i/>
          <w:color w:val="auto"/>
          <w:szCs w:val="20"/>
        </w:rPr>
        <w:t>a contratada se vincula à sua proposta e às previsões contidas no Aviso de Contratação Direta e seus anexos;</w:t>
      </w:r>
    </w:p>
    <w:p>
      <w:pPr>
        <w:pStyle w:val="Normal"/>
        <w:numPr>
          <w:ilvl w:val="2"/>
          <w:numId w:val="7"/>
        </w:numPr>
        <w:spacing w:lineRule="auto" w:line="276" w:before="120" w:after="120"/>
        <w:jc w:val="both"/>
        <w:rPr/>
      </w:pPr>
      <w:r>
        <w:rPr>
          <w:rFonts w:eastAsia="Arial" w:cs="Arial"/>
          <w:i/>
          <w:color w:val="auto"/>
          <w:szCs w:val="20"/>
        </w:rPr>
        <w:t xml:space="preserve">a contratada reconhece que as hipóteses de rescisão são aquelas previstas nos </w:t>
      </w:r>
      <w:r>
        <w:fldChar w:fldCharType="begin"/>
      </w:r>
      <w:r>
        <w:rPr>
          <w:rStyle w:val="Style8"/>
          <w:rFonts w:eastAsia="Arial" w:cs="Arial"/>
          <w:i/>
          <w:color w:val="auto"/>
          <w:szCs w:val="20"/>
          <w:u w:val="single"/>
        </w:rPr>
        <w:instrText xml:space="preserve"> HYPERLINK "http://www.planalto.gov.br/ccivil_03/_ato2019-2022/2021/lei/L14133.htm" \l "art137"</w:instrText>
      </w:r>
      <w:r>
        <w:rPr>
          <w:rStyle w:val="Style8"/>
          <w:rFonts w:eastAsia="Arial" w:cs="Arial"/>
          <w:i/>
          <w:color w:val="auto"/>
          <w:szCs w:val="20"/>
          <w:u w:val="single"/>
        </w:rPr>
        <w:fldChar w:fldCharType="separate"/>
      </w:r>
      <w:r>
        <w:rPr>
          <w:rStyle w:val="Style8"/>
          <w:rFonts w:eastAsia="Arial" w:cs="Arial"/>
          <w:i/>
          <w:color w:val="auto"/>
          <w:szCs w:val="20"/>
          <w:u w:val="single"/>
        </w:rPr>
        <w:t>artigos 137 e 138 da Lei nº 14.133, de 2021</w:t>
      </w:r>
      <w:r>
        <w:rPr>
          <w:rStyle w:val="Style8"/>
          <w:rFonts w:eastAsia="Arial" w:cs="Arial"/>
          <w:i/>
          <w:color w:val="auto"/>
          <w:szCs w:val="20"/>
          <w:u w:val="single"/>
        </w:rPr>
        <w:fldChar w:fldCharType="end"/>
      </w:r>
      <w:r>
        <w:rPr>
          <w:rFonts w:eastAsia="Arial" w:cs="Arial"/>
          <w:i/>
          <w:color w:val="auto"/>
          <w:szCs w:val="20"/>
        </w:rPr>
        <w:t xml:space="preserve"> e reconhece os direitos da Administração previstos nos </w:t>
      </w:r>
      <w:r>
        <w:fldChar w:fldCharType="begin"/>
      </w:r>
      <w:r>
        <w:rPr>
          <w:rStyle w:val="Style8"/>
          <w:rFonts w:eastAsia="Arial" w:cs="Arial"/>
          <w:i/>
          <w:color w:val="auto"/>
          <w:szCs w:val="20"/>
          <w:u w:val="single"/>
        </w:rPr>
        <w:instrText xml:space="preserve"> HYPERLINK "http://www.planalto.gov.br/ccivil_03/_ato2019-2022/2021/lei/L14133.htm" \l "art137"</w:instrText>
      </w:r>
      <w:r>
        <w:rPr>
          <w:rStyle w:val="Style8"/>
          <w:rFonts w:eastAsia="Arial" w:cs="Arial"/>
          <w:i/>
          <w:color w:val="auto"/>
          <w:szCs w:val="20"/>
          <w:u w:val="single"/>
        </w:rPr>
        <w:fldChar w:fldCharType="separate"/>
      </w:r>
      <w:r>
        <w:rPr>
          <w:rStyle w:val="Style8"/>
          <w:rFonts w:eastAsia="Arial" w:cs="Arial"/>
          <w:i/>
          <w:color w:val="auto"/>
          <w:szCs w:val="20"/>
          <w:u w:val="single"/>
        </w:rPr>
        <w:t>artigos 137 a 139 da mesma Lei</w:t>
      </w:r>
      <w:r>
        <w:rPr>
          <w:rStyle w:val="Style8"/>
          <w:rFonts w:eastAsia="Arial" w:cs="Arial"/>
          <w:i/>
          <w:color w:val="auto"/>
          <w:szCs w:val="20"/>
          <w:u w:val="single"/>
        </w:rPr>
        <w:fldChar w:fldCharType="end"/>
      </w:r>
      <w:r>
        <w:rPr>
          <w:rFonts w:eastAsia="Arial" w:cs="Arial"/>
          <w:i/>
          <w:color w:val="auto"/>
          <w:szCs w:val="20"/>
        </w:rPr>
        <w:t>.</w:t>
      </w:r>
      <w:commentRangeEnd w:id="17"/>
      <w:r>
        <w:commentReference w:id="17"/>
      </w:r>
      <w:r>
        <w:rPr>
          <w:rFonts w:eastAsia="Arial" w:cs="Arial"/>
          <w:i/>
          <w:color w:val="auto"/>
          <w:szCs w:val="20"/>
        </w:rPr>
      </w:r>
    </w:p>
    <w:p>
      <w:pPr>
        <w:pStyle w:val="Normal"/>
        <w:numPr>
          <w:ilvl w:val="1"/>
          <w:numId w:val="7"/>
        </w:numPr>
        <w:spacing w:lineRule="auto" w:line="276" w:before="120" w:after="120"/>
        <w:ind w:hanging="0" w:start="425" w:end="0"/>
        <w:jc w:val="both"/>
        <w:rPr>
          <w:rFonts w:eastAsia="Arial" w:cs="Arial"/>
          <w:color w:val="auto"/>
          <w:szCs w:val="20"/>
        </w:rPr>
      </w:pPr>
      <w:r>
        <w:rPr>
          <w:rFonts w:eastAsia="Arial" w:cs="Arial"/>
          <w:color w:val="auto"/>
          <w:szCs w:val="20"/>
        </w:rPr>
        <w:t xml:space="preserve">O prazo de vigência da contratação é o estabelecido no Termo de Referência. </w:t>
      </w:r>
    </w:p>
    <w:p>
      <w:pPr>
        <w:pStyle w:val="Normal"/>
        <w:numPr>
          <w:ilvl w:val="1"/>
          <w:numId w:val="7"/>
        </w:numPr>
        <w:spacing w:lineRule="auto" w:line="276" w:before="120" w:after="120"/>
        <w:ind w:hanging="0" w:start="425" w:end="0"/>
        <w:jc w:val="both"/>
        <w:rPr/>
      </w:pPr>
      <w:commentRangeStart w:id="18"/>
      <w:r>
        <w:rPr>
          <w:rFonts w:cs="Arial"/>
          <w:color w:val="auto"/>
          <w:szCs w:val="20"/>
        </w:rPr>
        <w:t>Na assinatura do contrato ou do instrumento equivalente se</w:t>
      </w:r>
      <w:r>
        <w:rPr>
          <w:rFonts w:cs="Arial"/>
          <w:color w:val="000000"/>
          <w:szCs w:val="20"/>
        </w:rPr>
        <w:t>rá exigida a comprovação das condições de habilitação e contratação consignadas neste aviso, que deverão ser mantidas pelo fornecedor durante a vigência do contrato.</w:t>
      </w:r>
      <w:commentRangeEnd w:id="18"/>
      <w:r>
        <w:commentReference w:id="18"/>
      </w:r>
      <w:r>
        <w:rPr>
          <w:rFonts w:cs="Arial"/>
          <w:color w:val="000000"/>
          <w:szCs w:val="20"/>
        </w:rPr>
      </w:r>
    </w:p>
    <w:p>
      <w:pPr>
        <w:pStyle w:val="Heading1"/>
        <w:rPr/>
      </w:pPr>
      <w:bookmarkStart w:id="8" w:name="_Toc142925870"/>
      <w:r>
        <w:rPr/>
        <w:t>INFRAÇÕES E SANÇÕES ADMINISTRATIVAS</w:t>
      </w:r>
      <w:bookmarkEnd w:id="8"/>
    </w:p>
    <w:p>
      <w:pPr>
        <w:pStyle w:val="Normal"/>
        <w:numPr>
          <w:ilvl w:val="1"/>
          <w:numId w:val="7"/>
        </w:numPr>
        <w:spacing w:lineRule="auto" w:line="276" w:before="120" w:after="120"/>
        <w:ind w:hanging="0" w:start="425" w:end="0"/>
        <w:jc w:val="both"/>
        <w:rPr/>
      </w:pPr>
      <w:r>
        <w:rPr>
          <w:rFonts w:cs="Arial"/>
        </w:rPr>
        <w:t xml:space="preserve">Comete infração administrativa o fornecedor que praticar quaisquer das hipóteses previstas no </w:t>
      </w:r>
      <w:r>
        <w:fldChar w:fldCharType="begin"/>
      </w:r>
      <w:r>
        <w:rPr>
          <w:rStyle w:val="Style8"/>
          <w:rFonts w:cs="Arial"/>
          <w:color w:val="0563C1"/>
          <w:u w:val="single"/>
        </w:rPr>
        <w:instrText xml:space="preserve"> HYPERLINK "http://www.planalto.gov.br/ccivil_03/_ato2019-2022/2021/lei/L14133.htm" \l "art155"</w:instrText>
      </w:r>
      <w:r>
        <w:rPr>
          <w:rStyle w:val="Style8"/>
          <w:rFonts w:cs="Arial"/>
          <w:color w:val="0563C1"/>
          <w:u w:val="single"/>
        </w:rPr>
        <w:fldChar w:fldCharType="separate"/>
      </w:r>
      <w:r>
        <w:rPr>
          <w:rStyle w:val="Style8"/>
          <w:rFonts w:cs="Arial"/>
          <w:color w:val="0563C1"/>
          <w:u w:val="single"/>
        </w:rPr>
        <w:t>art. 155 da Lei nº 14.133, de 2021</w:t>
      </w:r>
      <w:r>
        <w:rPr>
          <w:rStyle w:val="Style8"/>
          <w:rFonts w:cs="Arial"/>
          <w:color w:val="0563C1"/>
          <w:u w:val="single"/>
        </w:rPr>
        <w:fldChar w:fldCharType="end"/>
      </w:r>
      <w:r>
        <w:rPr>
          <w:rFonts w:cs="Arial"/>
        </w:rPr>
        <w:t xml:space="preserve">, quais sejam: </w:t>
      </w:r>
    </w:p>
    <w:p>
      <w:pPr>
        <w:pStyle w:val="Normal"/>
        <w:numPr>
          <w:ilvl w:val="2"/>
          <w:numId w:val="7"/>
        </w:numPr>
        <w:spacing w:lineRule="auto" w:line="276" w:before="120" w:after="120"/>
        <w:jc w:val="both"/>
        <w:rPr/>
      </w:pPr>
      <w:bookmarkStart w:id="9" w:name="_Ref143509900"/>
      <w:r>
        <w:rPr>
          <w:rFonts w:cs="Arial"/>
          <w:color w:val="000000"/>
          <w:szCs w:val="20"/>
        </w:rPr>
        <w:t>dar causa à inexecução parcial do contrato</w:t>
      </w:r>
      <w:r>
        <w:rPr>
          <w:rFonts w:cs="Arial"/>
        </w:rPr>
        <w:t>;</w:t>
      </w:r>
      <w:bookmarkEnd w:id="9"/>
    </w:p>
    <w:p>
      <w:pPr>
        <w:pStyle w:val="Normal"/>
        <w:numPr>
          <w:ilvl w:val="2"/>
          <w:numId w:val="7"/>
        </w:numPr>
        <w:spacing w:lineRule="auto" w:line="276" w:before="120" w:after="120"/>
        <w:jc w:val="both"/>
        <w:rPr>
          <w:rFonts w:cs="Arial"/>
          <w:color w:val="000000"/>
          <w:szCs w:val="20"/>
        </w:rPr>
      </w:pPr>
      <w:bookmarkStart w:id="10" w:name="_Ref143510015"/>
      <w:r>
        <w:rPr>
          <w:rFonts w:cs="Arial"/>
          <w:color w:val="000000"/>
          <w:szCs w:val="20"/>
        </w:rPr>
        <w:t>dar causa à inexecução parcial do contrato que cause grave dano à Administração, ao funcionamento dos serviços públicos ou ao interesse coletivo;</w:t>
      </w:r>
      <w:bookmarkEnd w:id="10"/>
    </w:p>
    <w:p>
      <w:pPr>
        <w:pStyle w:val="Normal"/>
        <w:numPr>
          <w:ilvl w:val="2"/>
          <w:numId w:val="7"/>
        </w:numPr>
        <w:spacing w:lineRule="auto" w:line="276" w:before="120" w:after="120"/>
        <w:jc w:val="both"/>
        <w:rPr>
          <w:rFonts w:cs="Arial"/>
          <w:color w:val="000000"/>
          <w:szCs w:val="20"/>
        </w:rPr>
      </w:pPr>
      <w:r>
        <w:rPr>
          <w:rFonts w:cs="Arial"/>
          <w:color w:val="000000"/>
          <w:szCs w:val="20"/>
        </w:rPr>
        <w:t>dar causa à inexecução total do contrato;</w:t>
      </w:r>
    </w:p>
    <w:p>
      <w:pPr>
        <w:pStyle w:val="Normal"/>
        <w:numPr>
          <w:ilvl w:val="2"/>
          <w:numId w:val="7"/>
        </w:numPr>
        <w:spacing w:lineRule="auto" w:line="276" w:before="120" w:after="120"/>
        <w:jc w:val="both"/>
        <w:rPr>
          <w:rFonts w:cs="Arial"/>
          <w:color w:val="000000"/>
          <w:szCs w:val="20"/>
        </w:rPr>
      </w:pPr>
      <w:r>
        <w:rPr>
          <w:rFonts w:cs="Arial"/>
          <w:color w:val="000000"/>
          <w:szCs w:val="20"/>
        </w:rPr>
        <w:t>deixar de entregar a documentação exigida para o certame;</w:t>
      </w:r>
    </w:p>
    <w:p>
      <w:pPr>
        <w:pStyle w:val="Normal"/>
        <w:numPr>
          <w:ilvl w:val="2"/>
          <w:numId w:val="7"/>
        </w:numPr>
        <w:spacing w:lineRule="auto" w:line="276" w:before="120" w:after="120"/>
        <w:jc w:val="both"/>
        <w:rPr>
          <w:rFonts w:cs="Arial"/>
          <w:color w:val="000000"/>
          <w:szCs w:val="20"/>
        </w:rPr>
      </w:pPr>
      <w:r>
        <w:rPr>
          <w:rFonts w:cs="Arial"/>
          <w:color w:val="000000"/>
          <w:szCs w:val="20"/>
        </w:rPr>
        <w:t>não manter a proposta, salvo em decorrência de fato superveniente devidamente justificado;</w:t>
      </w:r>
    </w:p>
    <w:p>
      <w:pPr>
        <w:pStyle w:val="Normal"/>
        <w:numPr>
          <w:ilvl w:val="2"/>
          <w:numId w:val="7"/>
        </w:numPr>
        <w:spacing w:lineRule="auto" w:line="276" w:before="120" w:after="120"/>
        <w:jc w:val="both"/>
        <w:rPr>
          <w:rFonts w:cs="Arial"/>
          <w:color w:val="000000"/>
          <w:szCs w:val="20"/>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7"/>
        </w:numPr>
        <w:spacing w:lineRule="auto" w:line="276" w:before="120" w:after="120"/>
        <w:jc w:val="both"/>
        <w:rPr/>
      </w:pPr>
      <w:r>
        <w:rPr>
          <w:rFonts w:cs="Arial"/>
          <w:color w:val="000000"/>
          <w:szCs w:val="20"/>
        </w:rPr>
        <w:t> </w:t>
      </w:r>
      <w:bookmarkStart w:id="11" w:name="_Ref143510046"/>
      <w:r>
        <w:rPr>
          <w:rFonts w:cs="Arial"/>
          <w:color w:val="000000"/>
          <w:szCs w:val="20"/>
        </w:rPr>
        <w:t>ensejar o retardamento da execução ou da entrega do objeto da contratação direta sem motivo justificado;</w:t>
      </w:r>
      <w:bookmarkEnd w:id="11"/>
    </w:p>
    <w:p>
      <w:pPr>
        <w:pStyle w:val="Normal"/>
        <w:numPr>
          <w:ilvl w:val="2"/>
          <w:numId w:val="7"/>
        </w:numPr>
        <w:spacing w:lineRule="auto" w:line="276" w:before="120" w:after="120"/>
        <w:jc w:val="both"/>
        <w:rPr>
          <w:rFonts w:cs="Arial"/>
          <w:color w:val="000000"/>
          <w:szCs w:val="20"/>
        </w:rPr>
      </w:pPr>
      <w:bookmarkStart w:id="12" w:name="_Ref143510088"/>
      <w:r>
        <w:rPr>
          <w:rFonts w:cs="Arial"/>
          <w:color w:val="000000"/>
          <w:szCs w:val="20"/>
        </w:rPr>
        <w:t>apresentar declaração ou documentação falsa exigida para o certame ou prestar declaração falsa durante a dispensa eletrônica ou a execução do contrato;</w:t>
      </w:r>
      <w:bookmarkEnd w:id="12"/>
    </w:p>
    <w:p>
      <w:pPr>
        <w:pStyle w:val="Normal"/>
        <w:numPr>
          <w:ilvl w:val="2"/>
          <w:numId w:val="7"/>
        </w:numPr>
        <w:spacing w:lineRule="auto" w:line="276" w:before="120" w:after="120"/>
        <w:jc w:val="both"/>
        <w:rPr>
          <w:rFonts w:cs="Arial"/>
          <w:color w:val="000000"/>
          <w:szCs w:val="20"/>
        </w:rPr>
      </w:pPr>
      <w:r>
        <w:rPr>
          <w:rFonts w:cs="Arial"/>
          <w:color w:val="000000"/>
          <w:szCs w:val="20"/>
        </w:rPr>
        <w:t>fraudar a dispensa eletrônica ou praticar ato fraudulento na execução do contrato;</w:t>
      </w:r>
    </w:p>
    <w:p>
      <w:pPr>
        <w:pStyle w:val="Normal"/>
        <w:numPr>
          <w:ilvl w:val="2"/>
          <w:numId w:val="7"/>
        </w:numPr>
        <w:spacing w:lineRule="auto" w:line="276" w:before="120" w:after="120"/>
        <w:jc w:val="both"/>
        <w:rPr>
          <w:rFonts w:cs="Arial"/>
          <w:color w:val="000000"/>
          <w:szCs w:val="20"/>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7"/>
        </w:numPr>
        <w:spacing w:lineRule="auto" w:line="276" w:before="120" w:after="120"/>
        <w:ind w:hanging="648" w:start="1728" w:end="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7"/>
        </w:numPr>
        <w:spacing w:lineRule="auto" w:line="276" w:before="120" w:after="120"/>
        <w:jc w:val="both"/>
        <w:rPr>
          <w:rFonts w:cs="Arial"/>
          <w:color w:val="000000"/>
          <w:szCs w:val="20"/>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7"/>
        </w:numPr>
        <w:spacing w:lineRule="auto" w:line="276" w:before="120" w:after="120"/>
        <w:jc w:val="both"/>
        <w:rPr/>
      </w:pPr>
      <w:bookmarkStart w:id="13" w:name="_Ref143509952"/>
      <w:bookmarkEnd w:id="13"/>
      <w:r>
        <w:rPr>
          <w:rFonts w:cs="Arial"/>
          <w:color w:val="000000"/>
          <w:szCs w:val="20"/>
        </w:rPr>
        <w:t>praticar ato lesivo previsto no </w:t>
      </w:r>
      <w:r>
        <w:fldChar w:fldCharType="begin"/>
      </w:r>
      <w:r>
        <w:rPr>
          <w:rStyle w:val="Style8"/>
          <w:color w:val="0563C1"/>
          <w:u w:val="single"/>
        </w:rPr>
        <w:instrText xml:space="preserve"> HYPERLINK "http://www.planalto.gov.br/ccivil_03/_ato2019-2022/2021/lei/L14133.htm" \l "art5"</w:instrText>
      </w:r>
      <w:r>
        <w:rPr>
          <w:rStyle w:val="Style8"/>
          <w:color w:val="0563C1"/>
          <w:u w:val="single"/>
        </w:rPr>
        <w:fldChar w:fldCharType="separate"/>
      </w:r>
      <w:r>
        <w:rPr>
          <w:rStyle w:val="Style8"/>
          <w:color w:val="0563C1"/>
          <w:u w:val="single"/>
        </w:rPr>
        <w:t>art. 5º da Lei nº 12.846, de 1º de agosto de 2013.</w:t>
      </w:r>
      <w:r>
        <w:rPr>
          <w:rStyle w:val="Style8"/>
          <w:color w:val="0563C1"/>
          <w:u w:val="single"/>
        </w:rPr>
        <w:fldChar w:fldCharType="end"/>
      </w:r>
    </w:p>
    <w:p>
      <w:pPr>
        <w:pStyle w:val="Normal"/>
        <w:numPr>
          <w:ilvl w:val="1"/>
          <w:numId w:val="7"/>
        </w:numPr>
        <w:spacing w:lineRule="auto" w:line="276" w:before="120" w:after="120"/>
        <w:ind w:hanging="0" w:start="425" w:end="0"/>
        <w:jc w:val="both"/>
        <w:rPr/>
      </w:pPr>
      <w:r>
        <w:fldChar w:fldCharType="begin"/>
      </w:r>
      <w:r>
        <w:rPr>
          <w:rStyle w:val="Style8"/>
          <w:rFonts w:cs="Arial"/>
        </w:rPr>
        <w:instrText xml:space="preserve"> HYPERLINK "http://www.planalto.gov.br/ccivil_03/_ato2019-2022/2021/lei/L14133.htm" \l "art5"</w:instrText>
      </w:r>
      <w:r>
        <w:rPr>
          <w:rStyle w:val="Style8"/>
          <w:rFonts w:cs="Arial"/>
        </w:rPr>
        <w:fldChar w:fldCharType="separate"/>
      </w:r>
      <w:bookmarkStart w:id="14" w:name="_Ref1435099521"/>
      <w:bookmarkEnd w:id="14"/>
      <w:r>
        <w:rPr>
          <w:rStyle w:val="Style8"/>
          <w:rFonts w:cs="Arial"/>
        </w:rPr>
        <w:t>O fornecedor que cometer qualquer das infrações discriminadas nos subitens anteriores ficará sujeito, sem prejuízo da responsabilidade civil e criminal, às seguintes sanções:</w:t>
      </w:r>
      <w:r>
        <w:rPr>
          <w:rStyle w:val="Style8"/>
          <w:rFonts w:cs="Arial"/>
        </w:rPr>
        <w:fldChar w:fldCharType="end"/>
      </w:r>
    </w:p>
    <w:p>
      <w:pPr>
        <w:pStyle w:val="Normal"/>
        <w:numPr>
          <w:ilvl w:val="2"/>
          <w:numId w:val="6"/>
        </w:numPr>
        <w:spacing w:lineRule="auto" w:line="276" w:before="120" w:after="120"/>
        <w:jc w:val="both"/>
        <w:rPr/>
      </w:pPr>
      <w:r>
        <w:rPr>
          <w:rFonts w:cs="Arial"/>
        </w:rPr>
        <w:t xml:space="preserve">Advertência pela falta do subitem </w:t>
      </w:r>
      <w:r>
        <w:rPr>
          <w:rFonts w:cs="Arial"/>
        </w:rPr>
        <w:fldChar w:fldCharType="begin"/>
      </w:r>
      <w:r>
        <w:rPr>
          <w:rFonts w:cs="Arial"/>
        </w:rPr>
        <w:instrText xml:space="preserve"> REF _Ref143509900 \r \r \h </w:instrText>
      </w:r>
      <w:r>
        <w:rPr>
          <w:rFonts w:cs="Arial"/>
        </w:rPr>
        <w:fldChar w:fldCharType="separate"/>
      </w:r>
      <w:r>
        <w:rPr>
          <w:rFonts w:cs="Arial"/>
        </w:rPr>
        <w:t>1.58.1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pPr>
      <w:commentRangeStart w:id="19"/>
      <w:r>
        <w:rPr>
          <w:rFonts w:cs="Arial"/>
          <w:color w:val="auto"/>
        </w:rPr>
        <w:t>Multa de 10% ( dez por cento) sobre</w:t>
      </w:r>
      <w:r>
        <w:rPr>
          <w:rFonts w:cs="Arial"/>
        </w:rPr>
        <w:t xml:space="preserve"> o valor estimado do(s) item(s) prejudicado(s) pela conduta do fornecedor, por qualquer das infrações dos subitens </w:t>
      </w:r>
      <w:r>
        <w:rPr>
          <w:rFonts w:cs="Arial"/>
        </w:rPr>
        <w:fldChar w:fldCharType="begin"/>
      </w:r>
      <w:r>
        <w:rPr>
          <w:rFonts w:cs="Arial"/>
        </w:rPr>
        <w:instrText xml:space="preserve"> REF _Ref143509900 \r \r \h </w:instrText>
      </w:r>
      <w:r>
        <w:rPr>
          <w:rFonts w:cs="Arial"/>
        </w:rPr>
        <w:fldChar w:fldCharType="separate"/>
      </w:r>
      <w:r>
        <w:rPr>
          <w:rFonts w:cs="Arial"/>
        </w:rPr>
        <w:t>1.58.1</w:t>
      </w:r>
      <w:r>
        <w:rPr>
          <w:rFonts w:cs="Arial"/>
        </w:rPr>
        <w:fldChar w:fldCharType="end"/>
      </w:r>
      <w:r>
        <w:rPr>
          <w:rFonts w:cs="Arial"/>
        </w:rPr>
        <w:t xml:space="preserve"> a </w:t>
      </w:r>
      <w:r>
        <w:rPr>
          <w:rFonts w:cs="Arial"/>
        </w:rPr>
        <w:fldChar w:fldCharType="begin"/>
      </w:r>
      <w:r>
        <w:rPr>
          <w:rFonts w:cs="Arial"/>
        </w:rPr>
        <w:instrText xml:space="preserve"> REF _Ref143509952 \r \r \h </w:instrText>
      </w:r>
      <w:r>
        <w:rPr>
          <w:rFonts w:cs="Arial"/>
        </w:rPr>
        <w:fldChar w:fldCharType="separate"/>
      </w:r>
      <w:r>
        <w:rPr>
          <w:rFonts w:cs="Arial"/>
        </w:rPr>
        <w:t>1.58.12</w:t>
      </w:r>
      <w:r>
        <w:rPr>
          <w:rFonts w:cs="Arial"/>
        </w:rPr>
        <w:fldChar w:fldCharType="end"/>
      </w:r>
      <w:r>
        <w:rPr>
          <w:rFonts w:cs="Arial"/>
        </w:rPr>
        <w:t>;</w:t>
      </w:r>
      <w:commentRangeEnd w:id="19"/>
      <w:r>
        <w:commentReference w:id="19"/>
      </w:r>
      <w:r>
        <w:rPr>
          <w:rFonts w:cs="Arial"/>
        </w:rPr>
      </w:r>
    </w:p>
    <w:p>
      <w:pPr>
        <w:pStyle w:val="Normal"/>
        <w:numPr>
          <w:ilvl w:val="2"/>
          <w:numId w:val="6"/>
        </w:numPr>
        <w:spacing w:lineRule="auto" w:line="276" w:before="120" w:after="120"/>
        <w:jc w:val="both"/>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rFonts w:cs="Arial"/>
          <w:color w:val="000000"/>
          <w:szCs w:val="20"/>
        </w:rPr>
        <w:instrText xml:space="preserve"> REF _Ref143510015 \r \r \h </w:instrText>
      </w:r>
      <w:r>
        <w:rPr>
          <w:rFonts w:cs="Arial"/>
          <w:color w:val="000000"/>
          <w:szCs w:val="20"/>
        </w:rPr>
        <w:fldChar w:fldCharType="separate"/>
      </w:r>
      <w:r>
        <w:rPr>
          <w:rFonts w:cs="Arial"/>
          <w:color w:val="000000"/>
          <w:szCs w:val="20"/>
        </w:rPr>
        <w:t>1.58.2</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_Ref143510046 \r \r \h </w:instrText>
      </w:r>
      <w:r>
        <w:rPr>
          <w:rFonts w:cs="Arial"/>
          <w:color w:val="000000"/>
          <w:szCs w:val="20"/>
        </w:rPr>
        <w:fldChar w:fldCharType="separate"/>
      </w:r>
      <w:r>
        <w:rPr>
          <w:rFonts w:cs="Arial"/>
          <w:color w:val="000000"/>
          <w:szCs w:val="20"/>
        </w:rPr>
        <w:t>1.58.7</w:t>
      </w:r>
      <w:r>
        <w:rPr>
          <w:rFonts w:cs="Arial"/>
          <w:color w:val="000000"/>
          <w:szCs w:val="2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rFonts w:cs="Arial"/>
          <w:color w:val="000000"/>
          <w:szCs w:val="20"/>
        </w:rPr>
        <w:instrText xml:space="preserve"> REF _Ref143510088 \r \r \h </w:instrText>
      </w:r>
      <w:r>
        <w:rPr>
          <w:rFonts w:cs="Arial"/>
          <w:color w:val="000000"/>
          <w:szCs w:val="20"/>
        </w:rPr>
        <w:fldChar w:fldCharType="separate"/>
      </w:r>
      <w:r>
        <w:rPr>
          <w:rFonts w:cs="Arial"/>
          <w:color w:val="000000"/>
          <w:szCs w:val="20"/>
        </w:rPr>
        <w:t>1.58.8</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_Ref143509952 \r \r \h </w:instrText>
      </w:r>
      <w:r>
        <w:rPr>
          <w:rFonts w:cs="Arial"/>
          <w:color w:val="000000"/>
          <w:szCs w:val="20"/>
        </w:rPr>
        <w:fldChar w:fldCharType="separate"/>
      </w:r>
      <w:r>
        <w:rPr>
          <w:rFonts w:cs="Arial"/>
          <w:color w:val="000000"/>
          <w:szCs w:val="20"/>
        </w:rPr>
        <w:t>1.58.12</w:t>
      </w:r>
      <w:r>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7"/>
        </w:numPr>
        <w:spacing w:lineRule="auto" w:line="276" w:before="120" w:after="120"/>
        <w:ind w:hanging="0" w:start="425" w:end="0"/>
        <w:jc w:val="both"/>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Style8"/>
          <w:rFonts w:cs="Arial"/>
          <w:bCs/>
          <w:color w:val="0563C1"/>
          <w:u w:val="single"/>
        </w:rPr>
        <w:instrText xml:space="preserve"> HYPERLINK "http://www.planalto.gov.br/ccivil_03/_ato2019-2022/2021/lei/L14133.htm" \l "art156%C2%A79"</w:instrText>
      </w:r>
      <w:r>
        <w:rPr>
          <w:rStyle w:val="Style8"/>
          <w:rFonts w:cs="Arial"/>
          <w:bCs/>
          <w:color w:val="0563C1"/>
          <w:u w:val="single"/>
        </w:rPr>
        <w:fldChar w:fldCharType="separate"/>
      </w:r>
      <w:r>
        <w:rPr>
          <w:rStyle w:val="Style8"/>
          <w:rFonts w:cs="Arial"/>
          <w:bCs/>
          <w:color w:val="0563C1"/>
          <w:u w:val="single"/>
        </w:rPr>
        <w:t>art. 156, §9º</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 xml:space="preserve">Todas as sanções previstas neste Aviso poderão ser aplicadas cumulativamente com a multa </w:t>
      </w:r>
      <w:r>
        <w:fldChar w:fldCharType="begin"/>
      </w:r>
      <w:r>
        <w:rPr>
          <w:rStyle w:val="Style8"/>
          <w:rFonts w:cs="Arial"/>
          <w:bCs/>
          <w:color w:val="0563C1"/>
          <w:u w:val="single"/>
        </w:rPr>
        <w:instrText xml:space="preserve"> HYPERLINK "http://www.planalto.gov.br/ccivil_03/_ato2019-2022/2021/lei/L14133.htm" \l "art156%C2%A77"</w:instrText>
      </w:r>
      <w:r>
        <w:rPr>
          <w:rStyle w:val="Style8"/>
          <w:rFonts w:cs="Arial"/>
          <w:bCs/>
          <w:color w:val="0563C1"/>
          <w:u w:val="single"/>
        </w:rPr>
        <w:fldChar w:fldCharType="separate"/>
      </w:r>
      <w:r>
        <w:rPr>
          <w:rStyle w:val="Style8"/>
          <w:rFonts w:cs="Arial"/>
          <w:bCs/>
          <w:color w:val="0563C1"/>
          <w:u w:val="single"/>
        </w:rPr>
        <w:t>(art. 156, §7º</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Antes da aplicação da multa, será facultada a defesa do interessado no prazo de 15 (quinze) dias úteis, contado da data de sua intimação (</w:t>
      </w:r>
      <w:r>
        <w:fldChar w:fldCharType="begin"/>
      </w:r>
      <w:r>
        <w:rPr>
          <w:rStyle w:val="Style8"/>
          <w:rFonts w:cs="Arial"/>
          <w:bCs/>
          <w:color w:val="0563C1"/>
          <w:u w:val="single"/>
        </w:rPr>
        <w:instrText xml:space="preserve"> HYPERLINK "http://www.planalto.gov.br/ccivil_03/_ato2019-2022/2021/lei/L14133.htm" \l "art157"</w:instrText>
      </w:r>
      <w:r>
        <w:rPr>
          <w:rStyle w:val="Style8"/>
          <w:rFonts w:cs="Arial"/>
          <w:bCs/>
          <w:color w:val="0563C1"/>
          <w:u w:val="single"/>
        </w:rPr>
        <w:fldChar w:fldCharType="separate"/>
      </w:r>
      <w:r>
        <w:rPr>
          <w:rStyle w:val="Style8"/>
          <w:rFonts w:cs="Arial"/>
          <w:bCs/>
          <w:color w:val="0563C1"/>
          <w:u w:val="single"/>
        </w:rPr>
        <w:t>art. 157</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Style8"/>
          <w:rFonts w:cs="Arial"/>
          <w:bCs/>
          <w:color w:val="0563C1"/>
          <w:u w:val="single"/>
        </w:rPr>
        <w:instrText xml:space="preserve"> HYPERLINK "http://www.planalto.gov.br/ccivil_03/_ato2019-2022/2021/lei/L14133.htm" \l "art156%C2%A78"</w:instrText>
      </w:r>
      <w:r>
        <w:rPr>
          <w:rStyle w:val="Style8"/>
          <w:rFonts w:cs="Arial"/>
          <w:bCs/>
          <w:color w:val="0563C1"/>
          <w:u w:val="single"/>
        </w:rPr>
        <w:fldChar w:fldCharType="separate"/>
      </w:r>
      <w:r>
        <w:rPr>
          <w:rStyle w:val="Style8"/>
          <w:rFonts w:cs="Arial"/>
          <w:bCs/>
          <w:color w:val="0563C1"/>
          <w:u w:val="single"/>
        </w:rPr>
        <w:t>art. 156, §8º</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Previamente ao encaminhamento à cobrança judicial, a multa poderá ser recolhida administrativamente no prazo máxim</w:t>
      </w:r>
      <w:r>
        <w:rPr>
          <w:rFonts w:cs="Arial"/>
          <w:bCs/>
          <w:color w:val="auto"/>
        </w:rPr>
        <w:t xml:space="preserve">o de </w:t>
      </w:r>
      <w:r>
        <w:rPr>
          <w:rFonts w:eastAsia="Times New Roman" w:cs="Arial"/>
          <w:bCs/>
          <w:i/>
          <w:color w:val="auto"/>
          <w:sz w:val="20"/>
          <w:szCs w:val="24"/>
          <w:lang w:eastAsia="pt-BR"/>
        </w:rPr>
        <w:t>10</w:t>
      </w:r>
      <w:r>
        <w:rPr>
          <w:rFonts w:cs="Arial"/>
          <w:i/>
          <w:color w:val="auto"/>
        </w:rPr>
        <w:t xml:space="preserve"> (dez)</w:t>
      </w:r>
      <w:r>
        <w:rPr>
          <w:rFonts w:cs="Arial"/>
          <w:bCs/>
          <w:i/>
          <w:iCs/>
          <w:color w:val="auto"/>
        </w:rPr>
        <w:t xml:space="preserve"> </w:t>
      </w:r>
      <w:r>
        <w:rPr>
          <w:rFonts w:cs="Arial"/>
          <w:bCs/>
          <w:color w:val="auto"/>
        </w:rPr>
        <w:t xml:space="preserve">dias, a </w:t>
      </w:r>
      <w:r>
        <w:rPr>
          <w:rFonts w:cs="Arial"/>
          <w:bCs/>
        </w:rPr>
        <w:t>contar da data do recebimento da comunicação enviada pela autoridade competente.</w:t>
      </w:r>
      <w:bookmarkStart w:id="15" w:name="_Hlk78351618"/>
      <w:bookmarkEnd w:id="15"/>
    </w:p>
    <w:p>
      <w:pPr>
        <w:pStyle w:val="Normal"/>
        <w:numPr>
          <w:ilvl w:val="1"/>
          <w:numId w:val="7"/>
        </w:numPr>
        <w:spacing w:lineRule="auto" w:line="276" w:before="120" w:after="120"/>
        <w:ind w:hanging="0" w:start="425" w:end="0"/>
        <w:jc w:val="both"/>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Style8"/>
          <w:rFonts w:cs="Arial"/>
          <w:bCs/>
          <w:color w:val="0563C1"/>
          <w:u w:val="single"/>
        </w:rPr>
        <w:instrText xml:space="preserve"> HYPERLINK "http://www.planalto.gov.br/ccivil_03/_ato2019-2022/2021/lei/L14133.htm" \l "art158"</w:instrText>
      </w:r>
      <w:r>
        <w:rPr>
          <w:rStyle w:val="Style8"/>
          <w:rFonts w:cs="Arial"/>
          <w:bCs/>
          <w:color w:val="0563C1"/>
          <w:u w:val="single"/>
        </w:rPr>
        <w:fldChar w:fldCharType="separate"/>
      </w:r>
      <w:r>
        <w:rPr>
          <w:rStyle w:val="Style8"/>
          <w:rFonts w:cs="Arial"/>
          <w:bCs/>
          <w:color w:val="0563C1"/>
          <w:u w:val="single"/>
        </w:rPr>
        <w:t>art. 158 da Lei nº 14.133, de 2021</w:t>
      </w:r>
      <w:r>
        <w:rPr>
          <w:rStyle w:val="Style8"/>
          <w:rFonts w:cs="Arial"/>
          <w:bCs/>
          <w:color w:val="0563C1"/>
          <w:u w:val="single"/>
        </w:rPr>
        <w:fldChar w:fldCharType="end"/>
      </w:r>
      <w:r>
        <w:rPr>
          <w:rFonts w:cs="Arial"/>
          <w:bCs/>
        </w:rPr>
        <w:t>, para as penalidades de impedimento de licitar e contratar e de declaração de inidoneidade para licitar ou contratar.</w:t>
      </w:r>
    </w:p>
    <w:p>
      <w:pPr>
        <w:pStyle w:val="Normal"/>
        <w:numPr>
          <w:ilvl w:val="1"/>
          <w:numId w:val="7"/>
        </w:numPr>
        <w:spacing w:lineRule="auto" w:line="276" w:before="120" w:after="120"/>
        <w:ind w:hanging="0" w:start="425" w:end="0"/>
        <w:jc w:val="both"/>
        <w:rPr/>
      </w:pPr>
      <w:r>
        <w:rPr>
          <w:rFonts w:cs="Arial"/>
          <w:bCs/>
        </w:rPr>
        <w:t>Na aplicação das sanções serão considerados (</w:t>
      </w:r>
      <w:r>
        <w:fldChar w:fldCharType="begin"/>
      </w:r>
      <w:r>
        <w:rPr>
          <w:rStyle w:val="Style8"/>
          <w:rFonts w:cs="Arial"/>
          <w:bCs/>
          <w:color w:val="0563C1"/>
          <w:u w:val="single"/>
        </w:rPr>
        <w:instrText xml:space="preserve"> HYPERLINK "http://www.planalto.gov.br/ccivil_03/_ato2019-2022/2021/lei/L14133.htm" \l "art156%C2%A71"</w:instrText>
      </w:r>
      <w:r>
        <w:rPr>
          <w:rStyle w:val="Style8"/>
          <w:rFonts w:cs="Arial"/>
          <w:bCs/>
          <w:color w:val="0563C1"/>
          <w:u w:val="single"/>
        </w:rPr>
        <w:fldChar w:fldCharType="separate"/>
      </w:r>
      <w:r>
        <w:rPr>
          <w:rStyle w:val="Style8"/>
          <w:rFonts w:cs="Arial"/>
          <w:bCs/>
          <w:color w:val="0563C1"/>
          <w:u w:val="single"/>
        </w:rPr>
        <w:t>art. 156, §1º</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rFonts w:cs="Arial"/>
          <w:bCs/>
        </w:rPr>
      </w:pPr>
      <w:r>
        <w:rPr>
          <w:rFonts w:cs="Arial"/>
          <w:bCs/>
        </w:rPr>
        <w:t>a natureza e a gravidade da infração cometida;</w:t>
      </w:r>
    </w:p>
    <w:p>
      <w:pPr>
        <w:pStyle w:val="Normal"/>
        <w:numPr>
          <w:ilvl w:val="1"/>
          <w:numId w:val="7"/>
        </w:numPr>
        <w:spacing w:lineRule="auto" w:line="276" w:before="120" w:after="120"/>
        <w:ind w:hanging="0" w:start="425" w:end="0"/>
        <w:jc w:val="both"/>
        <w:rPr>
          <w:rFonts w:cs="Arial"/>
          <w:bCs/>
        </w:rPr>
      </w:pPr>
      <w:r>
        <w:rPr>
          <w:rFonts w:cs="Arial"/>
          <w:bCs/>
        </w:rPr>
        <w:t>as peculiaridades do caso concreto;</w:t>
      </w:r>
    </w:p>
    <w:p>
      <w:pPr>
        <w:pStyle w:val="Normal"/>
        <w:numPr>
          <w:ilvl w:val="1"/>
          <w:numId w:val="7"/>
        </w:numPr>
        <w:spacing w:lineRule="auto" w:line="276" w:before="120" w:after="120"/>
        <w:ind w:hanging="0" w:start="425" w:end="0"/>
        <w:jc w:val="both"/>
        <w:rPr>
          <w:rFonts w:cs="Arial"/>
          <w:bCs/>
        </w:rPr>
      </w:pPr>
      <w:r>
        <w:rPr>
          <w:rFonts w:cs="Arial"/>
          <w:bCs/>
        </w:rPr>
        <w:t>as circunstâncias agravantes ou atenuantes;</w:t>
      </w:r>
    </w:p>
    <w:p>
      <w:pPr>
        <w:pStyle w:val="Normal"/>
        <w:numPr>
          <w:ilvl w:val="1"/>
          <w:numId w:val="7"/>
        </w:numPr>
        <w:spacing w:lineRule="auto" w:line="276" w:before="120" w:after="120"/>
        <w:ind w:hanging="0" w:start="425" w:end="0"/>
        <w:jc w:val="both"/>
        <w:rPr>
          <w:rFonts w:cs="Arial"/>
          <w:bCs/>
        </w:rPr>
      </w:pPr>
      <w:r>
        <w:rPr>
          <w:rFonts w:cs="Arial"/>
          <w:bCs/>
        </w:rPr>
        <w:t>os danos que dela provierem para o Contratante;</w:t>
      </w:r>
    </w:p>
    <w:p>
      <w:pPr>
        <w:pStyle w:val="Normal"/>
        <w:numPr>
          <w:ilvl w:val="1"/>
          <w:numId w:val="7"/>
        </w:numPr>
        <w:spacing w:lineRule="auto" w:line="276" w:before="120" w:after="120"/>
        <w:ind w:hanging="0" w:start="425" w:end="0"/>
        <w:jc w:val="both"/>
        <w:rPr>
          <w:rFonts w:cs="Arial"/>
          <w:bCs/>
        </w:rPr>
      </w:pPr>
      <w:r>
        <w:rPr>
          <w:rFonts w:cs="Arial"/>
          <w:bCs/>
        </w:rPr>
        <w:t>a implantação ou o aperfeiçoamento de programa de integridade, conforme normas e orientações dos órgãos de controle.</w:t>
      </w:r>
    </w:p>
    <w:p>
      <w:pPr>
        <w:pStyle w:val="Normal"/>
        <w:numPr>
          <w:ilvl w:val="1"/>
          <w:numId w:val="7"/>
        </w:numPr>
        <w:spacing w:lineRule="auto" w:line="276" w:before="120" w:after="120"/>
        <w:ind w:hanging="0" w:start="425" w:end="0"/>
        <w:jc w:val="both"/>
        <w:rPr/>
      </w:pPr>
      <w:r>
        <w:rPr>
          <w:rFonts w:cs="Arial"/>
          <w:bCs/>
        </w:rPr>
        <w:t xml:space="preserve">Os atos previstos como infrações administrativas na </w:t>
      </w:r>
      <w:hyperlink r:id="rId10">
        <w:r>
          <w:rPr>
            <w:rStyle w:val="Style8"/>
            <w:rFonts w:cs="Arial"/>
            <w:bCs/>
            <w:color w:val="0563C1"/>
            <w:u w:val="single"/>
          </w:rPr>
          <w:t>Lei nº 14.133, de 2021</w:t>
        </w:r>
      </w:hyperlink>
      <w:r>
        <w:rPr>
          <w:rFonts w:cs="Arial"/>
          <w:bCs/>
        </w:rPr>
        <w:t xml:space="preserve">, ou em outras leis de licitações e contratos da Administração Pública que também sejam tipificados como atos lesivos na </w:t>
      </w:r>
      <w:hyperlink r:id="rId11">
        <w:r>
          <w:rPr>
            <w:rStyle w:val="Style8"/>
            <w:rFonts w:cs="Arial"/>
            <w:bCs/>
            <w:color w:val="0563C1"/>
            <w:u w:val="single"/>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Style8"/>
          <w:rFonts w:cs="Arial"/>
          <w:bCs/>
          <w:color w:val="0563C1"/>
          <w:u w:val="single"/>
        </w:rPr>
        <w:instrText xml:space="preserve"> HYPERLINK "http://www.planalto.gov.br/ccivil_03/_ato2019-2022/2021/lei/L14133.htm" \l "art159"</w:instrText>
      </w:r>
      <w:r>
        <w:rPr>
          <w:rStyle w:val="Style8"/>
          <w:rFonts w:cs="Arial"/>
          <w:bCs/>
          <w:color w:val="0563C1"/>
          <w:u w:val="single"/>
        </w:rPr>
        <w:fldChar w:fldCharType="separate"/>
      </w:r>
      <w:r>
        <w:rPr>
          <w:rStyle w:val="Style8"/>
          <w:rFonts w:cs="Arial"/>
          <w:bCs/>
          <w:color w:val="0563C1"/>
          <w:u w:val="single"/>
        </w:rPr>
        <w:t>art. 159</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Style8"/>
          <w:rFonts w:cs="Arial"/>
          <w:bCs/>
          <w:color w:val="0563C1"/>
          <w:u w:val="single"/>
        </w:rPr>
        <w:instrText xml:space="preserve"> HYPERLINK "http://www.planalto.gov.br/ccivil_03/_ato2019-2022/2021/lei/L14133.htm" \l "art160"</w:instrText>
      </w:r>
      <w:r>
        <w:rPr>
          <w:rStyle w:val="Style8"/>
          <w:rFonts w:cs="Arial"/>
          <w:bCs/>
          <w:color w:val="0563C1"/>
          <w:u w:val="single"/>
        </w:rPr>
        <w:fldChar w:fldCharType="separate"/>
      </w:r>
      <w:r>
        <w:rPr>
          <w:rStyle w:val="Style8"/>
          <w:rFonts w:cs="Arial"/>
          <w:bCs/>
          <w:color w:val="0563C1"/>
          <w:u w:val="single"/>
        </w:rPr>
        <w:t>art. 160</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Style8"/>
          <w:rFonts w:cs="Arial"/>
          <w:bCs/>
          <w:color w:val="0563C1"/>
          <w:u w:val="single"/>
        </w:rPr>
        <w:instrText xml:space="preserve"> HYPERLINK "http://www.planalto.gov.br/ccivil_03/_ato2019-2022/2021/lei/L14133.htm" \l "art161"</w:instrText>
      </w:r>
      <w:r>
        <w:rPr>
          <w:rStyle w:val="Style8"/>
          <w:rFonts w:cs="Arial"/>
          <w:bCs/>
          <w:color w:val="0563C1"/>
          <w:u w:val="single"/>
        </w:rPr>
        <w:fldChar w:fldCharType="separate"/>
      </w:r>
      <w:r>
        <w:rPr>
          <w:rStyle w:val="Style8"/>
          <w:rFonts w:cs="Arial"/>
          <w:bCs/>
          <w:color w:val="0563C1"/>
          <w:u w:val="single"/>
        </w:rPr>
        <w:t>Art. 161</w:t>
      </w:r>
      <w:r>
        <w:rPr>
          <w:rStyle w:val="Style8"/>
          <w:rFonts w:cs="Arial"/>
          <w:bCs/>
          <w:color w:val="0563C1"/>
          <w:u w:val="single"/>
        </w:rPr>
        <w:fldChar w:fldCharType="end"/>
      </w:r>
      <w:r>
        <w:rPr>
          <w:rFonts w:cs="Arial"/>
          <w:bCs/>
        </w:rPr>
        <w:t>)</w:t>
      </w:r>
    </w:p>
    <w:p>
      <w:pPr>
        <w:pStyle w:val="Normal"/>
        <w:numPr>
          <w:ilvl w:val="1"/>
          <w:numId w:val="7"/>
        </w:numPr>
        <w:spacing w:lineRule="auto" w:line="276" w:before="120" w:after="120"/>
        <w:ind w:hanging="0" w:start="425" w:end="0"/>
        <w:jc w:val="both"/>
        <w:rPr/>
      </w:pPr>
      <w:r>
        <w:rPr>
          <w:rFonts w:cs="Arial"/>
          <w:bCs/>
        </w:rPr>
        <w:t xml:space="preserve">As sanções de impedimento de licitar e contratar e declaração de inidoneidade para licitar ou contratar são passíveis de reabilitação na forma do </w:t>
      </w:r>
      <w:r>
        <w:fldChar w:fldCharType="begin"/>
      </w:r>
      <w:r>
        <w:rPr>
          <w:rStyle w:val="Style8"/>
          <w:rFonts w:cs="Arial"/>
          <w:bCs/>
          <w:color w:val="0563C1"/>
          <w:u w:val="single"/>
        </w:rPr>
        <w:instrText xml:space="preserve"> HYPERLINK "http://www.planalto.gov.br/ccivil_03/_ato2019-2022/2021/lei/L14133.htm" \l "art163"</w:instrText>
      </w:r>
      <w:r>
        <w:rPr>
          <w:rStyle w:val="Style8"/>
          <w:rFonts w:cs="Arial"/>
          <w:bCs/>
          <w:color w:val="0563C1"/>
          <w:u w:val="single"/>
        </w:rPr>
        <w:fldChar w:fldCharType="separate"/>
      </w:r>
      <w:r>
        <w:rPr>
          <w:rStyle w:val="Style8"/>
          <w:rFonts w:cs="Arial"/>
          <w:bCs/>
          <w:color w:val="0563C1"/>
          <w:u w:val="single"/>
        </w:rPr>
        <w:t>art. 163 da Lei nº 14.133, de 2021.</w:t>
      </w:r>
      <w:r>
        <w:rPr>
          <w:rStyle w:val="Style8"/>
          <w:rFonts w:cs="Arial"/>
          <w:bCs/>
          <w:color w:val="0563C1"/>
          <w:u w:val="single"/>
        </w:rPr>
        <w:fldChar w:fldCharType="end"/>
      </w:r>
    </w:p>
    <w:p>
      <w:pPr>
        <w:pStyle w:val="Normal"/>
        <w:numPr>
          <w:ilvl w:val="1"/>
          <w:numId w:val="7"/>
        </w:numPr>
        <w:spacing w:lineRule="auto" w:line="276" w:before="120" w:after="120"/>
        <w:ind w:hanging="0" w:start="425" w:end="0"/>
        <w:jc w:val="both"/>
        <w:rPr>
          <w:rFonts w:cs="Arial"/>
        </w:rPr>
      </w:pPr>
      <w:r>
        <w:rPr>
          <w:rFonts w:cs="Arial"/>
        </w:rPr>
        <w:t>As sanções por atos praticados no decorrer da contratação estão previstas nos anexos a este Aviso.</w:t>
      </w:r>
    </w:p>
    <w:p>
      <w:pPr>
        <w:pStyle w:val="Normal"/>
        <w:spacing w:lineRule="auto" w:line="276" w:before="120" w:after="120"/>
        <w:ind w:hanging="0" w:start="425" w:end="0"/>
        <w:jc w:val="both"/>
        <w:rPr>
          <w:rFonts w:cs="Arial"/>
        </w:rPr>
      </w:pPr>
      <w:r>
        <w:rPr>
          <w:rFonts w:cs="Arial"/>
        </w:rPr>
      </w:r>
    </w:p>
    <w:p>
      <w:pPr>
        <w:pStyle w:val="Heading1"/>
        <w:rPr/>
      </w:pPr>
      <w:bookmarkStart w:id="16" w:name="_Toc142925871"/>
      <w:r>
        <w:rPr/>
        <w:t>DAS DISPOSIÇÕES GERAIS</w:t>
      </w:r>
      <w:bookmarkEnd w:id="16"/>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7"/>
        </w:numPr>
        <w:spacing w:lineRule="auto" w:line="276" w:before="120" w:after="120"/>
        <w:jc w:val="both"/>
        <w:rPr>
          <w:rFonts w:cs="Arial"/>
          <w:color w:val="000000"/>
          <w:szCs w:val="20"/>
        </w:rPr>
      </w:pPr>
      <w:bookmarkStart w:id="17" w:name="_Ref143510170"/>
      <w:r>
        <w:rPr>
          <w:rFonts w:cs="Arial"/>
          <w:color w:val="000000"/>
          <w:szCs w:val="20"/>
        </w:rPr>
        <w:t>republicar o presente aviso com uma nova data;</w:t>
      </w:r>
      <w:bookmarkEnd w:id="17"/>
    </w:p>
    <w:p>
      <w:pPr>
        <w:pStyle w:val="Normal"/>
        <w:numPr>
          <w:ilvl w:val="2"/>
          <w:numId w:val="7"/>
        </w:numPr>
        <w:spacing w:lineRule="auto" w:line="276" w:before="120" w:after="120"/>
        <w:jc w:val="both"/>
        <w:rPr>
          <w:rFonts w:cs="Arial"/>
          <w:color w:val="000000"/>
          <w:szCs w:val="20"/>
        </w:rPr>
      </w:pPr>
      <w:bookmarkStart w:id="18"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pPr>
        <w:pStyle w:val="Normal"/>
        <w:numPr>
          <w:ilvl w:val="3"/>
          <w:numId w:val="7"/>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7"/>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7"/>
        </w:numPr>
        <w:spacing w:lineRule="auto" w:line="276" w:before="120" w:after="120"/>
        <w:ind w:hanging="0" w:start="425" w:end="0"/>
        <w:jc w:val="both"/>
        <w:rPr/>
      </w:pPr>
      <w:r>
        <w:rPr>
          <w:rFonts w:cs="Arial"/>
          <w:color w:val="000000"/>
          <w:szCs w:val="20"/>
        </w:rPr>
        <w:t xml:space="preserve">As providências dos subitens </w:t>
      </w:r>
      <w:r>
        <w:rPr>
          <w:rFonts w:cs="Arial"/>
          <w:color w:val="000000"/>
          <w:szCs w:val="20"/>
        </w:rPr>
        <w:fldChar w:fldCharType="begin"/>
      </w:r>
      <w:r>
        <w:rPr>
          <w:rFonts w:cs="Arial"/>
          <w:color w:val="000000"/>
          <w:szCs w:val="20"/>
        </w:rPr>
        <w:instrText xml:space="preserve"> REF _Ref143510170 \r \r \h </w:instrText>
      </w:r>
      <w:r>
        <w:rPr>
          <w:rFonts w:cs="Arial"/>
          <w:color w:val="000000"/>
          <w:szCs w:val="20"/>
        </w:rPr>
        <w:fldChar w:fldCharType="separate"/>
      </w:r>
      <w:r>
        <w:rPr>
          <w:rFonts w:cs="Arial"/>
          <w:color w:val="000000"/>
          <w:szCs w:val="20"/>
        </w:rPr>
        <w:t>1.77.1</w:t>
      </w:r>
      <w:r>
        <w:rPr>
          <w:rFonts w:cs="Arial"/>
          <w:color w:val="000000"/>
          <w:szCs w:val="20"/>
        </w:rPr>
        <w:fldChar w:fldCharType="end"/>
      </w:r>
      <w:r>
        <w:rPr>
          <w:rFonts w:cs="Arial"/>
          <w:color w:val="000000"/>
          <w:szCs w:val="20"/>
        </w:rPr>
        <w:t xml:space="preserve">  e </w:t>
      </w:r>
      <w:r>
        <w:rPr>
          <w:rFonts w:cs="Arial"/>
          <w:color w:val="000000"/>
          <w:szCs w:val="20"/>
        </w:rPr>
        <w:fldChar w:fldCharType="begin"/>
      </w:r>
      <w:r>
        <w:rPr>
          <w:rFonts w:cs="Arial"/>
          <w:color w:val="000000"/>
          <w:szCs w:val="20"/>
        </w:rPr>
        <w:instrText xml:space="preserve"> REF _Ref143510198 \r \r \h </w:instrText>
      </w:r>
      <w:r>
        <w:rPr>
          <w:rFonts w:cs="Arial"/>
          <w:color w:val="000000"/>
          <w:szCs w:val="20"/>
        </w:rPr>
        <w:fldChar w:fldCharType="separate"/>
      </w:r>
      <w:r>
        <w:rPr>
          <w:rFonts w:cs="Arial"/>
          <w:color w:val="000000"/>
          <w:szCs w:val="20"/>
        </w:rPr>
        <w:t>1.77.2</w:t>
      </w:r>
      <w:r>
        <w:rPr>
          <w:rFonts w:cs="Arial"/>
          <w:color w:val="000000"/>
          <w:szCs w:val="2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Da sessão pública será divulgada Ata no sistema eletrônico.</w:t>
      </w:r>
    </w:p>
    <w:p>
      <w:pPr>
        <w:pStyle w:val="Normal"/>
        <w:numPr>
          <w:ilvl w:val="1"/>
          <w:numId w:val="7"/>
        </w:numPr>
        <w:spacing w:lineRule="auto" w:line="276" w:before="120" w:after="120"/>
        <w:ind w:hanging="0" w:start="425" w:end="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7"/>
        </w:numPr>
        <w:spacing w:lineRule="auto" w:line="276" w:before="120" w:after="120"/>
        <w:jc w:val="both"/>
        <w:rPr>
          <w:rFonts w:cs="Arial"/>
          <w:color w:val="000000"/>
          <w:szCs w:val="20"/>
        </w:rPr>
      </w:pPr>
      <w:r>
        <w:rPr>
          <w:rFonts w:cs="Arial"/>
          <w:color w:val="000000"/>
          <w:szCs w:val="20"/>
        </w:rPr>
        <w:t>ANEXO I –  Termo de Referência</w:t>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pPr>
      <w:r>
        <w:rPr>
          <w:rFonts w:eastAsia="Times New Roman" w:cs="Arial"/>
          <w:color w:val="000000"/>
          <w:sz w:val="20"/>
          <w:szCs w:val="20"/>
          <w:lang w:eastAsia="pt-BR"/>
        </w:rPr>
        <w:t>Curitiba-PR</w:t>
      </w:r>
      <w:r>
        <w:rPr>
          <w:rFonts w:cs="Arial"/>
          <w:color w:val="000000"/>
          <w:szCs w:val="20"/>
        </w:rPr>
        <w:t xml:space="preserve">, </w:t>
      </w:r>
      <w:r>
        <w:rPr>
          <w:rFonts w:cs="Arial"/>
          <w:color w:val="000000"/>
          <w:szCs w:val="20"/>
        </w:rPr>
        <w:t>30</w:t>
      </w:r>
      <w:r>
        <w:rPr>
          <w:rFonts w:cs="Arial"/>
          <w:color w:val="000000"/>
          <w:szCs w:val="20"/>
        </w:rPr>
        <w:t xml:space="preserve"> de </w:t>
      </w:r>
      <w:r>
        <w:rPr>
          <w:rFonts w:cs="Arial"/>
          <w:color w:val="000000"/>
          <w:szCs w:val="20"/>
        </w:rPr>
        <w:t>ABRIL</w:t>
      </w:r>
      <w:r>
        <w:rPr>
          <w:rFonts w:cs="Arial"/>
          <w:color w:val="000000"/>
          <w:szCs w:val="20"/>
        </w:rPr>
        <w:t xml:space="preserve"> de </w:t>
      </w:r>
      <w:r>
        <w:rPr>
          <w:rFonts w:cs="Arial"/>
          <w:color w:val="000000"/>
          <w:szCs w:val="20"/>
        </w:rPr>
        <w:t>2026</w:t>
      </w:r>
      <w:r>
        <w:rPr>
          <w:rFonts w:cs="Arial"/>
          <w:color w:val="000000"/>
          <w:szCs w:val="20"/>
        </w:rPr>
        <w:t>.</w:t>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both"/>
        <w:rPr>
          <w:rFonts w:cs="Arial"/>
          <w:color w:val="000000"/>
          <w:szCs w:val="20"/>
        </w:rPr>
      </w:pPr>
      <w:r>
        <w:rPr>
          <w:rFonts w:cs="Arial"/>
          <w:color w:val="000000"/>
          <w:szCs w:val="20"/>
        </w:rPr>
      </w:r>
    </w:p>
    <w:p>
      <w:pPr>
        <w:pStyle w:val="Normal"/>
        <w:spacing w:lineRule="auto" w:line="276" w:before="0" w:after="120"/>
        <w:ind w:hanging="0" w:start="360" w:end="-15"/>
        <w:jc w:val="center"/>
        <w:rPr>
          <w:b/>
          <w:bCs/>
        </w:rPr>
      </w:pPr>
      <w:r>
        <w:rPr>
          <w:b/>
          <w:bCs/>
        </w:rPr>
        <w:t>MARCOS SILVA ALMEIDA – Cel</w:t>
      </w:r>
    </w:p>
    <w:p>
      <w:pPr>
        <w:pStyle w:val="Normal"/>
        <w:spacing w:lineRule="auto" w:line="276" w:before="0" w:after="120"/>
        <w:ind w:hanging="0" w:start="360" w:end="-15"/>
        <w:jc w:val="center"/>
        <w:rPr/>
      </w:pPr>
      <w:r>
        <w:rPr/>
        <w:t>Ordenador de Despesas do 27º Batalhão Logístico</w:t>
      </w:r>
    </w:p>
    <w:p>
      <w:pPr>
        <w:pStyle w:val="Normal"/>
        <w:spacing w:lineRule="auto" w:line="276"/>
        <w:jc w:val="center"/>
        <w:rPr>
          <w:rFonts w:cs="Arial"/>
          <w:b/>
          <w:bCs/>
          <w:iCs/>
          <w:color w:val="000000"/>
          <w:szCs w:val="20"/>
        </w:rPr>
      </w:pPr>
      <w:r>
        <w:rPr>
          <w:rFonts w:cs="Arial"/>
          <w:b/>
          <w:bCs/>
          <w:iCs/>
          <w:color w:val="000000"/>
          <w:szCs w:val="20"/>
        </w:rPr>
        <w:t>Assinatura da autoridade competente</w:t>
      </w:r>
    </w:p>
    <w:p>
      <w:pPr>
        <w:pStyle w:val="Normal"/>
        <w:jc w:val="center"/>
        <w:rPr>
          <w:rFonts w:cs="Arial"/>
          <w:b/>
          <w:bCs/>
          <w:lang w:eastAsia="en-US"/>
        </w:rPr>
      </w:pPr>
      <w:r>
        <w:rPr>
          <w:rFonts w:cs="Arial"/>
          <w:b/>
          <w:bCs/>
          <w:lang w:eastAsia="en-US"/>
        </w:rPr>
      </w:r>
    </w:p>
    <w:p>
      <w:pPr>
        <w:pStyle w:val="Normal"/>
        <w:rPr/>
      </w:pPr>
      <w:r>
        <w:rPr/>
      </w:r>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initials="A">
    <w:p>
      <w:pPr>
        <w:overflowPunct w:val="true"/>
        <w:rPr/>
      </w:pPr>
      <w:r>
        <w:annotationRef/>
      </w:r>
      <w:r>
        <w:rPr>
          <w:rFonts w:eastAsia="Segoe UI" w:ascii="Liberation Serif" w:hAnsi="Liberation Serif"/>
          <w:b/>
          <w:bCs/>
          <w:sz w:val="24"/>
          <w:lang w:val="en-US" w:eastAsia="en-US" w:bidi="en-US"/>
        </w:rPr>
        <w:t xml:space="preserve">ORIENTAÇÕES PARA USO DO MODELO – </w:t>
      </w:r>
      <w:r>
        <w:rPr>
          <w:rFonts w:eastAsia="Segoe UI" w:ascii="Liberation Serif" w:hAnsi="Liberation Serif"/>
          <w:b/>
          <w:bCs/>
          <w:color w:val="FF0000"/>
          <w:sz w:val="24"/>
          <w:lang w:val="en-US" w:eastAsia="en-US" w:bidi="en-US"/>
        </w:rPr>
        <w:t>LEITURA OBRIGATÓRIA</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 xml:space="preserve">1)O presente modelo de Aviso de Contratação Direta procura fornecer um ponto de partida para a elaboração do documento que dará início à competição feita via Sistema de Dispensa Eletrônica, integrado ao Compras.gov.br, conforme Instrução Normativa nº 67, de 8 de julho de 2021, da Secretaria de Gestão da Secretaria Especial de Desburocratização, Gestão e Governo Digital do Ministério da Economia (Seges/ME). As disposições deste modelo se amoldam a todos os objetos contratuais (aquisições, serviços, serviços de engenharia ou com dedicação exclusiva). Recomenda-se a leitura do Manual do Sistema de Dispensa Eletrônica, elaborado pela Secretaria de Gestão do Ministério da Economia, disponível em </w:t>
      </w:r>
      <w:hyperlink r:id="rId1">
        <w:r>
          <w:rPr>
            <w:rFonts w:eastAsia="Segoe UI" w:ascii="Liberation Serif" w:hAnsi="Liberation Serif"/>
            <w:sz w:val="24"/>
            <w:lang w:val="en-US" w:eastAsia="en-US" w:bidi="en-US"/>
          </w:rPr>
          <w:t>https://www.gov.br/compras/pt-br/acesso-a-informacao/manuais/dispensa-eletronica/ManualNovoDispensaEletrnica28.01.2022.pdf</w:t>
        </w:r>
      </w:hyperlink>
      <w:r>
        <w:rPr>
          <w:rFonts w:eastAsia="Segoe UI" w:ascii="Liberation Serif" w:hAnsi="Liberation Serif"/>
          <w:sz w:val="24"/>
          <w:lang w:val="en-US" w:eastAsia="en-US" w:bidi="en-US"/>
        </w:rPr>
        <w:t>.</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2)A redação em preto consiste no que se espera ser invariável. Ela até pode sofrer modificações a depender do caso concreto, mas não são disposições feitas para variar. Por essa razão, quaisquer modificações nas partes em preto, sem marcação de itálico, devem necessariamente ser justificadas nos autos, sem prejuízo de eventual consulta ao órgão de assessoramento jurídico respectivo, a depender da matéria.</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 xml:space="preserve">3)Os itens deste modelo destacados em vermelho itálico devem ser preenchidos ou adotados pelo órgão ou entidade pública contratante segundo critérios de oportunidade e conveniência, de acordo com as peculiaridades do objeto e cuidando-se para que sejam reproduzidas as mesmas definições nos demais instrumentos da contratação (minuta de Termo de Contrato), para que não conflitem. São previsões feitas para variarem. Eventuais justificativas podem ser exigidas a depender do caso. </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 xml:space="preserve">4)Alguns itens receberam notas explicativas, destacadas para compreensão do agente ou setor responsável, que deverão ser devidamente suprimidas ao se finalizar o documento na versão original. </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5)Recomenda-se indicar no processo a versão (mês e ano) utilizada para elaboração da minuta,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em eventual checagem.</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 xml:space="preserve">6)Quaisquer sugestões de alteração poderão ser encaminhadas ao e-mail: </w:t>
      </w:r>
      <w:hyperlink r:id="rId2">
        <w:r>
          <w:rPr>
            <w:rFonts w:eastAsia="Segoe UI" w:ascii="Liberation Serif" w:hAnsi="Liberation Serif"/>
            <w:sz w:val="24"/>
            <w:lang w:val="en-US" w:eastAsia="en-US" w:bidi="en-US"/>
          </w:rPr>
          <w:t>cgu.modeloscontratacao@agu.gov.br</w:t>
        </w:r>
      </w:hyperlink>
      <w:r>
        <w:rPr>
          <w:rFonts w:eastAsia="Segoe UI" w:ascii="Liberation Serif" w:hAnsi="Liberation Serif"/>
          <w:sz w:val="24"/>
          <w:lang w:val="en-US" w:eastAsia="en-US" w:bidi="en-US"/>
        </w:rPr>
        <w:t>.</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 xml:space="preserve">7)Este modelo </w:t>
      </w:r>
      <w:r>
        <w:rPr>
          <w:rFonts w:eastAsia="Segoe UI" w:ascii="Liberation Serif" w:hAnsi="Liberation Serif"/>
          <w:b/>
          <w:bCs/>
          <w:sz w:val="24"/>
          <w:lang w:val="en-US" w:eastAsia="en-US" w:bidi="en-US"/>
        </w:rPr>
        <w:t>poderá</w:t>
      </w:r>
      <w:r>
        <w:rPr>
          <w:rFonts w:eastAsia="Segoe UI" w:ascii="Liberation Serif" w:hAnsi="Liberation Serif"/>
          <w:sz w:val="24"/>
          <w:lang w:val="en-US" w:eastAsia="en-US" w:bidi="en-US"/>
        </w:rPr>
        <w:t xml:space="preserve">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p>
      <w:pPr>
        <w:overflowPunct w:val="true"/>
        <w:rPr/>
      </w:pPr>
      <w:r>
        <w:rPr>
          <w:rFonts w:ascii="Liberation Serif" w:hAnsi="Liberation Serif" w:eastAsia="Segoe UI"/>
          <w:sz w:val="24"/>
          <w:lang w:val="en-US" w:eastAsia="en-US" w:bidi="en-US"/>
        </w:rPr>
      </w:r>
    </w:p>
    <w:p>
      <w:pPr>
        <w:overflowPunct w:val="true"/>
        <w:rPr/>
      </w:pPr>
      <w:r>
        <w:rPr>
          <w:rFonts w:eastAsia="Segoe UI" w:ascii="Liberation Serif" w:hAnsi="Liberation Serif"/>
          <w:sz w:val="24"/>
          <w:lang w:val="en-US" w:eastAsia="en-US" w:bidi="en-US"/>
        </w:rPr>
        <w:t>8)            Se não for utilizado o sistema de registro de preços, exclua todas as disposições destacadas em azul. Se for adotado o SRP, mantenha tais cláusulas.</w:t>
      </w:r>
    </w:p>
  </w:comment>
  <w:comment w:id="1"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1: </w:t>
      </w:r>
      <w:r>
        <w:rPr>
          <w:rFonts w:eastAsia="Segoe UI" w:ascii="Liberation Serif" w:hAnsi="Liberation Serif"/>
          <w:i/>
          <w:iCs/>
          <w:color w:val="000000"/>
          <w:sz w:val="24"/>
          <w:lang w:val="en-US" w:eastAsia="en-US" w:bidi="en-US"/>
        </w:rPr>
        <w:t xml:space="preserve">O horário da fase de lances deverá ser estabelecido conforme o art. 11 da Instrução Normativa Seges/ME nº 67, de 2021. </w:t>
      </w:r>
    </w:p>
  </w:comment>
  <w:comment w:id="2"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w:t>
      </w:r>
      <w:r>
        <w:rPr>
          <w:rFonts w:eastAsia="Segoe UI" w:ascii="Liberation Serif" w:hAnsi="Liberation Serif"/>
          <w:i/>
          <w:iCs/>
          <w:color w:val="000000"/>
          <w:sz w:val="24"/>
          <w:lang w:val="en-US" w:eastAsia="en-US" w:bidi="en-US"/>
        </w:rPr>
        <w:t>Ajustar o Preâmbulo com a hipótese de dispensa.</w:t>
      </w:r>
    </w:p>
  </w:comment>
  <w:comment w:id="3"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1: </w:t>
      </w:r>
      <w:r>
        <w:rPr>
          <w:rFonts w:eastAsia="Segoe UI" w:ascii="Liberation Serif" w:hAnsi="Liberation Serif"/>
          <w:i/>
          <w:iCs/>
          <w:color w:val="000000"/>
          <w:sz w:val="24"/>
          <w:lang w:val="en-US" w:eastAsia="en-US" w:bidi="en-US"/>
        </w:rPr>
        <w:t>O horário da fase de lances deverá ser estabelecido conforme o art. 11 da Instrução Normativa Seges/ME nº 67, de 2021.</w:t>
      </w:r>
    </w:p>
  </w:comment>
  <w:comment w:id="4" w:author="Autor" w:initials="A">
    <w:p>
      <w:pPr>
        <w:overflowPunct w:val="true"/>
        <w:rPr/>
      </w:pPr>
      <w:r>
        <w:annotationRef/>
      </w:r>
      <w:r>
        <w:rPr>
          <w:rFonts w:eastAsia="Segoe UI" w:ascii="Liberation Serif" w:hAnsi="Liberation Serif"/>
          <w:sz w:val="24"/>
          <w:lang w:val="en-US" w:eastAsia="en-US" w:bidi="en-US"/>
        </w:rPr>
        <w:t xml:space="preserve">Nota Explicativa: Segundo o art. 49, inciso IV, da Lei Complementar n.º 123/2006, o tratamento diferenciado dispensado às microempresas e empresas de pequeno nas contratações públicas não se aplica, dentre outras hipóteses, quando "IV - a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pPr>
        <w:overflowPunct w:val="true"/>
        <w:rPr/>
      </w:pPr>
      <w:r>
        <w:rPr>
          <w:rFonts w:eastAsia="Segoe UI" w:ascii="Liberation Serif" w:hAnsi="Liberation Serif"/>
          <w:sz w:val="24"/>
          <w:lang w:val="en-US" w:eastAsia="en-US" w:bidi="en-US"/>
        </w:rPr>
        <w:t xml:space="preserve">Interpretando-se o dispositivo, verifica-se que, em se tratando de dispensas de licitação pelo valor, tratadas, na Lei n.º 14.133/2021, no art. 75, incisos I e II, o procedimento de dispensa deverá ser destinado exclusivamente às microempresas e empresas de pequeno porte (art. 48, I, da LC n.º 123/2006), nos itens de contratação cujo valor seja de até R$ 80.000,00 (oitenta mil reais). </w:t>
      </w:r>
    </w:p>
    <w:p>
      <w:pPr>
        <w:overflowPunct w:val="true"/>
        <w:rPr/>
      </w:pPr>
      <w:r>
        <w:rPr>
          <w:rFonts w:eastAsia="Segoe UI" w:ascii="Liberation Serif" w:hAnsi="Liberation Serif"/>
          <w:sz w:val="24"/>
          <w:lang w:val="en-US" w:eastAsia="en-US" w:bidi="en-US"/>
        </w:rPr>
        <w:t xml:space="preserve">O tratamento diferenciado poderá ser afastado, entretanto, caso se constate a incidência, no caso concreto, do disposto nos incisos II ou III do art. 49, da LC n.º 123/2006, ou dos incisos I, II ou IV do art. 10 do Decreto n.º 8.538/2015. Nessa hipótese, a Administração deverá apresentar as devidas justificativas nos autos do processo de contratação direta, com a inclusão dessas razões em campo específico do sistema de dispensa eletrônica, e o procedimento deverá ser franqueado às empresas em geral, independentemente do respectivo porte. </w:t>
      </w:r>
    </w:p>
  </w:comment>
  <w:comment w:id="6" w:author="Autor" w:initials="A">
    <w:p>
      <w:pPr>
        <w:overflowPunct w:val="true"/>
        <w:rPr/>
      </w:pPr>
      <w:r>
        <w:annotationRef/>
      </w:r>
      <w:r>
        <w:rPr>
          <w:rFonts w:eastAsia="Segoe UI" w:ascii="Liberation Serif" w:hAnsi="Liberation Serif"/>
          <w:sz w:val="24"/>
          <w:lang w:val="en-US" w:eastAsia="en-US" w:bidi="en-US"/>
        </w:rPr>
        <w:t>Nota Explicativa: Conforme PARECER n. 00002/2023/DECOR/CGU/AGU, aprovado pelo DESPACHO DE APROVAÇÃO n. 00006/2023/SGPP/CGU/AGU, “...considera-se de difícil superação que as cooperativas, mesmo sob a lógica da nova lei, venham a participar de modo geral dos certames licitatórios para prestar serviços contínuos com regime de dedicação exclusiva de mão de obra, cujas características encontram-se bem delineadas no artigo 6º, XVI, da Lei nº 14.133/2021, ou seja, em que modelo de execução contratual exija entre outros requisitos, que</w:t>
      </w:r>
    </w:p>
    <w:p>
      <w:pPr>
        <w:overflowPunct w:val="true"/>
        <w:rPr/>
      </w:pPr>
      <w:r>
        <w:rPr>
          <w:rFonts w:eastAsia="Segoe UI" w:ascii="Liberation Serif" w:hAnsi="Liberation Serif"/>
          <w:sz w:val="24"/>
          <w:lang w:val="en-US" w:eastAsia="en-US" w:bidi="en-US"/>
        </w:rPr>
        <w:t xml:space="preserve">    a) os empregados do contratado fiquem à disposição nas dependências do contratante para a prestação dos serviços;</w:t>
      </w:r>
    </w:p>
    <w:p>
      <w:pPr>
        <w:overflowPunct w:val="true"/>
        <w:rPr/>
      </w:pPr>
      <w:r>
        <w:rPr>
          <w:rFonts w:eastAsia="Segoe UI" w:ascii="Liberation Serif" w:hAnsi="Liberation Serif"/>
          <w:sz w:val="24"/>
          <w:lang w:val="en-US" w:eastAsia="en-US" w:bidi="en-US"/>
        </w:rPr>
        <w:t xml:space="preserve">    b) o contratado não compartilhe os recursos humanos e materiais disponíveis de uma contratação para execução simultânea de outros contratos;</w:t>
      </w:r>
    </w:p>
    <w:p>
      <w:pPr>
        <w:overflowPunct w:val="true"/>
        <w:rPr/>
      </w:pPr>
      <w:r>
        <w:rPr>
          <w:rFonts w:eastAsia="Segoe UI" w:ascii="Liberation Serif" w:hAnsi="Liberation Serif"/>
          <w:sz w:val="24"/>
          <w:lang w:val="en-US" w:eastAsia="en-US" w:bidi="en-US"/>
        </w:rPr>
        <w:t xml:space="preserve">    c) o contratado possibilite a fiscalização pelo contratante quanto à distribuição, controle e supervisão dos recursos humanos alocados aos seus contratos.</w:t>
      </w:r>
    </w:p>
    <w:p>
      <w:pPr>
        <w:overflowPunct w:val="true"/>
        <w:rPr/>
      </w:pPr>
      <w:r>
        <w:rPr>
          <w:rFonts w:eastAsia="Segoe UI" w:ascii="Liberation Serif" w:hAnsi="Liberation Serif"/>
          <w:sz w:val="24"/>
          <w:lang w:val="en-US" w:eastAsia="en-US" w:bidi="en-US"/>
        </w:rPr>
        <w:t>Dessa forma, o art. 16 da Lei nº 14.133/2021 deve ser interpretado sistematicamente, de acordo com o arcabouço jurídico que envolve a matéria das Cooperativas, não tendo o condão de afastar a aplicabilidade do Termo de Conciliação firmado entre Ministério Público do Trabalho - MPT e a Advocacia Geral da União – AGU.”</w:t>
      </w:r>
    </w:p>
    <w:p>
      <w:pPr>
        <w:overflowPunct w:val="true"/>
        <w:rPr/>
      </w:pPr>
      <w:r>
        <w:rPr>
          <w:rFonts w:ascii="Liberation Serif" w:hAnsi="Liberation Serif" w:eastAsia="Segoe UI"/>
          <w:sz w:val="24"/>
          <w:lang w:val="en-US" w:eastAsia="en-US" w:bidi="en-US"/>
        </w:rPr>
      </w:r>
    </w:p>
  </w:comment>
  <w:comment w:id="5" w:author="Autor" w:initials="A">
    <w:p>
      <w:pPr>
        <w:overflowPunct w:val="true"/>
        <w:rPr/>
      </w:pPr>
      <w:r>
        <w:annotationRef/>
      </w:r>
      <w:r>
        <w:rPr>
          <w:rFonts w:eastAsia="Segoe UI" w:ascii="Liberation Serif" w:hAnsi="Liberation Serif"/>
          <w:b/>
          <w:bCs/>
          <w:i/>
          <w:iCs/>
          <w:color w:val="000000"/>
          <w:sz w:val="24"/>
          <w:lang w:val="en-US" w:eastAsia="en-US" w:bidi="en-US"/>
        </w:rPr>
        <w:t>Nota explicativa</w:t>
      </w:r>
      <w:r>
        <w:rPr>
          <w:rFonts w:eastAsia="Segoe UI" w:ascii="Liberation Serif" w:hAnsi="Liberation Serif"/>
          <w:i/>
          <w:iCs/>
          <w:color w:val="000000"/>
          <w:sz w:val="24"/>
          <w:lang w:val="en-US" w:eastAsia="en-US" w:bidi="en-US"/>
        </w:rPr>
        <w:t xml:space="preserve">: Utilizar o subitem 3.3.5, se não for possível a contratação de cooperativas. Caso contrário, utilizar os subitens 3.4 e 3.4.1. </w:t>
      </w:r>
    </w:p>
    <w:p>
      <w:pPr>
        <w:overflowPunct w:val="true"/>
        <w:rPr/>
      </w:pPr>
      <w:r>
        <w:rPr>
          <w:rFonts w:eastAsia="Segoe UI" w:ascii="Liberation Serif" w:hAnsi="Liberation Serif"/>
          <w:i/>
          <w:iCs/>
          <w:color w:val="000000"/>
          <w:sz w:val="24"/>
          <w:lang w:val="en-US" w:eastAsia="en-US" w:bidi="en-US"/>
        </w:rPr>
        <w:t>Lembramos que, caso se proíba a participação de cooperativas, as demais disposições do Aviso de Contratação Direta deverão ser adaptadas a esta nova condição.</w:t>
      </w:r>
    </w:p>
  </w:comment>
  <w:comment w:id="7" w:author="Autor" w:initials="A">
    <w:p>
      <w:pPr>
        <w:overflowPunct w:val="true"/>
        <w:rPr/>
      </w:pPr>
      <w:r>
        <w:annotationRef/>
      </w:r>
      <w:r>
        <w:rPr>
          <w:rFonts w:eastAsia="Segoe UI" w:ascii="Liberation Serif" w:hAnsi="Liberation Serif"/>
          <w:sz w:val="24"/>
          <w:lang w:val="en-US" w:eastAsia="en-US" w:bidi="en-US"/>
        </w:rPr>
        <w:t>Nota Explicativa: Conforme art. 15, inciso IV, do Decreto n.º 11.462, de 2023, deverá ser especificado neste item do aviso a possibilidade de o fornecedor oferecer ou não proposta em quantitativo inferior ao máximo previsto no Termo de Referência e obrigar-se nos limites dela.</w:t>
      </w:r>
    </w:p>
  </w:comment>
  <w:comment w:id="8" w:author="Autor" w:initials="A">
    <w:p>
      <w:pPr>
        <w:overflowPunct w:val="true"/>
        <w:rPr/>
      </w:pPr>
      <w:r>
        <w:annotationRef/>
      </w:r>
      <w:r>
        <w:rPr>
          <w:rFonts w:eastAsia="Segoe UI" w:ascii="Liberation Serif" w:hAnsi="Liberation Serif"/>
          <w:sz w:val="24"/>
          <w:lang w:val="en-US" w:eastAsia="en-US" w:bidi="en-US"/>
        </w:rPr>
        <w:t>Nota explicativa: Conforme art. 15, III, do Decreto 11.462, de 2023, especificar se será admitida ou não diferenciação de preço a) quando o objeto for realizado ou entregue em locais diferentes; b) em razão da forma e do local de acondicionamento; c) quando admitida cotação variável em razão do tamanho do lote; ou d) por outros motivos justificados no processo.</w:t>
      </w:r>
    </w:p>
  </w:comment>
  <w:comment w:id="9"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w:t>
      </w:r>
      <w:r>
        <w:rPr>
          <w:rFonts w:eastAsia="Segoe UI" w:ascii="Liberation Serif" w:hAnsi="Liberation Serif"/>
          <w:i/>
          <w:iCs/>
          <w:color w:val="000000"/>
          <w:sz w:val="24"/>
          <w:lang w:val="en-US" w:eastAsia="en-US" w:bidi="en-US"/>
        </w:rPr>
        <w:t>Incluir Projeto Básico caso se trate de Contratação de Obras ou Serviços de Engenharia, e Projeto Executivo se cabível e sua elaboração não for delegada ao Contratado. Quanto à diferenciação entre Termo de Referência e Projeto Básico em Contratações de Engenharia, direciona-se o leitor às orientações do modelo de Termo de Referência de Serviços de Engenharia. Caso se trate de contratação integrada ou semi-integrada, adaptar a redação do item, além de outros aspectos do presente modelo.</w:t>
      </w:r>
    </w:p>
  </w:comment>
  <w:comment w:id="10"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w:t>
      </w:r>
      <w:r>
        <w:rPr>
          <w:rFonts w:eastAsia="Segoe UI" w:ascii="Liberation Serif" w:hAnsi="Liberation Serif"/>
          <w:i/>
          <w:iCs/>
          <w:color w:val="000000"/>
          <w:sz w:val="24"/>
          <w:lang w:val="en-US" w:eastAsia="en-US" w:bidi="en-US"/>
        </w:rPr>
        <w:t>Preencher com prazo reputado como razoável para a conclusão da contratação. Registre-se que não há prazo mínimo ou máximo de validade previsto em normativo neste caso.</w:t>
      </w:r>
    </w:p>
  </w:comment>
  <w:comment w:id="11" w:author="Autor" w:initials="A">
    <w:p>
      <w:pPr>
        <w:overflowPunct w:val="true"/>
        <w:rPr/>
      </w:pPr>
      <w:r>
        <w:annotationRef/>
      </w:r>
      <w:r>
        <w:rPr>
          <w:rFonts w:eastAsia="Segoe UI" w:ascii="Liberation Serif" w:hAnsi="Liberation Serif"/>
          <w:b/>
          <w:bCs/>
          <w:i/>
          <w:iCs/>
          <w:color w:val="000000"/>
          <w:sz w:val="24"/>
          <w:lang w:val="en-US" w:eastAsia="en-US" w:bidi="en-US"/>
        </w:rPr>
        <w:t>Nota Explicativa</w:t>
      </w:r>
      <w:r>
        <w:rPr>
          <w:rFonts w:eastAsia="Segoe UI" w:ascii="Liberation Serif" w:hAnsi="Liberation Serif"/>
          <w:i/>
          <w:iCs/>
          <w:color w:val="000000"/>
          <w:sz w:val="24"/>
          <w:lang w:val="en-US" w:eastAsia="en-US" w:bidi="en-US"/>
        </w:rPr>
        <w:t>: Caso o fornecedor assinale o campo "não" na declaração relativa ao subitem acima, não fará jus ao tratamento favorecido previsto na Lei Complementar n.º 123, de 2006, mesmo que se trate de microempresa, empresa de pequeno porte ou sociedade cooperativa.</w:t>
      </w:r>
    </w:p>
  </w:comment>
  <w:comment w:id="12" w:author="Autor" w:initials="A">
    <w:p>
      <w:pPr>
        <w:overflowPunct w:val="true"/>
        <w:rPr/>
      </w:pPr>
      <w:r>
        <w:annotationRef/>
      </w:r>
      <w:r>
        <w:rPr>
          <w:rFonts w:eastAsia="Segoe UI" w:ascii="Liberation Serif" w:hAnsi="Liberation Serif"/>
          <w:b/>
          <w:bCs/>
          <w:i/>
          <w:iCs/>
          <w:color w:val="000000"/>
          <w:sz w:val="24"/>
          <w:lang w:val="en-US" w:eastAsia="en-US" w:bidi="en-US"/>
        </w:rPr>
        <w:t>Nota Explicativa:</w:t>
      </w:r>
      <w:r>
        <w:rPr>
          <w:rFonts w:eastAsia="Segoe UI" w:ascii="Liberation Serif" w:hAnsi="Liberation Serif"/>
          <w:i/>
          <w:iCs/>
          <w:color w:val="000000"/>
          <w:sz w:val="24"/>
          <w:lang w:val="en-US" w:eastAsia="en-US" w:bidi="en-US"/>
        </w:rPr>
        <w:t xml:space="preserve"> Atentar se o sistema já possui essa funcionalidade instalada. Caso não tenha, suprimir o subitem 4.11 e itens subordinados. Se já houver a funcionalidade, a revisão deve ser mantida.</w:t>
      </w:r>
    </w:p>
  </w:comment>
  <w:comment w:id="13" w:author="Autor" w:initials="A">
    <w:p>
      <w:pPr>
        <w:overflowPunct w:val="true"/>
        <w:rPr/>
      </w:pPr>
      <w:r>
        <w:annotationRef/>
      </w:r>
      <w:r>
        <w:rPr>
          <w:rFonts w:eastAsia="Segoe UI" w:ascii="Liberation Serif" w:hAnsi="Liberation Serif"/>
          <w:b/>
          <w:bCs/>
          <w:i/>
          <w:iCs/>
          <w:color w:val="000000"/>
          <w:sz w:val="24"/>
          <w:lang w:val="en-US" w:eastAsia="en-US" w:bidi="en-US"/>
        </w:rPr>
        <w:t>Nota Explicativa:</w:t>
      </w:r>
      <w:r>
        <w:rPr>
          <w:rFonts w:eastAsia="Segoe UI" w:ascii="Liberation Serif" w:hAnsi="Liberation Serif"/>
          <w:color w:val="000000"/>
          <w:sz w:val="24"/>
          <w:lang w:val="en-US" w:eastAsia="en-US" w:bidi="en-US"/>
        </w:rPr>
        <w:t xml:space="preserve"> </w:t>
      </w:r>
      <w:r>
        <w:rPr>
          <w:rFonts w:eastAsia="Segoe UI" w:ascii="Liberation Serif" w:hAnsi="Liberation Serif"/>
          <w:i/>
          <w:iCs/>
          <w:color w:val="000000"/>
          <w:sz w:val="24"/>
          <w:lang w:val="en-US" w:eastAsia="en-US" w:bidi="en-US"/>
        </w:rPr>
        <w:t>Atentar para o fato de que, segundo o § 1º do art. 16 da Instrução Normativa Seges/ME nº 67, de 2021, na hipótese de a estimativa de preços ser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 Nesse caso, o trecho em vermelho deverá ser excluído.</w:t>
      </w:r>
    </w:p>
  </w:comment>
  <w:comment w:id="14" w:author="Autor" w:initials="A">
    <w:p>
      <w:pPr>
        <w:overflowPunct w:val="true"/>
        <w:rPr/>
      </w:pPr>
      <w:r>
        <w:annotationRef/>
      </w:r>
      <w:r>
        <w:rPr>
          <w:rFonts w:eastAsia="Segoe UI" w:ascii="Liberation Serif" w:hAnsi="Liberation Serif"/>
          <w:b/>
          <w:bCs/>
          <w:i/>
          <w:iCs/>
          <w:color w:val="000000"/>
          <w:sz w:val="24"/>
          <w:lang w:val="en-US" w:eastAsia="en-US" w:bidi="en-US"/>
        </w:rPr>
        <w:t>Nota explicativa:</w:t>
      </w:r>
      <w:r>
        <w:rPr>
          <w:rFonts w:eastAsia="Segoe UI" w:ascii="Liberation Serif" w:hAnsi="Liberation Serif"/>
          <w:i/>
          <w:iCs/>
          <w:color w:val="000000"/>
          <w:sz w:val="24"/>
          <w:lang w:val="en-US" w:eastAsia="en-US" w:bidi="en-US"/>
        </w:rPr>
        <w:t xml:space="preserve"> Este subitem acima só se aplica nas dispensas eletrônicas por itens, e desde que o Aviso de Contratação Direta exija comprovação de capital mínimo ou patrimônio líquido, para fins de qualificação econômico-financeira, ou comprovação de aptidão, para fins de qualificação técnica.</w:t>
      </w:r>
    </w:p>
    <w:p>
      <w:pPr>
        <w:overflowPunct w:val="true"/>
        <w:rPr/>
      </w:pPr>
      <w:r>
        <w:rPr>
          <w:rFonts w:eastAsia="Segoe UI" w:ascii="Liberation Serif" w:hAnsi="Liberation Serif"/>
          <w:i/>
          <w:iCs/>
          <w:color w:val="000000"/>
          <w:sz w:val="24"/>
          <w:lang w:val="en-US" w:eastAsia="en-US" w:bidi="en-US"/>
        </w:rPr>
        <w:t>Na dispensa por itens, as exigências de habilitação (especialmente qualificação econômico-financeira e técnica) devem ser compatíveis e proporcionais ao vulto e à complexidade de cada item. Não se pode exigir do fornecedor que concorre em apenas um item requisitos de qualificação econômico-financeira ou técnica correspondentes ao objeto da dispensa como um todo.</w:t>
      </w:r>
    </w:p>
    <w:p>
      <w:pPr>
        <w:overflowPunct w:val="true"/>
        <w:rPr/>
      </w:pPr>
      <w:r>
        <w:rPr>
          <w:rFonts w:eastAsia="Segoe UI" w:ascii="Liberation Serif" w:hAnsi="Liberation Serif"/>
          <w:i/>
          <w:iCs/>
          <w:color w:val="000000"/>
          <w:sz w:val="24"/>
          <w:lang w:val="en-US" w:eastAsia="en-US" w:bidi="en-US"/>
        </w:rPr>
        <w:t xml:space="preserve">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 </w:t>
      </w:r>
    </w:p>
    <w:p>
      <w:pPr>
        <w:overflowPunct w:val="true"/>
        <w:rPr/>
      </w:pPr>
      <w:r>
        <w:rPr>
          <w:rFonts w:eastAsia="Segoe UI" w:ascii="Liberation Serif" w:hAnsi="Liberation Serif"/>
          <w:i/>
          <w:iCs/>
          <w:color w:val="000000"/>
          <w:sz w:val="24"/>
          <w:lang w:val="en-US" w:eastAsia="en-US" w:bidi="en-US"/>
        </w:rPr>
        <w:t>No caso de a habilitação do fornecedor não atingir as exigências cumulativas para todos os itens (ou grupos) para os quais concorreu, então ele deverá ser inabilitado em algum ou alguns deles, e a escolha deverá recair sobre aquele ou aqueles que representarem o menor gravame para o fornecedor, ou seja, os de menor valor, e só deve recair sobre os que forem suficientes para que a habilitação do fornecedor atinja as exigências cumulativas do item ou itens remanescentes.</w:t>
      </w:r>
    </w:p>
  </w:comment>
  <w:comment w:id="16" w:author="Autor" w:initials="A">
    <w:p>
      <w:pPr>
        <w:overflowPunct w:val="true"/>
        <w:rPr/>
      </w:pPr>
      <w:r>
        <w:annotationRef/>
      </w:r>
      <w:r>
        <w:rPr>
          <w:rFonts w:eastAsia="Segoe UI" w:ascii="Liberation Serif" w:hAnsi="Liberation Serif"/>
          <w:b/>
          <w:bCs/>
          <w:color w:val="000000"/>
          <w:sz w:val="24"/>
          <w:lang w:val="en-US" w:eastAsia="en-US" w:bidi="en-US"/>
        </w:rPr>
        <w:t>Nota</w:t>
      </w:r>
      <w:r>
        <w:rPr>
          <w:rFonts w:eastAsia="Segoe UI" w:ascii="Liberation Serif" w:hAnsi="Liberation Serif"/>
          <w:color w:val="000000"/>
          <w:sz w:val="24"/>
          <w:lang w:val="en-US" w:eastAsia="en-US" w:bidi="en-US"/>
        </w:rPr>
        <w:t xml:space="preserve"> </w:t>
      </w:r>
      <w:r>
        <w:rPr>
          <w:rFonts w:eastAsia="Segoe UI" w:ascii="Liberation Serif" w:hAnsi="Liberation Serif"/>
          <w:b/>
          <w:bCs/>
          <w:color w:val="000000"/>
          <w:sz w:val="24"/>
          <w:lang w:val="en-US" w:eastAsia="en-US" w:bidi="en-US"/>
        </w:rPr>
        <w:t>explicativa</w:t>
      </w:r>
      <w:r>
        <w:rPr>
          <w:rFonts w:eastAsia="Segoe UI" w:ascii="Liberation Serif" w:hAnsi="Liberation Serif"/>
          <w:i/>
          <w:iCs/>
          <w:color w:val="000000"/>
          <w:sz w:val="24"/>
          <w:lang w:val="en-US" w:eastAsia="en-US" w:bidi="en-US"/>
        </w:rPr>
        <w:t>: De acordo com o art. 95 da Lei nº 14.133, de 2021, o termo de contrato é facultativo nas contratações fundadas no art. 75, incisos I e II (dispensa por valor) e no caso de compras com entrega imediata.</w:t>
      </w:r>
    </w:p>
    <w:p>
      <w:pPr>
        <w:overflowPunct w:val="true"/>
        <w:rPr/>
      </w:pPr>
      <w:r>
        <w:rPr>
          <w:rFonts w:eastAsia="Segoe UI" w:ascii="Liberation Serif" w:hAnsi="Liberation Serif"/>
          <w:i/>
          <w:iCs/>
          <w:color w:val="000000"/>
          <w:sz w:val="24"/>
          <w:lang w:val="en-US" w:eastAsia="en-US" w:bidi="en-US"/>
        </w:rPr>
        <w:t>Assim, caso não haja termo de contrato, este poderá ser substituído por outros instrumentos hábeis, como carta contrato, nota de empenho de despesa ou autorização de compra, nos quais deve constar expressamente a vinculação à proposta e aos termos do aviso de dispensa. A redação do presente tópico procura abarcar ambas as hipóteses, sem prejuízo de eventuais ajustes que se façam necessários.</w:t>
      </w:r>
    </w:p>
  </w:comment>
  <w:comment w:id="15"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w:t>
      </w:r>
      <w:r>
        <w:rPr>
          <w:rFonts w:eastAsia="Segoe UI" w:ascii="Liberation Serif" w:hAnsi="Liberation Serif"/>
          <w:b/>
          <w:bCs/>
          <w:i/>
          <w:iCs/>
          <w:sz w:val="24"/>
          <w:lang w:val="en-US" w:eastAsia="en-US" w:bidi="en-US"/>
        </w:rPr>
        <w:t>Explicativa</w:t>
      </w:r>
      <w:r>
        <w:rPr>
          <w:rFonts w:eastAsia="Segoe UI" w:ascii="Liberation Serif" w:hAnsi="Liberation Serif"/>
          <w:b/>
          <w:bCs/>
          <w:i/>
          <w:iCs/>
          <w:color w:val="000000"/>
          <w:sz w:val="24"/>
          <w:lang w:val="en-US" w:eastAsia="en-US" w:bidi="en-US"/>
        </w:rPr>
        <w:t>:</w:t>
      </w:r>
      <w:r>
        <w:rPr>
          <w:rFonts w:eastAsia="Segoe UI" w:ascii="Liberation Serif" w:hAnsi="Liberation Serif"/>
          <w:i/>
          <w:iCs/>
          <w:color w:val="000000"/>
          <w:sz w:val="24"/>
          <w:lang w:val="en-US" w:eastAsia="en-US" w:bidi="en-US"/>
        </w:rPr>
        <w:t xml:space="preserve"> É importante que a Administração se certifique de que o Termo de Contrato, devolvido, em meio físico ou eletrônico, assinado pela Contratada, não sofreu qualquer alteração. </w:t>
      </w:r>
    </w:p>
  </w:comment>
  <w:comment w:id="17" w:author="Autor" w:initials="A">
    <w:p>
      <w:pPr>
        <w:overflowPunct w:val="true"/>
        <w:rPr/>
      </w:pPr>
      <w:r>
        <w:annotationRef/>
      </w:r>
      <w:r>
        <w:rPr>
          <w:rFonts w:eastAsia="Segoe UI" w:ascii="Liberation Serif" w:hAnsi="Liberation Serif"/>
          <w:b/>
          <w:bCs/>
          <w:i/>
          <w:iCs/>
          <w:color w:val="000000"/>
          <w:sz w:val="24"/>
          <w:lang w:val="en-US" w:eastAsia="en-US" w:bidi="en-US"/>
        </w:rPr>
        <w:t xml:space="preserve">Nota Explicativa: </w:t>
      </w:r>
      <w:r>
        <w:rPr>
          <w:rFonts w:eastAsia="Segoe UI" w:ascii="Liberation Serif" w:hAnsi="Liberation Serif"/>
          <w:i/>
          <w:iCs/>
          <w:color w:val="000000"/>
          <w:sz w:val="24"/>
          <w:lang w:val="en-US" w:eastAsia="en-US" w:bidi="en-US"/>
        </w:rPr>
        <w:t xml:space="preserve">Utilizar o subitem acima no caso de haver o uso de nota de empenho ou instrumento assemelhado, em substituição ao instrumento contratual, nos termos dos incisos I e II do art. 95 da Lei nº 14.133, de 2021. </w:t>
      </w:r>
    </w:p>
  </w:comment>
  <w:comment w:id="18" w:author="Autor" w:initials="A">
    <w:p>
      <w:pPr>
        <w:overflowPunct w:val="true"/>
        <w:rPr/>
      </w:pPr>
      <w:r>
        <w:annotationRef/>
      </w:r>
      <w:r>
        <w:rPr>
          <w:rFonts w:eastAsia="Segoe UI" w:ascii="Liberation Serif" w:hAnsi="Liberation Serif"/>
          <w:b/>
          <w:bCs/>
          <w:i/>
          <w:iCs/>
          <w:sz w:val="24"/>
          <w:lang w:val="en-US" w:eastAsia="en-US" w:bidi="en-US"/>
        </w:rPr>
        <w:t>Nota</w:t>
      </w:r>
      <w:r>
        <w:rPr>
          <w:rFonts w:eastAsia="Segoe UI" w:ascii="Liberation Serif" w:hAnsi="Liberation Serif"/>
          <w:i/>
          <w:iCs/>
          <w:color w:val="000000"/>
          <w:sz w:val="24"/>
          <w:lang w:val="en-US" w:eastAsia="en-US" w:bidi="en-US"/>
        </w:rPr>
        <w:t xml:space="preserve"> </w:t>
      </w:r>
      <w:r>
        <w:rPr>
          <w:rFonts w:eastAsia="Segoe UI" w:ascii="Liberation Serif" w:hAnsi="Liberation Serif"/>
          <w:b/>
          <w:bCs/>
          <w:i/>
          <w:iCs/>
          <w:sz w:val="24"/>
          <w:lang w:val="en-US" w:eastAsia="en-US" w:bidi="en-US"/>
        </w:rPr>
        <w:t>explicativa</w:t>
      </w:r>
      <w:r>
        <w:rPr>
          <w:rFonts w:eastAsia="Segoe UI" w:ascii="Liberation Serif" w:hAnsi="Liberation Serif"/>
          <w:i/>
          <w:iCs/>
          <w:color w:val="000000"/>
          <w:sz w:val="24"/>
          <w:lang w:val="en-US" w:eastAsia="en-US" w:bidi="en-US"/>
        </w:rPr>
        <w:t>: Nesse momento, deve haver a checagem da manutenção de todas as condições de habilitação, não se limitando apenas à consulta ao SICAF.</w:t>
      </w:r>
    </w:p>
  </w:comment>
  <w:comment w:id="19" w:author="Autor" w:initials="A">
    <w:p>
      <w:pPr>
        <w:overflowPunct w:val="true"/>
        <w:rPr/>
      </w:pPr>
      <w:r>
        <w:annotationRef/>
      </w:r>
      <w:r>
        <w:rPr>
          <w:rFonts w:eastAsia="Segoe UI" w:ascii="Liberation Serif" w:hAnsi="Liberation Serif"/>
          <w:b/>
          <w:bCs/>
          <w:i/>
          <w:iCs/>
          <w:sz w:val="24"/>
          <w:lang w:val="en-US" w:eastAsia="en-US" w:bidi="en-US"/>
        </w:rPr>
        <w:t>Nota Explicativa:</w:t>
      </w:r>
      <w:r>
        <w:rPr>
          <w:rFonts w:eastAsia="Segoe UI" w:ascii="Liberation Serif" w:hAnsi="Liberation Serif"/>
          <w:i/>
          <w:iCs/>
          <w:sz w:val="24"/>
          <w:lang w:val="en-US" w:eastAsia="en-US" w:bidi="en-US"/>
        </w:rPr>
        <w:t xml:space="preserve"> Nos termos do art. 156, §3º da Lei nº 14.133, de 2021, a multa deve ser prevista em percentual entre 0,5% e 30% do valor do contrato.</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Ecofont_Spranq_eco_Sans">
    <w:charset w:val="00" w:characterSet="windows-1252"/>
    <w:family w:val="roman"/>
    <w:pitch w:val="variable"/>
  </w:font>
  <w:font w:name="Segoe UI">
    <w:charset w:val="00" w:characterSet="windows-1252"/>
    <w:family w:val="roman"/>
    <w:pitch w:val="variable"/>
  </w:font>
  <w:font w:name="Liberation Sans">
    <w:altName w:val="Arial"/>
    <w:charset w:val="00" w:characterSet="windows-1252"/>
    <w:family w:val="roman"/>
    <w:pitch w:val="variable"/>
  </w:font>
  <w:font w:name="Calibri Light">
    <w:charset w:val="00" w:characterSet="windows-1252"/>
    <w:family w:val="swiss"/>
    <w:pitch w:val="variable"/>
  </w:font>
  <w:font w:name="Helvetica">
    <w:altName w:val="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hanging="0" w:start="0" w:end="260"/>
      <w:jc w:val="end"/>
      <w:rPr/>
    </w:pPr>
    <w:r>
      <w:rPr>
        <w:color w:val="8496B0"/>
        <w:spacing w:val="60"/>
        <w:sz w:val="18"/>
        <w:szCs w:val="18"/>
      </w:rPr>
      <w:t>Página</w:t>
    </w:r>
    <w:r>
      <w:rPr>
        <w:color w:val="8496B0"/>
        <w:sz w:val="18"/>
        <w:szCs w:val="18"/>
      </w:rPr>
      <w:t xml:space="preserve"> </w:t>
    </w:r>
    <w:r>
      <w:rPr>
        <w:color w:val="323E4F"/>
        <w:sz w:val="18"/>
        <w:szCs w:val="18"/>
      </w:rPr>
      <w:fldChar w:fldCharType="begin"/>
    </w:r>
    <w:r>
      <w:rPr>
        <w:color w:val="323E4F"/>
        <w:sz w:val="18"/>
        <w:szCs w:val="18"/>
      </w:rPr>
      <w:instrText xml:space="preserve"> PAGE </w:instrText>
    </w:r>
    <w:r>
      <w:rPr>
        <w:color w:val="323E4F"/>
        <w:sz w:val="18"/>
        <w:szCs w:val="18"/>
      </w:rPr>
      <w:fldChar w:fldCharType="separate"/>
    </w:r>
    <w:r>
      <w:rPr>
        <w:color w:val="323E4F"/>
        <w:sz w:val="18"/>
        <w:szCs w:val="18"/>
      </w:rPr>
      <w:t>15</w:t>
    </w:r>
    <w:r>
      <w:rPr>
        <w:color w:val="323E4F"/>
        <w:sz w:val="18"/>
        <w:szCs w:val="18"/>
      </w:rPr>
      <w:fldChar w:fldCharType="end"/>
    </w:r>
    <w:r>
      <w:rPr>
        <w:color w:val="323E4F"/>
        <w:sz w:val="18"/>
        <w:szCs w:val="18"/>
      </w:rPr>
      <w:t xml:space="preserve"> | </w:t>
    </w:r>
    <w:r>
      <w:rPr>
        <w:color w:val="323E4F"/>
        <w:sz w:val="18"/>
        <w:szCs w:val="18"/>
      </w:rPr>
      <w:fldChar w:fldCharType="begin"/>
    </w:r>
    <w:r>
      <w:rPr>
        <w:color w:val="323E4F"/>
        <w:sz w:val="18"/>
        <w:szCs w:val="18"/>
      </w:rPr>
      <w:instrText xml:space="preserve"> NUMPAGES </w:instrText>
    </w:r>
    <w:r>
      <w:rPr>
        <w:color w:val="323E4F"/>
        <w:sz w:val="18"/>
        <w:szCs w:val="18"/>
      </w:rPr>
      <w:fldChar w:fldCharType="separate"/>
    </w:r>
    <w:r>
      <w:rPr>
        <w:color w:val="323E4F"/>
        <w:sz w:val="18"/>
        <w:szCs w:val="18"/>
      </w:rPr>
      <w:t>15</w:t>
    </w:r>
    <w:r>
      <w:rPr>
        <w:color w:val="323E4F"/>
        <w:sz w:val="18"/>
        <w:szCs w:val="18"/>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 CNMLC/CGU/AGU</w:t>
    </w:r>
  </w:p>
  <w:p>
    <w:pPr>
      <w:pStyle w:val="Footer"/>
      <w:rPr>
        <w:sz w:val="12"/>
        <w:szCs w:val="12"/>
      </w:rPr>
    </w:pPr>
    <w:r>
      <w:rPr>
        <w:sz w:val="12"/>
        <w:szCs w:val="12"/>
      </w:rPr>
      <w:t>Aviso de Contratação Direta – Lei nº 14.133/21 e IN SEGES/ME nº 67/2021</w:t>
    </w:r>
  </w:p>
  <w:p>
    <w:pPr>
      <w:pStyle w:val="Footer"/>
      <w:rPr>
        <w:sz w:val="12"/>
        <w:szCs w:val="12"/>
      </w:rPr>
    </w:pPr>
    <w:r>
      <w:rPr>
        <w:sz w:val="12"/>
        <w:szCs w:val="12"/>
      </w:rPr>
      <w:t>Versão: agosto/2023</w:t>
    </w:r>
  </w:p>
  <w:p>
    <w:pPr>
      <w:pStyle w:val="Footer"/>
      <w:rPr>
        <w:sz w:val="12"/>
        <w:szCs w:val="12"/>
      </w:rPr>
    </w:pPr>
    <w:r>
      <w:rPr>
        <w:sz w:val="12"/>
        <w:szCs w:val="12"/>
      </w:rPr>
      <w:t>Aprovado pela Secretaria de Gestão.</w:t>
    </w:r>
  </w:p>
  <w:p>
    <w:pPr>
      <w:pStyle w:val="Footer"/>
      <w:rPr>
        <w:sz w:val="12"/>
        <w:szCs w:val="12"/>
      </w:rPr>
    </w:pPr>
    <w:r>
      <w:rPr>
        <w:sz w:val="12"/>
        <w:szCs w:val="12"/>
      </w:rPr>
      <w:t>Identidade visual pela Secretaria de Gestão (versão agosto/2023)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p>
    <w:pPr>
      <w:pStyle w:val="Header"/>
      <w:rPr/>
    </w:pPr>
    <w:r>
      <w:rPr/>
    </w:r>
  </w:p>
  <w:p>
    <w:pPr>
      <w:pStyle w:val="Header"/>
      <w:rPr/>
    </w:pPr>
    <w:r>
      <w:rPr/>
    </w:r>
  </w:p>
  <w:p>
    <w:pPr>
      <w:pStyle w:val="Normal"/>
      <w:jc w:val="end"/>
      <w:rPr/>
    </w:pPr>
    <w:r>
      <w:rPr/>
      <w:t xml:space="preserve">AVISO DE CONTRATAÇÃO DIRETA </w:t>
    </w:r>
  </w:p>
  <w:p>
    <w:pPr>
      <w:pStyle w:val="Header"/>
      <w:jc w:val="end"/>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distT="0" distB="0" distL="0" distR="0" simplePos="0" relativeHeight="2" behindDoc="1" locked="0" layoutInCell="1" allowOverlap="1">
          <wp:simplePos x="0" y="0"/>
          <wp:positionH relativeFrom="column">
            <wp:posOffset>-1080135</wp:posOffset>
          </wp:positionH>
          <wp:positionV relativeFrom="paragraph">
            <wp:posOffset>635</wp:posOffset>
          </wp:positionV>
          <wp:extent cx="7560310" cy="10692765"/>
          <wp:effectExtent l="0" t="0" r="0" b="0"/>
          <wp:wrapNone/>
          <wp:docPr id="1"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60310" cy="10692765"/>
                  </a:xfrm>
                  <a:prstGeom prst="rect">
                    <a:avLst/>
                  </a:prstGeom>
                  <a:noFill/>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pStyle w:val="Heading1"/>
      <w:lvlText w:val="%1."/>
      <w:lvlJc w:val="start"/>
      <w:pPr>
        <w:tabs>
          <w:tab w:val="num" w:pos="0"/>
        </w:tabs>
        <w:ind w:start="360" w:hanging="360"/>
      </w:pPr>
      <w:rPr>
        <w:b/>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716" w:hanging="432"/>
      </w:pPr>
      <w:rPr>
        <w:b w:val="false"/>
        <w:i w:val="false"/>
        <w:iCs/>
      </w:rPr>
    </w:lvl>
    <w:lvl w:ilvl="2">
      <w:start w:val="1"/>
      <w:numFmt w:val="decimal"/>
      <w:lvlText w:val="%1.%2.%3."/>
      <w:lvlJc w:val="start"/>
      <w:pPr>
        <w:tabs>
          <w:tab w:val="num" w:pos="0"/>
        </w:tabs>
        <w:ind w:start="1224" w:hanging="504"/>
      </w:pPr>
      <w:rPr>
        <w:rFonts w:ascii="Arial" w:hAnsi="Arial" w:cs="Arial"/>
        <w:b w:val="false"/>
        <w:i w:val="false"/>
        <w:iCs/>
        <w:color w:val="auto"/>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3">
    <w:lvl w:ilvl="0">
      <w:start w:val="4"/>
      <w:numFmt w:val="decimal"/>
      <w:lvlText w:val="%1"/>
      <w:lvlJc w:val="start"/>
      <w:pPr>
        <w:tabs>
          <w:tab w:val="num" w:pos="0"/>
        </w:tabs>
        <w:ind w:start="435" w:hanging="435"/>
      </w:pPr>
      <w:rPr/>
    </w:lvl>
    <w:lvl w:ilvl="1">
      <w:start w:val="4"/>
      <w:numFmt w:val="decimal"/>
      <w:lvlText w:val="%1.%2"/>
      <w:lvlJc w:val="start"/>
      <w:pPr>
        <w:tabs>
          <w:tab w:val="num" w:pos="0"/>
        </w:tabs>
        <w:ind w:start="1002" w:hanging="435"/>
      </w:pPr>
      <w:rPr/>
    </w:lvl>
    <w:lvl w:ilvl="2">
      <w:start w:val="1"/>
      <w:numFmt w:val="decimal"/>
      <w:lvlText w:val="%1.%2.%3"/>
      <w:lvlJc w:val="start"/>
      <w:pPr>
        <w:tabs>
          <w:tab w:val="num" w:pos="0"/>
        </w:tabs>
        <w:ind w:start="1854" w:hanging="720"/>
      </w:pPr>
      <w:rPr/>
    </w:lvl>
    <w:lvl w:ilvl="3">
      <w:start w:val="1"/>
      <w:numFmt w:val="decimal"/>
      <w:lvlText w:val="%1.%2.%3.%4"/>
      <w:lvlJc w:val="start"/>
      <w:pPr>
        <w:tabs>
          <w:tab w:val="num" w:pos="0"/>
        </w:tabs>
        <w:ind w:start="2421" w:hanging="720"/>
      </w:pPr>
      <w:rPr/>
    </w:lvl>
    <w:lvl w:ilvl="4">
      <w:start w:val="1"/>
      <w:numFmt w:val="decimal"/>
      <w:lvlText w:val="%1.%2.%3.%4.%5"/>
      <w:lvlJc w:val="start"/>
      <w:pPr>
        <w:tabs>
          <w:tab w:val="num" w:pos="0"/>
        </w:tabs>
        <w:ind w:start="3348" w:hanging="1080"/>
      </w:pPr>
      <w:rPr/>
    </w:lvl>
    <w:lvl w:ilvl="5">
      <w:start w:val="1"/>
      <w:numFmt w:val="decimal"/>
      <w:lvlText w:val="%1.%2.%3.%4.%5.%6"/>
      <w:lvlJc w:val="start"/>
      <w:pPr>
        <w:tabs>
          <w:tab w:val="num" w:pos="0"/>
        </w:tabs>
        <w:ind w:start="3915" w:hanging="1080"/>
      </w:pPr>
      <w:rPr/>
    </w:lvl>
    <w:lvl w:ilvl="6">
      <w:start w:val="1"/>
      <w:numFmt w:val="decimal"/>
      <w:lvlText w:val="%1.%2.%3.%4.%5.%6.%7"/>
      <w:lvlJc w:val="start"/>
      <w:pPr>
        <w:tabs>
          <w:tab w:val="num" w:pos="0"/>
        </w:tabs>
        <w:ind w:start="4842" w:hanging="1440"/>
      </w:pPr>
      <w:rPr/>
    </w:lvl>
    <w:lvl w:ilvl="7">
      <w:start w:val="1"/>
      <w:numFmt w:val="decimal"/>
      <w:lvlText w:val="%1.%2.%3.%4.%5.%6.%7.%8"/>
      <w:lvlJc w:val="start"/>
      <w:pPr>
        <w:tabs>
          <w:tab w:val="num" w:pos="0"/>
        </w:tabs>
        <w:ind w:start="5409" w:hanging="1440"/>
      </w:pPr>
      <w:rPr/>
    </w:lvl>
    <w:lvl w:ilvl="8">
      <w:start w:val="1"/>
      <w:numFmt w:val="decimal"/>
      <w:lvlText w:val="%1.%2.%3.%4.%5.%6.%7.%8.%9"/>
      <w:lvlJc w:val="start"/>
      <w:pPr>
        <w:tabs>
          <w:tab w:val="num" w:pos="0"/>
        </w:tabs>
        <w:ind w:start="6336" w:hanging="1800"/>
      </w:pPr>
      <w:rPr/>
    </w:lvl>
  </w:abstractNum>
  <w:abstractNum w:abstractNumId="4">
    <w:lvl w:ilvl="0">
      <w:start w:val="1"/>
      <w:numFmt w:val="decimal"/>
      <w:lvlText w:val="%1."/>
      <w:lvlJc w:val="start"/>
      <w:pPr>
        <w:tabs>
          <w:tab w:val="num" w:pos="0"/>
        </w:tabs>
        <w:ind w:start="502" w:hanging="360"/>
      </w:pPr>
      <w:rPr>
        <w:b/>
        <w:i w:val="false"/>
        <w:strike w:val="false"/>
        <w:dstrike w:val="false"/>
      </w:rPr>
    </w:lvl>
    <w:lvl w:ilvl="1">
      <w:start w:val="1"/>
      <w:numFmt w:val="decimal"/>
      <w:lvlText w:val="%1.%2."/>
      <w:lvlJc w:val="start"/>
      <w:pPr>
        <w:tabs>
          <w:tab w:val="num" w:pos="0"/>
        </w:tabs>
        <w:ind w:start="858" w:hanging="432"/>
      </w:pPr>
      <w:rPr>
        <w:b w:val="false"/>
        <w:strike w:val="false"/>
        <w:dstrike w:val="false"/>
      </w:rPr>
    </w:lvl>
    <w:lvl w:ilvl="2">
      <w:start w:val="1"/>
      <w:numFmt w:val="decimal"/>
      <w:lvlText w:val="%1.%2.%3."/>
      <w:lvlJc w:val="start"/>
      <w:pPr>
        <w:tabs>
          <w:tab w:val="num" w:pos="0"/>
        </w:tabs>
        <w:ind w:start="1224" w:hanging="504"/>
      </w:pPr>
      <w:rPr>
        <w:i w:val="false"/>
        <w:strike w:val="false"/>
        <w:dstrike w:val="false"/>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4053"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5">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792" w:hanging="432"/>
      </w:pPr>
      <w:rPr>
        <w:b w:val="false"/>
        <w:i w:val="false"/>
        <w:iCs/>
      </w:rPr>
    </w:lvl>
    <w:lvl w:ilvl="2">
      <w:start w:val="1"/>
      <w:numFmt w:val="decimal"/>
      <w:lvlText w:val="%1.%2.%3."/>
      <w:lvlJc w:val="start"/>
      <w:pPr>
        <w:tabs>
          <w:tab w:val="num" w:pos="0"/>
        </w:tabs>
        <w:ind w:start="1224" w:hanging="504"/>
      </w:pPr>
      <w:rPr>
        <w:rFonts w:ascii="Arial" w:hAnsi="Arial" w:cs="Arial"/>
        <w:b w:val="false"/>
        <w:i w:val="false"/>
        <w:iCs/>
        <w:color w:val="auto"/>
      </w:rPr>
    </w:lvl>
    <w:lvl w:ilvl="3">
      <w:start w:val="1"/>
      <w:numFmt w:val="lowerLetter"/>
      <w:lvlText w:val="%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6">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792" w:hanging="432"/>
      </w:pPr>
      <w:rPr>
        <w:b w:val="false"/>
        <w:i w:val="false"/>
        <w:iCs/>
      </w:rPr>
    </w:lvl>
    <w:lvl w:ilvl="2">
      <w:start w:val="1"/>
      <w:numFmt w:val="lowerLetter"/>
      <w:lvlText w:val="%3)"/>
      <w:lvlJc w:val="start"/>
      <w:pPr>
        <w:tabs>
          <w:tab w:val="num" w:pos="0"/>
        </w:tabs>
        <w:ind w:start="1224" w:hanging="504"/>
      </w:pPr>
      <w:rPr>
        <w:b w:val="false"/>
        <w:i w:val="false"/>
        <w:iCs/>
        <w:color w:val="auto"/>
      </w:rPr>
    </w:lvl>
    <w:lvl w:ilvl="3">
      <w:start w:val="1"/>
      <w:numFmt w:val="decimal"/>
      <w:lvlText w:val="%1.%2.%3.%4."/>
      <w:lvlJc w:val="start"/>
      <w:pPr>
        <w:tabs>
          <w:tab w:val="num" w:pos="0"/>
        </w:tabs>
        <w:ind w:start="1728"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2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3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4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5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6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7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8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9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0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1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2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3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4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59">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0">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1">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2">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3">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4">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5">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6">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7">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abstractNum w:abstractNumId="168">
    <w:lvl w:ilvl="0">
      <w:start w:val="1"/>
      <w:numFmt w:val="decimal"/>
      <w:lvlText w:val="%1."/>
      <w:lvlJc w:val="start"/>
      <w:pPr>
        <w:tabs>
          <w:tab w:val="num" w:pos="0"/>
        </w:tabs>
        <w:ind w:start="360" w:hanging="360"/>
      </w:pPr>
      <w:rPr>
        <w:b/>
      </w:rPr>
    </w:lvl>
    <w:lvl w:ilvl="1">
      <w:start w:val="1"/>
      <w:numFmt w:val="decimal"/>
      <w:suff w:val="nothing"/>
      <w:lvlText w:val="%1.%2."/>
      <w:lvlJc w:val="start"/>
      <w:pPr>
        <w:tabs>
          <w:tab w:val="num" w:pos="0"/>
        </w:tabs>
        <w:ind w:start="716" w:hanging="432"/>
      </w:pPr>
      <w:rPr/>
    </w:lvl>
    <w:lvl w:ilvl="2">
      <w:start w:val="1"/>
      <w:numFmt w:val="decimal"/>
      <w:suff w:val="nothing"/>
      <w:lvlText w:val="%1.%2.%3."/>
      <w:lvlJc w:val="start"/>
      <w:pPr>
        <w:tabs>
          <w:tab w:val="num" w:pos="0"/>
        </w:tabs>
        <w:ind w:start="1224" w:hanging="504"/>
      </w:pPr>
      <w:rPr/>
    </w:lvl>
    <w:lvl w:ilvl="3">
      <w:start w:val="1"/>
      <w:numFmt w:val="decimal"/>
      <w:suff w:val="nothing"/>
      <w:lvlText w:val="%1.%2.%3.%4."/>
      <w:lvlJc w:val="start"/>
      <w:pPr>
        <w:tabs>
          <w:tab w:val="num" w:pos="0"/>
        </w:tabs>
        <w:ind w:start="1728" w:hanging="648"/>
      </w:pPr>
      <w:rPr/>
    </w:lvl>
    <w:lvl w:ilvl="4">
      <w:start w:val="1"/>
      <w:numFmt w:val="decimal"/>
      <w:suff w:val="nothing"/>
      <w:lvlText w:val="%1.%2.%3.%4.%5."/>
      <w:lvlJc w:val="start"/>
      <w:pPr>
        <w:tabs>
          <w:tab w:val="num" w:pos="0"/>
        </w:tabs>
        <w:ind w:start="2232" w:hanging="792"/>
      </w:pPr>
      <w:rPr/>
    </w:lvl>
    <w:lvl w:ilvl="5">
      <w:start w:val="1"/>
      <w:numFmt w:val="decimal"/>
      <w:suff w:val="nothing"/>
      <w:lvlText w:val="%1.%2.%3.%4.%5.%6."/>
      <w:lvlJc w:val="start"/>
      <w:pPr>
        <w:tabs>
          <w:tab w:val="num" w:pos="0"/>
        </w:tabs>
        <w:ind w:start="2736" w:hanging="936"/>
      </w:pPr>
      <w:rPr/>
    </w:lvl>
    <w:lvl w:ilvl="6">
      <w:start w:val="1"/>
      <w:numFmt w:val="decimal"/>
      <w:suff w:val="nothing"/>
      <w:lvlText w:val="%1.%2.%3.%4.%5.%6.%7."/>
      <w:lvlJc w:val="start"/>
      <w:pPr>
        <w:tabs>
          <w:tab w:val="num" w:pos="0"/>
        </w:tabs>
        <w:ind w:start="3240" w:hanging="1080"/>
      </w:pPr>
      <w:rPr/>
    </w:lvl>
    <w:lvl w:ilvl="7">
      <w:start w:val="1"/>
      <w:numFmt w:val="decimal"/>
      <w:suff w:val="nothing"/>
      <w:lvlText w:val="%1.%2.%3.%4.%5.%6.%7.%8."/>
      <w:lvlJc w:val="start"/>
      <w:pPr>
        <w:tabs>
          <w:tab w:val="num" w:pos="0"/>
        </w:tabs>
        <w:ind w:start="3744" w:hanging="1224"/>
      </w:pPr>
      <w:rPr/>
    </w:lvl>
    <w:lvl w:ilvl="8">
      <w:start w:val="1"/>
      <w:numFmt w:val="decimal"/>
      <w:suff w:val="nothing"/>
      <w:lvlText w:val="%1.%2.%3.%4.%5.%6.%7.%8.%9."/>
      <w:lvlJc w:val="start"/>
      <w:pPr>
        <w:tabs>
          <w:tab w:val="num" w:pos="0"/>
        </w:tabs>
        <w:ind w:start="4320" w:hanging="144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sz w:val="22"/>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40" w:before="0" w:after="0"/>
      <w:jc w:val="star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qFormat/>
    <w:pPr>
      <w:keepNext w:val="false"/>
      <w:widowControl/>
      <w:numPr>
        <w:ilvl w:val="0"/>
        <w:numId w:val="1"/>
      </w:numPr>
      <w:shd w:val="clear" w:fill="auto"/>
      <w:spacing w:before="120" w:after="120"/>
      <w:outlineLvl w:val="0"/>
    </w:pPr>
    <w:rPr>
      <w:rFonts w:ascii="Arial" w:hAnsi="Arial" w:cs="Arial"/>
      <w:b/>
    </w:rPr>
  </w:style>
  <w:style w:type="character" w:styleId="DefaultParagraphFont">
    <w:name w:val="Default Paragraph Font"/>
    <w:qFormat/>
    <w:rPr/>
  </w:style>
  <w:style w:type="character" w:styleId="Ttulo1Char">
    <w:name w:val="Título 1 Char"/>
    <w:basedOn w:val="DefaultParagraphFont"/>
    <w:qFormat/>
    <w:rPr>
      <w:rFonts w:ascii="Arial" w:hAnsi="Arial" w:eastAsia="WenQuanYi Micro Hei" w:cs="Arial"/>
      <w:b/>
      <w:sz w:val="20"/>
      <w:szCs w:val="24"/>
      <w:lang w:eastAsia="zh-CN" w:bidi="hi-IN"/>
    </w:rPr>
  </w:style>
  <w:style w:type="character" w:styleId="CitaoChar">
    <w:name w:val="Citação Char"/>
    <w:basedOn w:val="DefaultParagraphFont"/>
    <w:qFormat/>
    <w:rPr>
      <w:rFonts w:ascii="Arial" w:hAnsi="Arial" w:eastAsia="Calibri" w:cs="Tahoma"/>
      <w:i/>
      <w:iCs/>
      <w:color w:val="000000"/>
      <w:sz w:val="20"/>
      <w:szCs w:val="24"/>
      <w:shd w:fill="FFFFCC" w:val="clear"/>
    </w:rPr>
  </w:style>
  <w:style w:type="character" w:styleId="Nivel01Char">
    <w:name w:val="Nivel 01 Char"/>
    <w:basedOn w:val="Ttulo1Char"/>
    <w:link w:val="Nivel01"/>
    <w:qFormat/>
    <w:rPr>
      <w:rFonts w:ascii="Arial" w:hAnsi="Arial" w:eastAsia="Calibri" w:cs="Times New Roman"/>
      <w:b w:val="false"/>
      <w:bCs/>
      <w:color w:val="000000"/>
      <w:sz w:val="20"/>
      <w:szCs w:val="20"/>
      <w:lang w:eastAsia="pt-BR" w:bidi="hi-IN"/>
    </w:rPr>
  </w:style>
  <w:style w:type="character" w:styleId="citao2Char">
    <w:name w:val="citação 2 Char"/>
    <w:basedOn w:val="CitaoChar"/>
    <w:qFormat/>
    <w:rPr>
      <w:rFonts w:ascii="Arial" w:hAnsi="Arial" w:eastAsia="Calibri" w:cs="Tahoma"/>
      <w:i/>
      <w:iCs/>
      <w:color w:val="000000"/>
      <w:sz w:val="20"/>
      <w:szCs w:val="20"/>
      <w:shd w:fill="FFFFCC" w:val="clear"/>
    </w:rPr>
  </w:style>
  <w:style w:type="character" w:styleId="QuoteChar">
    <w:name w:val="Quote Char"/>
    <w:basedOn w:val="DefaultParagraphFont"/>
    <w:link w:val="Citao1"/>
    <w:qFormat/>
    <w:rPr>
      <w:rFonts w:ascii="Ecofont_Spranq_eco_Sans" w:hAnsi="Ecofont_Spranq_eco_Sans" w:eastAsia="Calibri" w:cs="Tahoma"/>
      <w:i/>
      <w:iCs/>
      <w:color w:val="000000"/>
      <w:shd w:fill="FFFFCC" w:val="clear"/>
    </w:rPr>
  </w:style>
  <w:style w:type="character" w:styleId="Comment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Hyperlink">
    <w:name w:val="Hyperlink"/>
    <w:qFormat/>
    <w:rPr>
      <w:color w:val="000080"/>
      <w:u w:val="single"/>
    </w:rPr>
  </w:style>
  <w:style w:type="character" w:styleId="Nivel4Char">
    <w:name w:val="Nivel 4 Char"/>
    <w:basedOn w:val="DefaultParagraphFont"/>
    <w:link w:val="Nivel4"/>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character" w:styleId="FollowedHyperlink">
    <w:name w:val="FollowedHyperlink"/>
    <w:basedOn w:val="DefaultParagraphFont"/>
    <w:qFormat/>
    <w:rPr>
      <w:color w:val="954F72"/>
      <w:u w:val="single"/>
    </w:rPr>
  </w:style>
  <w:style w:type="character" w:styleId="Strong">
    <w:name w:val="Strong"/>
    <w:basedOn w:val="DefaultParagraphFont"/>
    <w:qFormat/>
    <w:rPr>
      <w:b/>
      <w:bCs/>
    </w:rPr>
  </w:style>
  <w:style w:type="character" w:styleId="TtuloChar">
    <w:name w:val="Título Char"/>
    <w:basedOn w:val="DefaultParagraphFont"/>
    <w:link w:val="Ttulo"/>
    <w:qFormat/>
    <w:rPr>
      <w:rFonts w:ascii="Liberation Sans" w:hAnsi="Liberation Sans" w:eastAsia="Noto Sans CJK SC" w:cs="FreeSans"/>
      <w:sz w:val="28"/>
      <w:szCs w:val="28"/>
      <w:lang w:eastAsia="pt-BR"/>
    </w:rPr>
  </w:style>
  <w:style w:type="character" w:styleId="CorpodetextoChar">
    <w:name w:val="Corpo de texto Char"/>
    <w:basedOn w:val="DefaultParagraphFont"/>
    <w:qFormat/>
    <w:rPr>
      <w:rFonts w:ascii="Arial" w:hAnsi="Arial" w:eastAsia="Times New Roman" w:cs="Tahoma"/>
      <w:sz w:val="20"/>
      <w:szCs w:val="24"/>
      <w:lang w:eastAsia="pt-BR"/>
    </w:rPr>
  </w:style>
  <w:style w:type="character" w:styleId="CitaoChar1">
    <w:name w:val="Citação Char1"/>
    <w:basedOn w:val="DefaultParagraphFont"/>
    <w:qFormat/>
    <w:rPr>
      <w:rFonts w:ascii="Arial" w:hAnsi="Arial" w:eastAsia="Times New Roman" w:cs="Tahoma"/>
      <w:i/>
      <w:iCs/>
      <w:color w:val="404040"/>
      <w:sz w:val="20"/>
      <w:szCs w:val="24"/>
      <w:lang w:eastAsia="pt-BR"/>
    </w:rPr>
  </w:style>
  <w:style w:type="character" w:styleId="TextodecomentrioChar1">
    <w:name w:val="Texto de comentário Char1"/>
    <w:basedOn w:val="DefaultParagraphFont"/>
    <w:qFormat/>
    <w:rPr>
      <w:rFonts w:ascii="Arial" w:hAnsi="Arial" w:eastAsia="Times New Roman" w:cs="Tahoma"/>
      <w:sz w:val="20"/>
      <w:szCs w:val="20"/>
      <w:lang w:eastAsia="pt-BR"/>
    </w:rPr>
  </w:style>
  <w:style w:type="character" w:styleId="AssuntodocomentrioChar1">
    <w:name w:val="Assunto do comentário Char1"/>
    <w:basedOn w:val="TextodecomentrioChar1"/>
    <w:qFormat/>
    <w:rPr>
      <w:rFonts w:ascii="Arial" w:hAnsi="Arial" w:eastAsia="Times New Roman" w:cs="Tahoma"/>
      <w:b/>
      <w:bCs/>
      <w:sz w:val="20"/>
      <w:szCs w:val="20"/>
      <w:lang w:eastAsia="pt-BR"/>
    </w:rPr>
  </w:style>
  <w:style w:type="character" w:styleId="TextodebaloChar1">
    <w:name w:val="Texto de balão Char1"/>
    <w:basedOn w:val="DefaultParagraphFont"/>
    <w:qFormat/>
    <w:rPr>
      <w:rFonts w:ascii="Segoe UI" w:hAnsi="Segoe UI" w:eastAsia="Times New Roman" w:cs="Segoe UI"/>
      <w:sz w:val="18"/>
      <w:szCs w:val="18"/>
      <w:lang w:eastAsia="pt-BR"/>
    </w:rPr>
  </w:style>
  <w:style w:type="character" w:styleId="CabealhoChar1">
    <w:name w:val="Cabeçalho Char1"/>
    <w:basedOn w:val="DefaultParagraphFont"/>
    <w:qFormat/>
    <w:rPr>
      <w:rFonts w:ascii="Arial" w:hAnsi="Arial" w:eastAsia="Times New Roman" w:cs="Tahoma"/>
      <w:sz w:val="20"/>
      <w:szCs w:val="24"/>
      <w:lang w:eastAsia="pt-BR"/>
    </w:rPr>
  </w:style>
  <w:style w:type="character" w:styleId="RodapChar1">
    <w:name w:val="Rodapé Char1"/>
    <w:basedOn w:val="DefaultParagraphFont"/>
    <w:qFormat/>
    <w:rPr>
      <w:rFonts w:ascii="Arial" w:hAnsi="Arial" w:eastAsia="Times New Roman" w:cs="Tahoma"/>
      <w:sz w:val="20"/>
      <w:szCs w:val="24"/>
      <w:lang w:eastAsia="pt-BR"/>
    </w:rPr>
  </w:style>
  <w:style w:type="character" w:styleId="cf01">
    <w:name w:val="cf01"/>
    <w:basedOn w:val="DefaultParagraphFont"/>
    <w:qFormat/>
    <w:rPr>
      <w:rFonts w:ascii="Segoe UI" w:hAnsi="Segoe UI" w:cs="Segoe UI"/>
      <w:color w:val="555555"/>
      <w:sz w:val="18"/>
      <w:szCs w:val="18"/>
      <w:shd w:fill="FFFFFF" w:val="clear"/>
    </w:rPr>
  </w:style>
  <w:style w:type="character" w:styleId="MenoPendente1">
    <w:name w:val="Menção Pendente1"/>
    <w:basedOn w:val="DefaultParagraphFont"/>
    <w:qFormat/>
    <w:rPr>
      <w:color w:val="605E5C"/>
      <w:shd w:fill="E1DFDD" w:val="clear"/>
    </w:rPr>
  </w:style>
  <w:style w:type="character" w:styleId="PlaceholderText">
    <w:name w:val="Placeholder Text"/>
    <w:basedOn w:val="DefaultParagraphFont"/>
    <w:qFormat/>
    <w:rPr>
      <w:color w:val="808080"/>
    </w:rPr>
  </w:style>
  <w:style w:type="character" w:styleId="Estilo1">
    <w:name w:val="Estilo1"/>
    <w:basedOn w:val="DefaultParagraphFont"/>
    <w:qFormat/>
    <w:rPr>
      <w:rFonts w:ascii="Arial" w:hAnsi="Arial"/>
      <w:b/>
      <w:color w:val="538135"/>
      <w:sz w:val="24"/>
    </w:rPr>
  </w:style>
  <w:style w:type="character" w:styleId="UnresolvedMention">
    <w:name w:val="Unresolved Mention"/>
    <w:basedOn w:val="DefaultParagraphFont"/>
    <w:qFormat/>
    <w:rPr>
      <w:color w:val="605E5C"/>
      <w:shd w:fill="E1DFDD" w:val="clear"/>
    </w:rPr>
  </w:style>
  <w:style w:type="character" w:styleId="Nivel2Char">
    <w:name w:val="Nivel 2 Char"/>
    <w:basedOn w:val="DefaultParagraphFont"/>
    <w:link w:val="Nivel2"/>
    <w:qFormat/>
    <w:rPr>
      <w:rFonts w:ascii="Ecofont_Spranq_eco_Sans" w:hAnsi="Ecofont_Spranq_eco_Sans" w:eastAsia="Arial Unicode MS" w:cs="Times New Roman"/>
      <w:sz w:val="20"/>
      <w:szCs w:val="20"/>
      <w:lang w:eastAsia="pt-BR"/>
    </w:rPr>
  </w:style>
  <w:style w:type="character" w:styleId="Nvel3-RChar">
    <w:name w:val="Nível 3-R Char"/>
    <w:basedOn w:val="DefaultParagraphFont"/>
    <w:qFormat/>
    <w:rPr>
      <w:rFonts w:ascii="Arial" w:hAnsi="Arial" w:eastAsia="Calibri" w:cs="Arial"/>
      <w:i/>
      <w:iCs/>
      <w:color w:val="FF0000"/>
      <w:sz w:val="20"/>
      <w:szCs w:val="20"/>
      <w:lang w:eastAsia="pt-BR"/>
    </w:rPr>
  </w:style>
  <w:style w:type="character" w:styleId="Nvel4-RChar">
    <w:name w:val="Nível 4-R Char"/>
    <w:basedOn w:val="Nivel4Char"/>
    <w:qFormat/>
    <w:rPr>
      <w:rFonts w:ascii="Arial" w:hAnsi="Arial" w:eastAsia="Calibri" w:cs="Arial"/>
      <w:i/>
      <w:iCs/>
      <w:color w:val="FF0000"/>
      <w:sz w:val="20"/>
      <w:szCs w:val="20"/>
      <w:lang w:eastAsia="pt-BR"/>
    </w:rPr>
  </w:style>
  <w:style w:type="character" w:styleId="Vnculodendice">
    <w:name w:val="Vínculo de índice"/>
    <w:qFormat/>
    <w:rPr/>
  </w:style>
  <w:style w:type="character" w:styleId="Vnculodendiceuser">
    <w:name w:val="Vínculo de índice (user)"/>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rPr>
  </w:style>
  <w:style w:type="paragraph" w:styleId="ndice">
    <w:name w:val="Índice"/>
    <w:basedOn w:val="Normal"/>
    <w:qFormat/>
    <w:pPr>
      <w:suppressLineNumbers/>
    </w:pPr>
    <w:rPr>
      <w:rFonts w:cs="FreeSans"/>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Title">
    <w:name w:val="Title"/>
    <w:basedOn w:val="Normal"/>
    <w:next w:val="BodyText"/>
    <w:link w:val="TtuloChar"/>
    <w:qFormat/>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Heading1"/>
    <w:next w:val="Normal"/>
    <w:link w:val="Nivel01Char"/>
    <w:qFormat/>
    <w:pPr>
      <w:numPr>
        <w:ilvl w:val="0"/>
        <w:numId w:val="0"/>
      </w:numPr>
      <w:spacing w:before="480" w:after="120"/>
      <w:ind w:hanging="0" w:start="0" w:end="-15"/>
      <w:outlineLvl w:val="9"/>
    </w:pPr>
    <w:rPr>
      <w:rFonts w:cs="Times New Roman"/>
      <w:b w:val="false"/>
      <w:bCs/>
      <w:color w:val="000000"/>
      <w:szCs w:val="20"/>
    </w:rPr>
  </w:style>
  <w:style w:type="paragraph" w:styleId="PADRO">
    <w:name w:val="PADRÃO"/>
    <w:qFormat/>
    <w:pPr>
      <w:keepNext w:val="true"/>
      <w:widowControl w:val="false"/>
      <w:shd w:val="clear" w:fill="FFFFFF"/>
      <w:suppressAutoHyphens w:val="true"/>
      <w:overflowPunct w:val="false"/>
      <w:bidi w:val="0"/>
      <w:spacing w:lineRule="auto" w:line="276" w:before="119" w:after="119"/>
      <w:ind w:firstLine="567" w:start="0" w:end="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qFormat/>
    <w:pPr>
      <w:spacing w:before="0" w:after="0"/>
      <w:ind w:hanging="0" w:start="720" w:end="0"/>
      <w:contextualSpacing/>
    </w:pPr>
    <w:rPr/>
  </w:style>
  <w:style w:type="paragraph" w:styleId="citao2">
    <w:name w:val="citação 2"/>
    <w:basedOn w:val="Quote"/>
    <w:qFormat/>
    <w:pPr/>
    <w:rPr>
      <w:szCs w:val="20"/>
    </w:rPr>
  </w:style>
  <w:style w:type="paragraph"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CommentText">
    <w:name w:val="annotation text"/>
    <w:basedOn w:val="Normal"/>
    <w:link w:val="TextodecomentrioChar"/>
    <w:qFormat/>
    <w:pPr/>
    <w:rPr>
      <w:szCs w:val="20"/>
    </w:rPr>
  </w:style>
  <w:style w:type="paragraph" w:styleId="annotationsubject">
    <w:name w:val="annotation subject"/>
    <w:basedOn w:val="CommentText"/>
    <w:next w:val="CommentText"/>
    <w:link w:val="AssuntodocomentrioChar"/>
    <w:qFormat/>
    <w:pPr/>
    <w:rPr>
      <w:b/>
      <w:bCs/>
    </w:rPr>
  </w:style>
  <w:style w:type="paragraph" w:styleId="Nivel1">
    <w:name w:val="Nivel1"/>
    <w:basedOn w:val="Heading1"/>
    <w:qFormat/>
    <w:pPr>
      <w:numPr>
        <w:ilvl w:val="0"/>
        <w:numId w:val="0"/>
      </w:numPr>
      <w:spacing w:before="480" w:after="120"/>
      <w:ind w:hanging="0" w:start="644" w:end="0"/>
      <w:outlineLvl w:val="9"/>
    </w:pPr>
    <w:rPr>
      <w:rFonts w:cs="Times New Roman"/>
      <w:b w:val="false"/>
      <w:color w:val="000000"/>
      <w:szCs w:val="20"/>
    </w:rPr>
  </w:style>
  <w:style w:type="paragraph" w:styleId="Nivel2">
    <w:name w:val="Nivel 2"/>
    <w:link w:val="Nivel2Char"/>
    <w:qFormat/>
    <w:pPr>
      <w:widowControl/>
      <w:numPr>
        <w:ilvl w:val="0"/>
        <w:numId w:val="4"/>
      </w:numPr>
      <w:suppressAutoHyphens w:val="true"/>
      <w:overflowPunct w:val="fals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name w:val="Nivel 1"/>
    <w:basedOn w:val="Nivel2"/>
    <w:next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link w:val="Nivel4Char"/>
    <w:qFormat/>
    <w:pPr/>
    <w:rPr>
      <w:color w:val="auto"/>
    </w:rPr>
  </w:style>
  <w:style w:type="paragraph" w:styleId="Nivel5">
    <w:name w:val="Nivel 5"/>
    <w:basedOn w:val="Nivel4"/>
    <w:qFormat/>
    <w:pPr>
      <w:tabs>
        <w:tab w:val="clear" w:pos="708"/>
        <w:tab w:val="left" w:pos="360" w:leader="none"/>
      </w:tabs>
    </w:pPr>
    <w:rPr/>
  </w:style>
  <w:style w:type="paragraph" w:styleId="BalloonText">
    <w:name w:val="Balloon Text"/>
    <w:basedOn w:val="Normal"/>
    <w:link w:val="TextodebaloChar"/>
    <w:qFormat/>
    <w:pPr/>
    <w:rPr>
      <w:rFonts w:ascii="Segoe UI" w:hAnsi="Segoe UI" w:cs="Segoe UI"/>
      <w:sz w:val="18"/>
      <w:szCs w:val="18"/>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Header">
    <w:name w:val="header"/>
    <w:basedOn w:val="Normal"/>
    <w:link w:val="CabealhoChar"/>
    <w:pPr>
      <w:tabs>
        <w:tab w:val="clear" w:pos="708"/>
        <w:tab w:val="center" w:pos="4252" w:leader="none"/>
        <w:tab w:val="right" w:pos="8504" w:leader="none"/>
      </w:tabs>
    </w:pPr>
    <w:rPr/>
  </w:style>
  <w:style w:type="paragraph" w:styleId="Footer">
    <w:name w:val="footer"/>
    <w:basedOn w:val="Normal"/>
    <w:link w:val="RodapChar"/>
    <w:pPr>
      <w:tabs>
        <w:tab w:val="clear" w:pos="708"/>
        <w:tab w:val="center" w:pos="4252" w:leader="none"/>
        <w:tab w:val="right" w:pos="8504" w:leader="none"/>
      </w:tabs>
    </w:pPr>
    <w:rPr/>
  </w:style>
  <w:style w:type="paragraph" w:styleId="Nivel01Titulo">
    <w:name w:val="Nivel_01_Titulo"/>
    <w:basedOn w:val="Heading1"/>
    <w:next w:val="Normal"/>
    <w:qFormat/>
    <w:pPr>
      <w:numPr>
        <w:ilvl w:val="0"/>
        <w:numId w:val="0"/>
      </w:numPr>
      <w:tabs>
        <w:tab w:val="clear" w:pos="708"/>
        <w:tab w:val="left" w:pos="360" w:leader="none"/>
        <w:tab w:val="left" w:pos="567" w:leader="none"/>
      </w:tabs>
      <w:ind w:firstLine="567" w:start="0" w:end="0"/>
      <w:outlineLvl w:val="9"/>
    </w:pPr>
    <w:rPr>
      <w:rFonts w:cs="Times New Roman"/>
      <w:b w:val="false"/>
      <w:bCs/>
      <w:szCs w:val="20"/>
    </w:rPr>
  </w:style>
  <w:style w:type="paragraph" w:styleId="Revision">
    <w:name w:val="Revision"/>
    <w:qFormat/>
    <w:pPr>
      <w:widowControl/>
      <w:suppressAutoHyphens w:val="true"/>
      <w:overflowPunct w:val="false"/>
      <w:bidi w:val="0"/>
      <w:spacing w:lineRule="auto" w:line="240" w:before="0" w:after="0"/>
      <w:jc w:val="star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qFormat/>
    <w:pPr>
      <w:keepNext w:val="true"/>
      <w:keepLines/>
      <w:numPr>
        <w:ilvl w:val="0"/>
        <w:numId w:val="0"/>
      </w:numPr>
      <w:suppressAutoHyphens w:val="false"/>
      <w:spacing w:lineRule="auto" w:line="259" w:before="240" w:after="0"/>
      <w:ind w:firstLine="567" w:start="0" w:end="0"/>
      <w:jc w:val="start"/>
      <w:textAlignment w:val="auto"/>
      <w:outlineLvl w:val="9"/>
    </w:pPr>
    <w:rPr>
      <w:rFonts w:ascii="Calibri Light" w:hAnsi="Calibri Light" w:eastAsia="Calibri" w:cs="Times New Roman"/>
      <w:b w:val="false"/>
      <w:color w:val="2E74B5"/>
      <w:sz w:val="32"/>
      <w:szCs w:val="32"/>
      <w:lang w:eastAsia="pt-BR" w:bidi="ar-SA"/>
    </w:rPr>
  </w:style>
  <w:style w:type="paragraph" w:styleId="TOC1">
    <w:name w:val="toc 1"/>
    <w:basedOn w:val="Normal"/>
    <w:next w:val="Normal"/>
    <w:autoRedefine/>
    <w:pPr>
      <w:tabs>
        <w:tab w:val="clear" w:pos="708"/>
        <w:tab w:val="left" w:pos="440" w:leader="none"/>
        <w:tab w:val="right" w:pos="8494" w:leader="dot"/>
      </w:tabs>
      <w:spacing w:before="0" w:after="100"/>
    </w:pPr>
    <w:rPr/>
  </w:style>
  <w:style w:type="paragraph" w:styleId="Nvel3-R">
    <w:name w:val="Nível 3-R"/>
    <w:basedOn w:val="Nivel3"/>
    <w:qFormat/>
    <w:pPr>
      <w:numPr>
        <w:ilvl w:val="0"/>
        <w:numId w:val="2"/>
      </w:numPr>
      <w:suppressAutoHyphens w:val="false"/>
      <w:ind w:hanging="0" w:start="284" w:end="0"/>
    </w:pPr>
    <w:rPr>
      <w:rFonts w:ascii="Arial" w:hAnsi="Arial" w:eastAsia="Calibri"/>
      <w:i/>
      <w:iCs/>
      <w:color w:val="FF0000"/>
    </w:rPr>
  </w:style>
  <w:style w:type="paragraph" w:styleId="Nvel4-R">
    <w:name w:val="Nível 4-R"/>
    <w:basedOn w:val="Nivel4"/>
    <w:qFormat/>
    <w:pPr>
      <w:numPr>
        <w:ilvl w:val="0"/>
        <w:numId w:val="2"/>
      </w:numPr>
      <w:suppressAutoHyphens w:val="false"/>
      <w:ind w:hanging="0" w:start="567" w:end="0"/>
    </w:pPr>
    <w:rPr>
      <w:rFonts w:ascii="Arial" w:hAnsi="Arial" w:eastAsia="Calibri"/>
      <w:i/>
      <w:iCs/>
      <w:color w:val="FF0000"/>
    </w:rPr>
  </w:style>
</w:styles>
</file>

<file path=word/_rels/comments.xml.rels><?xml version="1.0" encoding="UTF-8"?>
<Relationships xmlns="http://schemas.openxmlformats.org/package/2006/relationships"><Relationship Id="rId1" Type="http://schemas.openxmlformats.org/officeDocument/2006/relationships/hyperlink" Target="https://www.gov.br/compras/pt-br/acesso-a-informacao/manuais/dispensa-eletronica/ManualNovoDispensaEletrnica28.01.2022.pdf" TargetMode="External"/><Relationship Id="rId2" Type="http://schemas.openxmlformats.org/officeDocument/2006/relationships/hyperlink" Target="mailto:cgu.modeloscontratacao@agu.gov.br"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_ato2019-2022/2021/lei/L14133.htm" TargetMode="External"/><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comments" Target="comments.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356</TotalTime>
  <Application>LibreOffice/25.8.5.2$Windows_X86_64 LibreOffice_project/9c8b85f387cc00a89945a79c9e6239f32e450ac2</Application>
  <AppVersion>15.0000</AppVersion>
  <Pages>15</Pages>
  <Words>5363</Words>
  <Characters>30345</Characters>
  <CharactersWithSpaces>35341</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cp:lastPrinted>2025-05-08T15:26:10Z</cp:lastPrinted>
  <dcterms:modified xsi:type="dcterms:W3CDTF">2026-04-30T14:14:32Z</dcterms:modified>
  <cp:revision>38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