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media/image1.wmf" ContentType="image/x-wmf"/>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Normal"/>
        <w:spacing w:lineRule="auto" w:line="312" w:before="360" w:after="288"/>
        <w:jc w:val="center"/>
        <w:rPr>
          <w:rFonts w:ascii="Arial" w:hAnsi="Arial" w:cs="Arial"/>
          <w:b/>
          <w:b/>
          <w:i/>
          <w:i/>
          <w:color w:val="FF0000"/>
          <w:sz w:val="20"/>
          <w:szCs w:val="20"/>
          <w:lang w:eastAsia="en-US"/>
        </w:rPr>
      </w:pPr>
      <w:r>
        <w:drawing>
          <wp:anchor behindDoc="0" distT="0" distB="0" distL="114300" distR="114300" simplePos="0" locked="0" layoutInCell="0" allowOverlap="1" relativeHeight="2">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eastAsia="Calibri" w:cs="Arial" w:ascii="Arial" w:hAnsi="Arial"/>
          <w:b/>
          <w:i/>
          <w:color w:val="FF0000"/>
          <w:sz w:val="20"/>
          <w:szCs w:val="20"/>
          <w:lang w:eastAsia="en-US"/>
        </w:rPr>
        <w:t>ÓRGÃO OU ENTIDADE PÚBLICA</w:t>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w:t>
      </w:r>
      <w:r>
        <w:rPr>
          <w:rFonts w:eastAsia="Calibri" w:cs="Arial" w:ascii="Arial" w:hAnsi="Arial"/>
          <w:bCs/>
          <w:i/>
          <w:iCs/>
          <w:color w:val="000000"/>
          <w:sz w:val="20"/>
          <w:szCs w:val="20"/>
          <w:lang w:eastAsia="en-US"/>
        </w:rPr>
        <w:t>------------</w:t>
      </w:r>
    </w:p>
    <w:p>
      <w:pPr>
        <w:pStyle w:val="Normal"/>
        <w:spacing w:lineRule="auto" w:line="312" w:before="0" w:after="288"/>
        <w:jc w:val="center"/>
        <w:rPr>
          <w:rFonts w:ascii="Arial" w:hAnsi="Arial" w:eastAsia="Calibri" w:cs="Times New Roman"/>
          <w:color w:val="000000"/>
          <w:sz w:val="20"/>
          <w:szCs w:val="22"/>
          <w:lang w:eastAsia="en-US"/>
        </w:rPr>
      </w:pPr>
      <w:r>
        <w:rPr>
          <w:rFonts w:eastAsia="Calibri" w:cs="Arial" w:ascii="Arial" w:hAnsi="Arial"/>
          <w:color w:val="000000"/>
          <w:sz w:val="20"/>
          <w:szCs w:val="20"/>
          <w:lang w:eastAsia="en-US"/>
        </w:rPr>
        <w:t xml:space="preserve">Ata de Registro de Preços </w:t>
      </w:r>
      <w:r>
        <w:rPr>
          <w:rFonts w:eastAsia="Calibri" w:cs="Times New Roman" w:ascii="Arial" w:hAnsi="Arial"/>
          <w:color w:val="000000"/>
          <w:sz w:val="20"/>
          <w:szCs w:val="22"/>
          <w:lang w:eastAsia="en-US"/>
        </w:rPr>
        <w:t>nº-</w:t>
      </w:r>
      <w:r>
        <w:rPr>
          <w:rFonts w:eastAsia="Calibri" w:cs="Arial" w:ascii="Arial" w:hAnsi="Arial"/>
          <w:i/>
          <w:iCs/>
          <w:color w:val="FF0000"/>
          <w:sz w:val="20"/>
          <w:szCs w:val="20"/>
          <w:lang w:eastAsia="en-US"/>
        </w:rPr>
        <w:t>-------</w:t>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rFonts w:cs="Arial" w:ascii="Arial" w:hAnsi="Arial"/>
          <w:sz w:val="20"/>
          <w:szCs w:val="20"/>
        </w:rPr>
        <w:t xml:space="preserve">O(A) </w:t>
      </w:r>
      <w:r>
        <w:rPr>
          <w:rFonts w:cs="Arial" w:ascii="Arial" w:hAnsi="Arial"/>
          <w:i/>
          <w:iCs/>
          <w:color w:val="FF0000"/>
          <w:sz w:val="20"/>
          <w:szCs w:val="20"/>
        </w:rPr>
        <w:t>3º Regimento de Carros de Combate</w:t>
      </w:r>
      <w:r>
        <w:rPr>
          <w:rFonts w:cs="Arial" w:ascii="Arial" w:hAnsi="Arial"/>
          <w:sz w:val="20"/>
          <w:szCs w:val="20"/>
        </w:rPr>
        <w:t xml:space="preserve">, </w:t>
      </w:r>
      <w:r>
        <w:rPr>
          <w:rFonts w:eastAsia="Arial" w:cs="Arial" w:ascii="Arial" w:hAnsi="Arial"/>
          <w:sz w:val="20"/>
          <w:szCs w:val="20"/>
        </w:rPr>
        <w:t xml:space="preserve">com sede na Av General Aldo Bonde,333, na cidade de </w:t>
      </w:r>
      <w:r>
        <w:rPr>
          <w:rFonts w:eastAsia="Arial" w:cs="Arial" w:ascii="Arial" w:hAnsi="Arial"/>
          <w:i/>
          <w:iCs/>
          <w:color w:val="FF0000"/>
          <w:sz w:val="20"/>
          <w:szCs w:val="20"/>
        </w:rPr>
        <w:t>Ponta Grossa - PR</w:t>
      </w:r>
      <w:r>
        <w:rPr>
          <w:rFonts w:eastAsia="Arial" w:cs="Arial" w:ascii="Arial" w:hAnsi="Arial"/>
          <w:sz w:val="20"/>
          <w:szCs w:val="20"/>
        </w:rPr>
        <w:t xml:space="preserve">, inscrito(a) no CNPJ sob o nº </w:t>
      </w:r>
      <w:r>
        <w:rPr>
          <w:rFonts w:eastAsia="Arial" w:cs="Arial" w:ascii="Arial" w:hAnsi="Arial"/>
          <w:i/>
          <w:iCs/>
          <w:color w:val="FF0000"/>
          <w:sz w:val="20"/>
          <w:szCs w:val="20"/>
        </w:rPr>
        <w:t>11,358,294/0001-44</w:t>
      </w:r>
      <w:r>
        <w:rPr>
          <w:rFonts w:eastAsia="Arial" w:cs="Arial" w:ascii="Arial" w:hAnsi="Arial"/>
          <w:sz w:val="20"/>
          <w:szCs w:val="20"/>
        </w:rPr>
        <w:t xml:space="preserve">, neste ato representado(a) pelo Coronel Renato Grillo de Carvalho, nomeado(a) pela Portaria nº </w:t>
      </w:r>
      <w:r>
        <w:rPr>
          <w:rFonts w:eastAsia="Arial" w:cs="Arial" w:ascii="Arial" w:hAnsi="Arial"/>
          <w:i/>
          <w:iCs/>
          <w:color w:val="FF0000"/>
          <w:sz w:val="20"/>
          <w:szCs w:val="20"/>
        </w:rPr>
        <w:t>743</w:t>
      </w:r>
      <w:r>
        <w:rPr>
          <w:rFonts w:eastAsia="Arial" w:cs="Arial" w:ascii="Arial" w:hAnsi="Arial"/>
          <w:sz w:val="20"/>
          <w:szCs w:val="20"/>
        </w:rPr>
        <w:t xml:space="preserve">, de </w:t>
      </w:r>
      <w:r>
        <w:rPr>
          <w:rFonts w:eastAsia="Arial" w:cs="Arial" w:ascii="Arial" w:hAnsi="Arial"/>
          <w:i/>
          <w:iCs/>
          <w:color w:val="FF0000"/>
          <w:sz w:val="20"/>
          <w:szCs w:val="20"/>
        </w:rPr>
        <w:t>07</w:t>
      </w:r>
      <w:r>
        <w:rPr>
          <w:rFonts w:eastAsia="Arial" w:cs="Arial" w:ascii="Arial" w:hAnsi="Arial"/>
          <w:sz w:val="20"/>
          <w:szCs w:val="20"/>
        </w:rPr>
        <w:t xml:space="preserve"> de </w:t>
      </w:r>
      <w:r>
        <w:rPr>
          <w:rFonts w:eastAsia="Arial" w:cs="Arial" w:ascii="Arial" w:hAnsi="Arial"/>
          <w:i/>
          <w:iCs/>
          <w:color w:val="FF0000"/>
          <w:sz w:val="20"/>
          <w:szCs w:val="20"/>
        </w:rPr>
        <w:t xml:space="preserve"> junho</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2023</w:t>
      </w:r>
      <w:r>
        <w:rPr>
          <w:rFonts w:eastAsia="Arial" w:cs="Arial" w:ascii="Arial" w:hAnsi="Arial"/>
          <w:sz w:val="20"/>
          <w:szCs w:val="20"/>
        </w:rPr>
        <w:t>, publicada no</w:t>
      </w:r>
      <w:r>
        <w:rPr>
          <w:rFonts w:eastAsia="Arial" w:cs="Arial" w:ascii="Arial" w:hAnsi="Arial"/>
          <w:i/>
          <w:iCs/>
          <w:sz w:val="20"/>
          <w:szCs w:val="20"/>
        </w:rPr>
        <w:t xml:space="preserve"> DOU</w:t>
      </w:r>
      <w:r>
        <w:rPr>
          <w:rFonts w:eastAsia="Arial" w:cs="Arial" w:ascii="Arial" w:hAnsi="Arial"/>
          <w:sz w:val="20"/>
          <w:szCs w:val="20"/>
        </w:rPr>
        <w:t xml:space="preserve"> </w:t>
      </w:r>
      <w:r>
        <w:rPr>
          <w:rFonts w:eastAsia="Arial" w:cs="Arial" w:ascii="Arial" w:hAnsi="Arial"/>
          <w:i/>
          <w:iCs/>
          <w:color w:val="FF0000"/>
          <w:sz w:val="20"/>
          <w:szCs w:val="20"/>
        </w:rPr>
        <w:t>nº 109 de 12 de junho de 2023</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013.030.084-1</w:t>
      </w:r>
      <w:r>
        <w:rPr>
          <w:rFonts w:eastAsia="Arial" w:cs="Arial" w:ascii="Arial" w:hAnsi="Arial"/>
          <w:sz w:val="20"/>
          <w:szCs w:val="20"/>
        </w:rPr>
        <w:t>,</w:t>
      </w:r>
      <w:r>
        <w:rPr>
          <w:rFonts w:cs="Arial" w:ascii="Arial" w:hAnsi="Arial"/>
          <w:sz w:val="20"/>
          <w:szCs w:val="20"/>
        </w:rPr>
        <w:t xml:space="preserve"> </w:t>
      </w:r>
      <w:r>
        <w:rPr>
          <w:rFonts w:cs="Arial" w:ascii="Arial" w:hAnsi="Arial"/>
          <w:sz w:val="20"/>
          <w:szCs w:val="20"/>
          <w:highlight w:val="yellow"/>
        </w:rPr>
        <w:t xml:space="preserve">considerando o julgamento da </w:t>
      </w:r>
      <w:r>
        <w:rPr>
          <w:rFonts w:cs="Arial" w:ascii="Arial" w:hAnsi="Arial"/>
          <w:i/>
          <w:iCs/>
          <w:color w:val="FF0000"/>
          <w:sz w:val="20"/>
          <w:szCs w:val="20"/>
          <w:highlight w:val="yellow"/>
        </w:rPr>
        <w:t>[licitação na modalidade de pregão, na forma eletrônica</w:t>
      </w:r>
      <w:r>
        <w:rPr>
          <w:rFonts w:cs="Arial" w:ascii="Arial" w:hAnsi="Arial"/>
          <w:color w:val="FF0000"/>
          <w:sz w:val="20"/>
          <w:szCs w:val="20"/>
          <w:highlight w:val="yellow"/>
        </w:rPr>
        <w:t xml:space="preserve"> </w:t>
      </w:r>
      <w:r>
        <w:rPr>
          <w:rFonts w:cs="Arial" w:ascii="Arial" w:hAnsi="Arial"/>
          <w:sz w:val="20"/>
          <w:szCs w:val="20"/>
          <w:highlight w:val="yellow"/>
        </w:rPr>
        <w:t xml:space="preserve"> para REGISTRO DE PREÇOS nº 0007/2025 publicada no  DOU de 21/10/2025</w:t>
      </w:r>
      <w:r>
        <w:rPr>
          <w:rFonts w:cs="Arial" w:ascii="Arial" w:hAnsi="Arial"/>
          <w:sz w:val="20"/>
          <w:szCs w:val="20"/>
        </w:rPr>
        <w:t xml:space="preserve"> processo administrativo n.º </w:t>
      </w:r>
      <w:r>
        <w:rPr>
          <w:rFonts w:eastAsia="Calibri" w:cs="Arial" w:ascii="Arial" w:hAnsi="Arial"/>
          <w:bCs/>
          <w:i/>
          <w:iCs/>
          <w:color w:val="000000"/>
          <w:sz w:val="20"/>
          <w:szCs w:val="20"/>
          <w:lang w:eastAsia="en-US"/>
        </w:rPr>
        <w:t>65259.003396/2025-27</w:t>
      </w:r>
      <w:r>
        <w:rPr>
          <w:rFonts w:cs="Arial" w:ascii="Arial" w:hAnsi="Arial"/>
          <w:sz w:val="20"/>
          <w:szCs w:val="20"/>
        </w:rPr>
        <w:t xml:space="preserve">, RESOLVE registrar os preços da(s) empresa(s) indicada(s) e qualificada(s) nesta ATA, de acordo com a classificação por ela(s) alcançada(s) e na(s) quantidade(s) cotada(s), atendendo as condições previstas no </w:t>
      </w:r>
      <w:r>
        <w:rPr>
          <w:rFonts w:cs="Arial" w:ascii="Arial" w:hAnsi="Arial"/>
          <w:i/>
          <w:iCs/>
          <w:color w:val="FF0000"/>
          <w:sz w:val="20"/>
          <w:szCs w:val="20"/>
        </w:rPr>
        <w:t>Edital de licitação</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pPr>
      <w:r>
        <w:rPr/>
        <w:t>DO OBJETO</w:t>
      </w:r>
    </w:p>
    <w:p>
      <w:pPr>
        <w:pStyle w:val="Nivel2"/>
        <w:numPr>
          <w:ilvl w:val="1"/>
          <w:numId w:val="1"/>
        </w:numPr>
        <w:ind w:left="0" w:hanging="0"/>
        <w:rPr/>
      </w:pPr>
      <w:r>
        <w:rPr/>
        <w:t xml:space="preserve">A presente Ata tem por objeto o registro de preços para a eventual contratação de </w:t>
      </w:r>
      <w:r>
        <w:rPr>
          <w:rFonts w:eastAsia="Arial"/>
          <w:i/>
          <w:iCs/>
          <w:color w:val="FF0000"/>
        </w:rPr>
        <w:t>[objeto]</w:t>
      </w:r>
      <w:r>
        <w:rPr/>
        <w:t xml:space="preserve">, especificado(s) no(s) item(ns) </w:t>
      </w:r>
      <w:r>
        <w:rPr>
          <w:i/>
          <w:iCs/>
          <w:color w:val="FF0000"/>
        </w:rPr>
        <w:t xml:space="preserve">XX </w:t>
      </w:r>
      <w:r>
        <w:rPr/>
        <w:t xml:space="preserve">do Termo de Referência, anexo </w:t>
      </w:r>
      <w:r>
        <w:rPr>
          <w:i/>
          <w:iCs/>
          <w:color w:val="FF0000"/>
        </w:rPr>
        <w:t xml:space="preserve">XX </w:t>
      </w:r>
      <w:r>
        <w:rPr>
          <w:iCs/>
        </w:rPr>
        <w:t>do</w:t>
      </w:r>
      <w:r>
        <w:rPr>
          <w:i/>
        </w:rPr>
        <w:t xml:space="preserve"> </w:t>
      </w:r>
      <w:r>
        <w:rPr>
          <w:i/>
          <w:color w:val="FF0000"/>
        </w:rPr>
        <w:t xml:space="preserve">[edital de licitação] OU [aviso da contratação direta] </w:t>
      </w:r>
      <w:r>
        <w:rPr/>
        <w:t xml:space="preserve">n.º </w:t>
      </w:r>
      <w:r>
        <w:rPr>
          <w:bCs/>
          <w:i/>
          <w:iCs/>
          <w:color w:val="FF0000"/>
        </w:rPr>
        <w:t>xxxx</w:t>
      </w:r>
      <w:r>
        <w:rPr>
          <w:bCs/>
        </w:rPr>
        <w:t>/</w:t>
      </w:r>
      <w:r>
        <w:rPr>
          <w:bCs/>
          <w:i/>
          <w:iCs/>
          <w:color w:val="FF0000"/>
        </w:rPr>
        <w:t>xxxx</w:t>
      </w:r>
      <w:r>
        <w:rPr/>
        <w:t>, 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left="0" w:hanging="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left="0" w:hanging="0"/>
        <w:rPr/>
      </w:pPr>
      <w:r>
        <w:rPr/>
        <w:t xml:space="preserve">O órgão gerenciador será o(a) </w:t>
      </w:r>
      <w:r>
        <w:rPr>
          <w:i/>
          <w:iCs/>
          <w:color w:val="FF0000"/>
        </w:rPr>
        <w:t>[órgão ou entidade pública que gerenciará a ata de registro de preços]</w:t>
      </w:r>
      <w:r>
        <w:rPr/>
        <w:t>.</w:t>
      </w:r>
    </w:p>
    <w:p>
      <w:pPr>
        <w:pStyle w:val="Nvel2Red"/>
        <w:numPr>
          <w:ilvl w:val="1"/>
          <w:numId w:val="1"/>
        </w:numPr>
        <w:ind w:left="0" w:hanging="0"/>
        <w:rPr/>
      </w:pPr>
      <w:r>
        <w:rPr/>
        <w:t>Além do gerenciador, não há órgãos e entidades públicas participantes do registro de preços.</w:t>
      </w:r>
    </w:p>
    <w:p>
      <w:pPr>
        <w:pStyle w:val="Ou"/>
        <w:rPr/>
      </w:pPr>
      <w:r>
        <w:rPr/>
        <w:t>OU</w:t>
      </w:r>
    </w:p>
    <w:p>
      <w:pPr>
        <w:pStyle w:val="Nvel2Red"/>
        <w:numPr>
          <w:ilvl w:val="1"/>
          <w:numId w:val="1"/>
        </w:numPr>
        <w:ind w:left="0" w:hanging="0"/>
        <w:rPr/>
      </w:pPr>
      <w:r>
        <w:rPr/>
        <w:t>Além do gerenciador, são órgãos e entidades públicas participantes do registro de preços:</w:t>
      </w:r>
    </w:p>
    <w:tbl>
      <w:tblPr>
        <w:tblW w:w="897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bl>
    <w:p>
      <w:pPr>
        <w:pStyle w:val="Nivel01"/>
        <w:numPr>
          <w:ilvl w:val="0"/>
          <w:numId w:val="1"/>
        </w:numPr>
        <w:ind w:left="0" w:hanging="0"/>
        <w:rPr>
          <w:i/>
          <w:i/>
          <w:color w:val="FF0000"/>
        </w:rPr>
      </w:pPr>
      <w:r>
        <w:rPr/>
        <w:t xml:space="preserve">DA ADESÃO À ATA DE REGISTRO DE PREÇOS </w:t>
      </w:r>
      <w:r>
        <w:rPr>
          <w:i/>
          <w:color w:val="FF0000"/>
        </w:rPr>
        <w:t>(item obrigatório)</w:t>
      </w:r>
    </w:p>
    <w:p>
      <w:pPr>
        <w:pStyle w:val="Nvel2Red"/>
        <w:numPr>
          <w:ilvl w:val="1"/>
          <w:numId w:val="1"/>
        </w:numPr>
        <w:ind w:left="0" w:hanging="0"/>
        <w:rPr>
          <w:lang w:eastAsia="en-US"/>
        </w:rPr>
      </w:pPr>
      <w:r>
        <w:rPr>
          <w:lang w:eastAsia="en-US"/>
        </w:rPr>
        <w:t xml:space="preserve"> </w:t>
      </w:r>
      <w:commentRangeStart w:id="5"/>
      <w:r>
        <w:rPr>
          <w:lang w:eastAsia="en-US"/>
        </w:rPr>
        <w:t xml:space="preserve">Não será admitida a adesão à ata de registro de preços </w:t>
      </w:r>
      <w:r>
        <w:rPr>
          <w:lang w:eastAsia="en-US"/>
        </w:rPr>
      </w:r>
      <w:commentRangeEnd w:id="5"/>
      <w:r>
        <w:commentReference w:id="5"/>
      </w:r>
      <w:r>
        <w:rPr>
          <w:lang w:eastAsia="en-US"/>
        </w:rPr>
        <w:t>decorrente desta licitação ou desta contratação direta, conforme justificativa apresentada nos estudos técnicos preliminares.</w:t>
      </w:r>
    </w:p>
    <w:p>
      <w:pPr>
        <w:pStyle w:val="Ou"/>
        <w:rPr/>
      </w:pPr>
      <w:r>
        <w:rPr/>
        <w:t>OU</w:t>
      </w:r>
    </w:p>
    <w:p>
      <w:pPr>
        <w:pStyle w:val="Nvel2Red"/>
        <w:numPr>
          <w:ilvl w:val="1"/>
          <w:numId w:val="1"/>
        </w:numPr>
        <w:ind w:left="0" w:hanging="0"/>
        <w:rPr/>
      </w:pPr>
      <w: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pPr>
      <w:r>
        <w:rPr/>
        <w:t>apresentação de justificativa da vantagem da adesão, inclusive em situações de provável desabastecimento ou descontinuidade de serviço público;</w:t>
      </w:r>
    </w:p>
    <w:p>
      <w:pPr>
        <w:pStyle w:val="Nvel3R"/>
        <w:numPr>
          <w:ilvl w:val="2"/>
          <w:numId w:val="1"/>
        </w:numPr>
        <w:ind w:left="284" w:hanging="0"/>
        <w:rPr/>
      </w:pPr>
      <w:r>
        <w:rPr/>
        <w:t xml:space="preserve"> </w:t>
      </w:r>
      <w:r>
        <w:rPr/>
        <w:t>demonstração de que os valores registrados estão compatíveis com os valores praticados pelo mercado na forma do art. 23 da Lei nº 14.133, de 2021; e</w:t>
      </w:r>
    </w:p>
    <w:p>
      <w:pPr>
        <w:pStyle w:val="Nvel3R"/>
        <w:numPr>
          <w:ilvl w:val="2"/>
          <w:numId w:val="1"/>
        </w:numPr>
        <w:ind w:left="284" w:hanging="0"/>
        <w:rPr/>
      </w:pPr>
      <w:r>
        <w:rPr/>
        <w:t xml:space="preserve"> </w:t>
      </w:r>
      <w:r>
        <w:rPr/>
        <w:t>consulta e aceitação prévias do órgão ou da entidade gerenciadora e do fornecedor.</w:t>
      </w:r>
    </w:p>
    <w:p>
      <w:pPr>
        <w:pStyle w:val="Nvel2Red"/>
        <w:numPr>
          <w:ilvl w:val="1"/>
          <w:numId w:val="1"/>
        </w:numPr>
        <w:ind w:left="0" w:hanging="0"/>
        <w:rPr/>
      </w:pPr>
      <w:r>
        <w:rPr/>
        <w:t>A autorização do órgão ou entidade gerenciadora apenas será realizada após a aceitação da adesão pelo fornecedor.</w:t>
      </w:r>
    </w:p>
    <w:p>
      <w:pPr>
        <w:pStyle w:val="Nvel3R"/>
        <w:numPr>
          <w:ilvl w:val="2"/>
          <w:numId w:val="1"/>
        </w:numPr>
        <w:ind w:left="284" w:hanging="0"/>
        <w:rPr/>
      </w:pPr>
      <w:r>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pPr>
      <w:r>
        <w:rPr/>
        <w:t xml:space="preserve"> </w:t>
      </w:r>
      <w:r>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pPr>
      <w:r>
        <w:rPr/>
        <w:t xml:space="preserve"> </w:t>
      </w:r>
      <w: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pPr>
      <w:r>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FF0000"/>
        </w:rPr>
        <w:t>Dos limites para as adesões</w:t>
      </w:r>
    </w:p>
    <w:p>
      <w:pPr>
        <w:pStyle w:val="Nvel2Red"/>
        <w:numPr>
          <w:ilvl w:val="1"/>
          <w:numId w:val="1"/>
        </w:numPr>
        <w:ind w:left="0" w:hanging="0"/>
        <w:rPr/>
      </w:pPr>
      <w:r>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pPr>
      <w: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left="0" w:hanging="0"/>
        <w:rPr/>
      </w:pPr>
      <w:r>
        <w:rPr/>
        <w:t>Para aquisição emergencial de medicamentos e material de consumo médico-hospitalar por órgãos e en</w:t>
      </w:r>
      <w:r>
        <w:rPr>
          <w:rFonts w:eastAsia="Arial"/>
        </w:rPr>
        <w:t>ti</w:t>
      </w:r>
      <w:r>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left="0" w:hanging="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 xml:space="preserve">A validade da Ata de Registro de Preços será de 1 (um) ano, contado a </w:t>
      </w:r>
      <w:commentRangeStart w:id="6"/>
      <w:r>
        <w:rPr/>
        <w:t>partir</w:t>
      </w:r>
      <w:r>
        <w:rPr/>
      </w:r>
      <w:commentRangeEnd w:id="6"/>
      <w:r>
        <w:commentReference w:id="6"/>
      </w:r>
      <w:r>
        <w:rPr/>
        <w:t xml:space="preserve"> do primeiro dia útil subsequente à data de divulgação no PNCP, </w:t>
      </w:r>
      <w:r>
        <w:rPr>
          <w:color w:val="FF0000"/>
        </w:rPr>
        <w:t>podendo ser prorrogada por igual período, mediante a anuência do fornecedor, desde que comprovado o preço vantajoso</w:t>
      </w:r>
      <w:r>
        <w:rPr/>
        <w:t>.</w:t>
      </w:r>
    </w:p>
    <w:p>
      <w:pPr>
        <w:pStyle w:val="Nvel3R"/>
        <w:numPr>
          <w:ilvl w:val="2"/>
          <w:numId w:val="1"/>
        </w:numPr>
        <w:ind w:left="284" w:hanging="0"/>
        <w:rPr>
          <w:i w:val="false"/>
          <w:i w:val="false"/>
          <w:iCs w:val="false"/>
          <w:color w:val="auto"/>
          <w:highlight w:val="yellow"/>
        </w:rPr>
      </w:pPr>
      <w:commentRangeStart w:id="7"/>
      <w:r>
        <w:rPr>
          <w:i w:val="false"/>
          <w:iCs w:val="false"/>
          <w:color w:val="auto"/>
          <w:highlight w:val="yellow"/>
        </w:rPr>
        <w:t xml:space="preserve">Em caso de prorrogação da ata, </w:t>
      </w:r>
      <w:r>
        <w:rPr>
          <w:highlight w:val="yellow"/>
        </w:rPr>
        <w:t>[poderá] OU [não poderá]</w:t>
      </w:r>
      <w:r>
        <w:rPr>
          <w:i w:val="false"/>
          <w:iCs w:val="false"/>
          <w:color w:val="auto"/>
          <w:highlight w:val="yellow"/>
        </w:rPr>
        <w:t xml:space="preserve"> ser renovado o quantitativo originalmente registrado.</w:t>
      </w:r>
      <w:commentRangeEnd w:id="7"/>
      <w:r>
        <w:commentReference w:id="7"/>
      </w:r>
      <w:r>
        <w:rPr>
          <w:i w:val="false"/>
          <w:iCs w:val="false"/>
          <w:color w:val="auto"/>
          <w:highlight w:val="yellow"/>
        </w:rPr>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2"/>
          <w:numId w:val="1"/>
        </w:numPr>
        <w:ind w:left="284" w:hanging="0"/>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w:t>
      </w:r>
      <w:r>
        <w:rPr>
          <w:i/>
          <w:iCs/>
        </w:rPr>
        <w:t xml:space="preserve"> </w:t>
      </w:r>
      <w:r>
        <w:rPr>
          <w:i/>
          <w:color w:val="FF0000"/>
        </w:rPr>
        <w:t xml:space="preserve">[edital] OU [aviso de contratação direta] </w:t>
      </w:r>
      <w:r>
        <w:rPr/>
        <w:t>e se obrigar nos limites dela;</w:t>
      </w:r>
    </w:p>
    <w:p>
      <w:pPr>
        <w:pStyle w:val="Nvel3"/>
        <w:numPr>
          <w:ilvl w:val="2"/>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0" w:name="cadastro_reserva"/>
      <w:bookmarkEnd w:id="0"/>
    </w:p>
    <w:p>
      <w:pPr>
        <w:pStyle w:val="Nvel3"/>
        <w:numPr>
          <w:ilvl w:val="2"/>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left="284" w:hanging="0"/>
        <w:rPr/>
      </w:pPr>
      <w:r>
        <w:rPr/>
        <w:t>Quando o licitante vencedor não assinar a ata de registro de preços, no prazo e nas condições estabelecidos no</w:t>
      </w:r>
      <w:r>
        <w:rPr>
          <w:i/>
          <w:iCs/>
        </w:rPr>
        <w:t xml:space="preserve"> </w:t>
      </w:r>
      <w:r>
        <w:rPr>
          <w:i/>
          <w:color w:val="FF0000"/>
        </w:rPr>
        <w:t>[edital] OU [aviso de contratação direta]</w:t>
      </w:r>
      <w:r>
        <w:rPr>
          <w:i/>
          <w:iCs/>
          <w:color w:val="FF0000"/>
        </w:rPr>
        <w:t>;</w:t>
      </w:r>
      <w:r>
        <w:rPr>
          <w:color w:val="FF0000"/>
        </w:rPr>
        <w:t xml:space="preserve"> </w:t>
      </w:r>
      <w:r>
        <w:rPr/>
        <w:t>e</w:t>
      </w:r>
    </w:p>
    <w:p>
      <w:pPr>
        <w:pStyle w:val="Nvel3"/>
        <w:numPr>
          <w:ilvl w:val="2"/>
          <w:numId w:val="1"/>
        </w:numPr>
        <w:ind w:left="284" w:hanging="0"/>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do </w:t>
      </w:r>
      <w:r>
        <w:rPr>
          <w:i/>
          <w:color w:val="FF0000"/>
        </w:rPr>
        <w:t>[edital] OU [aviso de contratação direta]</w:t>
      </w:r>
      <w:r>
        <w:rPr/>
        <w:t>, poderá:</w:t>
      </w:r>
    </w:p>
    <w:p>
      <w:pPr>
        <w:pStyle w:val="Nvel3"/>
        <w:numPr>
          <w:ilvl w:val="2"/>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left="284" w:hanging="0"/>
        <w:rPr/>
      </w:pPr>
      <w:r>
        <w:rPr/>
        <w:t>E</w:t>
      </w:r>
      <w:commentRangeStart w:id="8"/>
      <w:r>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
      <w:commentRangeEnd w:id="8"/>
      <w:r>
        <w:commentReference w:id="8"/>
      </w:r>
      <w:r>
        <w:rPr>
          <w:color w:val="0000EF"/>
        </w:rPr>
        <w:t>;</w:t>
      </w:r>
    </w:p>
    <w:p>
      <w:pPr>
        <w:pStyle w:val="Nvel3"/>
        <w:numPr>
          <w:ilvl w:val="2"/>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left="284"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left="284" w:hanging="0"/>
        <w:rPr/>
      </w:pPr>
      <w:r>
        <w:rPr/>
        <w:t>Na hipótese prevista no item anterior, o gerenciador convocará os fornecedores do cadastro de reserva, na ordem de classificação, para verificar se aceitam reduzir seus preços aos valores de mercado e não convocará o</w:t>
      </w:r>
      <w:commentRangeStart w:id="9"/>
      <w:r>
        <w:rPr/>
        <w:t>s licitantes ou fornecedores que tiveram seu registro cancelado.</w:t>
      </w:r>
      <w:r>
        <w:rPr/>
      </w:r>
      <w:commentRangeEnd w:id="9"/>
      <w:r>
        <w:commentReference w:id="9"/>
      </w:r>
      <w:r>
        <w:rPr/>
        <w:t xml:space="preserve"> </w:t>
      </w:r>
    </w:p>
    <w:p>
      <w:pPr>
        <w:pStyle w:val="Nvel3"/>
        <w:numPr>
          <w:ilvl w:val="2"/>
          <w:numId w:val="1"/>
        </w:numPr>
        <w:ind w:left="284"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left="284" w:hanging="0"/>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left="0" w:hanging="0"/>
        <w:rPr/>
      </w:pPr>
      <w:commentRangeStart w:id="10"/>
      <w:r>
        <w:rPr/>
        <w:t>REMANEJAMENTO DAS QUANTIDADES REGISTRADAS NA ATA DE REGISTRO DE PREÇOS</w:t>
      </w:r>
      <w:commentRangeEnd w:id="10"/>
      <w:r>
        <w:commentReference w:id="10"/>
      </w:r>
      <w:r>
        <w:rPr/>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pPr>
      <w:r>
        <w:rPr/>
        <w:t>Na hipótese de remanejamento de órgão ou entidade par</w:t>
      </w:r>
      <w:r>
        <w:rPr>
          <w:rFonts w:eastAsia="Arial"/>
        </w:rPr>
        <w:t>ti</w:t>
      </w:r>
      <w:r>
        <w:rPr/>
        <w:t xml:space="preserve">cipante para órgão ou entidade não participante, serão observados os limites previstos no </w:t>
      </w:r>
      <w:commentRangeStart w:id="11"/>
      <w:r>
        <w:rPr/>
        <w:t>art. 32 do Decreto nº 11.462, de 2023</w:t>
      </w:r>
      <w:r>
        <w:rPr/>
      </w:r>
      <w:commentRangeEnd w:id="11"/>
      <w:r>
        <w:commentReference w:id="11"/>
      </w:r>
      <w:r>
        <w:rPr/>
        <w:t>.</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left="0" w:hanging="0"/>
        <w:rPr>
          <w:iCs/>
        </w:rPr>
      </w:pPr>
      <w:r>
        <w:rPr/>
        <w:t>CANCELAMENTO DO REGISTRO DO LICITANTE VENCEDOR E DOS PREÇOS REGISTRADOS</w:t>
      </w:r>
      <w:bookmarkStart w:id="5" w:name="cancelamento"/>
      <w:bookmarkEnd w:id="5"/>
    </w:p>
    <w:p>
      <w:pPr>
        <w:pStyle w:val="Nivel2"/>
        <w:numPr>
          <w:ilvl w:val="1"/>
          <w:numId w:val="1"/>
        </w:numPr>
        <w:ind w:left="0" w:hanging="0"/>
        <w:rPr/>
      </w:pPr>
      <w:r>
        <w:rPr/>
        <w:t>O registro do fornecedor será cancelado pelo gerenciador, quando o fornecedor:</w:t>
      </w:r>
      <w:bookmarkStart w:id="6" w:name="cancelamento_do_fornecedor"/>
      <w:bookmarkEnd w:id="6"/>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left="284" w:hanging="0"/>
        <w:rPr/>
      </w:pPr>
      <w:r>
        <w:rPr/>
        <w:t>Por razão de interesse público;</w:t>
      </w:r>
    </w:p>
    <w:p>
      <w:pPr>
        <w:pStyle w:val="Nvel3"/>
        <w:numPr>
          <w:ilvl w:val="2"/>
          <w:numId w:val="1"/>
        </w:numPr>
        <w:ind w:left="284" w:hanging="0"/>
        <w:rPr/>
      </w:pPr>
      <w:r>
        <w:rPr/>
        <w:t>A pedido do fornecedor, decorrente de caso fortuito ou força maior; ou</w:t>
      </w:r>
    </w:p>
    <w:p>
      <w:pPr>
        <w:pStyle w:val="Nvel3"/>
        <w:numPr>
          <w:ilvl w:val="2"/>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numPr>
          <w:ilvl w:val="1"/>
          <w:numId w:val="1"/>
        </w:numPr>
        <w:ind w:left="0" w:hanging="0"/>
        <w:rPr/>
      </w:pPr>
      <w:r>
        <w:rPr/>
        <w:t xml:space="preserve">O descumprimento da Ata de Registro de Preços ensejará aplicação das penalidades estabelecidas </w:t>
      </w:r>
      <w:r>
        <w:rPr>
          <w:iCs/>
        </w:rPr>
        <w:t>no</w:t>
      </w:r>
      <w:r>
        <w:rPr>
          <w:i/>
        </w:rPr>
        <w:t xml:space="preserve"> </w:t>
      </w:r>
      <w:r>
        <w:rPr>
          <w:i/>
          <w:color w:val="FF0000"/>
        </w:rPr>
        <w:t>[edital] OU [aviso de contratação direta]</w:t>
      </w:r>
      <w:r>
        <w:rPr/>
        <w:t>.</w:t>
      </w:r>
    </w:p>
    <w:p>
      <w:pPr>
        <w:pStyle w:val="Nvel3"/>
        <w:numPr>
          <w:ilvl w:val="2"/>
          <w:numId w:val="1"/>
        </w:numPr>
        <w:ind w:left="284" w:hanging="0"/>
        <w:rPr/>
      </w:pPr>
      <w:r>
        <w:rPr/>
        <w:t xml:space="preserve">As sanções também se aplicam aos integrantes do cadastro de reserva no registro de preços que, convocados, não honrarem o compromisso assumido </w:t>
      </w:r>
      <w:commentRangeStart w:id="12"/>
      <w:r>
        <w:rPr/>
        <w:t>injustificadamente</w:t>
      </w:r>
      <w:r>
        <w:rPr/>
      </w:r>
      <w:commentRangeEnd w:id="12"/>
      <w:r>
        <w:commentReference w:id="12"/>
      </w:r>
      <w:r>
        <w:rPr/>
        <w:t xml:space="preserv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pPr>
      <w:r>
        <w:rPr/>
        <w:t>CONDIÇÕES GERAIS</w:t>
      </w:r>
    </w:p>
    <w:p>
      <w:pPr>
        <w:pStyle w:val="Nivel2"/>
        <w:numPr>
          <w:ilvl w:val="1"/>
          <w:numId w:val="1"/>
        </w:numPr>
        <w:ind w:left="0" w:hanging="0"/>
        <w:rPr/>
      </w:pPr>
      <w:r>
        <w:rPr/>
        <w:t>As condições gerais de execução do objeto, tais como os prazos para entrega e recebimento, as obrigações da Administração e do fornecedor registrado, penalidades e demais condições do ajuste, encontram-se definidos no Termo de Referência, anexo ao</w:t>
      </w:r>
      <w:r>
        <w:rPr>
          <w:i/>
        </w:rPr>
        <w:t xml:space="preserve"> </w:t>
      </w:r>
      <w:r>
        <w:rPr>
          <w:i/>
          <w:color w:val="FF0000"/>
        </w:rPr>
        <w:t>[edital] OU [aviso de contratação direta]</w:t>
      </w:r>
      <w:r>
        <w:rPr/>
        <w:t>.</w:t>
      </w:r>
    </w:p>
    <w:p>
      <w:pPr>
        <w:pStyle w:val="Nvel2Red"/>
        <w:numPr>
          <w:ilvl w:val="1"/>
          <w:numId w:val="1"/>
        </w:numPr>
        <w:ind w:left="0" w:hanging="0"/>
        <w:rPr/>
      </w:pPr>
      <w:r>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ind w:right="-30" w:hanging="0"/>
        <w:jc w:val="center"/>
        <w:rPr>
          <w:rFonts w:ascii="Arial" w:hAnsi="Arial" w:cs="Arial"/>
          <w:color w:val="000000"/>
          <w:sz w:val="20"/>
          <w:szCs w:val="20"/>
        </w:rPr>
      </w:pPr>
      <w:commentRangeStart w:id="13"/>
      <w:r>
        <w:rPr>
          <w:rFonts w:cs="Arial" w:ascii="Arial" w:hAnsi="Arial"/>
          <w:color w:val="000000"/>
          <w:sz w:val="20"/>
          <w:szCs w:val="20"/>
        </w:rPr>
        <w:t>Anexo</w:t>
      </w:r>
      <w:commentRangeEnd w:id="13"/>
      <w:r>
        <w:commentReference w:id="13"/>
      </w: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hanging="0"/>
        <w:jc w:val="center"/>
        <w:rPr>
          <w:rFonts w:ascii="Arial" w:hAnsi="Arial" w:cs="Arial"/>
          <w:color w:val="000000"/>
          <w:sz w:val="20"/>
          <w:szCs w:val="20"/>
        </w:rPr>
      </w:pPr>
      <w:r>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1134" w:gutter="0" w:header="708"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b/>
          <w:color w:val="000000"/>
          <w:lang w:val="en-US" w:eastAsia="en-US" w:bidi="en-US"/>
        </w:rPr>
        <w:t>Nota Explicativa:</w:t>
      </w:r>
      <w:r>
        <w:rPr>
          <w:rFonts w:ascii="Liberation Serif" w:hAnsi="Liberation Serif" w:eastAsia="DejaVu Sans" w:cs="DejaVu Sans"/>
          <w:color w:val="000000"/>
          <w:lang w:val="en-US" w:eastAsia="en-US" w:bidi="en-US"/>
        </w:rPr>
        <w:t xml:space="preserve"> </w:t>
      </w:r>
      <w:r>
        <w:rPr>
          <w:rFonts w:ascii="Liberation Serif" w:hAnsi="Liberation Serif" w:eastAsia="DejaVu Sans" w:cs="DejaVu Sans"/>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DejaVu Sans" w:cs="DejaVu Sans"/>
          <w:color w:val="000000"/>
          <w:lang w:val="en-US" w:eastAsia="en-US" w:bidi="en-US"/>
        </w:rPr>
        <w:t>. (§ 4º, art. 18 do Decreto Nº11.462, de 2023.)</w:t>
      </w:r>
    </w:p>
  </w:comment>
  <w:comment w:id="1"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No artigo 82, § 3º, da Lei 14.133, permite-se o registro de preços com indicação limitada a unidades de contratação,</w:t>
      </w:r>
      <w:r>
        <w:rPr>
          <w:rFonts w:ascii="Liberation Serif" w:hAnsi="Liberation Serif" w:eastAsia="DejaVu Sans" w:cs="DejaVu Sans"/>
          <w:b/>
          <w:bCs/>
          <w:lang w:val="en-US" w:eastAsia="en-US" w:bidi="en-US"/>
        </w:rPr>
        <w:t xml:space="preserve"> sem indicação do total a ser adquirido</w:t>
      </w:r>
      <w:r>
        <w:rPr>
          <w:rFonts w:ascii="Liberation Serif" w:hAnsi="Liberation Serif" w:eastAsia="DejaVu Sans" w:cs="DejaVu Sans"/>
          <w:lang w:val="en-US" w:eastAsia="en-US" w:bidi="en-US"/>
        </w:rPr>
        <w:t>, apenas nas seguintes situações:</w:t>
      </w:r>
    </w:p>
    <w:p>
      <w:r>
        <w:rPr>
          <w:rFonts w:ascii="Liberation Serif" w:hAnsi="Liberation Serif" w:eastAsia="DejaVu Sans" w:cs="DejaVu Sans"/>
          <w:lang w:val="en-US" w:eastAsia="en-US" w:bidi="en-US"/>
        </w:rPr>
        <w:t>I - quando for a primeira licitação para o objeto e o órgão ou entidade não tiver registro de demandas anteriores;</w:t>
      </w:r>
    </w:p>
    <w:p>
      <w:r>
        <w:rPr>
          <w:rFonts w:ascii="Liberation Serif" w:hAnsi="Liberation Serif" w:eastAsia="DejaVu Sans" w:cs="DejaVu Sans"/>
          <w:lang w:val="en-US" w:eastAsia="en-US" w:bidi="en-US"/>
        </w:rPr>
        <w:t>II - no caso de alimento perecível;</w:t>
      </w:r>
    </w:p>
    <w:p>
      <w:r>
        <w:rPr>
          <w:rFonts w:ascii="Liberation Serif" w:hAnsi="Liberation Serif" w:eastAsia="DejaVu Sans" w:cs="DejaVu Sans"/>
          <w:lang w:val="en-US" w:eastAsia="en-US" w:bidi="en-US"/>
        </w:rPr>
        <w:t>III - no caso em que o serviço estiver integrado ao fornecimento de bens.</w:t>
      </w:r>
    </w:p>
    <w:p>
      <w:r>
        <w:rPr>
          <w:rFonts w:ascii="Liberation Serif" w:hAnsi="Liberation Serif" w:eastAsia="DejaVu Sans" w:cs="DejaVu Sans"/>
          <w:lang w:val="en-US" w:eastAsia="en-US" w:bidi="en-US"/>
        </w:rPr>
        <w:t>Nessas situações, é obrigatória a indicação do valor máximo da despesa e é vedada a participação de outro órgão ou entidade na ata.</w:t>
      </w:r>
    </w:p>
    <w:p>
      <w:r>
        <w:rPr>
          <w:rFonts w:ascii="Liberation Serif" w:hAnsi="Liberation Serif" w:eastAsia="DejaVu Sans" w:cs="DejaVu Sans"/>
          <w:lang w:val="en-US" w:eastAsia="en-US" w:bidi="en-US"/>
        </w:rPr>
        <w:t>O artigo 4º do Decreto 11.462, de 31/3/2023, possui a mesma redação da lei.</w:t>
      </w:r>
    </w:p>
  </w:comment>
  <w:comment w:id="2" w:author="Autor" w:date="0-00-00T00:00:00Z" w:initials="A">
    <w:p>
      <w:r>
        <w:rPr>
          <w:rFonts w:ascii="Liberation Serif" w:hAnsi="Liberation Serif" w:eastAsia="DejaVu Sans" w:cs="DejaVu Sans"/>
          <w:b/>
          <w:color w:val="000000"/>
          <w:lang w:val="en-US" w:eastAsia="en-US" w:bidi="en-US"/>
        </w:rPr>
        <w:t>Nota Explicativa</w:t>
      </w:r>
      <w:r>
        <w:rPr>
          <w:rFonts w:ascii="Liberation Serif" w:hAnsi="Liberation Serif" w:eastAsia="DejaVu Sans" w:cs="DejaVu Sans"/>
          <w:color w:val="000000"/>
          <w:lang w:val="en-US" w:eastAsia="en-US" w:bidi="en-US"/>
        </w:rPr>
        <w:t>: A listagem deve obedecer a ordem prevista no inciso II e § 2º do art. 18 do Decreto nº 11.462, de 2023.</w:t>
      </w:r>
    </w:p>
  </w:comment>
  <w:comment w:id="4"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A possibilidade de vedação de adesão existe, por exemplo, na hipótese do parágrafo único do art. 4º do Decreto: </w:t>
      </w:r>
    </w:p>
    <w:p>
      <w:r>
        <w:rPr>
          <w:rFonts w:ascii="Liberation Serif" w:hAnsi="Liberation Serif" w:eastAsia="DejaVu Sans" w:cs="DejaVu Sans"/>
          <w:lang w:val="en-US" w:eastAsia="en-US" w:bidi="en-US"/>
        </w:rPr>
        <w:t>"Art. 4º  É permitido o registro de preços com indicação limitada a unidades de contratação, sem indicação do total a ser adquirido, apenas nas seguintes situações:</w:t>
      </w:r>
    </w:p>
    <w:p>
      <w:r>
        <w:rPr>
          <w:rFonts w:ascii="Liberation Serif" w:hAnsi="Liberation Serif" w:eastAsia="DejaVu Sans" w:cs="DejaVu Sans"/>
          <w:lang w:val="en-US" w:eastAsia="en-US" w:bidi="en-US"/>
        </w:rPr>
        <w:t>I - quando for a primeira licitação ou contratação direta para o objeto e o órgão ou a entidade não tiver registro de demandas anteriores;</w:t>
      </w:r>
    </w:p>
    <w:p>
      <w:r>
        <w:rPr>
          <w:rFonts w:ascii="Liberation Serif" w:hAnsi="Liberation Serif" w:eastAsia="DejaVu Sans" w:cs="DejaVu Sans"/>
          <w:lang w:val="en-US" w:eastAsia="en-US" w:bidi="en-US"/>
        </w:rPr>
        <w:t>II - no caso de alimento perecível; ou</w:t>
      </w:r>
    </w:p>
    <w:p>
      <w:r>
        <w:rPr>
          <w:rFonts w:ascii="Liberation Serif" w:hAnsi="Liberation Serif" w:eastAsia="DejaVu Sans" w:cs="DejaVu Sans"/>
          <w:lang w:val="en-US" w:eastAsia="en-US" w:bidi="en-US"/>
        </w:rPr>
        <w:t>III - no caso em que o serviço estiver integrado ao fornecimento de bens.</w:t>
      </w:r>
    </w:p>
    <w:p>
      <w:r>
        <w:rPr>
          <w:rFonts w:ascii="Liberation Serif" w:hAnsi="Liberation Serif" w:eastAsia="DejaVu Sans" w:cs="DejaVu Sans"/>
          <w:lang w:val="en-US" w:eastAsia="en-US" w:bidi="en-US"/>
        </w:rPr>
        <w:t>Parágrafo único.  Nas situações referidas no caput, é obrigatória a indicação do valor máximo da despesa e é vedada a participação de outro órgão ou entidade na ata."</w:t>
      </w:r>
    </w:p>
    <w:p>
      <w:r>
        <w:rPr>
          <w:rFonts w:ascii="Liberation Serif" w:hAnsi="Liberation Serif" w:eastAsia="DejaVu Sans" w:cs="DejaVu Sans"/>
          <w:lang w:val="en-US" w:eastAsia="en-US" w:bidi="en-US"/>
        </w:rPr>
      </w:r>
    </w:p>
    <w:p>
      <w:r>
        <w:rPr>
          <w:rFonts w:ascii="Liberation Serif" w:hAnsi="Liberation Serif" w:eastAsia="DejaVu Sans" w:cs="DejaVu Sans"/>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r>
        <w:rPr>
          <w:rFonts w:ascii="Liberation Serif" w:hAnsi="Liberation Serif" w:eastAsia="DejaVu Sans" w:cs="DejaVu Sans"/>
          <w:lang w:val="en-US" w:eastAsia="en-US" w:bidi="en-US"/>
        </w:rPr>
        <w:t>I - realizar procedimento público de intenção de registro de preços - IRP e, quando for o caso, estabelecer o número máximo de participantes, em conformidade com sua capacidade de gerenciamento;</w:t>
      </w:r>
    </w:p>
    <w:p>
      <w:r>
        <w:rPr>
          <w:rFonts w:ascii="Liberation Serif" w:hAnsi="Liberation Serif" w:eastAsia="DejaVu Sans" w:cs="DejaVu Sans"/>
          <w:lang w:val="en-US" w:eastAsia="en-US" w:bidi="en-US"/>
        </w:rPr>
        <w:t>[...]</w:t>
      </w:r>
    </w:p>
    <w:p>
      <w:r>
        <w:rPr>
          <w:rFonts w:ascii="Liberation Serif" w:hAnsi="Liberation Serif" w:eastAsia="DejaVu Sans" w:cs="DejaVu Sans"/>
          <w:lang w:val="en-US" w:eastAsia="en-US" w:bidi="en-US"/>
        </w:rPr>
        <w:t>XI - deliberar quanto à adesão posterior de órgãos e entidades que não tenham manifestado interesse durante o período de divulgação da IRP;"</w:t>
      </w:r>
    </w:p>
    <w:p>
      <w:r>
        <w:rPr>
          <w:rFonts w:ascii="Liberation Serif" w:hAnsi="Liberation Serif" w:eastAsia="DejaVu Sans" w:cs="DejaVu Sans"/>
          <w:lang w:val="en-US" w:eastAsia="en-US" w:bidi="en-US"/>
        </w:rPr>
      </w:r>
    </w:p>
    <w:p>
      <w:r>
        <w:rPr>
          <w:rFonts w:ascii="Liberation Serif" w:hAnsi="Liberation Serif" w:eastAsia="DejaVu Sans" w:cs="DejaVu Sans"/>
          <w:lang w:val="en-US" w:eastAsia="en-US" w:bidi="en-US"/>
        </w:rPr>
        <w:t>Assim, desde que devidamente justificado nos Estudos Técnicos Preliminares, poderá ser vedada a adesão, de forma prévia, a órgãos não-participantes.</w:t>
      </w:r>
    </w:p>
  </w:comment>
  <w:comment w:id="6"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O artigo 84 da Lei 14.133 fixa o prazo de 1 (um) ano para a ata de registro de preços, admitindo a prorrogação por igual período.</w:t>
      </w:r>
    </w:p>
  </w:comment>
  <w:comment w:id="7" w:author="Autor" w:date="0-00-00T00:00:00Z" w:initials="A">
    <w:p>
      <w:r>
        <w:rPr>
          <w:rFonts w:ascii="Liberation Serif" w:hAnsi="Liberation Serif" w:eastAsia="DejaVu Sans" w:cs="DejaVu Sans"/>
          <w:b/>
          <w:bCs/>
          <w:i/>
          <w:iCs/>
          <w:lang w:val="en-US" w:eastAsia="en-US" w:bidi="en-US"/>
        </w:rPr>
        <w:t xml:space="preserve">Nota explicativa: </w:t>
      </w:r>
      <w:r>
        <w:rPr>
          <w:rFonts w:ascii="Liberation Serif" w:hAnsi="Liberation Serif" w:eastAsia="DejaVu Sans" w:cs="DejaVu Sans"/>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8"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Restringindo-se o reequilíbrio a alguns itens fornecidos em circunstâncias específicas, a ata poderá prever preços distintos na forma do artigo 82, III, da Lei nº 14.133, de 2021.</w:t>
      </w:r>
    </w:p>
  </w:comment>
  <w:comment w:id="9"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10"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A possibilidade de remanejamento está prevista no art. 30 do Decreto nº 11.462/2023</w:t>
      </w:r>
    </w:p>
  </w:comment>
  <w:comment w:id="11"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Art. 32. </w:t>
      </w:r>
      <w:r>
        <w:rPr>
          <w:rFonts w:ascii="Liberation Serif" w:hAnsi="Liberation Serif" w:eastAsia="DejaVu Sans" w:cs="DejaVu Sans"/>
          <w:color w:val="000000"/>
          <w:lang w:val="en-US" w:eastAsia="en-US" w:bidi="en-US"/>
        </w:rPr>
        <w:t> Serão observadas as seguintes regras de controle para a adesão à ata de registro de preços de que trata o art. 31:</w:t>
      </w:r>
    </w:p>
    <w:p>
      <w:r>
        <w:rPr>
          <w:rFonts w:ascii="Liberation Serif" w:hAnsi="Liberation Serif" w:eastAsia="DejaVu Sans" w:cs="DejaVu Sans"/>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r>
        <w:rPr>
          <w:rFonts w:ascii="Liberation Serif" w:hAnsi="Liberation Serif" w:eastAsia="DejaVu Sans" w:cs="DejaVu Sans"/>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2" w:author="Autor" w:date="0-00-00T00:00:00Z" w:initials="A">
    <w:p>
      <w:r>
        <w:rPr>
          <w:rFonts w:ascii="Liberation Serif" w:hAnsi="Liberation Serif" w:eastAsia="DejaVu Sans" w:cs="DejaVu Sans"/>
          <w:b/>
          <w:lang w:val="en-US" w:eastAsia="en-US" w:bidi="en-US"/>
        </w:rPr>
        <w:t xml:space="preserve">Nota Explicativa: </w:t>
      </w:r>
      <w:r>
        <w:rPr>
          <w:rFonts w:ascii="Liberation Serif" w:hAnsi="Liberation Serif" w:eastAsia="DejaVu Sans" w:cs="DejaVu Sans"/>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eastAsia="DejaVu Sans" w:cs="DejaVu Sans"/>
          <w:lang w:val="en-US" w:eastAsia="en-US" w:bidi="en-US"/>
        </w:rPr>
        <w:t>§ 5º A regra do § 4º não se aplicará aos licitantes remanescentes convocados na forma do inciso I do § 3º."</w:t>
      </w:r>
    </w:p>
  </w:comment>
  <w:comment w:id="13" w:author="Autor" w:date="0-00-00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eastAsia="DejaVu Sans" w:cs="DejaVu Sans"/>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8496B0"/>
        <w:spacing w:val="60"/>
        <w:sz w:val="16"/>
        <w:szCs w:val="16"/>
      </w:rPr>
    </w:pPr>
    <w:r>
      <w:rPr>
        <w:color w:val="8496B0"/>
        <w:spacing w:val="60"/>
      </w:rPr>
      <w:tab/>
      <w:tab/>
    </w:r>
  </w:p>
  <w:p>
    <w:pPr>
      <w:pStyle w:val="Rodap"/>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ABR/2025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8496B0"/>
        <w:spacing w:val="60"/>
        <w:sz w:val="16"/>
        <w:szCs w:val="16"/>
      </w:rPr>
    </w:pPr>
    <w:r>
      <w:rPr>
        <w:color w:val="8496B0"/>
        <w:spacing w:val="60"/>
      </w:rPr>
      <w:tab/>
      <w:tab/>
    </w:r>
  </w:p>
  <w:p>
    <w:pPr>
      <w:pStyle w:val="Rodap"/>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LibreOffice/7.3.7.2$Linux_X86_64 LibreOffice_project/30$Build-2</Application>
  <AppVersion>15.0000</AppVersion>
  <Pages>9</Pages>
  <Words>3545</Words>
  <Characters>19505</Characters>
  <CharactersWithSpaces>22803</CharactersWithSpaces>
  <Paragraphs>184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2025-03-21T11:23:00Z</dcterms:created>
  <dc:creator/>
  <dc:description/>
  <dc:language>pt-BR</dc:language>
  <cp:lastModifiedBy/>
  <dcterms:modified xsi:type="dcterms:W3CDTF">2026-05-06T11:02:07Z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