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shd w:val="clear" w:color="auto" w:fill="FFFFFF" w:themeFill="background1"/>
        <w:jc w:val="center"/>
        <w:rPr>
          <w:rFonts w:ascii="Times New Roman" w:hAnsi="Times New Roman" w:cs="Times New Roman"/>
          <w:b/>
          <w:sz w:val="20"/>
          <w:szCs w:val="20"/>
          <w:shd w:fill="FFFFFF" w:val="clear"/>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cs="Times New Roman" w:ascii="Times New Roman" w:hAnsi="Times New Roman"/>
          <w:b/>
          <w:sz w:val="20"/>
          <w:szCs w:val="20"/>
          <w:shd w:fill="FFFFFF" w:val="clear"/>
        </w:rPr>
        <w:t xml:space="preserve"> </w:t>
      </w:r>
      <w:r>
        <w:rPr>
          <w:rFonts w:cs="Times New Roman" w:ascii="Times New Roman" w:hAnsi="Times New Roman"/>
          <w:b/>
          <w:sz w:val="20"/>
          <w:szCs w:val="20"/>
          <w:shd w:fill="FFFFFF" w:val="clear"/>
        </w:rPr>
        <w:t>MINISTÉRIO DA DEFESA</w:t>
      </w:r>
    </w:p>
    <w:p>
      <w:pPr>
        <w:pStyle w:val="Normal"/>
        <w:shd w:val="clear" w:color="auto" w:fill="FFFFFF" w:themeFill="background1"/>
        <w:jc w:val="center"/>
        <w:rPr>
          <w:rFonts w:ascii="Times New Roman" w:hAnsi="Times New Roman" w:cs="Times New Roman"/>
          <w:b/>
          <w:sz w:val="20"/>
          <w:szCs w:val="20"/>
          <w:shd w:fill="FFFFFF" w:val="clear"/>
        </w:rPr>
      </w:pPr>
      <w:r>
        <w:rPr>
          <w:rFonts w:cs="Times New Roman" w:ascii="Times New Roman" w:hAnsi="Times New Roman"/>
          <w:b/>
          <w:sz w:val="20"/>
          <w:szCs w:val="20"/>
          <w:shd w:fill="FFFFFF" w:val="clear"/>
        </w:rPr>
        <w:t>EXÉRCITO BRASILEIRO</w:t>
      </w:r>
    </w:p>
    <w:p>
      <w:pPr>
        <w:pStyle w:val="Normal"/>
        <w:shd w:val="clear" w:color="auto" w:fill="FFFFFF" w:themeFill="background1"/>
        <w:jc w:val="center"/>
        <w:rPr>
          <w:rFonts w:ascii="Times New Roman" w:hAnsi="Times New Roman" w:cs="Times New Roman"/>
          <w:b/>
          <w:sz w:val="20"/>
          <w:szCs w:val="20"/>
          <w:shd w:fill="FFFFFF" w:val="clear"/>
        </w:rPr>
      </w:pPr>
      <w:r>
        <w:rPr>
          <w:rFonts w:cs="Times New Roman" w:ascii="Times New Roman" w:hAnsi="Times New Roman"/>
          <w:b/>
          <w:sz w:val="20"/>
          <w:szCs w:val="20"/>
          <w:shd w:fill="FFFFFF" w:val="clear"/>
        </w:rPr>
        <w:t>COMANDO DE FRONTEIRA ACRE/4º BATALHÃO DE INFANTARIA DE SELVA</w:t>
      </w:r>
    </w:p>
    <w:p>
      <w:pPr>
        <w:pStyle w:val="Normal"/>
        <w:shd w:val="clear" w:color="auto" w:fill="FFFFFF" w:themeFill="background1"/>
        <w:jc w:val="center"/>
        <w:rPr>
          <w:rFonts w:ascii="Times New Roman" w:hAnsi="Times New Roman" w:cs="Times New Roman"/>
          <w:b/>
          <w:sz w:val="20"/>
          <w:szCs w:val="20"/>
          <w:shd w:fill="FFFFFF" w:val="clear"/>
        </w:rPr>
      </w:pPr>
      <w:r>
        <w:rPr>
          <w:rFonts w:cs="Times New Roman" w:ascii="Times New Roman" w:hAnsi="Times New Roman"/>
          <w:b/>
          <w:sz w:val="20"/>
          <w:szCs w:val="20"/>
          <w:shd w:fill="FFFFFF" w:val="clear"/>
        </w:rPr>
        <w:t>(4ª Companhia de Fronteira/1956)</w:t>
      </w:r>
    </w:p>
    <w:p>
      <w:pPr>
        <w:pStyle w:val="Normal"/>
        <w:shd w:val="clear" w:color="auto" w:fill="FFFFFF" w:themeFill="background1"/>
        <w:spacing w:lineRule="auto" w:line="360"/>
        <w:jc w:val="center"/>
        <w:rPr>
          <w:rFonts w:ascii="Times New Roman" w:hAnsi="Times New Roman" w:cs="Times New Roman"/>
          <w:b/>
          <w:bCs/>
          <w:iCs/>
          <w:sz w:val="22"/>
          <w:szCs w:val="22"/>
        </w:rPr>
      </w:pPr>
      <w:r>
        <w:rPr>
          <w:rFonts w:cs="Times New Roman" w:ascii="Times New Roman" w:hAnsi="Times New Roman"/>
          <w:b/>
          <w:bCs/>
          <w:sz w:val="20"/>
          <w:szCs w:val="20"/>
          <w:shd w:fill="FFFFFF" w:val="clear"/>
        </w:rPr>
        <w:t>BATALHÃO PLÁCIDO DE CASTRO</w:t>
      </w:r>
    </w:p>
    <w:p>
      <w:pPr>
        <w:pStyle w:val="Normal"/>
        <w:shd w:val="clear" w:color="auto" w:fill="FFFFFF" w:themeFill="background1"/>
        <w:spacing w:lineRule="auto" w:line="360"/>
        <w:jc w:val="center"/>
        <w:rPr>
          <w:rFonts w:ascii="Times New Roman" w:hAnsi="Times New Roman" w:cs="Times New Roman"/>
          <w:b/>
          <w:bCs/>
          <w:iCs/>
          <w:sz w:val="22"/>
          <w:szCs w:val="22"/>
        </w:rPr>
      </w:pPr>
      <w:r>
        <w:rPr>
          <w:rFonts w:cs="Times New Roman" w:ascii="Times New Roman" w:hAnsi="Times New Roman"/>
          <w:b/>
          <w:bCs/>
          <w:iCs/>
          <w:sz w:val="22"/>
          <w:szCs w:val="22"/>
        </w:rPr>
        <w:t>ANEXO II</w:t>
      </w:r>
    </w:p>
    <w:p>
      <w:pPr>
        <w:pStyle w:val="Normal"/>
        <w:shd w:val="clear" w:color="auto" w:fill="FFFFFF" w:themeFill="background1"/>
        <w:tabs>
          <w:tab w:val="clear" w:pos="708"/>
          <w:tab w:val="left" w:pos="0" w:leader="none"/>
        </w:tabs>
        <w:spacing w:before="57" w:after="57"/>
        <w:jc w:val="center"/>
        <w:rPr>
          <w:rFonts w:ascii="Times New Roman" w:hAnsi="Times New Roman" w:cs="Times New Roman"/>
          <w:b/>
          <w:bCs/>
          <w:iCs/>
          <w:sz w:val="22"/>
          <w:szCs w:val="22"/>
          <w:u w:val="single"/>
          <w:shd w:fill="FFFFFF" w:val="clear"/>
        </w:rPr>
      </w:pPr>
      <w:r>
        <w:rPr>
          <w:rFonts w:cs="Times New Roman" w:ascii="Times New Roman" w:hAnsi="Times New Roman"/>
          <w:b/>
          <w:bCs/>
          <w:iCs/>
          <w:sz w:val="22"/>
          <w:szCs w:val="22"/>
          <w:u w:val="single"/>
          <w:shd w:fill="FFFFFF" w:val="clear"/>
        </w:rPr>
        <w:t>MINUTA DE ATA DE REGISTRO DE PREÇO Nº --- PE 9000</w:t>
      </w:r>
      <w:r>
        <w:rPr>
          <w:rFonts w:cs="Times New Roman" w:ascii="Times New Roman" w:hAnsi="Times New Roman"/>
          <w:b/>
          <w:bCs/>
          <w:iCs/>
          <w:sz w:val="22"/>
          <w:szCs w:val="22"/>
          <w:u w:val="single"/>
          <w:shd w:fill="FFFFFF" w:val="clear"/>
        </w:rPr>
        <w:t>8</w:t>
      </w:r>
      <w:r>
        <w:rPr>
          <w:rFonts w:cs="Times New Roman" w:ascii="Times New Roman" w:hAnsi="Times New Roman"/>
          <w:b/>
          <w:bCs/>
          <w:iCs/>
          <w:sz w:val="22"/>
          <w:szCs w:val="22"/>
          <w:u w:val="single"/>
          <w:shd w:fill="FFFFFF" w:val="clear"/>
        </w:rPr>
        <w:t>/2026</w:t>
      </w:r>
    </w:p>
    <w:p>
      <w:pPr>
        <w:pStyle w:val="LO-Normal"/>
        <w:shd w:val="clear" w:color="auto" w:fill="FFFFFF" w:themeFill="background1"/>
        <w:tabs>
          <w:tab w:val="clear" w:pos="708"/>
          <w:tab w:val="left" w:pos="0" w:leader="none"/>
        </w:tabs>
        <w:spacing w:before="57" w:after="57"/>
        <w:ind w:right="-30"/>
        <w:jc w:val="center"/>
        <w:rPr>
          <w:rFonts w:ascii="Times New Roman" w:hAnsi="Times New Roman" w:cs="Times New Roman"/>
          <w:b/>
          <w:bCs/>
          <w:iCs/>
          <w:color w:val="auto"/>
          <w:sz w:val="22"/>
          <w:szCs w:val="22"/>
          <w:shd w:fill="FFFFFF" w:val="clear"/>
        </w:rPr>
      </w:pPr>
      <w:r>
        <w:rPr>
          <w:rFonts w:cs="Times New Roman" w:ascii="Times New Roman" w:hAnsi="Times New Roman"/>
          <w:b/>
          <w:bCs/>
          <w:iCs/>
          <w:color w:val="000000"/>
          <w:sz w:val="22"/>
          <w:szCs w:val="22"/>
          <w:shd w:fill="FFFFFF" w:val="clear"/>
        </w:rPr>
        <w:t>(Processo Administrativo n.° (</w:t>
      </w:r>
      <w:r>
        <w:rPr>
          <w:rFonts w:cs="Arial" w:ascii="Arial" w:hAnsi="Arial"/>
          <w:b/>
          <w:bCs/>
          <w:iCs/>
          <w:color w:val="000000"/>
          <w:sz w:val="20"/>
          <w:szCs w:val="20"/>
          <w:shd w:fill="FFFFFF" w:val="clear"/>
        </w:rPr>
        <w:t>65323.002831/2026-66</w:t>
      </w:r>
      <w:r>
        <w:rPr>
          <w:rFonts w:cs="Times New Roman" w:ascii="Times New Roman" w:hAnsi="Times New Roman"/>
          <w:b/>
          <w:bCs/>
          <w:iCs/>
          <w:color w:val="000000"/>
          <w:sz w:val="22"/>
          <w:szCs w:val="22"/>
          <w:shd w:fill="FFFFFF" w:val="clear"/>
        </w:rPr>
        <w:t>)</w:t>
      </w:r>
    </w:p>
    <w:p>
      <w:pPr>
        <w:pStyle w:val="LO-Normal"/>
        <w:shd w:val="clear" w:color="auto" w:fill="FFFFFF" w:themeFill="background1"/>
        <w:tabs>
          <w:tab w:val="clear" w:pos="708"/>
          <w:tab w:val="left" w:pos="0" w:leader="none"/>
        </w:tabs>
        <w:spacing w:before="57" w:after="57"/>
        <w:ind w:right="-30"/>
        <w:jc w:val="center"/>
        <w:rPr>
          <w:rFonts w:ascii="Times New Roman" w:hAnsi="Times New Roman" w:cs="Times New Roman"/>
          <w:b/>
          <w:bCs/>
          <w:iCs/>
          <w:color w:val="auto"/>
          <w:sz w:val="22"/>
          <w:szCs w:val="22"/>
          <w:shd w:fill="FFFFFF" w:val="clear"/>
        </w:rPr>
      </w:pPr>
      <w:r>
        <w:rPr>
          <w:rFonts w:cs="Times New Roman" w:ascii="Times New Roman" w:hAnsi="Times New Roman"/>
          <w:b/>
          <w:bCs/>
          <w:iCs/>
          <w:color w:val="000000"/>
          <w:sz w:val="22"/>
          <w:szCs w:val="22"/>
          <w:shd w:fill="FFFFFF" w:val="clear"/>
        </w:rPr>
      </w:r>
    </w:p>
    <w:p>
      <w:pPr>
        <w:pStyle w:val="LO-Normal"/>
        <w:shd w:val="clear" w:color="auto" w:fill="FFFFFF" w:themeFill="background1"/>
        <w:tabs>
          <w:tab w:val="clear" w:pos="708"/>
          <w:tab w:val="left" w:pos="0" w:leader="none"/>
        </w:tabs>
        <w:spacing w:before="57" w:after="57"/>
        <w:ind w:right="-30"/>
        <w:jc w:val="center"/>
        <w:rPr>
          <w:rFonts w:ascii="Times New Roman" w:hAnsi="Times New Roman" w:cs="Times New Roman"/>
          <w:b/>
          <w:bCs/>
          <w:iCs/>
          <w:color w:val="auto"/>
          <w:sz w:val="22"/>
          <w:szCs w:val="22"/>
          <w:shd w:fill="FFFFFF" w:val="clear"/>
        </w:rPr>
      </w:pPr>
      <w:r>
        <w:rPr>
          <w:rFonts w:cs="Times New Roman" w:ascii="Times New Roman" w:hAnsi="Times New Roman"/>
          <w:b/>
          <w:bCs/>
          <w:iCs/>
          <w:color w:val="000000"/>
          <w:sz w:val="22"/>
          <w:szCs w:val="22"/>
          <w:shd w:fill="FFFFFF" w:val="clear"/>
        </w:rPr>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cs="Arial" w:ascii="Arial" w:hAnsi="Arial"/>
          <w:sz w:val="20"/>
          <w:szCs w:val="20"/>
        </w:rPr>
        <w:t>O</w:t>
      </w:r>
      <w:r>
        <w:rPr>
          <w:rFonts w:cs="Times New Roman" w:ascii="Times New Roman" w:hAnsi="Times New Roman"/>
          <w:b/>
          <w:bCs/>
          <w:iCs/>
          <w:sz w:val="22"/>
          <w:szCs w:val="22"/>
        </w:rPr>
        <w:t xml:space="preserve"> Comando de Fronteira Acre/ 4º Batalhão de Infantaria de Selva</w:t>
      </w:r>
      <w:r>
        <w:rPr>
          <w:rFonts w:cs="Times New Roman" w:ascii="Times New Roman" w:hAnsi="Times New Roman"/>
          <w:iCs/>
          <w:sz w:val="22"/>
          <w:szCs w:val="22"/>
        </w:rPr>
        <w:t xml:space="preserve"> </w:t>
      </w:r>
      <w:r>
        <w:rPr>
          <w:rFonts w:cs="Times New Roman" w:ascii="Times New Roman" w:hAnsi="Times New Roman"/>
          <w:b/>
          <w:iCs/>
          <w:sz w:val="22"/>
          <w:szCs w:val="22"/>
        </w:rPr>
        <w:t>(Cmdo Fron Ac/4º BIS</w:t>
      </w:r>
      <w:r>
        <w:rPr>
          <w:rFonts w:cs="Arial" w:ascii="Arial" w:hAnsi="Arial"/>
          <w:sz w:val="20"/>
          <w:szCs w:val="20"/>
        </w:rPr>
        <w:t xml:space="preserve">, </w:t>
      </w:r>
      <w:r>
        <w:rPr>
          <w:rFonts w:eastAsia="Arial" w:cs="Arial" w:ascii="Arial" w:hAnsi="Arial"/>
          <w:sz w:val="20"/>
          <w:szCs w:val="20"/>
        </w:rPr>
        <w:t xml:space="preserve">com sede na Rua Colombia, SN, bairro Bosque, na cidade de Rio Branco/AC, inscrito(a) no CNPJ sob o nº 09.655.599/0001-76, neste ato representado pelo  Sr FÁBIO ROBERTO SANTOS ALCÂNTARA – Ordenador de Despesas, nomeado(a) pela Portaria nº </w:t>
      </w:r>
      <w:r>
        <w:rPr>
          <w:rFonts w:eastAsia="Arial" w:cs="Arial" w:ascii="Arial" w:hAnsi="Arial"/>
          <w:i/>
          <w:iCs/>
          <w:sz w:val="20"/>
          <w:szCs w:val="20"/>
        </w:rPr>
        <w:t>XX</w:t>
      </w:r>
      <w:r>
        <w:rPr>
          <w:rFonts w:eastAsia="Arial" w:cs="Arial" w:ascii="Arial" w:hAnsi="Arial"/>
          <w:sz w:val="20"/>
          <w:szCs w:val="20"/>
        </w:rPr>
        <w:t xml:space="preserve">, de </w:t>
      </w:r>
      <w:r>
        <w:rPr>
          <w:rFonts w:eastAsia="Arial" w:cs="Arial" w:ascii="Arial" w:hAnsi="Arial"/>
          <w:i/>
          <w:iCs/>
          <w:sz w:val="20"/>
          <w:szCs w:val="20"/>
        </w:rPr>
        <w:t>[dia]</w:t>
      </w:r>
      <w:r>
        <w:rPr>
          <w:rFonts w:eastAsia="Arial" w:cs="Arial" w:ascii="Arial" w:hAnsi="Arial"/>
          <w:sz w:val="20"/>
          <w:szCs w:val="20"/>
        </w:rPr>
        <w:t xml:space="preserve"> de </w:t>
      </w:r>
      <w:r>
        <w:rPr>
          <w:rFonts w:eastAsia="Arial" w:cs="Arial" w:ascii="Arial" w:hAnsi="Arial"/>
          <w:i/>
          <w:iCs/>
          <w:sz w:val="20"/>
          <w:szCs w:val="20"/>
        </w:rPr>
        <w:t>[mês]</w:t>
      </w:r>
      <w:r>
        <w:rPr>
          <w:rFonts w:ascii="Arial" w:hAnsi="Arial"/>
          <w:sz w:val="20"/>
        </w:rPr>
        <w:t xml:space="preserve"> </w:t>
      </w:r>
      <w:r>
        <w:rPr>
          <w:rFonts w:eastAsia="Arial" w:cs="Arial" w:ascii="Arial" w:hAnsi="Arial"/>
          <w:sz w:val="20"/>
          <w:szCs w:val="20"/>
        </w:rPr>
        <w:t xml:space="preserve">de </w:t>
      </w:r>
      <w:r>
        <w:rPr>
          <w:rFonts w:eastAsia="Arial" w:cs="Arial" w:ascii="Arial" w:hAnsi="Arial"/>
          <w:i/>
          <w:iCs/>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sz w:val="20"/>
          <w:szCs w:val="20"/>
        </w:rPr>
        <w:t>[dia]</w:t>
      </w:r>
      <w:r>
        <w:rPr>
          <w:rFonts w:eastAsia="Arial" w:cs="Arial" w:ascii="Arial" w:hAnsi="Arial"/>
          <w:sz w:val="20"/>
          <w:szCs w:val="20"/>
        </w:rPr>
        <w:t xml:space="preserve"> de </w:t>
      </w:r>
      <w:r>
        <w:rPr>
          <w:rFonts w:eastAsia="Arial" w:cs="Arial" w:ascii="Arial" w:hAnsi="Arial"/>
          <w:i/>
          <w:iCs/>
          <w:sz w:val="20"/>
          <w:szCs w:val="20"/>
        </w:rPr>
        <w:t>[mês]</w:t>
      </w:r>
      <w:r>
        <w:rPr>
          <w:rFonts w:ascii="Arial" w:hAnsi="Arial"/>
          <w:sz w:val="20"/>
        </w:rPr>
        <w:t xml:space="preserve"> </w:t>
      </w:r>
      <w:r>
        <w:rPr>
          <w:rFonts w:eastAsia="Arial" w:cs="Arial" w:ascii="Arial" w:hAnsi="Arial"/>
          <w:sz w:val="20"/>
          <w:szCs w:val="20"/>
        </w:rPr>
        <w:t xml:space="preserve">de </w:t>
      </w:r>
      <w:r>
        <w:rPr>
          <w:rFonts w:eastAsia="Arial" w:cs="Arial" w:ascii="Arial" w:hAnsi="Arial"/>
          <w:i/>
          <w:iCs/>
          <w:sz w:val="20"/>
          <w:szCs w:val="20"/>
        </w:rPr>
        <w:t>[ano]</w:t>
      </w:r>
      <w:r>
        <w:rPr>
          <w:rFonts w:eastAsia="Arial" w:cs="Arial" w:ascii="Arial" w:hAnsi="Arial"/>
          <w:sz w:val="20"/>
          <w:szCs w:val="20"/>
        </w:rPr>
        <w:t xml:space="preserve">, portador da Matrícula Funcional nº </w:t>
      </w:r>
      <w:r>
        <w:rPr>
          <w:rFonts w:eastAsia="Arial" w:cs="Arial" w:ascii="Arial" w:hAnsi="Arial"/>
          <w:i/>
          <w:iCs/>
          <w:sz w:val="20"/>
          <w:szCs w:val="20"/>
        </w:rPr>
        <w:t>[nº matrícula]</w:t>
      </w:r>
      <w:r>
        <w:rPr>
          <w:rFonts w:eastAsia="Arial" w:cs="Arial" w:ascii="Arial" w:hAnsi="Arial"/>
          <w:sz w:val="20"/>
          <w:szCs w:val="20"/>
        </w:rPr>
        <w:t>,</w:t>
      </w:r>
      <w:r>
        <w:rPr>
          <w:rFonts w:cs="Arial" w:ascii="Arial" w:hAnsi="Arial"/>
          <w:sz w:val="20"/>
          <w:szCs w:val="20"/>
        </w:rPr>
        <w:t xml:space="preserve"> considerando o julgamento da licitação na modalidade de pregão, na forma eletrônica, para REGISTRO DE PREÇOS nº ......./202..., publicada no ...... de ...../...../202....., processo administrativo n.º </w:t>
      </w:r>
      <w:r>
        <w:rPr>
          <w:rFonts w:cs="Arial" w:ascii="Arial" w:hAnsi="Arial"/>
          <w:bCs/>
          <w:i/>
          <w:iCs/>
          <w:sz w:val="20"/>
          <w:szCs w:val="20"/>
        </w:rPr>
        <w:t>xxxxx</w:t>
      </w:r>
      <w:r>
        <w:rPr>
          <w:rFonts w:cs="Arial" w:ascii="Arial" w:hAnsi="Arial"/>
          <w:bCs/>
          <w:sz w:val="20"/>
          <w:szCs w:val="20"/>
        </w:rPr>
        <w:t>.</w:t>
      </w:r>
      <w:r>
        <w:rPr>
          <w:rFonts w:cs="Arial" w:ascii="Arial" w:hAnsi="Arial"/>
          <w:bCs/>
          <w:i/>
          <w:iCs/>
          <w:sz w:val="20"/>
          <w:szCs w:val="20"/>
        </w:rPr>
        <w:t>xxxxxx</w:t>
      </w:r>
      <w:r>
        <w:rPr>
          <w:rFonts w:cs="Arial" w:ascii="Arial" w:hAnsi="Arial"/>
          <w:bCs/>
          <w:sz w:val="20"/>
          <w:szCs w:val="20"/>
        </w:rPr>
        <w:t>/</w:t>
      </w:r>
      <w:r>
        <w:rPr>
          <w:rFonts w:cs="Arial" w:ascii="Arial" w:hAnsi="Arial"/>
          <w:bCs/>
          <w:i/>
          <w:iCs/>
          <w:sz w:val="20"/>
          <w:szCs w:val="20"/>
        </w:rPr>
        <w:t>xxxx</w:t>
      </w:r>
      <w:r>
        <w:rPr>
          <w:rFonts w:cs="Arial" w:ascii="Arial" w:hAnsi="Arial"/>
          <w:bCs/>
          <w:sz w:val="20"/>
          <w:szCs w:val="20"/>
        </w:rPr>
        <w:t>-</w:t>
      </w:r>
      <w:r>
        <w:rPr>
          <w:rFonts w:cs="Arial" w:ascii="Arial" w:hAnsi="Arial"/>
          <w:bCs/>
          <w:i/>
          <w:iCs/>
          <w:sz w:val="20"/>
          <w:szCs w:val="20"/>
        </w:rPr>
        <w:t>xx</w:t>
      </w:r>
      <w:r>
        <w:rPr>
          <w:rFonts w:cs="Arial" w:ascii="Arial" w:hAnsi="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w:t>
      </w:r>
      <w:r>
        <w:rPr/>
        <w:t>c</w:t>
      </w:r>
      <w:r>
        <w:rPr>
          <w:rFonts w:eastAsia="Arial"/>
        </w:rPr>
        <w:t>ontratação de serviços contínuos de empresa especializada na prestação de serviços de transporte fluvial de cargas e pessoal em barco, balsas, batelões ou similar</w:t>
      </w:r>
      <w:r>
        <w:rPr/>
        <w:t xml:space="preserve">, especificados nos itens e grupos do Termo de Referência, anexo I do edital de licitação n.º </w:t>
      </w:r>
      <w:r>
        <w:rPr>
          <w:bCs/>
        </w:rPr>
        <w:t>9000</w:t>
      </w:r>
      <w:r>
        <w:rPr>
          <w:bCs/>
        </w:rPr>
        <w:t>8</w:t>
      </w:r>
      <w:r>
        <w:rPr>
          <w:bCs/>
        </w:rPr>
        <w:t>/2026</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r>
        <w:rPr>
          <w:lang w:eastAsia="en-US"/>
        </w:rPr>
        <w:t>A listagem do cadastro de reserva referente ao presente registro de preços consta como anexo a esta Ata.</w:t>
      </w:r>
    </w:p>
    <w:p>
      <w:pPr>
        <w:pStyle w:val="Nivel01"/>
        <w:numPr>
          <w:ilvl w:val="0"/>
          <w:numId w:val="1"/>
        </w:numPr>
        <w:ind w:hanging="0" w:left="0"/>
        <w:rPr/>
      </w:pPr>
      <w:r>
        <w:rPr/>
        <w:t>ÓRGÃO(S) GERENCIADOR E PARTICIPANTE(S)</w:t>
      </w:r>
    </w:p>
    <w:p>
      <w:pPr>
        <w:pStyle w:val="Nivel2"/>
        <w:numPr>
          <w:ilvl w:val="1"/>
          <w:numId w:val="1"/>
        </w:numPr>
        <w:ind w:hanging="0" w:left="0"/>
        <w:rPr/>
      </w:pPr>
      <w:r>
        <w:rPr/>
        <w:t>O órgão gerenciador será o Comando de Fronteira Acre/4º Batalhão de Infantaria de Selva</w:t>
      </w:r>
    </w:p>
    <w:p>
      <w:pPr>
        <w:pStyle w:val="Nvel2-Red"/>
        <w:numPr>
          <w:ilvl w:val="1"/>
          <w:numId w:val="1"/>
        </w:numPr>
        <w:ind w:hanging="0" w:left="0"/>
        <w:rPr>
          <w:i w:val="false"/>
          <w:i w:val="false"/>
          <w:iCs w:val="false"/>
          <w:color w:val="auto"/>
        </w:rPr>
      </w:pPr>
      <w:r>
        <w:rPr>
          <w:i w:val="false"/>
          <w:iCs w:val="false"/>
          <w:color w:val="auto"/>
        </w:rPr>
        <w:t>Não há órgãos e entidades públicas participantes do registro de preços.</w:t>
      </w:r>
    </w:p>
    <w:p>
      <w:pPr>
        <w:pStyle w:val="Nvel2-Red"/>
        <w:numPr>
          <w:ilvl w:val="0"/>
          <w:numId w:val="0"/>
        </w:numPr>
        <w:ind w:hanging="0" w:left="0"/>
        <w:rPr>
          <w:i w:val="false"/>
          <w:i w:val="false"/>
          <w:iCs w:val="false"/>
          <w:color w:val="auto"/>
        </w:rPr>
      </w:pPr>
      <w:r>
        <w:rPr>
          <w:i w:val="false"/>
          <w:iCs w:val="false"/>
          <w:color w:val="auto"/>
        </w:rPr>
      </w:r>
    </w:p>
    <w:p>
      <w:pPr>
        <w:pStyle w:val="Nivel01"/>
        <w:numPr>
          <w:ilvl w:val="0"/>
          <w:numId w:val="1"/>
        </w:numPr>
        <w:ind w:hanging="0" w:left="0"/>
        <w:rPr>
          <w:i/>
          <w:i/>
          <w:color w:val="FF0000"/>
        </w:rPr>
      </w:pPr>
      <w:r>
        <w:rPr/>
        <w:t xml:space="preserve">DA ADESÃO À ATA DE REGISTRO DE PREÇOS </w:t>
      </w:r>
    </w:p>
    <w:p>
      <w:pPr>
        <w:pStyle w:val="Nvel2-Red"/>
        <w:numPr>
          <w:ilvl w:val="1"/>
          <w:numId w:val="1"/>
        </w:numPr>
        <w:ind w:hanging="0" w:left="0"/>
        <w:rPr>
          <w:i w:val="false"/>
          <w:i w:val="false"/>
          <w:iCs w:val="false"/>
          <w:color w:val="auto"/>
        </w:rPr>
      </w:pPr>
      <w:r>
        <w:rPr>
          <w:i w:val="false"/>
          <w:iCs w:val="false"/>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i w:val="false"/>
          <w:i w:val="false"/>
          <w:iCs w:val="false"/>
          <w:color w:val="auto"/>
        </w:rPr>
      </w:pPr>
      <w:r>
        <w:rPr>
          <w:i w:val="false"/>
          <w:iCs w:val="false"/>
          <w:color w:val="auto"/>
        </w:rPr>
        <w:t>apresentação de justificativa da vantagem da adesão, inclusive em situações de provável desabastecimento ou descontinuidade de serviço público;</w:t>
      </w:r>
    </w:p>
    <w:p>
      <w:pPr>
        <w:pStyle w:val="Nvel3-R"/>
        <w:numPr>
          <w:ilvl w:val="2"/>
          <w:numId w:val="1"/>
        </w:numPr>
        <w:ind w:hanging="0" w:left="284"/>
        <w:rPr>
          <w:i w:val="false"/>
          <w:i w:val="false"/>
          <w:iCs w:val="false"/>
          <w:color w:val="auto"/>
        </w:rPr>
      </w:pPr>
      <w:r>
        <w:rPr>
          <w:i w:val="false"/>
          <w:iCs w:val="false"/>
          <w:color w:val="auto"/>
        </w:rPr>
        <w:t xml:space="preserve"> </w:t>
      </w:r>
      <w:r>
        <w:rPr>
          <w:i w:val="false"/>
          <w:iCs w:val="false"/>
          <w:color w:val="auto"/>
        </w:rPr>
        <w:t>demonstração de que os valores registrados estão compatíveis com os valores praticados pelo mercado na forma do art. 23 da Lei nº 14.133, de 2021; e</w:t>
      </w:r>
    </w:p>
    <w:p>
      <w:pPr>
        <w:pStyle w:val="Nvel3-R"/>
        <w:numPr>
          <w:ilvl w:val="2"/>
          <w:numId w:val="1"/>
        </w:numPr>
        <w:ind w:hanging="0" w:left="284"/>
        <w:rPr>
          <w:i w:val="false"/>
          <w:i w:val="false"/>
          <w:iCs w:val="false"/>
          <w:color w:val="auto"/>
        </w:rPr>
      </w:pPr>
      <w:r>
        <w:rPr>
          <w:i w:val="false"/>
          <w:iCs w:val="false"/>
          <w:color w:val="auto"/>
        </w:rPr>
        <w:t xml:space="preserve"> </w:t>
      </w:r>
      <w:r>
        <w:rPr>
          <w:i w:val="false"/>
          <w:iCs w:val="false"/>
          <w:color w:val="auto"/>
        </w:rPr>
        <w:t>consulta e aceitação prévias do órgão ou da entidade gerenciadora e do fornecedor.</w:t>
      </w:r>
    </w:p>
    <w:p>
      <w:pPr>
        <w:pStyle w:val="Nvel2-Red"/>
        <w:numPr>
          <w:ilvl w:val="1"/>
          <w:numId w:val="1"/>
        </w:numPr>
        <w:ind w:hanging="0" w:left="0"/>
        <w:rPr>
          <w:i w:val="false"/>
          <w:i w:val="false"/>
          <w:iCs w:val="false"/>
          <w:color w:val="auto"/>
        </w:rPr>
      </w:pPr>
      <w:r>
        <w:rPr>
          <w:i w:val="false"/>
          <w:iCs w:val="false"/>
          <w:color w:val="auto"/>
        </w:rPr>
        <w:t>A autorização do órgão ou entidade gerenciadora apenas será realizada após a aceitação da adesão pelo fornecedor.</w:t>
      </w:r>
    </w:p>
    <w:p>
      <w:pPr>
        <w:pStyle w:val="Nvel3-R"/>
        <w:numPr>
          <w:ilvl w:val="2"/>
          <w:numId w:val="1"/>
        </w:numPr>
        <w:ind w:hanging="0" w:left="284"/>
        <w:rPr>
          <w:i w:val="false"/>
          <w:i w:val="false"/>
          <w:iCs w:val="false"/>
          <w:color w:val="auto"/>
        </w:rPr>
      </w:pPr>
      <w:r>
        <w:rPr>
          <w:i w:val="false"/>
          <w:iCs w:val="false"/>
          <w:color w:val="auto"/>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i w:val="false"/>
          <w:i w:val="false"/>
          <w:iCs w:val="false"/>
          <w:color w:val="auto"/>
        </w:rPr>
      </w:pPr>
      <w:r>
        <w:rPr>
          <w:i w:val="false"/>
          <w:iCs w:val="false"/>
          <w:color w:val="auto"/>
        </w:rPr>
        <w:t xml:space="preserve"> </w:t>
      </w:r>
      <w:r>
        <w:rPr>
          <w:i w:val="false"/>
          <w:iCs w:val="false"/>
          <w:color w:val="auto"/>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i w:val="false"/>
          <w:i w:val="false"/>
          <w:iCs w:val="false"/>
          <w:color w:val="auto"/>
        </w:rPr>
      </w:pPr>
      <w:r>
        <w:rPr>
          <w:i w:val="false"/>
          <w:iCs w:val="false"/>
          <w:color w:val="auto"/>
        </w:rPr>
        <w:t xml:space="preserve"> </w:t>
      </w:r>
      <w:r>
        <w:rPr>
          <w:i w:val="false"/>
          <w:iCs w:val="false"/>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i w:val="false"/>
          <w:i w:val="false"/>
          <w:iCs w:val="false"/>
          <w:color w:val="auto"/>
        </w:rPr>
      </w:pPr>
      <w:r>
        <w:rPr>
          <w:i w:val="false"/>
          <w:iCs w:val="false"/>
          <w:color w:val="auto"/>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iCs w:val="false"/>
        </w:rPr>
      </w:pPr>
      <w:r>
        <w:rPr>
          <w:iCs w:val="false"/>
        </w:rPr>
        <w:t>Dos limites para as adesões</w:t>
      </w:r>
    </w:p>
    <w:p>
      <w:pPr>
        <w:pStyle w:val="Nvel2-Red"/>
        <w:numPr>
          <w:ilvl w:val="1"/>
          <w:numId w:val="1"/>
        </w:numPr>
        <w:ind w:hanging="0" w:left="0"/>
        <w:rPr>
          <w:i w:val="false"/>
          <w:i w:val="false"/>
          <w:iCs w:val="false"/>
          <w:color w:val="auto"/>
        </w:rPr>
      </w:pPr>
      <w:r>
        <w:rPr>
          <w:i w:val="false"/>
          <w:iCs w:val="false"/>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i w:val="false"/>
          <w:i w:val="false"/>
          <w:iCs w:val="false"/>
          <w:color w:val="auto"/>
        </w:rPr>
      </w:pPr>
      <w:r>
        <w:rPr>
          <w:i w:val="false"/>
          <w:iCs w:val="false"/>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i w:val="false"/>
          <w:i w:val="false"/>
          <w:iCs w:val="false"/>
          <w:color w:val="auto"/>
        </w:rPr>
      </w:pPr>
      <w:r>
        <w:rPr>
          <w:i w:val="false"/>
          <w:iCs w:val="false"/>
          <w:color w:val="auto"/>
        </w:rPr>
        <w:t xml:space="preserve">Para </w:t>
      </w:r>
      <w:r>
        <w:rPr>
          <w:i w:val="false"/>
          <w:iCs w:val="false"/>
          <w:color w:val="auto"/>
        </w:rPr>
        <w:t>aquisição</w:t>
      </w:r>
      <w:r>
        <w:rPr>
          <w:i w:val="false"/>
          <w:iCs w:val="false"/>
          <w:color w:val="auto"/>
        </w:rPr>
        <w:t xml:space="preserve"> emergencial de medicamentos e material de consumo médico-hospitalar por órgãos e en</w:t>
      </w:r>
      <w:r>
        <w:rPr>
          <w:rFonts w:eastAsia="Arial"/>
          <w:i w:val="false"/>
          <w:iCs w:val="false"/>
          <w:color w:val="auto"/>
        </w:rPr>
        <w:t>ti</w:t>
      </w:r>
      <w:r>
        <w:rPr>
          <w:i w:val="false"/>
          <w:iCs w:val="false"/>
          <w:color w:val="auto"/>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R"/>
        <w:numPr>
          <w:ilvl w:val="2"/>
          <w:numId w:val="1"/>
        </w:numPr>
        <w:ind w:hanging="0" w:left="284"/>
        <w:rPr>
          <w:i w:val="false"/>
          <w:i w:val="false"/>
          <w:iCs w:val="false"/>
          <w:color w:val="auto"/>
        </w:rPr>
      </w:pPr>
      <w:r>
        <w:rPr>
          <w:i w:val="false"/>
          <w:iCs w:val="false"/>
          <w:color w:val="auto"/>
        </w:rPr>
        <w:t>Em caso de prorrogação da ata, poderá ser renovado o quantitativo originalmente registrado.</w:t>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 [edital] 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0" w:name="cadastro_reserva"/>
      <w:bookmarkEnd w:id="0"/>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 edital; 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mado e sua eventual atualização nos termos do edital,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r>
        <w:rPr/>
        <w:t>REMANEJAMENTO DAS QUANTIDADES REGISTRADAS NA ATA DE REGISTRO DE PREÇOS</w:t>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hanging="0" w:left="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5" w:name="cancelamento"/>
      <w:bookmarkEnd w:id="5"/>
    </w:p>
    <w:p>
      <w:pPr>
        <w:pStyle w:val="Nivel2"/>
        <w:numPr>
          <w:ilvl w:val="1"/>
          <w:numId w:val="1"/>
        </w:numPr>
        <w:ind w:hanging="0" w:left="0"/>
        <w:rPr/>
      </w:pPr>
      <w:r>
        <w:rPr/>
        <w:t>O registro do fornecedor será cancelado pelo gerenciador, quando o fornecedor:</w:t>
      </w:r>
      <w:bookmarkStart w:id="6" w:name="cancelamento_do_fornecedor"/>
      <w:bookmarkEnd w:id="6"/>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O descumprimento da Ata de Registro de Preços ensejará aplicação das penalidades estabelecidas no edital.</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vel2-Red"/>
        <w:numPr>
          <w:ilvl w:val="1"/>
          <w:numId w:val="1"/>
        </w:numPr>
        <w:ind w:hanging="0" w:left="0"/>
        <w:rPr>
          <w:i w:val="false"/>
          <w:i w:val="false"/>
          <w:iCs w:val="false"/>
          <w:color w:val="auto"/>
        </w:rPr>
      </w:pPr>
      <w:r>
        <w:rPr>
          <w:i w:val="false"/>
          <w:iCs w:val="false"/>
          <w:color w:val="auto"/>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Para firmeza e validade do pactuado, a presente Ata foi lavrada em .... (....) vias de igual teor, que, depois de lida e achada em ordem, vai assinada pelas partes</w:t>
      </w:r>
      <w:r>
        <w:rPr>
          <w:rFonts w:cs="Arial" w:ascii="Arial" w:hAnsi="Arial"/>
          <w:i/>
          <w:iCs/>
          <w:color w:val="FF0000"/>
          <w:sz w:val="20"/>
          <w:szCs w:val="20"/>
        </w:rPr>
        <w:t xml:space="preserve">.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708"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LO-Normal" w:customStyle="1">
    <w:name w:val="LO-Normal"/>
    <w:qFormat/>
    <w:rsid w:val="00317346"/>
    <w:pPr>
      <w:widowControl w:val="false"/>
      <w:suppressAutoHyphens w:val="true"/>
      <w:overflowPunct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12</TotalTime>
  <Application>LibreOffice/7.6.5.2$Windows_X86_64 LibreOffice_project/38d5f62f85355c192ef5f1dd47c5c0c0c6d6598b</Application>
  <AppVersion>15.0000</AppVersion>
  <Pages>8</Pages>
  <Words>3503</Words>
  <Characters>19270</Characters>
  <CharactersWithSpaces>22527</CharactersWithSpaces>
  <Paragraphs>181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dc:creator/>
  <dc:description/>
  <dc:language>pt-BR</dc:language>
  <cp:lastModifiedBy/>
  <cp:lastPrinted>2025-08-14T15:40:00Z</cp:lastPrinted>
  <dcterms:modified xsi:type="dcterms:W3CDTF">2026-05-14T17:37:15Z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