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8" w:before="0" w:line="312" w:lineRule="auto"/>
        <w:jc w:val="center"/>
        <w:rPr/>
      </w:pPr>
      <w:r w:rsidDel="00000000" w:rsidR="00000000" w:rsidRPr="00000000">
        <w:rPr>
          <w:rFonts w:ascii="Arial" w:cs="Arial" w:eastAsia="Arial" w:hAnsi="Arial"/>
          <w:b w:val="1"/>
          <w:bCs w:val="1"/>
          <w:color w:val="000000"/>
          <w:sz w:val="20"/>
          <w:szCs w:val="20"/>
          <w:rtl w:val="0"/>
        </w:rPr>
        <w:t xml:space="preserve">MODELO DE ATA DE REGISTRO DE PREÇOS </w:t>
        <w:br w:type="textWrapping"/>
        <w:t xml:space="preserve">Lei nº 14.133, de 1º de abril de 2021</w:t>
      </w:r>
      <w:bookmarkStart w:colFirst="0" w:colLast="0" w:name="bookmark=id.tacmvlnfq1c1_Copia_1" w:id="0"/>
      <w:bookmarkEnd w:id="0"/>
      <w:r w:rsidDel="00000000" w:rsidR="00000000" w:rsidRPr="00000000">
        <w:rPr>
          <w:rtl w:val="0"/>
        </w:rPr>
      </w:r>
    </w:p>
    <w:p w:rsidR="00000000" w:rsidDel="00000000" w:rsidP="00000000" w:rsidRDefault="00000000" w:rsidRPr="00000000" w14:paraId="00000002">
      <w:pPr>
        <w:spacing w:after="288" w:before="0" w:line="312" w:lineRule="auto"/>
        <w:jc w:val="center"/>
        <w:rPr/>
      </w:pPr>
      <w:r w:rsidDel="00000000" w:rsidR="00000000" w:rsidRPr="00000000">
        <w:rPr/>
        <w:drawing>
          <wp:inline distB="0" distT="0" distL="0" distR="0">
            <wp:extent cx="981075" cy="8382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981075" cy="8382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shd w:fill="auto" w:val="clear"/>
        <w:spacing w:after="0" w:before="0" w:line="288" w:lineRule="auto"/>
        <w:ind w:left="0" w:right="0" w:firstLine="0"/>
        <w:jc w:val="center"/>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MINISTÉRIO DA DEFESA</w:t>
      </w:r>
      <w:r w:rsidDel="00000000" w:rsidR="00000000" w:rsidRPr="00000000">
        <w:rPr>
          <w:rtl w:val="0"/>
        </w:rPr>
      </w:r>
    </w:p>
    <w:p w:rsidR="00000000" w:rsidDel="00000000" w:rsidP="00000000" w:rsidRDefault="00000000" w:rsidRPr="00000000" w14:paraId="00000004">
      <w:pPr>
        <w:keepNext w:val="0"/>
        <w:keepLines w:val="0"/>
        <w:pageBreakBefore w:val="0"/>
        <w:widowControl w:val="1"/>
        <w:shd w:fill="auto" w:val="clear"/>
        <w:spacing w:after="0" w:before="0" w:line="288" w:lineRule="auto"/>
        <w:ind w:left="0" w:right="0" w:firstLine="0"/>
        <w:jc w:val="center"/>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EXÉRCITO BRASILEIRO</w:t>
      </w:r>
      <w:r w:rsidDel="00000000" w:rsidR="00000000" w:rsidRPr="00000000">
        <w:rPr>
          <w:rtl w:val="0"/>
        </w:rPr>
      </w:r>
    </w:p>
    <w:p w:rsidR="00000000" w:rsidDel="00000000" w:rsidP="00000000" w:rsidRDefault="00000000" w:rsidRPr="00000000" w14:paraId="00000005">
      <w:pPr>
        <w:keepNext w:val="0"/>
        <w:keepLines w:val="0"/>
        <w:pageBreakBefore w:val="0"/>
        <w:widowControl w:val="1"/>
        <w:shd w:fill="auto" w:val="clear"/>
        <w:spacing w:after="0" w:before="0" w:line="240" w:lineRule="auto"/>
        <w:ind w:left="0" w:right="0" w:firstLine="0"/>
        <w:jc w:val="center"/>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53º BATALHÃO DE INFANTARIA DE SELVA</w:t>
      </w:r>
      <w:r w:rsidDel="00000000" w:rsidR="00000000" w:rsidRPr="00000000">
        <w:rPr>
          <w:rtl w:val="0"/>
        </w:rPr>
      </w:r>
    </w:p>
    <w:p w:rsidR="00000000" w:rsidDel="00000000" w:rsidP="00000000" w:rsidRDefault="00000000" w:rsidRPr="00000000" w14:paraId="00000006">
      <w:pPr>
        <w:keepNext w:val="0"/>
        <w:keepLines w:val="0"/>
        <w:pageBreakBefore w:val="0"/>
        <w:widowControl w:val="1"/>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(BATALHÃO TENENTE-CORONEL JOAQUIM CAETANO CORRÊA)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1"/>
        <w:shd w:fill="auto" w:val="clear"/>
        <w:spacing w:after="0" w:before="0" w:line="240"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before="288" w:line="240" w:lineRule="auto"/>
        <w:ind w:firstLine="56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DISPENSA ELETRÔNICA SRP Nº 35/2026</w:t>
      </w:r>
    </w:p>
    <w:p w:rsidR="00000000" w:rsidDel="00000000" w:rsidP="00000000" w:rsidRDefault="00000000" w:rsidRPr="00000000" w14:paraId="00000009">
      <w:pPr>
        <w:spacing w:after="720" w:before="0" w:line="240" w:lineRule="auto"/>
        <w:ind w:firstLine="56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(Processo Administrativo n° 64121.003600/2026-83)</w:t>
      </w:r>
    </w:p>
    <w:p w:rsidR="00000000" w:rsidDel="00000000" w:rsidP="00000000" w:rsidRDefault="00000000" w:rsidRPr="00000000" w14:paraId="0000000A">
      <w:pPr>
        <w:widowControl w:val="0"/>
        <w:tabs>
          <w:tab w:val="center" w:leader="none" w:pos="4779"/>
          <w:tab w:val="right" w:leader="none" w:pos="9198"/>
        </w:tabs>
        <w:spacing w:after="120" w:before="120" w:line="276" w:lineRule="auto"/>
        <w:ind w:right="-28" w:firstLine="1418"/>
        <w:jc w:val="both"/>
        <w:rPr/>
      </w:pPr>
      <w:r w:rsidDel="00000000" w:rsidR="00000000" w:rsidRPr="00000000">
        <w:rPr>
          <w:rFonts w:ascii="Arial" w:cs="Arial" w:eastAsia="Arial" w:hAnsi="Arial"/>
          <w:sz w:val="20"/>
          <w:szCs w:val="20"/>
          <w:rtl w:val="0"/>
        </w:rPr>
        <w:t xml:space="preserve">O 53º Batalhão de Infantaria de Selva, com sede na Estrada do Quinquagésimo terceiro BIS, S/Nº, Bairro Bom jardim, na cidade de Itaituba/PA, CEP: 68181-470, inscrito(a) no CNPJ sob o nº 09.579.843/0001-69, neste ato representado(a) pelo(a) Sr. Tenente Coronel DIOGO FERNANDES FALEIRO VIEIRA, Ordenador de Despesas nomeado pela Portaria Nº 618, de 22 de maio de 2025, do Comandante do Exército, publicada no D.O.U nº 96, de 23 de maio de 2025 portador da matrícula funcional nº 011.419.894-8 (MD), considerando o julgamento da licitação na modalidade Dispensa SRP, na forma eletrônica, para REGISTRO DE PREÇOS nº 35/2026, publicada no Portal Nacional de Contratações Públicas (PNCP), processo administrativo n.º 64121.003600/2026-83, RESOLVE registrar os preços da(s) empresa(s) indicada(s) e qualificada(s) nesta ATA, de acordo com a classificação por ela(s) alcançada(s) e na(s) quantidade(s) cotada(s), atendendo as condições previstas no 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w:t>
      </w:r>
      <w:r w:rsidDel="00000000" w:rsidR="00000000" w:rsidRPr="00000000">
        <w:rPr>
          <w:rFonts w:ascii="Arial" w:cs="Arial" w:eastAsia="Arial" w:hAnsi="Arial"/>
          <w:sz w:val="20"/>
          <w:szCs w:val="20"/>
          <w:rtl w:val="0"/>
        </w:rPr>
        <w:t xml:space="preserve">, sujeitando-se as partes às normas constantes na Lei nº 14.133, de 1º de abril de 2021, no Decreto n.º 11.462, de 31 de março de 2023, e em conformidade com as disposições a seguir:</w:t>
      </w:r>
      <w:r w:rsidDel="00000000" w:rsidR="00000000" w:rsidRPr="00000000">
        <w:rPr>
          <w:rtl w:val="0"/>
        </w:rPr>
      </w:r>
    </w:p>
    <w:p w:rsidR="00000000" w:rsidDel="00000000" w:rsidP="00000000" w:rsidRDefault="00000000" w:rsidRPr="00000000" w14:paraId="0000000B">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pPr>
      <w:r w:rsidDel="00000000" w:rsidR="00000000" w:rsidRPr="00000000">
        <w:rPr>
          <w:rFonts w:ascii="Arial" w:cs="Arial" w:eastAsia="Arial" w:hAnsi="Arial"/>
          <w:b w:val="1"/>
          <w:bCs w:val="1"/>
          <w:i w:val="0"/>
          <w:iCs w:val="0"/>
          <w:smallCaps w:val="0"/>
          <w:strike w:val="0"/>
          <w:color w:val="366091"/>
          <w:sz w:val="20"/>
          <w:szCs w:val="20"/>
          <w:u w:val="none"/>
          <w:shd w:fill="auto" w:val="clear"/>
          <w:vertAlign w:val="baseline"/>
          <w:rtl w:val="0"/>
        </w:rPr>
        <w:t xml:space="preserve">DO OBJETO</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Eventual aquisição de materiais farmacológicos e correlatos, classificados com a finalidade de recompor o estoque de insumos médicos e de saúde do 53º BIS, visando atender às demandas assistenciais, preventivas e de pronto atendimento em missões diárias e extraordinárias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especificado(s) no(s) item(ns) 1.1 do Termo de Referência, anexo I do </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 que é parte integrante desta Ata, assim como as propostas cujos preços tenham sido registrados, independentemente de transcrição.</w:t>
      </w:r>
    </w:p>
    <w:p w:rsidR="00000000" w:rsidDel="00000000" w:rsidP="00000000" w:rsidRDefault="00000000" w:rsidRPr="00000000" w14:paraId="0000000D">
      <w:pPr>
        <w:keepNext w:val="0"/>
        <w:keepLines w:val="0"/>
        <w:pageBreakBefore w:val="0"/>
        <w:widowControl w:val="1"/>
        <w:shd w:fill="auto" w:val="clear"/>
        <w:spacing w:after="120" w:before="120" w:line="276" w:lineRule="auto"/>
        <w:ind w:left="574"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pPr>
      <w:r w:rsidDel="00000000" w:rsidR="00000000" w:rsidRPr="00000000">
        <w:rPr>
          <w:rFonts w:ascii="Arial" w:cs="Arial" w:eastAsia="Arial" w:hAnsi="Arial"/>
          <w:b w:val="1"/>
          <w:bCs w:val="1"/>
          <w:i w:val="0"/>
          <w:iCs w:val="0"/>
          <w:smallCaps w:val="0"/>
          <w:strike w:val="0"/>
          <w:color w:val="366091"/>
          <w:sz w:val="20"/>
          <w:szCs w:val="20"/>
          <w:u w:val="none"/>
          <w:shd w:fill="auto" w:val="clear"/>
          <w:vertAlign w:val="baseline"/>
          <w:rtl w:val="0"/>
        </w:rPr>
        <w:t xml:space="preserve">DOS PREÇOS, ESPECIFICAÇÕES E QUANTITATIVOS</w:t>
      </w:r>
      <w:r w:rsidDel="00000000" w:rsidR="00000000" w:rsidRPr="00000000">
        <w:rPr>
          <w:rtl w:val="0"/>
        </w:rPr>
      </w:r>
    </w:p>
    <w:p w:rsidR="00000000" w:rsidDel="00000000" w:rsidP="00000000" w:rsidRDefault="00000000" w:rsidRPr="00000000" w14:paraId="0000000F">
      <w:pPr>
        <w:keepNext w:val="1"/>
        <w:keepLines w:val="1"/>
        <w:pageBreakBefore w:val="0"/>
        <w:widowControl w:val="1"/>
        <w:shd w:fill="auto" w:val="clear"/>
        <w:tabs>
          <w:tab w:val="left" w:leader="none" w:pos="567"/>
        </w:tabs>
        <w:spacing w:after="120" w:before="120" w:line="276" w:lineRule="auto"/>
        <w:ind w:left="360" w:right="0" w:firstLine="0"/>
        <w:jc w:val="both"/>
        <w:rPr>
          <w:rFonts w:ascii="Arial" w:cs="Arial" w:eastAsia="Arial" w:hAnsi="Arial"/>
          <w:b w:val="1"/>
          <w:bCs w:val="1"/>
          <w:color w:val="366091"/>
          <w:sz w:val="20"/>
          <w:szCs w:val="20"/>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preço registrado, as especificações do objeto, as quantidades mínimas e máximas de cada item, fornecedor(es) e as demais condições ofertadas na(s) proposta(s) são as que seguem: </w:t>
      </w:r>
      <w:r w:rsidDel="00000000" w:rsidR="00000000" w:rsidRPr="00000000">
        <w:rPr>
          <w:rtl w:val="0"/>
        </w:rPr>
      </w:r>
    </w:p>
    <w:p w:rsidR="00000000" w:rsidDel="00000000" w:rsidP="00000000" w:rsidRDefault="00000000" w:rsidRPr="00000000" w14:paraId="00000011">
      <w:pPr>
        <w:spacing w:after="120" w:before="120" w:line="276" w:lineRule="auto"/>
        <w:ind w:left="574" w:firstLine="0"/>
        <w:jc w:val="both"/>
        <w:rPr>
          <w:rFonts w:ascii="Arial" w:cs="Arial" w:eastAsia="Arial" w:hAnsi="Arial"/>
          <w:sz w:val="20"/>
          <w:szCs w:val="20"/>
        </w:rPr>
      </w:pPr>
      <w:r w:rsidDel="00000000" w:rsidR="00000000" w:rsidRPr="00000000">
        <w:rPr>
          <w:rtl w:val="0"/>
        </w:rPr>
      </w:r>
    </w:p>
    <w:sdt>
      <w:sdtPr>
        <w:lock w:val="contentLocked"/>
        <w:id w:val="-170198465"/>
        <w:tag w:val="goog_rdk_0"/>
      </w:sdtPr>
      <w:sdtContent>
        <w:tbl>
          <w:tblPr>
            <w:tblStyle w:val="Table1"/>
            <w:tblW w:w="9045.0" w:type="dxa"/>
            <w:jc w:val="left"/>
            <w:tblInd w:w="3.99999999999998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0"/>
            <w:gridCol w:w="1275"/>
            <w:gridCol w:w="1005"/>
            <w:gridCol w:w="825"/>
            <w:gridCol w:w="1005"/>
            <w:gridCol w:w="1095"/>
            <w:gridCol w:w="1065"/>
            <w:gridCol w:w="855"/>
            <w:gridCol w:w="1140"/>
            <w:tblGridChange w:id="0">
              <w:tblGrid>
                <w:gridCol w:w="780"/>
                <w:gridCol w:w="1275"/>
                <w:gridCol w:w="1005"/>
                <w:gridCol w:w="825"/>
                <w:gridCol w:w="1005"/>
                <w:gridCol w:w="1095"/>
                <w:gridCol w:w="1065"/>
                <w:gridCol w:w="855"/>
                <w:gridCol w:w="1140"/>
              </w:tblGrid>
            </w:tblGridChange>
          </w:tblGrid>
          <w:tr>
            <w:trPr>
              <w:cantSplit w:val="0"/>
              <w:trHeight w:val="498.955078124999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Item do</w:t>
                  <w:br w:type="textWrapping"/>
                  <w:t xml:space="preserve">TR</w:t>
                </w:r>
                <w:r w:rsidDel="00000000" w:rsidR="00000000" w:rsidRPr="00000000">
                  <w:rPr>
                    <w:rtl w:val="0"/>
                  </w:rPr>
                </w:r>
              </w:p>
            </w:tc>
            <w:tc>
              <w:tcPr>
                <w:gridSpan w:val="8"/>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76" w:lineRule="auto"/>
                  <w:jc w:val="left"/>
                  <w:rPr>
                    <w:rFonts w:ascii="Arial" w:cs="Arial" w:eastAsia="Arial" w:hAnsi="Arial"/>
                    <w:color w:val="ff0000"/>
                    <w:sz w:val="16"/>
                    <w:szCs w:val="16"/>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6"/>
                    <w:szCs w:val="16"/>
                    <w:rtl w:val="0"/>
                  </w:rPr>
                  <w:t xml:space="preserve">Fornecedor </w:t>
                </w:r>
                <w:r w:rsidDel="00000000" w:rsidR="00000000" w:rsidRPr="00000000">
                  <w:rPr>
                    <w:rFonts w:ascii="Arial" w:cs="Arial" w:eastAsia="Arial" w:hAnsi="Arial"/>
                    <w:color w:val="ff0000"/>
                    <w:sz w:val="16"/>
                    <w:szCs w:val="16"/>
                    <w:rtl w:val="0"/>
                  </w:rPr>
                  <w:t xml:space="preserve">[razão social, CNPJ/MF, endereço, contatos, representante]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Especificação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Modelo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Quantidade Minima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Quantidade Maxima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Valor Unitario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Prazo Garantia ou Validade</w:t>
                </w:r>
              </w:p>
            </w:tc>
          </w:tr>
          <w:tr>
            <w:trPr>
              <w:cantSplit w:val="0"/>
              <w:trHeight w:val="304.980468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bl>
      </w:sdtContent>
    </w:sdt>
    <w:p w:rsidR="00000000" w:rsidDel="00000000" w:rsidP="00000000" w:rsidRDefault="00000000" w:rsidRPr="00000000" w14:paraId="00000036">
      <w:pP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garantia dos produtos deverá ser de 90 dias, contados a partir da entrega efetiva do bem, conforme o Art. 26, II e § 1º, do Código de Defesa do Consumidor (CDC) e prolongada enquanto durar a garantia da fabricante.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listagem do cadastro de reserva referente ao presente registro de preços consta como anexo a esta Ata.</w:t>
      </w:r>
      <w:r w:rsidDel="00000000" w:rsidR="00000000" w:rsidRPr="00000000">
        <w:rPr>
          <w:rtl w:val="0"/>
        </w:rPr>
      </w:r>
    </w:p>
    <w:p w:rsidR="00000000" w:rsidDel="00000000" w:rsidP="00000000" w:rsidRDefault="00000000" w:rsidRPr="00000000" w14:paraId="00000039">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ÓRGÃO(S) GERENCIADOR E PARTICIPANTE(S)</w:t>
      </w:r>
    </w:p>
    <w:p w:rsidR="00000000" w:rsidDel="00000000" w:rsidP="00000000" w:rsidRDefault="00000000" w:rsidRPr="00000000" w14:paraId="0000003A">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órgão gerenciador será o(a) O órgão gerenciador será o 53º Batalhão de Infantaria de Selva, situado na Estrada do Quinquagésimo Terceiro Batalhão de Infantaria de Selva, S/N – Bairro Bom Jardim – CEP 68.181 – 470 – Itaituba-PA, instalações do 53º Batalhão de Infantaria de Selva.</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Além do gerenciador, não há órgãos e entidades públicas participantes do registro de preços.</w:t>
      </w:r>
    </w:p>
    <w:p w:rsidR="00000000" w:rsidDel="00000000" w:rsidP="00000000" w:rsidRDefault="00000000" w:rsidRPr="00000000" w14:paraId="0000003C">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DA ADESÃO À ATA DE REGISTRO DE PREÇOS</w:t>
      </w:r>
    </w:p>
    <w:p w:rsidR="00000000" w:rsidDel="00000000" w:rsidP="00000000" w:rsidRDefault="00000000" w:rsidRPr="00000000" w14:paraId="0000003D">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000000" w:rsidDel="00000000" w:rsidP="00000000" w:rsidRDefault="00000000" w:rsidRPr="00000000" w14:paraId="0000003E">
      <w:pPr>
        <w:keepNext w:val="0"/>
        <w:keepLines w:val="0"/>
        <w:pageBreakBefore w:val="0"/>
        <w:widowControl w:val="1"/>
        <w:numPr>
          <w:ilvl w:val="2"/>
          <w:numId w:val="1"/>
        </w:numPr>
        <w:shd w:fill="auto" w:val="clear"/>
        <w:spacing w:after="120" w:before="120" w:line="276" w:lineRule="auto"/>
        <w:ind w:left="1497"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apresentação de justificativa da vantagem da adesão, inclusive em situações de provável desabastecimento ou descontinuidade de serviço público;</w:t>
      </w:r>
    </w:p>
    <w:p w:rsidR="00000000" w:rsidDel="00000000" w:rsidP="00000000" w:rsidRDefault="00000000" w:rsidRPr="00000000" w14:paraId="0000003F">
      <w:pPr>
        <w:keepNext w:val="0"/>
        <w:keepLines w:val="0"/>
        <w:pageBreakBefore w:val="0"/>
        <w:widowControl w:val="1"/>
        <w:numPr>
          <w:ilvl w:val="2"/>
          <w:numId w:val="1"/>
        </w:numPr>
        <w:shd w:fill="auto" w:val="clear"/>
        <w:spacing w:after="120" w:before="120" w:line="276" w:lineRule="auto"/>
        <w:ind w:left="1497"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demonstração de que os valores registrados estão compatíveis com os valores praticados pelo mercado na forma do art. 23 da Lei nº 14.133, de 2021; e</w:t>
      </w:r>
    </w:p>
    <w:p w:rsidR="00000000" w:rsidDel="00000000" w:rsidP="00000000" w:rsidRDefault="00000000" w:rsidRPr="00000000" w14:paraId="00000040">
      <w:pPr>
        <w:keepNext w:val="0"/>
        <w:keepLines w:val="0"/>
        <w:pageBreakBefore w:val="0"/>
        <w:widowControl w:val="1"/>
        <w:numPr>
          <w:ilvl w:val="2"/>
          <w:numId w:val="1"/>
        </w:numPr>
        <w:shd w:fill="auto" w:val="clear"/>
        <w:spacing w:after="120" w:before="120" w:line="276" w:lineRule="auto"/>
        <w:ind w:left="1497"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consulta e aceitação prévias do órgão ou da entidade gerenciadora e do fornecedor.</w:t>
      </w:r>
    </w:p>
    <w:p w:rsidR="00000000" w:rsidDel="00000000" w:rsidP="00000000" w:rsidRDefault="00000000" w:rsidRPr="00000000" w14:paraId="00000041">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autorização do órgão ou entidade gerenciadora apenas será realizada após a aceitação da adesão pelo fornecedor.</w:t>
      </w:r>
    </w:p>
    <w:p w:rsidR="00000000" w:rsidDel="00000000" w:rsidP="00000000" w:rsidRDefault="00000000" w:rsidRPr="00000000" w14:paraId="00000042">
      <w:pPr>
        <w:keepNext w:val="0"/>
        <w:keepLines w:val="0"/>
        <w:pageBreakBefore w:val="0"/>
        <w:widowControl w:val="1"/>
        <w:numPr>
          <w:ilvl w:val="2"/>
          <w:numId w:val="1"/>
        </w:numPr>
        <w:shd w:fill="auto" w:val="clear"/>
        <w:spacing w:after="120" w:before="120" w:line="276" w:lineRule="auto"/>
        <w:ind w:left="1497"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órgão ou entidade gerenciadora poderá rejeitar adesões caso elas possam acarretar prejuízo à execução de seus próprios contratos ou à sua capacidade de gerenciamento.</w:t>
      </w:r>
    </w:p>
    <w:p w:rsidR="00000000" w:rsidDel="00000000" w:rsidP="00000000" w:rsidRDefault="00000000" w:rsidRPr="00000000" w14:paraId="00000043">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Após a autorização do órgão ou da entidade gerenciadora, o órgão ou entidade não participante deverá efetivar a aquisição ou a contratação solicitada em até noventa dias, observado o prazo de vigência da ata.</w:t>
      </w:r>
    </w:p>
    <w:p w:rsidR="00000000" w:rsidDel="00000000" w:rsidP="00000000" w:rsidRDefault="00000000" w:rsidRPr="00000000" w14:paraId="00000044">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000000" w:rsidDel="00000000" w:rsidP="00000000" w:rsidRDefault="00000000" w:rsidRPr="00000000" w14:paraId="00000045">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órgão ou a entidade poderá aderir ao item da ata de registro de preços da qual seja integrante, na qualidade de não participante, para aqueles itens para os quais não tenha quantitativo registrado, observados os requisitos do item 4.1.</w:t>
      </w:r>
    </w:p>
    <w:p w:rsidR="00000000" w:rsidDel="00000000" w:rsidP="00000000" w:rsidRDefault="00000000" w:rsidRPr="00000000" w14:paraId="00000046">
      <w:pPr>
        <w:keepNext w:val="0"/>
        <w:keepLines w:val="0"/>
        <w:pageBreakBefore w:val="0"/>
        <w:widowControl w:val="1"/>
        <w:shd w:fill="auto" w:val="clear"/>
        <w:spacing w:after="120" w:before="240" w:line="276"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Dos limites para as adesões</w:t>
      </w:r>
    </w:p>
    <w:p w:rsidR="00000000" w:rsidDel="00000000" w:rsidP="00000000" w:rsidRDefault="00000000" w:rsidRPr="00000000" w14:paraId="00000047">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s2m704uwj2fd" w:id="1"/>
      <w:bookmarkEnd w:id="1"/>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aquisições ou contratações adicionais não poderão exceder, por órgão ou entidade, a cinquenta por cento dos quantitativos dos itens do instrumento convocatório registrados na ata de registro de preços para o gerenciador e para os participantes.</w:t>
      </w:r>
    </w:p>
    <w:p w:rsidR="00000000" w:rsidDel="00000000" w:rsidP="00000000" w:rsidRDefault="00000000" w:rsidRPr="00000000" w14:paraId="00000048">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000000" w:rsidDel="00000000" w:rsidP="00000000" w:rsidRDefault="00000000" w:rsidRPr="00000000" w14:paraId="00000049">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rsidR="00000000" w:rsidDel="00000000" w:rsidP="00000000" w:rsidRDefault="00000000" w:rsidRPr="00000000" w14:paraId="0000004A">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adesão à ata de registro de preços por órgãos e entidades da Administração Pública estadual, distrital e municipal poderá ser exigida para fins de transferências voluntárias, não ficando sujeita ao limite de que trata o item 4.6, desde que seja destinada à execução descentralizada de programa ou projeto federal e comprovada a compatibilidade dos preços registrados com os valores praticados no mercado na forma do art. 23 da Lei nº 14.133, de 2021.</w:t>
      </w:r>
    </w:p>
    <w:p w:rsidR="00000000" w:rsidDel="00000000" w:rsidP="00000000" w:rsidRDefault="00000000" w:rsidRPr="00000000" w14:paraId="0000004B">
      <w:pPr>
        <w:keepNext w:val="0"/>
        <w:keepLines w:val="0"/>
        <w:pageBreakBefore w:val="0"/>
        <w:widowControl w:val="1"/>
        <w:shd w:fill="auto" w:val="clear"/>
        <w:spacing w:after="120" w:before="240" w:line="276"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Vedação a acréscimo de quantitativos</w:t>
      </w:r>
    </w:p>
    <w:p w:rsidR="00000000" w:rsidDel="00000000" w:rsidP="00000000" w:rsidRDefault="00000000" w:rsidRPr="00000000" w14:paraId="0000004C">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É vedado efetuar acréscimos nos quantitativos fixados na ata de registro de preços.</w:t>
      </w:r>
      <w:r w:rsidDel="00000000" w:rsidR="00000000" w:rsidRPr="00000000">
        <w:rPr>
          <w:rtl w:val="0"/>
        </w:rPr>
      </w:r>
    </w:p>
    <w:p w:rsidR="00000000" w:rsidDel="00000000" w:rsidP="00000000" w:rsidRDefault="00000000" w:rsidRPr="00000000" w14:paraId="0000004D">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VALIDADE, FORMALIZAÇÃO DA ATA DE REGISTRO DE PREÇOS E CADASTRO RESERVA</w:t>
      </w:r>
    </w:p>
    <w:p w:rsidR="00000000" w:rsidDel="00000000" w:rsidP="00000000" w:rsidRDefault="00000000" w:rsidRPr="00000000" w14:paraId="0000004E">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validade da Ata de Registro de Preços será de 1 (um) ano, contado a partir do primeiro dia útil subsequente à data de divulgação no PNCP, podendo ser prorrogada por igual período, mediante a anuência do fornecedor, desde que comprovado o preço vantajoso.</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2"/>
          <w:numId w:val="1"/>
        </w:numPr>
        <w:shd w:fill="auto" w:val="clear"/>
        <w:spacing w:after="120" w:before="120" w:line="276" w:lineRule="auto"/>
        <w:ind w:left="1497"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 caso de prorrogação da ata, </w:t>
      </w:r>
      <w:r w:rsidDel="00000000" w:rsidR="00000000" w:rsidRPr="00000000">
        <w:rPr>
          <w:rFonts w:ascii="Arial" w:cs="Arial" w:eastAsia="Arial" w:hAnsi="Arial"/>
          <w:i w:val="0"/>
          <w:iCs w:val="0"/>
          <w:smallCaps w:val="0"/>
          <w:strike w:val="0"/>
          <w:color w:val="000000"/>
          <w:sz w:val="20"/>
          <w:szCs w:val="20"/>
          <w:u w:val="none"/>
          <w:shd w:fill="auto" w:val="clear"/>
          <w:vertAlign w:val="baseline"/>
          <w:rtl w:val="0"/>
        </w:rPr>
        <w:t xml:space="preserve">poderá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 renovado o quantitativo originalmente registrado.</w:t>
      </w:r>
    </w:p>
    <w:p w:rsidR="00000000" w:rsidDel="00000000" w:rsidP="00000000" w:rsidRDefault="00000000" w:rsidRPr="00000000" w14:paraId="00000050">
      <w:pPr>
        <w:keepNext w:val="0"/>
        <w:keepLines w:val="0"/>
        <w:pageBreakBefore w:val="0"/>
        <w:widowControl w:val="1"/>
        <w:numPr>
          <w:ilvl w:val="2"/>
          <w:numId w:val="1"/>
        </w:numPr>
        <w:shd w:fill="auto" w:val="clear"/>
        <w:spacing w:after="120" w:before="120" w:line="276" w:lineRule="auto"/>
        <w:ind w:left="1497"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000000" w:rsidDel="00000000" w:rsidP="00000000" w:rsidRDefault="00000000" w:rsidRPr="00000000" w14:paraId="00000051">
      <w:pPr>
        <w:keepNext w:val="0"/>
        <w:keepLines w:val="0"/>
        <w:pageBreakBefore w:val="0"/>
        <w:widowControl w:val="1"/>
        <w:numPr>
          <w:ilvl w:val="2"/>
          <w:numId w:val="1"/>
        </w:numPr>
        <w:shd w:fill="auto" w:val="clear"/>
        <w:spacing w:after="120" w:before="120" w:line="276" w:lineRule="auto"/>
        <w:ind w:left="1497" w:right="0" w:hanging="504.0000000000000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formalização do contrato ou do instrumento substituto deverá haver a indicação da disponibilidade dos créditos orçamentários respectivos.</w:t>
      </w:r>
    </w:p>
    <w:p w:rsidR="00000000" w:rsidDel="00000000" w:rsidP="00000000" w:rsidRDefault="00000000" w:rsidRPr="00000000" w14:paraId="00000052">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r w:rsidDel="00000000" w:rsidR="00000000" w:rsidRPr="00000000">
        <w:rPr>
          <w:rtl w:val="0"/>
        </w:rPr>
      </w:r>
    </w:p>
    <w:p w:rsidR="00000000" w:rsidDel="00000000" w:rsidP="00000000" w:rsidRDefault="00000000" w:rsidRPr="00000000" w14:paraId="00000053">
      <w:pPr>
        <w:keepNext w:val="0"/>
        <w:keepLines w:val="0"/>
        <w:pageBreakBefore w:val="0"/>
        <w:widowControl w:val="1"/>
        <w:shd w:fill="auto" w:val="clear"/>
        <w:spacing w:after="120" w:before="120" w:line="276" w:lineRule="auto"/>
        <w:ind w:left="57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5.2</w:t>
      </w:r>
      <w:r w:rsidDel="00000000" w:rsidR="00000000" w:rsidRPr="00000000">
        <w:rPr>
          <w:rFonts w:ascii="Arial" w:cs="Arial" w:eastAsia="Arial" w:hAnsi="Arial"/>
          <w:sz w:val="20"/>
          <w:szCs w:val="20"/>
          <w:rtl w:val="0"/>
        </w:rPr>
        <w:t xml:space="preserve">.1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 instrumento contratual de que trata o item 5.2. deverá ser assinado no prazo de validade da ata de registro de preços.</w:t>
      </w:r>
    </w:p>
    <w:p w:rsidR="00000000" w:rsidDel="00000000" w:rsidP="00000000" w:rsidRDefault="00000000" w:rsidRPr="00000000" w14:paraId="00000054">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contratos decorrentes do sistema de registro de preços poderão ser alterados, observado o art. 124 da Lei nº 14.133, de 2021.</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Após a homologação da licitação ou da contratação direta, deverão ser observadas as seguintes condições para formalização da ata de registro de preços:</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Serão registrados na ata os preços e os quantitativos do adjudicatário, devendo ser observada a possibilidade de o licitante oferecer ou não proposta em quantitativo inferior ao máximo previsto no </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 e se obrigar nos limites dela;</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Será incluído na ata, na forma de anexo, o registro dos licitantes ou dos fornecedores que:</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3"/>
          <w:numId w:val="1"/>
        </w:numPr>
        <w:shd w:fill="auto" w:val="clear"/>
        <w:spacing w:after="120" w:before="120" w:line="276" w:lineRule="auto"/>
        <w:ind w:left="567" w:right="0" w:firstLine="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Aceitarem cotar os bens, as obras ou os serviços com preços iguais aos do adjudicatário, observada a classificação da licitação; e </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3"/>
          <w:numId w:val="1"/>
        </w:numPr>
        <w:shd w:fill="auto" w:val="clear"/>
        <w:spacing w:after="120" w:before="120" w:line="276" w:lineRule="auto"/>
        <w:ind w:left="567" w:right="0" w:firstLine="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Mantiverem sua proposta original. </w:t>
      </w:r>
      <w:bookmarkStart w:colFirst="0" w:colLast="0" w:name="bookmark=id.ooi32gajcte" w:id="2"/>
      <w:bookmarkEnd w:id="2"/>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Será respeitada, nas contratações, a ordem de classificação dos licitantes ou dos fornecedores registrados na ata.</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registro a que se refere o item 5.4.2</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tem por objetivo a formação de cadastro de reserva para o caso de impossibilidade de atendimento pelo signatário da ata.</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fins da ordem de classificação, os licitantes ou fornecedores que aceitarem reduzir suas propostas para o preço do adjudicatário antecederão aqueles que mantiverem sua proposta original.</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habilitação dos licitantes que comporão o cadastro de reserva a que se refere o item 5.4.2.2 somente será efetuada quando houver necessidade de contratação dos licitantes remanescentes, nas seguintes hipóteses:</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Quando o licitante vencedor não assinar a ata de registro de preços, no prazo e nas condições estabelecidos no </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 e</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Quando houver o cancelamento do registro do licitante ou do registro de preços nas hipóteses previstas no item 9.</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preço registrado com indicação dos licitantes e fornecedores será divulgado no PNCP e ficará disponibilizado durante a vigência da ata de registro de preços.</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Após a homologação da licitação ou da contratação direta, o licitante mais bem classificado ou o fornecedor, no caso da contratação direta, será convocado para assinar a ata de registro de preços, no prazo e nas condições estabelecidas no </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 direta, sob pena de decair o direito, sem prejuízo das sanções previstas na Lei nº 14.133, de 2021.</w:t>
      </w:r>
      <w:r w:rsidDel="00000000" w:rsidR="00000000" w:rsidRPr="00000000">
        <w:rPr>
          <w:rtl w:val="0"/>
        </w:rPr>
      </w:r>
    </w:p>
    <w:p w:rsidR="00000000" w:rsidDel="00000000" w:rsidP="00000000" w:rsidRDefault="00000000" w:rsidRPr="00000000" w14:paraId="00000062">
      <w:pPr>
        <w:keepNext w:val="0"/>
        <w:keepLines w:val="0"/>
        <w:pageBreakBefore w:val="0"/>
        <w:widowControl w:val="1"/>
        <w:shd w:fill="auto" w:val="clear"/>
        <w:spacing w:after="120" w:before="120" w:line="276" w:lineRule="auto"/>
        <w:ind w:left="57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5.9.1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p>
    <w:p w:rsidR="00000000" w:rsidDel="00000000" w:rsidP="00000000" w:rsidRDefault="00000000" w:rsidRPr="00000000" w14:paraId="00000063">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ata de registro de preços será assinada por meio de assinatura digital e disponibilizada no Sistema de Registro de Preços.</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Quando o convocado não assinar a ata de registro de preços no prazo e nas condições estabelecidos no </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 observando o item 5.7 e subitens, fica facultado à Administração convocar os licitantes remanescentes do cadastro de reserva, na ordem de classificação, para fazê-lo em igual prazo e nas condições propostas pelo primeiro classificado.</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nenhum dos licitantes que trata o item 5.4.2.1, aceitar a contratação nos termos do item anterior, a Administração, observados o valor estimado e sua eventual atualização nos termos do </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 poderá:</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Adjudicar e firmar o contrato nas condições ofertadas pelos licitantes ou fornecedores remanescentes, atendida a ordem classificatória, quando frustrada a negociação de melhor condição.</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Del="00000000" w:rsidR="00000000" w:rsidRPr="00000000">
        <w:rPr>
          <w:rtl w:val="0"/>
        </w:rPr>
      </w:r>
    </w:p>
    <w:p w:rsidR="00000000" w:rsidDel="00000000" w:rsidP="00000000" w:rsidRDefault="00000000" w:rsidRPr="00000000" w14:paraId="00000069">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ALTERAÇÃO OU ATUALIZAÇÃO DOS PREÇOS REGISTRADOS</w:t>
      </w:r>
    </w:p>
    <w:p w:rsidR="00000000" w:rsidDel="00000000" w:rsidP="00000000" w:rsidRDefault="00000000" w:rsidRPr="00000000" w14:paraId="0000006A">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preços registrados poderão ser alterados ou atualizados em decorrência de eventual redução dos preços praticados no mercado ou de fato que eleve o custo dos bens, das obras ou dos serviços registrados, nas seguintes situações:</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 caso de criação, alteração ou extinção de quaisquer tributos ou encargos legais ou a superveniência de disposições legais, com comprovada repercussão sobre os preços registrados; </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previsão no </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 direta de cláusula de reajustamento ou repactuação sobre os preços registrados, nos termos da Lei nº 14.133, de 2021.</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3"/>
          <w:numId w:val="1"/>
        </w:numPr>
        <w:shd w:fill="auto" w:val="clear"/>
        <w:spacing w:after="120" w:before="120" w:line="276" w:lineRule="auto"/>
        <w:ind w:left="567" w:right="0" w:firstLine="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caso do reajustamento, deverá ser respeitada a contagem da anualidade e o índice previstos para a contratação;  </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3"/>
          <w:numId w:val="1"/>
        </w:numPr>
        <w:shd w:fill="auto" w:val="clear"/>
        <w:spacing w:after="120" w:before="120" w:line="276" w:lineRule="auto"/>
        <w:ind w:left="567" w:right="0" w:firstLine="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caso da repactuação, poderá ser a pedido do interessado, conforme critérios definidos para a contratação.</w:t>
      </w:r>
      <w:r w:rsidDel="00000000" w:rsidR="00000000" w:rsidRPr="00000000">
        <w:rPr>
          <w:rtl w:val="0"/>
        </w:rPr>
      </w:r>
    </w:p>
    <w:p w:rsidR="00000000" w:rsidDel="00000000" w:rsidP="00000000" w:rsidRDefault="00000000" w:rsidRPr="00000000" w14:paraId="00000070">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NEGOCIAÇÃO DE PREÇOS REGISTRADOS</w:t>
      </w:r>
    </w:p>
    <w:p w:rsidR="00000000" w:rsidDel="00000000" w:rsidP="00000000" w:rsidRDefault="00000000" w:rsidRPr="00000000" w14:paraId="00000071">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o preço registrado tornar-se superior ao preço praticado no mercado por motivo superveniente, o órgão ou entidade gerenciadora convocará o fornecedor para negociar a redução do preço registrado.</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Caso não aceite reduzir seu preço aos valores praticados pelo mercado, o fornecedor será liberado do compromisso assumido quanto ao item registrado, sem aplicação de penalidades administrativas.</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não obtiver êxito nas negociações, o órgão ou entidade gerenciadora procederá ao cancelamento da ata de registro de preços, adotando as medidas cabíveis para obtenção de contratação mais vantajosa.</w:t>
      </w:r>
      <w:bookmarkStart w:colFirst="0" w:colLast="0" w:name="bookmark=id.33ublvnvcxnm" w:id="3"/>
      <w:bookmarkEnd w:id="3"/>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Na hipótese de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colFirst="0" w:colLast="0" w:name="bookmark=id.xblx2e6n057z" w:id="4"/>
      <w:bookmarkEnd w:id="4"/>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Neste caso, o fornecedor encaminhará, juntamente com o pedido de alteração, a documentação comprobatória ou a planilha de custos que demonstre a inviabilidade do preço registrado em relação às condições inicialmente pactuadas.</w:t>
      </w:r>
      <w:bookmarkStart w:colFirst="0" w:colLast="0" w:name="bookmark=id.i7ocbh57eauk" w:id="5"/>
      <w:bookmarkEnd w:id="5"/>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5.7.</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não obtiver êxito nas negociações, o órgão ou entidade gerenciadora procederá ao cancelamento da ata de registro de preços, nos termos do item 9.4, e adotará as medidas cabíveis para a obtenção da contratação mais vantajosa.</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Del="00000000" w:rsidR="00000000" w:rsidRPr="00000000">
        <w:rPr>
          <w:rtl w:val="0"/>
        </w:rPr>
      </w:r>
    </w:p>
    <w:p w:rsidR="00000000" w:rsidDel="00000000" w:rsidP="00000000" w:rsidRDefault="00000000" w:rsidRPr="00000000" w14:paraId="0000007D">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REMANEJAMENTO DAS QUANTIDADES REGISTRADAS NA ATA DE REGISTRO DE PREÇOS</w:t>
      </w:r>
    </w:p>
    <w:p w:rsidR="00000000" w:rsidDel="00000000" w:rsidP="00000000" w:rsidRDefault="00000000" w:rsidRPr="00000000" w14:paraId="0000007E">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 remanejamento somente poderá ser feito:</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órgão ou entidade participante para órgão ou entidade participante; ou</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órgão ou entidade participante para órgão ou entidade não participante.</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órgão ou entidade gerenciadora que tiver estimado as quantidades que pretende contratar será considerado participante para efeito do remanejamento.</w:t>
      </w:r>
      <w:bookmarkStart w:colFirst="0" w:colLast="0" w:name="bookmark=id.wi49lyw64ofn" w:id="6"/>
      <w:bookmarkEnd w:id="6"/>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remanejamento de órgão ou entidade participante para órgão ou entidade não participante, serão observados os limites previstos no art. 32 do Decreto nº 11.462, de 2023.</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r w:rsidDel="00000000" w:rsidR="00000000" w:rsidRPr="00000000">
        <w:rPr>
          <w:rtl w:val="0"/>
        </w:rPr>
      </w:r>
    </w:p>
    <w:p w:rsidR="00000000" w:rsidDel="00000000" w:rsidP="00000000" w:rsidRDefault="00000000" w:rsidRPr="00000000" w14:paraId="00000087">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CANCELAMENTO DO REGISTRO DO LICITANTE VENCEDOR E DOS PREÇOS REGISTRADOS</w:t>
      </w:r>
      <w:bookmarkStart w:colFirst="0" w:colLast="0" w:name="bookmark=id.5nugfeeztjcw" w:id="7"/>
      <w:bookmarkEnd w:id="7"/>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registro do fornecedor será cancelado pelo gerenciador, quando o fornecedor:</w:t>
      </w:r>
      <w:bookmarkStart w:colFirst="0" w:colLast="0" w:name="bookmark=id.gje9i8e675mk" w:id="8"/>
      <w:bookmarkEnd w:id="8"/>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Descumprir as condições da ata de registro de preços, sem motivo justificado;</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retirar a nota de empenho, ou instrumento equivalente, no prazo estabelecido pela Administração sem justificativa razoável;</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aceitar manter seu preço registrado, na hipótese prevista no artigo 27, § 2º, do Decreto nº 11.462, de 2023; ou</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Sofrer sanção prevista nos incisos III ou IV do caput do art. 156 da Lei nº 14.133, de 2021.</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3"/>
          <w:numId w:val="1"/>
        </w:numPr>
        <w:shd w:fill="auto" w:val="clear"/>
        <w:spacing w:after="120" w:before="120" w:line="276" w:lineRule="auto"/>
        <w:ind w:left="567" w:right="0" w:firstLine="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 cancelamento de registros nas hipóteses previstas no item 9.1 será formalizado por despacho do órgão ou da entidade gerenciadora, garantidos os princípios do contraditório e da ampla defesa.</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hipótese de cancelamento do registro do fornecedor, o órgão ou a entidade gerenciadora poderá convocar os licitantes que compõem o cadastro de reserva, observada a ordem de classificação.</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cancelamento dos preços registrados poderá ser realizado pelo gerenciador, em determinada ata de registro de preços, total ou parcialmente, nas seguintes hipóteses, desde que devidamente comprovadas e justificadas:</w:t>
      </w:r>
      <w:bookmarkStart w:colFirst="0" w:colLast="0" w:name="bookmark=id.vzd1osnurj2z" w:id="9"/>
      <w:bookmarkEnd w:id="9"/>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razão de interesse público;</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pedido do fornecedor, decorrente de caso fortuito ou força maior; ou</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não houver êxito nas negociações, nas hipóteses em que o preço de mercado tornar-se superior ou inferior ao preço registrado, nos termos do artigos 26, § 3º e  27, § 4º, ambos do Decreto nº 11.462, de 2023. </w:t>
      </w:r>
      <w:r w:rsidDel="00000000" w:rsidR="00000000" w:rsidRPr="00000000">
        <w:rPr>
          <w:rtl w:val="0"/>
        </w:rPr>
      </w:r>
    </w:p>
    <w:p w:rsidR="00000000" w:rsidDel="00000000" w:rsidP="00000000" w:rsidRDefault="00000000" w:rsidRPr="00000000" w14:paraId="00000094">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DAS PENALIDADES</w:t>
      </w:r>
    </w:p>
    <w:p w:rsidR="00000000" w:rsidDel="00000000" w:rsidP="00000000" w:rsidRDefault="00000000" w:rsidRPr="00000000" w14:paraId="00000095">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descumprimento da Ata de Registro de Preços ensejará aplicação das penalidades estabelecidas no </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2"/>
          <w:numId w:val="1"/>
        </w:numPr>
        <w:shd w:fill="auto" w:val="clear"/>
        <w:spacing w:after="120" w:before="120" w:line="276" w:lineRule="auto"/>
        <w:ind w:left="1497" w:right="0" w:hanging="504.00000000000006"/>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sanções também se aplicam aos integrantes do cadastro de reserva no registro de preços que, convocados, não honrarem o compromisso assumido injustificadamente após terem assinado a ata. </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É da competência do gerenciador a aplicação das penalidades decorrentes do descumprimento do pactuado nesta ata de registro de preço (art. 7º, XIV, do Decreto nº 11.462, de 2023), exceto nas hipóteses em que o descumprimento disser respeito às contratações dos órgãos ou entidade participante, caso no qual caberá ao respectivo órgão participante a aplicação da penalidade (art. 8º, IX, do Decreto nº 11.462, de 2023).</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órgão ou entidade participante deverá comunicar ao órgão gerenciador qualquer das ocorrências previstas no item 9.1, dada a necessidade de instauração de procedimento para cancelamento do registro do fornecedor.</w:t>
      </w:r>
      <w:r w:rsidDel="00000000" w:rsidR="00000000" w:rsidRPr="00000000">
        <w:rPr>
          <w:rtl w:val="0"/>
        </w:rPr>
      </w:r>
    </w:p>
    <w:p w:rsidR="00000000" w:rsidDel="00000000" w:rsidP="00000000" w:rsidRDefault="00000000" w:rsidRPr="00000000" w14:paraId="00000099">
      <w:pPr>
        <w:keepNext w:val="1"/>
        <w:keepLines w:val="1"/>
        <w:pageBreakBefore w:val="0"/>
        <w:widowControl w:val="1"/>
        <w:numPr>
          <w:ilvl w:val="0"/>
          <w:numId w:val="1"/>
        </w:numPr>
        <w:shd w:fill="auto" w:val="clear"/>
        <w:tabs>
          <w:tab w:val="left" w:leader="none" w:pos="567"/>
        </w:tabs>
        <w:spacing w:after="120" w:before="12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CONDIÇÕES GERAIS</w:t>
      </w:r>
    </w:p>
    <w:p w:rsidR="00000000" w:rsidDel="00000000" w:rsidP="00000000" w:rsidRDefault="00000000" w:rsidRPr="00000000" w14:paraId="0000009A">
      <w:pPr>
        <w:keepNext w:val="0"/>
        <w:keepLines w:val="0"/>
        <w:pageBreakBefore w:val="0"/>
        <w:widowControl w:val="1"/>
        <w:numPr>
          <w:ilvl w:val="1"/>
          <w:numId w:val="1"/>
        </w:numPr>
        <w:shd w:fill="auto" w:val="clear"/>
        <w:spacing w:after="120" w:before="120" w:line="276" w:lineRule="auto"/>
        <w:ind w:left="574" w:right="0" w:hanging="432"/>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viso de </w:t>
      </w:r>
      <w:r w:rsidDel="00000000" w:rsidR="00000000" w:rsidRPr="00000000">
        <w:rPr>
          <w:rFonts w:ascii="Arial" w:cs="Arial" w:eastAsia="Arial" w:hAnsi="Arial"/>
          <w:sz w:val="20"/>
          <w:szCs w:val="20"/>
          <w:rtl w:val="0"/>
        </w:rPr>
        <w:t xml:space="preserve">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ontratação.</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1"/>
          <w:numId w:val="1"/>
        </w:numPr>
        <w:shd w:fill="auto" w:val="clear"/>
        <w:spacing w:after="120" w:before="120" w:line="276" w:lineRule="auto"/>
        <w:ind w:left="574" w:right="0" w:hanging="43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caso de adjudicação por preço global de grupo de itens, só será admitida a contratação de parte de itens do grupo se houver prévia pesquisa de mercado e demonstração de sua vantagem para o órgão ou a entidade.</w:t>
      </w:r>
    </w:p>
    <w:p w:rsidR="00000000" w:rsidDel="00000000" w:rsidP="00000000" w:rsidRDefault="00000000" w:rsidRPr="00000000" w14:paraId="0000009C">
      <w:pPr>
        <w:widowControl w:val="0"/>
        <w:spacing w:after="120" w:before="120" w:line="276" w:lineRule="auto"/>
        <w:jc w:val="both"/>
        <w:rPr/>
      </w:pPr>
      <w:r w:rsidDel="00000000" w:rsidR="00000000" w:rsidRPr="00000000">
        <w:rPr>
          <w:rFonts w:ascii="Arial" w:cs="Arial" w:eastAsia="Arial" w:hAnsi="Arial"/>
          <w:color w:val="000000"/>
          <w:sz w:val="20"/>
          <w:szCs w:val="20"/>
          <w:rtl w:val="0"/>
        </w:rPr>
        <w:t xml:space="preserve">Para firmeza e validade do pactuado, a presente Ata foi lavrada em 2 (duas) vias de igual teor, que, depois de lida e achada em ordem, vai assinada pelas partes.</w:t>
      </w:r>
      <w:r w:rsidDel="00000000" w:rsidR="00000000" w:rsidRPr="00000000">
        <w:rPr>
          <w:rtl w:val="0"/>
        </w:rPr>
      </w:r>
    </w:p>
    <w:p w:rsidR="00000000" w:rsidDel="00000000" w:rsidP="00000000" w:rsidRDefault="00000000" w:rsidRPr="00000000" w14:paraId="0000009D">
      <w:pPr>
        <w:widowControl w:val="0"/>
        <w:spacing w:after="120" w:before="120" w:line="276" w:lineRule="auto"/>
        <w:jc w:val="both"/>
        <w:rPr/>
      </w:pPr>
      <w:r w:rsidDel="00000000" w:rsidR="00000000" w:rsidRPr="00000000">
        <w:rPr>
          <w:rtl w:val="0"/>
        </w:rPr>
      </w:r>
    </w:p>
    <w:p w:rsidR="00000000" w:rsidDel="00000000" w:rsidP="00000000" w:rsidRDefault="00000000" w:rsidRPr="00000000" w14:paraId="0000009E">
      <w:pPr>
        <w:widowControl w:val="0"/>
        <w:spacing w:after="120" w:before="120" w:line="276" w:lineRule="auto"/>
        <w:jc w:val="center"/>
        <w:rPr/>
      </w:pPr>
      <w:r w:rsidDel="00000000" w:rsidR="00000000" w:rsidRPr="00000000">
        <w:rPr>
          <w:rFonts w:ascii="Arial" w:cs="Arial" w:eastAsia="Arial" w:hAnsi="Arial"/>
          <w:color w:val="000000"/>
          <w:sz w:val="20"/>
          <w:szCs w:val="20"/>
          <w:rtl w:val="0"/>
        </w:rPr>
        <w:t xml:space="preserve">Itaituba-PA, _____ de _____________ de ________.</w:t>
      </w:r>
      <w:r w:rsidDel="00000000" w:rsidR="00000000" w:rsidRPr="00000000">
        <w:rPr>
          <w:rtl w:val="0"/>
        </w:rPr>
      </w:r>
    </w:p>
    <w:p w:rsidR="00000000" w:rsidDel="00000000" w:rsidP="00000000" w:rsidRDefault="00000000" w:rsidRPr="00000000" w14:paraId="0000009F">
      <w:pPr>
        <w:widowControl w:val="0"/>
        <w:spacing w:after="120" w:before="120" w:line="276" w:lineRule="auto"/>
        <w:jc w:val="both"/>
        <w:rPr/>
      </w:pPr>
      <w:r w:rsidDel="00000000" w:rsidR="00000000" w:rsidRPr="00000000">
        <w:rPr>
          <w:rtl w:val="0"/>
        </w:rPr>
      </w:r>
    </w:p>
    <w:p w:rsidR="00000000" w:rsidDel="00000000" w:rsidP="00000000" w:rsidRDefault="00000000" w:rsidRPr="00000000" w14:paraId="000000A0">
      <w:pPr>
        <w:spacing w:after="0" w:before="280" w:line="276" w:lineRule="auto"/>
        <w:jc w:val="center"/>
        <w:rPr/>
      </w:pPr>
      <w:r w:rsidDel="00000000" w:rsidR="00000000" w:rsidRPr="00000000">
        <w:rPr>
          <w:rFonts w:ascii="Arial" w:cs="Arial" w:eastAsia="Arial" w:hAnsi="Arial"/>
          <w:sz w:val="20"/>
          <w:szCs w:val="20"/>
          <w:rtl w:val="0"/>
        </w:rPr>
        <w:t xml:space="preserve">GERSON GOMES DE OLIVEIRA ROCHA - MAJ</w:t>
        <w:br w:type="textWrapping"/>
        <w:t xml:space="preserve">Resp</w:t>
      </w:r>
      <w:r w:rsidDel="00000000" w:rsidR="00000000" w:rsidRPr="00000000">
        <w:rPr>
          <w:rtl w:val="0"/>
        </w:rPr>
        <w:t xml:space="preserve">. </w:t>
      </w:r>
      <w:r w:rsidDel="00000000" w:rsidR="00000000" w:rsidRPr="00000000">
        <w:rPr>
          <w:rFonts w:ascii="Arial" w:cs="Arial" w:eastAsia="Arial" w:hAnsi="Arial"/>
          <w:sz w:val="20"/>
          <w:szCs w:val="20"/>
          <w:rtl w:val="0"/>
        </w:rPr>
        <w:t xml:space="preserve">Ordenador de Despesas do 53º Batalhão de Infantaria de Selva</w:t>
      </w:r>
      <w:r w:rsidDel="00000000" w:rsidR="00000000" w:rsidRPr="00000000">
        <w:rPr>
          <w:rtl w:val="0"/>
        </w:rPr>
      </w:r>
    </w:p>
    <w:p w:rsidR="00000000" w:rsidDel="00000000" w:rsidP="00000000" w:rsidRDefault="00000000" w:rsidRPr="00000000" w14:paraId="000000A1">
      <w:pPr>
        <w:widowControl w:val="0"/>
        <w:spacing w:after="120" w:before="120" w:line="276" w:lineRule="auto"/>
        <w:jc w:val="center"/>
        <w:rPr/>
      </w:pPr>
      <w:r w:rsidDel="00000000" w:rsidR="00000000" w:rsidRPr="00000000">
        <w:rPr>
          <w:rtl w:val="0"/>
        </w:rPr>
      </w:r>
    </w:p>
    <w:p w:rsidR="00000000" w:rsidDel="00000000" w:rsidP="00000000" w:rsidRDefault="00000000" w:rsidRPr="00000000" w14:paraId="000000A2">
      <w:pPr>
        <w:widowControl w:val="0"/>
        <w:spacing w:after="120" w:before="120" w:line="276" w:lineRule="auto"/>
        <w:jc w:val="center"/>
        <w:rPr/>
      </w:pPr>
      <w:r w:rsidDel="00000000" w:rsidR="00000000" w:rsidRPr="00000000">
        <w:rPr>
          <w:rtl w:val="0"/>
        </w:rPr>
      </w:r>
    </w:p>
    <w:p w:rsidR="00000000" w:rsidDel="00000000" w:rsidP="00000000" w:rsidRDefault="00000000" w:rsidRPr="00000000" w14:paraId="000000A3">
      <w:pPr>
        <w:widowControl w:val="0"/>
        <w:spacing w:after="120" w:before="120"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________________________________________</w:t>
      </w:r>
      <w:r w:rsidDel="00000000" w:rsidR="00000000" w:rsidRPr="00000000">
        <w:rPr>
          <w:rtl w:val="0"/>
        </w:rPr>
        <w:br w:type="textWrapping"/>
      </w:r>
      <w:r w:rsidDel="00000000" w:rsidR="00000000" w:rsidRPr="00000000">
        <w:rPr>
          <w:rFonts w:ascii="Arial" w:cs="Arial" w:eastAsia="Arial" w:hAnsi="Arial"/>
          <w:color w:val="000000"/>
          <w:sz w:val="20"/>
          <w:szCs w:val="20"/>
          <w:rtl w:val="0"/>
        </w:rPr>
        <w:t xml:space="preserve">CPF:</w:t>
      </w:r>
      <w:r w:rsidDel="00000000" w:rsidR="00000000" w:rsidRPr="00000000">
        <w:rPr>
          <w:rFonts w:ascii="Arial" w:cs="Arial" w:eastAsia="Arial" w:hAnsi="Arial"/>
          <w:sz w:val="20"/>
          <w:szCs w:val="20"/>
          <w:rtl w:val="0"/>
        </w:rPr>
        <w:t xml:space="preserve"> </w:t>
      </w:r>
      <w:hyperlink r:id="rId8">
        <w:r w:rsidDel="00000000" w:rsidR="00000000" w:rsidRPr="00000000">
          <w:rPr>
            <w:rFonts w:ascii="Arial" w:cs="Arial" w:eastAsia="Arial" w:hAnsi="Arial"/>
            <w:sz w:val="20"/>
            <w:szCs w:val="20"/>
            <w:rtl w:val="0"/>
          </w:rPr>
          <w:t xml:space="preserve">xxx.xxx.xxx</w:t>
        </w:r>
      </w:hyperlink>
      <w:r w:rsidDel="00000000" w:rsidR="00000000" w:rsidRPr="00000000">
        <w:rPr>
          <w:rFonts w:ascii="Arial" w:cs="Arial" w:eastAsia="Arial" w:hAnsi="Arial"/>
          <w:sz w:val="20"/>
          <w:szCs w:val="20"/>
          <w:rtl w:val="0"/>
        </w:rPr>
        <w:t xml:space="preserve">-xx</w:t>
      </w:r>
      <w:r w:rsidDel="00000000" w:rsidR="00000000" w:rsidRPr="00000000">
        <w:rPr>
          <w:rtl w:val="0"/>
        </w:rPr>
        <w:br w:type="textWrapping"/>
      </w:r>
      <w:r w:rsidDel="00000000" w:rsidR="00000000" w:rsidRPr="00000000">
        <w:rPr>
          <w:rFonts w:ascii="Arial" w:cs="Arial" w:eastAsia="Arial" w:hAnsi="Arial"/>
          <w:color w:val="000000"/>
          <w:sz w:val="20"/>
          <w:szCs w:val="20"/>
          <w:rtl w:val="0"/>
        </w:rPr>
        <w:t xml:space="preserve">Responsável legal</w:t>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418" w:top="1418" w:left="1701" w:right="1134" w:header="0"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Calibri"/>
  <w:font w:name="Ecofont_Spranq_eco_Sans"/>
  <w:font w:name="Liberation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keepNext w:val="0"/>
      <w:keepLines w:val="0"/>
      <w:widowControl w:val="1"/>
      <w:shd w:fill="auto" w:val="clear"/>
      <w:tabs>
        <w:tab w:val="center" w:leader="none" w:pos="4252"/>
        <w:tab w:val="right" w:leader="none" w:pos="8504"/>
      </w:tabs>
      <w:spacing w:after="0" w:before="0" w:line="240" w:lineRule="auto"/>
      <w:ind w:left="0" w:right="0" w:firstLine="0"/>
      <w:rPr>
        <w:rFonts w:ascii="Ecofont_Spranq_eco_Sans" w:cs="Ecofont_Spranq_eco_Sans" w:eastAsia="Ecofont_Spranq_eco_Sans" w:hAnsi="Ecofont_Spranq_eco_Sans"/>
        <w:b w:val="0"/>
        <w:bCs w:val="0"/>
        <w:i w:val="0"/>
        <w:iCs w:val="0"/>
        <w:smallCaps w:val="0"/>
        <w:strike w:val="0"/>
        <w:color w:val="8496b0"/>
        <w:sz w:val="16"/>
        <w:szCs w:val="16"/>
        <w:u w:val="none"/>
        <w:shd w:fill="auto" w:val="clear"/>
        <w:vertAlign w:val="baseline"/>
      </w:rPr>
    </w:pPr>
    <w:r w:rsidDel="00000000" w:rsidR="00000000" w:rsidRPr="00000000">
      <w:rPr>
        <w:b w:val="0"/>
        <w:bCs w:val="0"/>
        <w:i w:val="0"/>
        <w:iCs w:val="0"/>
        <w:smallCaps w:val="0"/>
        <w:strike w:val="0"/>
        <w:color w:val="8496b0"/>
        <w:sz w:val="24"/>
        <w:szCs w:val="24"/>
        <w:u w:val="none"/>
        <w:shd w:fill="auto" w:val="clear"/>
        <w:vertAlign w:val="baseline"/>
        <w:rtl w:val="0"/>
      </w:rPr>
      <w:tab/>
      <w:tab/>
    </w:r>
    <w:r w:rsidDel="00000000" w:rsidR="00000000" w:rsidRPr="00000000">
      <w:rPr>
        <w:rtl w:val="0"/>
      </w:rPr>
    </w:r>
  </w:p>
  <w:p w:rsidR="00000000" w:rsidDel="00000000" w:rsidP="00000000" w:rsidRDefault="00000000" w:rsidRPr="00000000" w14:paraId="000000AC">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7f7f7f"/>
        <w:sz w:val="18"/>
        <w:szCs w:val="18"/>
        <w:u w:val="none"/>
        <w:shd w:fill="auto" w:val="clear"/>
        <w:vertAlign w:val="baseline"/>
      </w:rPr>
    </w:pPr>
    <w:r w:rsidDel="00000000" w:rsidR="00000000" w:rsidRPr="00000000">
      <w:rPr>
        <w:b w:val="0"/>
        <w:bCs w:val="0"/>
        <w:i w:val="0"/>
        <w:iCs w:val="0"/>
        <w:smallCaps w:val="0"/>
        <w:strike w:val="0"/>
        <w:color w:val="7f7f7f"/>
        <w:sz w:val="24"/>
        <w:szCs w:val="24"/>
        <w:u w:val="none"/>
        <w:shd w:fill="auto" w:val="clear"/>
        <w:vertAlign w:val="baseline"/>
        <w:rtl w:val="0"/>
      </w:rPr>
      <w:tab/>
      <w:tab/>
    </w:r>
    <w:r w:rsidDel="00000000" w:rsidR="00000000" w:rsidRPr="00000000">
      <w:rPr>
        <w:rFonts w:ascii="Arial" w:cs="Arial" w:eastAsia="Arial" w:hAnsi="Arial"/>
        <w:b w:val="0"/>
        <w:bCs w:val="0"/>
        <w:i w:val="0"/>
        <w:iCs w:val="0"/>
        <w:smallCaps w:val="0"/>
        <w:strike w:val="0"/>
        <w:color w:val="595959"/>
        <w:sz w:val="18"/>
        <w:szCs w:val="18"/>
        <w:u w:val="none"/>
        <w:shd w:fill="auto" w:val="clear"/>
        <w:vertAlign w:val="baseline"/>
        <w:rtl w:val="0"/>
      </w:rPr>
      <w:t xml:space="preserve">Página </w:t>
    </w:r>
    <w:r w:rsidDel="00000000" w:rsidR="00000000" w:rsidRPr="00000000">
      <w:rPr>
        <w:rFonts w:ascii="Arial" w:cs="Arial" w:eastAsia="Arial" w:hAnsi="Arial"/>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595959"/>
        <w:sz w:val="18"/>
        <w:szCs w:val="18"/>
        <w:u w:val="none"/>
        <w:shd w:fill="auto" w:val="clear"/>
        <w:vertAlign w:val="baseline"/>
        <w:rtl w:val="0"/>
      </w:rPr>
      <w:t xml:space="preserve"> | </w:t>
    </w:r>
    <w:r w:rsidDel="00000000" w:rsidR="00000000" w:rsidRPr="00000000">
      <w:rPr>
        <w:rFonts w:ascii="Arial" w:cs="Arial" w:eastAsia="Arial" w:hAnsi="Arial"/>
        <w:color w:val="000000"/>
        <w:sz w:val="20"/>
        <w:szCs w:val="2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AD">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Câmara Nacional de Modelos de Licitações e Contratos da Consultoria-Geral da União</w:t>
    </w:r>
  </w:p>
  <w:p w:rsidR="00000000" w:rsidDel="00000000" w:rsidP="00000000" w:rsidRDefault="00000000" w:rsidRPr="00000000" w14:paraId="000000AE">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222a35"/>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Modelo de Modelo Ata de Registro de Preços - Lei nº 14.133, de 2021</w:t>
    </w:r>
    <w:r w:rsidDel="00000000" w:rsidR="00000000" w:rsidRPr="00000000">
      <w:rPr>
        <w:rtl w:val="0"/>
      </w:rPr>
    </w:r>
  </w:p>
  <w:p w:rsidR="00000000" w:rsidDel="00000000" w:rsidP="00000000" w:rsidRDefault="00000000" w:rsidRPr="00000000" w14:paraId="000000AF">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Aprovado pela Secretaria de Gestão e Inovação</w:t>
    </w:r>
  </w:p>
  <w:p w:rsidR="00000000" w:rsidDel="00000000" w:rsidP="00000000" w:rsidRDefault="00000000" w:rsidRPr="00000000" w14:paraId="000000B0">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Identidade visual pela Secretaria de Gestão e Inovação</w:t>
    </w:r>
  </w:p>
  <w:p w:rsidR="00000000" w:rsidDel="00000000" w:rsidP="00000000" w:rsidRDefault="00000000" w:rsidRPr="00000000" w14:paraId="000000B1">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Atualização: NOV/2025</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keepNext w:val="0"/>
      <w:keepLines w:val="0"/>
      <w:widowControl w:val="1"/>
      <w:shd w:fill="auto" w:val="clear"/>
      <w:tabs>
        <w:tab w:val="center" w:leader="none" w:pos="4252"/>
        <w:tab w:val="right" w:leader="none" w:pos="8504"/>
      </w:tabs>
      <w:spacing w:after="0" w:before="0" w:line="240" w:lineRule="auto"/>
      <w:ind w:left="0" w:right="0" w:firstLine="0"/>
      <w:rPr>
        <w:rFonts w:ascii="Ecofont_Spranq_eco_Sans" w:cs="Ecofont_Spranq_eco_Sans" w:eastAsia="Ecofont_Spranq_eco_Sans" w:hAnsi="Ecofont_Spranq_eco_Sans"/>
        <w:b w:val="0"/>
        <w:bCs w:val="0"/>
        <w:i w:val="0"/>
        <w:iCs w:val="0"/>
        <w:smallCaps w:val="0"/>
        <w:strike w:val="0"/>
        <w:color w:val="8496b0"/>
        <w:sz w:val="16"/>
        <w:szCs w:val="16"/>
        <w:u w:val="none"/>
        <w:shd w:fill="auto" w:val="clear"/>
        <w:vertAlign w:val="baseline"/>
      </w:rPr>
    </w:pPr>
    <w:r w:rsidDel="00000000" w:rsidR="00000000" w:rsidRPr="00000000">
      <w:rPr>
        <w:b w:val="0"/>
        <w:bCs w:val="0"/>
        <w:i w:val="0"/>
        <w:iCs w:val="0"/>
        <w:smallCaps w:val="0"/>
        <w:strike w:val="0"/>
        <w:color w:val="8496b0"/>
        <w:sz w:val="24"/>
        <w:szCs w:val="24"/>
        <w:u w:val="none"/>
        <w:shd w:fill="auto" w:val="clear"/>
        <w:vertAlign w:val="baseline"/>
        <w:rtl w:val="0"/>
      </w:rPr>
      <w:tab/>
      <w:tab/>
    </w:r>
    <w:r w:rsidDel="00000000" w:rsidR="00000000" w:rsidRPr="00000000">
      <w:rPr>
        <w:rtl w:val="0"/>
      </w:rPr>
    </w:r>
  </w:p>
  <w:p w:rsidR="00000000" w:rsidDel="00000000" w:rsidP="00000000" w:rsidRDefault="00000000" w:rsidRPr="00000000" w14:paraId="000000B3">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7f7f7f"/>
        <w:sz w:val="18"/>
        <w:szCs w:val="18"/>
        <w:u w:val="none"/>
        <w:shd w:fill="auto" w:val="clear"/>
        <w:vertAlign w:val="baseline"/>
      </w:rPr>
    </w:pPr>
    <w:r w:rsidDel="00000000" w:rsidR="00000000" w:rsidRPr="00000000">
      <w:rPr>
        <w:b w:val="0"/>
        <w:bCs w:val="0"/>
        <w:i w:val="0"/>
        <w:iCs w:val="0"/>
        <w:smallCaps w:val="0"/>
        <w:strike w:val="0"/>
        <w:color w:val="7f7f7f"/>
        <w:sz w:val="24"/>
        <w:szCs w:val="24"/>
        <w:u w:val="none"/>
        <w:shd w:fill="auto" w:val="clear"/>
        <w:vertAlign w:val="baseline"/>
        <w:rtl w:val="0"/>
      </w:rPr>
      <w:tab/>
      <w:tab/>
    </w:r>
    <w:r w:rsidDel="00000000" w:rsidR="00000000" w:rsidRPr="00000000">
      <w:rPr>
        <w:rFonts w:ascii="Arial" w:cs="Arial" w:eastAsia="Arial" w:hAnsi="Arial"/>
        <w:b w:val="0"/>
        <w:bCs w:val="0"/>
        <w:i w:val="0"/>
        <w:iCs w:val="0"/>
        <w:smallCaps w:val="0"/>
        <w:strike w:val="0"/>
        <w:color w:val="595959"/>
        <w:sz w:val="18"/>
        <w:szCs w:val="18"/>
        <w:u w:val="none"/>
        <w:shd w:fill="auto" w:val="clear"/>
        <w:vertAlign w:val="baseline"/>
        <w:rtl w:val="0"/>
      </w:rPr>
      <w:t xml:space="preserve">Página </w:t>
    </w:r>
    <w:r w:rsidDel="00000000" w:rsidR="00000000" w:rsidRPr="00000000">
      <w:rPr>
        <w:rFonts w:ascii="Arial" w:cs="Arial" w:eastAsia="Arial" w:hAnsi="Arial"/>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595959"/>
        <w:sz w:val="18"/>
        <w:szCs w:val="18"/>
        <w:u w:val="none"/>
        <w:shd w:fill="auto" w:val="clear"/>
        <w:vertAlign w:val="baseline"/>
        <w:rtl w:val="0"/>
      </w:rPr>
      <w:t xml:space="preserve"> | </w:t>
    </w:r>
    <w:r w:rsidDel="00000000" w:rsidR="00000000" w:rsidRPr="00000000">
      <w:rPr>
        <w:rFonts w:ascii="Arial" w:cs="Arial" w:eastAsia="Arial" w:hAnsi="Arial"/>
        <w:color w:val="000000"/>
        <w:sz w:val="20"/>
        <w:szCs w:val="2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B4">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Câmara Nacional de Modelos de Licitações e Contratos da Consultoria-Geral da União</w:t>
    </w:r>
  </w:p>
  <w:p w:rsidR="00000000" w:rsidDel="00000000" w:rsidP="00000000" w:rsidRDefault="00000000" w:rsidRPr="00000000" w14:paraId="000000B5">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222a35"/>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Modelo de Modelo Ata de Registro de Preços - Lei nº 14.133, de 2021</w:t>
    </w:r>
    <w:r w:rsidDel="00000000" w:rsidR="00000000" w:rsidRPr="00000000">
      <w:rPr>
        <w:rtl w:val="0"/>
      </w:rPr>
    </w:r>
  </w:p>
  <w:p w:rsidR="00000000" w:rsidDel="00000000" w:rsidP="00000000" w:rsidRDefault="00000000" w:rsidRPr="00000000" w14:paraId="000000B6">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Aprovado pela Secretaria de Gestão e Inovação</w:t>
    </w:r>
  </w:p>
  <w:p w:rsidR="00000000" w:rsidDel="00000000" w:rsidP="00000000" w:rsidRDefault="00000000" w:rsidRPr="00000000" w14:paraId="000000B7">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Identidade visual pela Secretaria de Gestão e Inovação</w:t>
    </w:r>
  </w:p>
  <w:p w:rsidR="00000000" w:rsidDel="00000000" w:rsidP="00000000" w:rsidRDefault="00000000" w:rsidRPr="00000000" w14:paraId="000000B8">
    <w:pPr>
      <w:keepNext w:val="0"/>
      <w:keepLines w:val="0"/>
      <w:widowControl w:val="1"/>
      <w:shd w:fill="auto" w:val="clear"/>
      <w:tabs>
        <w:tab w:val="center" w:leader="none" w:pos="4252"/>
        <w:tab w:val="right" w:leader="none" w:pos="8504"/>
      </w:tabs>
      <w:spacing w:after="0" w:before="0" w:line="240" w:lineRule="auto"/>
      <w:ind w:left="0" w:right="0" w:firstLine="0"/>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Atualização: NOV/2025</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widowControl w:val="1"/>
      <w:shd w:fill="auto" w:val="clear"/>
      <w:tabs>
        <w:tab w:val="center" w:leader="none" w:pos="4252"/>
        <w:tab w:val="right" w:leader="none" w:pos="8504"/>
      </w:tabs>
      <w:spacing w:after="0" w:before="0" w:line="240" w:lineRule="auto"/>
      <w:ind w:left="0" w:right="0" w:firstLine="0"/>
      <w:jc w:val="center"/>
      <w:rPr>
        <w:color w:val="ff0000"/>
      </w:rPr>
    </w:pPr>
    <w:r w:rsidDel="00000000" w:rsidR="00000000" w:rsidRPr="00000000">
      <w:rPr>
        <w:rtl w:val="0"/>
      </w:rPr>
    </w:r>
  </w:p>
  <w:p w:rsidR="00000000" w:rsidDel="00000000" w:rsidP="00000000" w:rsidRDefault="00000000" w:rsidRPr="00000000" w14:paraId="000000A5">
    <w:pPr>
      <w:keepNext w:val="0"/>
      <w:keepLines w:val="0"/>
      <w:widowControl w:val="1"/>
      <w:shd w:fill="auto" w:val="clear"/>
      <w:tabs>
        <w:tab w:val="center" w:leader="none" w:pos="4252"/>
        <w:tab w:val="right" w:leader="none" w:pos="8504"/>
      </w:tabs>
      <w:spacing w:after="0" w:before="0" w:line="240" w:lineRule="auto"/>
      <w:ind w:left="0" w:right="0" w:firstLine="0"/>
      <w:jc w:val="center"/>
      <w:rPr>
        <w:color w:val="ff0000"/>
      </w:rPr>
    </w:pPr>
    <w:r w:rsidDel="00000000" w:rsidR="00000000" w:rsidRPr="00000000">
      <w:rPr>
        <w:rtl w:val="0"/>
      </w:rPr>
    </w:r>
  </w:p>
  <w:p w:rsidR="00000000" w:rsidDel="00000000" w:rsidP="00000000" w:rsidRDefault="00000000" w:rsidRPr="00000000" w14:paraId="000000A6">
    <w:pPr>
      <w:keepNext w:val="0"/>
      <w:keepLines w:val="0"/>
      <w:widowControl w:val="1"/>
      <w:shd w:fill="auto" w:val="clear"/>
      <w:tabs>
        <w:tab w:val="center" w:leader="none" w:pos="4252"/>
        <w:tab w:val="right" w:leader="none" w:pos="8504"/>
      </w:tabs>
      <w:spacing w:after="0" w:before="0" w:line="240" w:lineRule="auto"/>
      <w:ind w:left="0" w:right="0" w:firstLine="0"/>
      <w:jc w:val="center"/>
      <w:rPr>
        <w:rFonts w:ascii="Ecofont_Spranq_eco_Sans" w:cs="Ecofont_Spranq_eco_Sans" w:eastAsia="Ecofont_Spranq_eco_Sans" w:hAnsi="Ecofont_Spranq_eco_Sans"/>
        <w:b w:val="0"/>
        <w:bCs w:val="0"/>
        <w:i w:val="0"/>
        <w:iCs w:val="0"/>
        <w:smallCaps w:val="0"/>
        <w:strike w:val="0"/>
        <w:color w:val="ff0000"/>
        <w:sz w:val="24"/>
        <w:szCs w:val="24"/>
        <w:u w:val="none"/>
        <w:shd w:fill="auto" w:val="clear"/>
        <w:vertAlign w:val="baseline"/>
      </w:rPr>
    </w:pPr>
    <w:r w:rsidDel="00000000" w:rsidR="00000000" w:rsidRPr="00000000">
      <w:rPr>
        <w:b w:val="0"/>
        <w:bCs w:val="0"/>
        <w:i w:val="0"/>
        <w:iCs w:val="0"/>
        <w:smallCaps w:val="0"/>
        <w:strike w:val="0"/>
        <w:color w:val="ff0000"/>
        <w:sz w:val="24"/>
        <w:szCs w:val="24"/>
        <w:u w:val="none"/>
        <w:shd w:fill="auto" w:val="clear"/>
        <w:vertAlign w:val="baseline"/>
        <w:rtl w:val="0"/>
      </w:rPr>
      <w:t xml:space="preserve">MINUTA</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keepNext w:val="0"/>
      <w:keepLines w:val="0"/>
      <w:widowControl w:val="1"/>
      <w:shd w:fill="auto" w:val="clear"/>
      <w:tabs>
        <w:tab w:val="center" w:leader="none" w:pos="4252"/>
        <w:tab w:val="right" w:leader="none" w:pos="8504"/>
      </w:tabs>
      <w:spacing w:after="0" w:before="0" w:line="240" w:lineRule="auto"/>
      <w:ind w:left="0" w:right="0" w:firstLine="0"/>
      <w:jc w:val="center"/>
      <w:rPr>
        <w:color w:val="ff0000"/>
      </w:rPr>
    </w:pPr>
    <w:r w:rsidDel="00000000" w:rsidR="00000000" w:rsidRPr="00000000">
      <w:rPr>
        <w:rtl w:val="0"/>
      </w:rPr>
    </w:r>
  </w:p>
  <w:p w:rsidR="00000000" w:rsidDel="00000000" w:rsidP="00000000" w:rsidRDefault="00000000" w:rsidRPr="00000000" w14:paraId="000000A8">
    <w:pPr>
      <w:keepNext w:val="0"/>
      <w:keepLines w:val="0"/>
      <w:widowControl w:val="1"/>
      <w:shd w:fill="auto" w:val="clear"/>
      <w:tabs>
        <w:tab w:val="center" w:leader="none" w:pos="4252"/>
        <w:tab w:val="right" w:leader="none" w:pos="8504"/>
      </w:tabs>
      <w:spacing w:after="0" w:before="0" w:line="240" w:lineRule="auto"/>
      <w:ind w:left="0" w:right="0" w:firstLine="0"/>
      <w:jc w:val="center"/>
      <w:rPr>
        <w:color w:val="ff0000"/>
      </w:rPr>
    </w:pPr>
    <w:r w:rsidDel="00000000" w:rsidR="00000000" w:rsidRPr="00000000">
      <w:rPr>
        <w:rtl w:val="0"/>
      </w:rPr>
    </w:r>
  </w:p>
  <w:p w:rsidR="00000000" w:rsidDel="00000000" w:rsidP="00000000" w:rsidRDefault="00000000" w:rsidRPr="00000000" w14:paraId="000000A9">
    <w:pPr>
      <w:keepNext w:val="0"/>
      <w:keepLines w:val="0"/>
      <w:widowControl w:val="1"/>
      <w:shd w:fill="auto" w:val="clear"/>
      <w:tabs>
        <w:tab w:val="center" w:leader="none" w:pos="4252"/>
        <w:tab w:val="right" w:leader="none" w:pos="8504"/>
      </w:tabs>
      <w:spacing w:after="0" w:before="0" w:line="240" w:lineRule="auto"/>
      <w:ind w:left="0" w:right="0" w:firstLine="0"/>
      <w:jc w:val="center"/>
      <w:rPr>
        <w:rFonts w:ascii="Ecofont_Spranq_eco_Sans" w:cs="Ecofont_Spranq_eco_Sans" w:eastAsia="Ecofont_Spranq_eco_Sans" w:hAnsi="Ecofont_Spranq_eco_Sans"/>
        <w:b w:val="0"/>
        <w:bCs w:val="0"/>
        <w:i w:val="0"/>
        <w:iCs w:val="0"/>
        <w:smallCaps w:val="0"/>
        <w:strike w:val="0"/>
        <w:color w:val="ff0000"/>
        <w:sz w:val="24"/>
        <w:szCs w:val="24"/>
        <w:u w:val="none"/>
        <w:shd w:fill="auto" w:val="clear"/>
        <w:vertAlign w:val="baseline"/>
      </w:rPr>
    </w:pPr>
    <w:r w:rsidDel="00000000" w:rsidR="00000000" w:rsidRPr="00000000">
      <w:rPr>
        <w:b w:val="0"/>
        <w:bCs w:val="0"/>
        <w:i w:val="0"/>
        <w:iCs w:val="0"/>
        <w:smallCaps w:val="0"/>
        <w:strike w:val="0"/>
        <w:color w:val="ff0000"/>
        <w:sz w:val="24"/>
        <w:szCs w:val="24"/>
        <w:u w:val="none"/>
        <w:shd w:fill="auto" w:val="clear"/>
        <w:vertAlign w:val="baseline"/>
        <w:rtl w:val="0"/>
      </w:rPr>
      <w:t xml:space="preserve">MINUTA</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bCs w:val="1"/>
        <w:color w:val="000000"/>
      </w:rPr>
    </w:lvl>
    <w:lvl w:ilvl="1">
      <w:start w:val="1"/>
      <w:numFmt w:val="decimal"/>
      <w:lvlText w:val="%1.%2."/>
      <w:lvlJc w:val="left"/>
      <w:pPr>
        <w:ind w:left="574" w:hanging="432.00000000000006"/>
      </w:pPr>
      <w:rPr>
        <w:sz w:val="20"/>
        <w:szCs w:val="20"/>
      </w:rPr>
    </w:lvl>
    <w:lvl w:ilvl="2">
      <w:start w:val="1"/>
      <w:numFmt w:val="decimal"/>
      <w:lvlText w:val="%1.%2.%3."/>
      <w:lvlJc w:val="left"/>
      <w:pPr>
        <w:ind w:left="1497" w:hanging="504.0000000000003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Ecofont_Spranq_eco_Sans" w:cs="Ecofont_Spranq_eco_Sans" w:eastAsia="Ecofont_Spranq_eco_Sans" w:hAnsi="Ecofont_Spranq_eco_Sans"/>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240" w:lineRule="auto"/>
    </w:pPr>
    <w:rPr>
      <w:rFonts w:ascii="Cambria" w:cs="Cambria" w:eastAsia="Cambria" w:hAnsi="Cambria"/>
      <w:b w:val="1"/>
      <w:bCs w:val="1"/>
      <w:color w:val="366091"/>
      <w:sz w:val="28"/>
      <w:szCs w:val="28"/>
    </w:rPr>
  </w:style>
  <w:style w:type="paragraph" w:styleId="Heading2">
    <w:name w:val="heading 2"/>
    <w:basedOn w:val="Normal"/>
    <w:next w:val="Normal"/>
    <w:pPr>
      <w:keepNext w:val="1"/>
      <w:keepLines w:val="1"/>
      <w:pageBreakBefore w:val="0"/>
      <w:spacing w:after="80" w:before="360" w:line="240" w:lineRule="auto"/>
    </w:pPr>
    <w:rPr>
      <w:b w:val="1"/>
      <w:bCs w:val="1"/>
      <w:sz w:val="36"/>
      <w:szCs w:val="36"/>
    </w:rPr>
  </w:style>
  <w:style w:type="paragraph" w:styleId="Heading3">
    <w:name w:val="heading 3"/>
    <w:basedOn w:val="Normal"/>
    <w:next w:val="Normal"/>
    <w:pPr>
      <w:keepNext w:val="1"/>
      <w:keepLines w:val="1"/>
      <w:pageBreakBefore w:val="0"/>
      <w:spacing w:after="80" w:before="280" w:line="240" w:lineRule="auto"/>
    </w:pPr>
    <w:rPr>
      <w:b w:val="1"/>
      <w:bCs w:val="1"/>
      <w:sz w:val="28"/>
      <w:szCs w:val="28"/>
    </w:rPr>
  </w:style>
  <w:style w:type="paragraph" w:styleId="Heading4">
    <w:name w:val="heading 4"/>
    <w:basedOn w:val="Normal"/>
    <w:next w:val="Normal"/>
    <w:pPr>
      <w:keepNext w:val="1"/>
      <w:keepLines w:val="1"/>
      <w:pageBreakBefore w:val="0"/>
      <w:spacing w:after="40" w:before="240" w:line="240" w:lineRule="auto"/>
    </w:pPr>
    <w:rPr>
      <w:b w:val="1"/>
      <w:bCs w:val="1"/>
      <w:sz w:val="24"/>
      <w:szCs w:val="24"/>
    </w:rPr>
  </w:style>
  <w:style w:type="paragraph" w:styleId="Heading5">
    <w:name w:val="heading 5"/>
    <w:basedOn w:val="Normal"/>
    <w:next w:val="Normal"/>
    <w:pPr>
      <w:keepNext w:val="1"/>
      <w:keepLines w:val="1"/>
      <w:pageBreakBefore w:val="0"/>
      <w:spacing w:after="40" w:before="220" w:line="240" w:lineRule="auto"/>
    </w:pPr>
    <w:rPr>
      <w:b w:val="1"/>
      <w:bCs w:val="1"/>
      <w:sz w:val="22"/>
      <w:szCs w:val="22"/>
    </w:rPr>
  </w:style>
  <w:style w:type="paragraph" w:styleId="Heading6">
    <w:name w:val="heading 6"/>
    <w:basedOn w:val="Normal"/>
    <w:next w:val="Normal"/>
    <w:pPr>
      <w:keepNext w:val="1"/>
      <w:keepLines w:val="1"/>
      <w:pageBreakBefore w:val="0"/>
      <w:spacing w:after="40" w:before="200" w:line="240" w:lineRule="auto"/>
    </w:pPr>
    <w:rPr>
      <w:b w:val="1"/>
      <w:bCs w:val="1"/>
      <w:sz w:val="20"/>
      <w:szCs w:val="20"/>
    </w:rPr>
  </w:style>
  <w:style w:type="paragraph" w:styleId="Title">
    <w:name w:val="Title"/>
    <w:basedOn w:val="Normal"/>
    <w:next w:val="Normal"/>
    <w:pPr>
      <w:keepNext w:val="1"/>
      <w:spacing w:after="120" w:before="240" w:lin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pageBreakBefore w:val="0"/>
      <w:spacing w:after="80" w:before="360" w:line="24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xxx.xxx.xx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2XyHQ/Kr6sZlgOIBfe4Cj2Tzbg==">CgMxLjAaHwoBMBIaChgICVIUChJ0YWJsZS44Mng0YnV5OGFsdmQyF2lkLnRhY212bG5mcTFjMV9Db3BpYV8xMg5oLnMybTcwNHV3ajJmZDIOaWQub29pMzJnYWpjdGUyD2lkLjMzdWJsdm52Y3hubTIPaWQueGJseDJlNm4wNTd6Mg9pZC5pN29jYmg1N2VhdWsyD2lkLndpNDlseXc2NG9mbjIPaWQuNW51Z2ZlZXp0amN3Mg9pZC5namU5aThlNjc1bWsyD2lkLnZ6ZDFvc251cmoyejgAciExNkRaSTJfbVdubUhQOFYzWHpfdml2NkUwTVR5T2hoS2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