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46" w:after="0"/>
        <w:ind w:right="-52"/>
        <w:jc w:val="center"/>
        <w:rPr>
          <w:rFonts w:ascii="Arial" w:hAnsi="Arial" w:cs="Arial"/>
          <w:b/>
          <w:sz w:val="28"/>
          <w:szCs w:val="18"/>
        </w:rPr>
      </w:pPr>
      <w:r>
        <w:rPr>
          <w:rFonts w:cs="Arial" w:ascii="Arial" w:hAnsi="Arial"/>
          <w:b/>
          <w:sz w:val="28"/>
          <w:szCs w:val="18"/>
        </w:rPr>
        <w:t>Mapa Comparativo de Preços</w:t>
      </w:r>
      <w:r>
        <w:rPr>
          <w:rFonts w:cs="Arial" w:ascii="Arial" w:hAnsi="Arial"/>
          <w:b/>
          <w:color w:val="auto"/>
          <w:sz w:val="28"/>
          <w:szCs w:val="18"/>
        </w:rPr>
        <w:t xml:space="preserve"> 90001/2025-Almx/Div Adm</w:t>
      </w:r>
      <w:bookmarkStart w:id="0" w:name="Número_do_Documento_de_Formalização_da_D"/>
      <w:bookmarkEnd w:id="0"/>
    </w:p>
    <w:p>
      <w:pPr>
        <w:pStyle w:val="Normal"/>
        <w:spacing w:before="46" w:after="0"/>
        <w:ind w:right="-52"/>
        <w:jc w:val="center"/>
        <w:rPr>
          <w:rFonts w:ascii="Arial" w:hAnsi="Arial" w:cs="Arial"/>
          <w:b/>
          <w:sz w:val="28"/>
          <w:szCs w:val="18"/>
        </w:rPr>
      </w:pPr>
      <w:r>
        <w:rPr>
          <w:rFonts w:cs="Arial" w:ascii="Arial" w:hAnsi="Arial"/>
          <w:b/>
          <w:sz w:val="28"/>
          <w:szCs w:val="18"/>
        </w:rPr>
      </w:r>
    </w:p>
    <w:p>
      <w:pPr>
        <w:pStyle w:val="Normal"/>
        <w:rPr/>
      </w:pPr>
      <w:r>
        <w:rPr>
          <w:rFonts w:cs="Arial" w:ascii="Arial" w:hAnsi="Arial"/>
          <w:b/>
          <w:sz w:val="20"/>
          <w:szCs w:val="20"/>
        </w:rPr>
        <w:t>Número</w:t>
      </w:r>
      <w:r>
        <w:rPr>
          <w:rFonts w:cs="Arial" w:ascii="Arial" w:hAnsi="Arial"/>
          <w:b/>
          <w:spacing w:val="14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do</w:t>
      </w:r>
      <w:r>
        <w:rPr>
          <w:rFonts w:cs="Arial" w:ascii="Arial" w:hAnsi="Arial"/>
          <w:b/>
          <w:spacing w:val="14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processo:</w:t>
      </w:r>
      <w:r>
        <w:rPr>
          <w:rFonts w:cs="Arial" w:ascii="Arial" w:hAnsi="Arial"/>
          <w:b/>
          <w:spacing w:val="19"/>
          <w:sz w:val="20"/>
          <w:szCs w:val="20"/>
        </w:rPr>
        <w:t xml:space="preserve"> </w:t>
      </w:r>
      <w:r>
        <w:rPr>
          <w:rFonts w:cs="Arial" w:ascii="Arial" w:hAnsi="Arial"/>
          <w:b w:val="false"/>
          <w:bCs/>
          <w:i w:val="false"/>
          <w:caps w:val="false"/>
          <w:smallCaps w:val="false"/>
          <w:color w:val="auto"/>
          <w:spacing w:val="0"/>
          <w:sz w:val="22"/>
          <w:szCs w:val="22"/>
        </w:rPr>
        <w:t>64214.003225/2025-51</w:t>
      </w:r>
      <w:r>
        <w:rPr>
          <w:rFonts w:cs="Arial" w:ascii="Arial" w:hAnsi="Arial"/>
          <w:b/>
          <w:bCs/>
          <w:color w:val="auto"/>
          <w:spacing w:val="19"/>
          <w:sz w:val="22"/>
          <w:szCs w:val="22"/>
        </w:rPr>
        <w:t xml:space="preserve"> </w:t>
      </w:r>
    </w:p>
    <w:p>
      <w:pPr>
        <w:pStyle w:val="Normal"/>
        <w:spacing w:before="99" w:after="0"/>
        <w:ind w:left="223"/>
        <w:jc w:val="both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Assunto: </w:t>
      </w:r>
      <w:r>
        <w:rPr>
          <w:rFonts w:eastAsia="Calibri" w:cs="Calibri" w:ascii="Calibri" w:hAnsi="Calibri"/>
          <w:b w:val="false"/>
          <w:bCs w:val="false"/>
          <w:color w:val="000000"/>
          <w:sz w:val="24"/>
          <w:szCs w:val="24"/>
          <w:shd w:fill="auto" w:val="clear"/>
        </w:rPr>
        <w:t>Contratação do Serviço de Fotografia</w:t>
      </w:r>
    </w:p>
    <w:p>
      <w:pPr>
        <w:pStyle w:val="BodyText"/>
        <w:spacing w:before="9" w:after="0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BodyText"/>
        <w:spacing w:before="9" w:after="0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ListParagraph"/>
        <w:widowControl/>
        <w:numPr>
          <w:ilvl w:val="0"/>
          <w:numId w:val="1"/>
        </w:numPr>
        <w:tabs>
          <w:tab w:val="clear" w:pos="720"/>
          <w:tab w:val="left" w:pos="567" w:leader="none"/>
          <w:tab w:val="left" w:pos="993" w:leader="none"/>
        </w:tabs>
        <w:spacing w:lineRule="auto" w:line="360" w:before="0" w:after="0"/>
        <w:ind w:hanging="0" w:left="284"/>
        <w:contextualSpacing/>
        <w:jc w:val="both"/>
        <w:outlineLvl w:val="0"/>
        <w:rPr>
          <w:rFonts w:eastAsia="Times New Roman"/>
          <w:b/>
          <w:sz w:val="20"/>
          <w:szCs w:val="20"/>
        </w:rPr>
      </w:pPr>
      <w:bookmarkStart w:id="1" w:name="_Toc144559527"/>
      <w:bookmarkStart w:id="2" w:name="1._Informações_Básicas"/>
      <w:bookmarkEnd w:id="2"/>
      <w:r>
        <w:rPr>
          <w:rFonts w:eastAsia="Times New Roman"/>
          <w:b/>
          <w:sz w:val="20"/>
          <w:szCs w:val="20"/>
        </w:rPr>
        <w:t>INTRODUÇÃO</w:t>
      </w:r>
      <w:bookmarkEnd w:id="1"/>
    </w:p>
    <w:p>
      <w:pPr>
        <w:pStyle w:val="Normal"/>
        <w:spacing w:lineRule="auto" w:line="360"/>
        <w:ind w:firstLine="436" w:left="284"/>
        <w:jc w:val="both"/>
        <w:rPr>
          <w:rFonts w:ascii="Arial" w:hAnsi="Arial" w:eastAsia="Times New Roman" w:cs="Arial"/>
          <w:sz w:val="20"/>
          <w:szCs w:val="20"/>
        </w:rPr>
      </w:pPr>
      <w:bookmarkStart w:id="3" w:name="_Hlk186111779"/>
      <w:r>
        <w:rPr>
          <w:rFonts w:eastAsia="Times New Roman" w:cs="Arial" w:ascii="Arial" w:hAnsi="Arial"/>
          <w:sz w:val="20"/>
          <w:szCs w:val="20"/>
        </w:rPr>
        <w:t>O presente documento é complementar ao relatório da pesquisa de preços deste processo, em cumprimento ao determinado na Lei nº 14.133 de 1º de abril de 2022 e demais dispositivos legais.</w:t>
      </w:r>
      <w:bookmarkEnd w:id="3"/>
    </w:p>
    <w:p>
      <w:pPr>
        <w:pStyle w:val="Normal"/>
        <w:tabs>
          <w:tab w:val="clear" w:pos="720"/>
          <w:tab w:val="left" w:pos="1377" w:leader="none"/>
        </w:tabs>
        <w:spacing w:lineRule="auto" w:line="360"/>
        <w:rPr>
          <w:rFonts w:ascii="Arial" w:hAnsi="Arial" w:eastAsia="Times New Roman" w:cs="Arial"/>
          <w:b/>
          <w:sz w:val="20"/>
          <w:szCs w:val="20"/>
        </w:rPr>
      </w:pPr>
      <w:r>
        <w:rPr>
          <w:rFonts w:eastAsia="Times New Roman" w:cs="Arial" w:ascii="Arial" w:hAnsi="Arial"/>
          <w:b/>
          <w:sz w:val="20"/>
          <w:szCs w:val="20"/>
        </w:rPr>
      </w:r>
    </w:p>
    <w:p>
      <w:pPr>
        <w:pStyle w:val="ListParagraph"/>
        <w:widowControl/>
        <w:numPr>
          <w:ilvl w:val="0"/>
          <w:numId w:val="1"/>
        </w:numPr>
        <w:tabs>
          <w:tab w:val="clear" w:pos="720"/>
          <w:tab w:val="left" w:pos="567" w:leader="none"/>
        </w:tabs>
        <w:spacing w:lineRule="auto" w:line="360" w:before="0" w:after="0"/>
        <w:ind w:hanging="0" w:left="284"/>
        <w:contextualSpacing/>
        <w:jc w:val="both"/>
        <w:outlineLvl w:val="0"/>
        <w:rPr>
          <w:rFonts w:eastAsia="Times New Roman"/>
          <w:b/>
          <w:sz w:val="20"/>
          <w:szCs w:val="20"/>
        </w:rPr>
      </w:pPr>
      <w:r>
        <w:rPr>
          <w:rFonts w:eastAsia="Times New Roman"/>
          <w:b/>
          <w:sz w:val="20"/>
          <w:szCs w:val="20"/>
        </w:rPr>
        <w:t>MAPA COMPARATIVO E SÉRIE DE PREÇOS COLETADOS</w:t>
      </w:r>
    </w:p>
    <w:tbl>
      <w:tblPr>
        <w:tblW w:w="11204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721"/>
        <w:gridCol w:w="1741"/>
        <w:gridCol w:w="1759"/>
        <w:gridCol w:w="1741"/>
        <w:gridCol w:w="1759"/>
        <w:gridCol w:w="1741"/>
        <w:gridCol w:w="1741"/>
      </w:tblGrid>
      <w:tr>
        <w:trPr>
          <w:trHeight w:val="492" w:hRule="atLeast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napToGrid w:val="false"/>
              <w:spacing w:before="0" w:after="0"/>
              <w:contextualSpacing/>
              <w:jc w:val="center"/>
              <w:textAlignment w:val="baseline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shd w:fill="auto" w:val="clear"/>
                <w:lang w:eastAsia="ar-SA"/>
              </w:rPr>
              <w:t>Item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suppressAutoHyphens w:val="true"/>
              <w:snapToGrid w:val="false"/>
              <w:jc w:val="center"/>
              <w:textAlignment w:val="baseline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shd w:fill="auto" w:val="clear"/>
                <w:lang w:eastAsia="ar-SA"/>
              </w:rPr>
              <w:t>1º Valor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suppressAutoHyphens w:val="true"/>
              <w:snapToGrid w:val="false"/>
              <w:jc w:val="center"/>
              <w:textAlignment w:val="baseline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shd w:fill="auto" w:val="clear"/>
                <w:lang w:eastAsia="ar-SA"/>
              </w:rPr>
              <w:t>2º Valor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suppressAutoHyphens w:val="true"/>
              <w:snapToGrid w:val="false"/>
              <w:jc w:val="center"/>
              <w:textAlignment w:val="baseline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shd w:fill="auto" w:val="clear"/>
                <w:lang w:eastAsia="ar-SA"/>
              </w:rPr>
              <w:t>3º Valor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suppressAutoHyphens w:val="true"/>
              <w:snapToGrid w:val="false"/>
              <w:jc w:val="center"/>
              <w:textAlignment w:val="baseline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shd w:fill="auto" w:val="clear"/>
                <w:lang w:eastAsia="ar-SA"/>
              </w:rPr>
              <w:t>Média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suppressAutoHyphens w:val="true"/>
              <w:snapToGrid w:val="false"/>
              <w:jc w:val="center"/>
              <w:textAlignment w:val="baseline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shd w:fill="auto" w:val="clear"/>
                <w:lang w:eastAsia="ar-SA"/>
              </w:rPr>
              <w:t>Mediana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suppressAutoHyphens w:val="true"/>
              <w:snapToGrid w:val="false"/>
              <w:jc w:val="center"/>
              <w:textAlignment w:val="baseline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shd w:fill="auto" w:val="clear"/>
                <w:lang w:eastAsia="ar-SA"/>
              </w:rPr>
              <w:t>Valor a ser considerado</w:t>
            </w:r>
          </w:p>
          <w:p>
            <w:pPr>
              <w:pStyle w:val="Normal"/>
              <w:suppressAutoHyphens w:val="true"/>
              <w:snapToGrid w:val="false"/>
              <w:jc w:val="center"/>
              <w:textAlignment w:val="baseline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shd w:fill="auto" w:val="clear"/>
                <w:lang w:eastAsia="ar-SA"/>
              </w:rPr>
              <w:t>para licitação</w:t>
            </w:r>
          </w:p>
        </w:tc>
      </w:tr>
      <w:tr>
        <w:trPr>
          <w:trHeight w:val="115" w:hRule="atLeast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textAlignment w:val="baseline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shd w:fill="auto" w:val="clear"/>
                <w:lang w:eastAsia="ar-SA"/>
              </w:rPr>
              <w:t>01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  <w:lang w:eastAsia="pt-BR"/>
              </w:rPr>
              <w:t>R$ 20,00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  <w:lang w:eastAsia="pt-BR"/>
              </w:rPr>
              <w:t>R$ 4,17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  <w:lang w:eastAsia="pt-BR"/>
              </w:rPr>
              <w:t>R$ 28,00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  <w:lang w:eastAsia="pt-BR"/>
              </w:rPr>
              <w:t>R$ 17,39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  <w:lang w:eastAsia="pt-BR"/>
              </w:rPr>
              <w:t>R$ 20,00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  <w:lang w:eastAsia="pt-BR"/>
              </w:rPr>
              <w:t>R$ 17,39</w:t>
            </w:r>
          </w:p>
        </w:tc>
      </w:tr>
      <w:tr>
        <w:trPr>
          <w:trHeight w:val="283" w:hRule="atLeast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textAlignment w:val="baseline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shd w:fill="auto" w:val="clear"/>
                <w:lang w:eastAsia="ar-SA"/>
              </w:rPr>
              <w:t>02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  <w:lang w:eastAsia="pt-BR"/>
              </w:rPr>
              <w:t>R$ 20,00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  <w:lang w:eastAsia="pt-BR"/>
              </w:rPr>
              <w:t>R$ 28,00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  <w:lang w:eastAsia="pt-BR"/>
              </w:rPr>
              <w:t>R$ 30,00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  <w:lang w:eastAsia="pt-BR"/>
              </w:rPr>
              <w:t>R$ 26,00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  <w:lang w:eastAsia="pt-BR"/>
              </w:rPr>
              <w:t>R$ 20,00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  <w:lang w:eastAsia="pt-BR"/>
              </w:rPr>
              <w:t>R$ 26,00</w:t>
            </w:r>
          </w:p>
        </w:tc>
      </w:tr>
      <w:tr>
        <w:trPr>
          <w:trHeight w:val="283" w:hRule="atLeast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textAlignment w:val="baseline"/>
              <w:rPr>
                <w:color w:val="auto"/>
                <w:highlight w:val="none"/>
                <w:shd w:fill="auto" w:val="clea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shd w:fill="auto" w:val="clear"/>
                <w:lang w:eastAsia="ar-SA"/>
              </w:rPr>
              <w:t>03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  <w:lang w:eastAsia="pt-BR"/>
              </w:rPr>
              <w:t>R$ 25,00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  <w:lang w:eastAsia="pt-BR"/>
              </w:rPr>
              <w:t>R$ 35,00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  <w:lang w:eastAsia="pt-BR"/>
              </w:rPr>
              <w:t>R$ 45,00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  <w:lang w:eastAsia="pt-BR"/>
              </w:rPr>
              <w:t>R$ 35,00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  <w:lang w:eastAsia="pt-BR"/>
              </w:rPr>
              <w:t>R$ 35,00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  <w:lang w:eastAsia="pt-BR"/>
              </w:rPr>
              <w:t>R$ 35,00</w:t>
            </w:r>
          </w:p>
        </w:tc>
      </w:tr>
      <w:tr>
        <w:trPr>
          <w:trHeight w:val="283" w:hRule="atLeast"/>
        </w:trPr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textAlignment w:val="baseline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</w:rPr>
              <w:t>04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</w:rPr>
              <w:t>R$ 30,00</w:t>
            </w:r>
          </w:p>
        </w:tc>
        <w:tc>
          <w:tcPr>
            <w:tcW w:w="17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</w:rPr>
              <w:t>R$ 40,00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</w:rPr>
              <w:t>R$ 60,00</w:t>
            </w:r>
          </w:p>
        </w:tc>
        <w:tc>
          <w:tcPr>
            <w:tcW w:w="17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</w:rPr>
              <w:t>R$ 43,34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</w:rPr>
              <w:t>R$ 40,00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</w:rPr>
              <w:t>R$ 43,34</w:t>
            </w:r>
          </w:p>
        </w:tc>
      </w:tr>
      <w:tr>
        <w:trPr>
          <w:trHeight w:val="283" w:hRule="atLeast"/>
        </w:trPr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textAlignment w:val="baseline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</w:rPr>
              <w:t>05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</w:rPr>
              <w:t>R$ 45,00</w:t>
            </w:r>
          </w:p>
        </w:tc>
        <w:tc>
          <w:tcPr>
            <w:tcW w:w="17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</w:rPr>
              <w:t>R$ 50,00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</w:rPr>
              <w:t>R$ 80,00</w:t>
            </w:r>
          </w:p>
        </w:tc>
        <w:tc>
          <w:tcPr>
            <w:tcW w:w="17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</w:rPr>
              <w:t>R$ 58,34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</w:rPr>
              <w:t>R$ 50,00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</w:rPr>
              <w:t>R$ 58,34</w:t>
            </w:r>
          </w:p>
        </w:tc>
      </w:tr>
      <w:tr>
        <w:trPr>
          <w:trHeight w:val="283" w:hRule="atLeast"/>
        </w:trPr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textAlignment w:val="baseline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</w:rPr>
              <w:t>06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</w:rPr>
              <w:t>R$ 25,00</w:t>
            </w:r>
          </w:p>
        </w:tc>
        <w:tc>
          <w:tcPr>
            <w:tcW w:w="17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</w:rPr>
              <w:t>R$ 28,00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</w:rPr>
              <w:t>R$ 50,00</w:t>
            </w:r>
          </w:p>
        </w:tc>
        <w:tc>
          <w:tcPr>
            <w:tcW w:w="17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</w:rPr>
              <w:t>R$ 34,34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</w:rPr>
              <w:t>R$ 28,00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</w:rPr>
              <w:t>R$ 34,34</w:t>
            </w:r>
          </w:p>
        </w:tc>
      </w:tr>
      <w:tr>
        <w:trPr>
          <w:trHeight w:val="283" w:hRule="atLeast"/>
        </w:trPr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jc w:val="center"/>
              <w:textAlignment w:val="baseline"/>
              <w:rPr>
                <w:color w:val="auto"/>
                <w:highlight w:val="none"/>
                <w:shd w:fill="auto" w:val="clear"/>
              </w:rPr>
            </w:pPr>
            <w:r>
              <w:rPr>
                <w:color w:val="000000"/>
                <w:shd w:fill="auto" w:val="clear"/>
              </w:rPr>
              <w:t>07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</w:rPr>
              <w:t>R$ 30,00</w:t>
            </w:r>
          </w:p>
        </w:tc>
        <w:tc>
          <w:tcPr>
            <w:tcW w:w="17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</w:rPr>
              <w:t>R$ 40,00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</w:rPr>
              <w:t>R$ 80,00</w:t>
            </w:r>
          </w:p>
        </w:tc>
        <w:tc>
          <w:tcPr>
            <w:tcW w:w="17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</w:rPr>
              <w:t>R$ 50,00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</w:rPr>
              <w:t>R$ 40,00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>
            <w:pPr>
              <w:pStyle w:val="Normal"/>
              <w:snapToGrid w:val="false"/>
              <w:jc w:val="center"/>
              <w:textAlignment w:val="baseline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</w:rPr>
              <w:t>R$ 50,00</w:t>
            </w:r>
          </w:p>
        </w:tc>
      </w:tr>
    </w:tbl>
    <w:p>
      <w:pPr>
        <w:pStyle w:val="ListParagraph"/>
        <w:widowControl/>
        <w:numPr>
          <w:ilvl w:val="0"/>
          <w:numId w:val="2"/>
        </w:numPr>
        <w:spacing w:lineRule="auto" w:line="360" w:before="67" w:after="0"/>
        <w:ind w:hanging="283" w:left="567"/>
        <w:contextualSpacing/>
        <w:jc w:val="both"/>
        <w:outlineLvl w:val="0"/>
        <w:rPr>
          <w:rFonts w:eastAsia="Times New Roman"/>
          <w:b/>
          <w:vanish/>
          <w:sz w:val="20"/>
          <w:szCs w:val="20"/>
        </w:rPr>
      </w:pPr>
      <w:r>
        <w:rPr>
          <w:rFonts w:eastAsia="Times New Roman"/>
          <w:b/>
          <w:vanish/>
          <w:sz w:val="20"/>
          <w:szCs w:val="20"/>
        </w:rPr>
      </w:r>
    </w:p>
    <w:p>
      <w:pPr>
        <w:pStyle w:val="ListParagraph"/>
        <w:widowControl/>
        <w:numPr>
          <w:ilvl w:val="0"/>
          <w:numId w:val="2"/>
        </w:numPr>
        <w:spacing w:lineRule="auto" w:line="360" w:before="67" w:after="0"/>
        <w:ind w:hanging="283" w:left="567"/>
        <w:contextualSpacing/>
        <w:jc w:val="both"/>
        <w:outlineLvl w:val="0"/>
        <w:rPr>
          <w:rFonts w:eastAsia="Times New Roman"/>
          <w:b/>
          <w:vanish/>
          <w:sz w:val="20"/>
          <w:szCs w:val="20"/>
        </w:rPr>
      </w:pPr>
      <w:r>
        <w:rPr>
          <w:rFonts w:eastAsia="Times New Roman"/>
          <w:b/>
          <w:vanish/>
          <w:sz w:val="20"/>
          <w:szCs w:val="20"/>
        </w:rPr>
      </w:r>
    </w:p>
    <w:p>
      <w:pPr>
        <w:pStyle w:val="Normal"/>
        <w:widowControl/>
        <w:numPr>
          <w:ilvl w:val="0"/>
          <w:numId w:val="0"/>
        </w:numPr>
        <w:spacing w:lineRule="auto" w:line="360" w:before="0" w:after="0"/>
        <w:ind w:hanging="0" w:left="284"/>
        <w:contextualSpacing/>
        <w:jc w:val="both"/>
        <w:outlineLvl w:val="0"/>
        <w:rPr>
          <w:rFonts w:eastAsia="Times New Roman"/>
          <w:b/>
          <w:sz w:val="20"/>
          <w:szCs w:val="20"/>
        </w:rPr>
      </w:pPr>
      <w:r>
        <w:rPr>
          <w:rFonts w:eastAsia="Times New Roman"/>
          <w:b/>
          <w:sz w:val="20"/>
          <w:szCs w:val="20"/>
        </w:rPr>
      </w:r>
    </w:p>
    <w:p>
      <w:pPr>
        <w:pStyle w:val="ListParagraph"/>
        <w:widowControl/>
        <w:numPr>
          <w:ilvl w:val="0"/>
          <w:numId w:val="2"/>
        </w:numPr>
        <w:spacing w:lineRule="auto" w:line="360" w:before="67" w:after="0"/>
        <w:ind w:hanging="283" w:left="567"/>
        <w:contextualSpacing/>
        <w:jc w:val="both"/>
        <w:outlineLvl w:val="0"/>
        <w:rPr>
          <w:rFonts w:eastAsia="Times New Roman"/>
          <w:b/>
          <w:sz w:val="20"/>
          <w:szCs w:val="20"/>
        </w:rPr>
      </w:pPr>
      <w:r>
        <w:rPr>
          <w:rFonts w:eastAsia="Times New Roman"/>
          <w:b/>
          <w:sz w:val="20"/>
          <w:szCs w:val="20"/>
        </w:rPr>
        <w:t>CONCLUSÃO</w:t>
      </w:r>
    </w:p>
    <w:p>
      <w:pPr>
        <w:pStyle w:val="ListParagraph"/>
        <w:widowControl/>
        <w:numPr>
          <w:ilvl w:val="1"/>
          <w:numId w:val="2"/>
        </w:numPr>
        <w:spacing w:lineRule="auto" w:line="360" w:before="0" w:after="0"/>
        <w:contextualSpacing/>
        <w:jc w:val="both"/>
        <w:outlineLvl w:val="1"/>
        <w:rPr>
          <w:rFonts w:eastAsia="Times New Roman"/>
          <w:b/>
          <w:bCs/>
          <w:color w:val="000000"/>
          <w:sz w:val="20"/>
          <w:szCs w:val="20"/>
        </w:rPr>
      </w:pPr>
      <w:bookmarkStart w:id="4" w:name="_Hlk187392825"/>
      <w:r>
        <w:rPr>
          <w:b/>
          <w:bCs/>
          <w:sz w:val="20"/>
          <w:szCs w:val="20"/>
        </w:rPr>
        <w:t xml:space="preserve">Restrição de acesso </w:t>
      </w:r>
      <w:bookmarkEnd w:id="4"/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  <w:tab w:val="left" w:pos="567" w:leader="none"/>
        </w:tabs>
        <w:ind w:hanging="0" w:left="0"/>
        <w:jc w:val="both"/>
        <w:outlineLvl w:val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color w:val="FF0000"/>
          <w:sz w:val="20"/>
          <w:szCs w:val="20"/>
        </w:rPr>
        <w:tab/>
        <w:tab/>
        <w:t xml:space="preserve"> </w:t>
      </w:r>
      <w:r>
        <w:rPr>
          <w:rFonts w:cs="Arial" w:ascii="Arial" w:hAnsi="Arial"/>
          <w:sz w:val="20"/>
          <w:szCs w:val="20"/>
        </w:rPr>
        <w:t xml:space="preserve">As informações contidas neste Relatório de Pesquisa de Preços </w:t>
      </w:r>
      <w:r>
        <w:rPr>
          <w:rFonts w:cs="Arial" w:ascii="Arial" w:hAnsi="Arial"/>
          <w:b/>
          <w:bCs/>
          <w:sz w:val="20"/>
          <w:szCs w:val="20"/>
        </w:rPr>
        <w:t>não são classificadas como sigilosas</w:t>
      </w:r>
      <w:r>
        <w:rPr>
          <w:rFonts w:cs="Arial" w:ascii="Arial" w:hAnsi="Arial"/>
          <w:sz w:val="20"/>
          <w:szCs w:val="20"/>
        </w:rPr>
        <w:t>, nos termos da Lei Nr 12.527 de 18 de novembro de 2011.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  <w:tab w:val="left" w:pos="567" w:leader="none"/>
        </w:tabs>
        <w:ind w:hanging="0" w:left="0"/>
        <w:jc w:val="both"/>
        <w:outlineLvl w:val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color w:val="FF0000"/>
          <w:sz w:val="20"/>
          <w:szCs w:val="20"/>
        </w:rPr>
        <w:tab/>
      </w:r>
    </w:p>
    <w:p>
      <w:pPr>
        <w:pStyle w:val="ListParagraph"/>
        <w:widowControl/>
        <w:numPr>
          <w:ilvl w:val="1"/>
          <w:numId w:val="2"/>
        </w:numPr>
        <w:spacing w:lineRule="auto" w:line="360" w:before="0" w:after="0"/>
        <w:contextualSpacing/>
        <w:jc w:val="both"/>
        <w:outlineLvl w:val="1"/>
        <w:rPr>
          <w:rFonts w:eastAsia="Times New Roman"/>
          <w:b/>
          <w:bCs/>
          <w:color w:val="000000"/>
          <w:sz w:val="20"/>
          <w:szCs w:val="20"/>
        </w:rPr>
      </w:pPr>
      <w:r>
        <w:rPr>
          <w:b/>
          <w:bCs/>
          <w:sz w:val="20"/>
          <w:szCs w:val="20"/>
        </w:rPr>
        <w:t>Responsáveis</w:t>
      </w:r>
    </w:p>
    <w:p>
      <w:pPr>
        <w:pStyle w:val="BodyText"/>
        <w:spacing w:before="9" w:after="0"/>
        <w:ind w:left="284"/>
        <w:rPr>
          <w:rFonts w:ascii="Arial" w:hAnsi="Arial" w:cs="Arial"/>
          <w:bCs/>
          <w:color w:val="auto"/>
          <w:sz w:val="20"/>
          <w:szCs w:val="20"/>
          <w:highlight w:val="none"/>
          <w:shd w:fill="auto" w:val="clear"/>
        </w:rPr>
      </w:pPr>
      <w:r>
        <w:rPr>
          <w:rFonts w:cs="Arial" w:ascii="Arial" w:hAnsi="Arial"/>
          <w:bCs/>
          <w:color w:val="000000"/>
          <w:sz w:val="20"/>
          <w:szCs w:val="20"/>
          <w:shd w:fill="auto" w:val="clear"/>
        </w:rPr>
      </w:r>
    </w:p>
    <w:p>
      <w:pPr>
        <w:pStyle w:val="BodyText"/>
        <w:jc w:val="center"/>
        <w:rPr>
          <w:color w:val="auto"/>
          <w:highlight w:val="none"/>
          <w:shd w:fill="auto" w:val="clear"/>
        </w:rPr>
      </w:pPr>
      <w:r>
        <w:rPr>
          <w:rFonts w:cs="Arial" w:ascii="Arial" w:hAnsi="Arial"/>
          <w:bCs/>
          <w:color w:val="000000"/>
          <w:sz w:val="20"/>
          <w:szCs w:val="20"/>
          <w:shd w:fill="auto" w:val="clear"/>
          <w:lang w:val="pt-BR"/>
        </w:rPr>
        <w:t>Porto Alegre/RS, na data da assinatura eletrônica.</w:t>
      </w:r>
    </w:p>
    <w:p>
      <w:pPr>
        <w:pStyle w:val="BodyText"/>
        <w:jc w:val="center"/>
        <w:rPr>
          <w:rFonts w:ascii="Arial" w:hAnsi="Arial" w:cs="Arial"/>
          <w:b/>
          <w:color w:val="auto"/>
          <w:sz w:val="20"/>
          <w:szCs w:val="20"/>
          <w:highlight w:val="none"/>
          <w:shd w:fill="auto" w:val="clear"/>
          <w:lang w:val="pt-BR"/>
        </w:rPr>
      </w:pPr>
      <w:r>
        <w:rPr>
          <w:rFonts w:cs="Arial" w:ascii="Arial" w:hAnsi="Arial"/>
          <w:b/>
          <w:color w:val="000000"/>
          <w:sz w:val="20"/>
          <w:szCs w:val="20"/>
          <w:shd w:fill="auto" w:val="clear"/>
          <w:lang w:val="pt-BR"/>
        </w:rPr>
      </w:r>
    </w:p>
    <w:p>
      <w:pPr>
        <w:pStyle w:val="BodyText"/>
        <w:jc w:val="center"/>
        <w:rPr>
          <w:rFonts w:ascii="Arial" w:hAnsi="Arial" w:cs="Arial"/>
          <w:b/>
          <w:color w:val="auto"/>
          <w:sz w:val="20"/>
          <w:szCs w:val="20"/>
          <w:highlight w:val="none"/>
          <w:shd w:fill="auto" w:val="clear"/>
          <w:lang w:val="pt-BR"/>
        </w:rPr>
      </w:pPr>
      <w:r>
        <w:rPr>
          <w:rFonts w:cs="Arial" w:ascii="Arial" w:hAnsi="Arial"/>
          <w:b/>
          <w:color w:val="000000"/>
          <w:sz w:val="20"/>
          <w:szCs w:val="20"/>
          <w:shd w:fill="auto" w:val="clear"/>
          <w:lang w:val="pt-BR"/>
        </w:rPr>
      </w:r>
    </w:p>
    <w:p>
      <w:pPr>
        <w:pStyle w:val="BodyText"/>
        <w:jc w:val="center"/>
        <w:rPr>
          <w:rFonts w:ascii="Arial" w:hAnsi="Arial" w:cs="Arial"/>
          <w:b/>
          <w:color w:val="auto"/>
          <w:sz w:val="20"/>
          <w:szCs w:val="20"/>
          <w:highlight w:val="none"/>
          <w:shd w:fill="auto" w:val="clear"/>
          <w:lang w:val="pt-BR"/>
        </w:rPr>
      </w:pPr>
      <w:r>
        <w:rPr>
          <w:rFonts w:cs="Arial" w:ascii="Arial" w:hAnsi="Arial"/>
          <w:b/>
          <w:color w:val="000000"/>
          <w:sz w:val="20"/>
          <w:szCs w:val="20"/>
          <w:shd w:fill="auto" w:val="clear"/>
          <w:lang w:val="pt-BR"/>
        </w:rPr>
      </w:r>
    </w:p>
    <w:p>
      <w:pPr>
        <w:pStyle w:val="BodyText"/>
        <w:jc w:val="center"/>
        <w:rPr>
          <w:color w:val="auto"/>
          <w:highlight w:val="none"/>
          <w:shd w:fill="auto" w:val="clear"/>
        </w:rPr>
      </w:pPr>
      <w:r>
        <w:rPr>
          <w:rFonts w:cs="Arial" w:ascii="Arial" w:hAnsi="Arial"/>
          <w:b/>
          <w:color w:val="000000"/>
          <w:sz w:val="20"/>
          <w:szCs w:val="20"/>
          <w:shd w:fill="auto" w:val="clear"/>
          <w:lang w:val="pt-BR"/>
        </w:rPr>
        <w:t xml:space="preserve">ODIMAR VALDECIR DE ALMEIDA GOULART   – </w:t>
      </w:r>
      <w:r>
        <w:rPr>
          <w:rFonts w:cs="Arial" w:ascii="Arial" w:hAnsi="Arial"/>
          <w:b/>
          <w:color w:val="000000"/>
          <w:sz w:val="20"/>
          <w:szCs w:val="20"/>
          <w:shd w:fill="auto" w:val="clear"/>
          <w:lang w:val="pt-BR"/>
        </w:rPr>
        <w:t>1</w:t>
      </w:r>
      <w:r>
        <w:rPr>
          <w:rFonts w:cs="Arial" w:ascii="Arial" w:hAnsi="Arial"/>
          <w:b/>
          <w:color w:val="000000"/>
          <w:sz w:val="20"/>
          <w:szCs w:val="20"/>
          <w:shd w:fill="auto" w:val="clear"/>
          <w:lang w:val="pt-BR"/>
        </w:rPr>
        <w:t>° Sgt</w:t>
      </w:r>
    </w:p>
    <w:p>
      <w:pPr>
        <w:pStyle w:val="BodyText"/>
        <w:jc w:val="center"/>
        <w:rPr>
          <w:color w:val="auto"/>
          <w:highlight w:val="none"/>
          <w:shd w:fill="auto" w:val="clear"/>
        </w:rPr>
      </w:pPr>
      <w:r>
        <w:rPr>
          <w:rFonts w:cs="Arial" w:ascii="Arial" w:hAnsi="Arial"/>
          <w:bCs/>
          <w:color w:val="000000"/>
          <w:sz w:val="20"/>
          <w:szCs w:val="20"/>
          <w:shd w:fill="auto" w:val="clear"/>
          <w:lang w:val="pt-BR"/>
        </w:rPr>
        <w:t>Integrante Requisitante da Equipe de Planejamento</w:t>
      </w:r>
    </w:p>
    <w:p>
      <w:pPr>
        <w:pStyle w:val="BodyText"/>
        <w:jc w:val="center"/>
        <w:rPr>
          <w:rFonts w:ascii="Arial" w:hAnsi="Arial" w:cs="Arial"/>
          <w:b/>
          <w:color w:val="auto"/>
          <w:sz w:val="20"/>
          <w:szCs w:val="20"/>
          <w:highlight w:val="none"/>
          <w:shd w:fill="auto" w:val="clear"/>
          <w:lang w:val="pt-BR"/>
        </w:rPr>
      </w:pPr>
      <w:r>
        <w:rPr>
          <w:rFonts w:cs="Arial" w:ascii="Arial" w:hAnsi="Arial"/>
          <w:b/>
          <w:color w:val="000000"/>
          <w:sz w:val="20"/>
          <w:szCs w:val="20"/>
          <w:shd w:fill="auto" w:val="clear"/>
          <w:lang w:val="pt-BR"/>
        </w:rPr>
      </w:r>
    </w:p>
    <w:p>
      <w:pPr>
        <w:pStyle w:val="BodyText"/>
        <w:jc w:val="center"/>
        <w:rPr>
          <w:rFonts w:ascii="Arial" w:hAnsi="Arial" w:cs="Arial"/>
          <w:b/>
          <w:color w:val="auto"/>
          <w:sz w:val="20"/>
          <w:szCs w:val="20"/>
          <w:highlight w:val="none"/>
          <w:shd w:fill="auto" w:val="clear"/>
          <w:lang w:val="pt-BR"/>
        </w:rPr>
      </w:pPr>
      <w:r>
        <w:rPr>
          <w:rFonts w:cs="Arial" w:ascii="Arial" w:hAnsi="Arial"/>
          <w:b/>
          <w:color w:val="000000"/>
          <w:sz w:val="20"/>
          <w:szCs w:val="20"/>
          <w:shd w:fill="auto" w:val="clear"/>
          <w:lang w:val="pt-BR"/>
        </w:rPr>
      </w:r>
    </w:p>
    <w:p>
      <w:pPr>
        <w:pStyle w:val="BodyText"/>
        <w:jc w:val="center"/>
        <w:rPr>
          <w:rFonts w:ascii="Arial" w:hAnsi="Arial" w:cs="Arial"/>
          <w:b/>
          <w:color w:val="auto"/>
          <w:sz w:val="20"/>
          <w:szCs w:val="20"/>
          <w:highlight w:val="none"/>
          <w:shd w:fill="auto" w:val="clear"/>
          <w:lang w:val="pt-BR"/>
        </w:rPr>
      </w:pPr>
      <w:r>
        <w:rPr>
          <w:rFonts w:cs="Arial" w:ascii="Arial" w:hAnsi="Arial"/>
          <w:b/>
          <w:color w:val="000000"/>
          <w:sz w:val="20"/>
          <w:szCs w:val="20"/>
          <w:shd w:fill="auto" w:val="clear"/>
          <w:lang w:val="pt-BR"/>
        </w:rPr>
      </w:r>
    </w:p>
    <w:p>
      <w:pPr>
        <w:pStyle w:val="BodyText"/>
        <w:jc w:val="center"/>
        <w:rPr>
          <w:color w:val="auto"/>
          <w:highlight w:val="none"/>
          <w:shd w:fill="auto" w:val="clear"/>
        </w:rPr>
      </w:pPr>
      <w:r>
        <w:rPr>
          <w:rFonts w:cs="Arial" w:ascii="Arial" w:hAnsi="Arial"/>
          <w:b/>
          <w:color w:val="000000"/>
          <w:sz w:val="20"/>
          <w:szCs w:val="20"/>
          <w:shd w:fill="auto" w:val="clear"/>
          <w:lang w:val="pt-BR"/>
        </w:rPr>
        <w:t>IGOR SILVA BARBOSA  – 1° Ten</w:t>
      </w:r>
    </w:p>
    <w:p>
      <w:pPr>
        <w:pStyle w:val="BodyText"/>
        <w:jc w:val="center"/>
        <w:rPr>
          <w:color w:val="auto"/>
          <w:highlight w:val="none"/>
          <w:shd w:fill="auto" w:val="clear"/>
        </w:rPr>
      </w:pPr>
      <w:r>
        <w:rPr>
          <w:rFonts w:cs="Arial" w:ascii="Arial" w:hAnsi="Arial"/>
          <w:bCs/>
          <w:color w:val="000000"/>
          <w:sz w:val="20"/>
          <w:szCs w:val="20"/>
          <w:shd w:fill="auto" w:val="clear"/>
          <w:lang w:val="pt-BR"/>
        </w:rPr>
        <w:t>Integrante Técnico da Equipe de Planejamento</w:t>
      </w:r>
    </w:p>
    <w:p>
      <w:pPr>
        <w:pStyle w:val="BodyText"/>
        <w:jc w:val="center"/>
        <w:rPr>
          <w:rFonts w:ascii="Arial" w:hAnsi="Arial" w:cs="Arial"/>
          <w:b/>
          <w:color w:val="auto"/>
          <w:sz w:val="20"/>
          <w:szCs w:val="20"/>
          <w:highlight w:val="none"/>
          <w:shd w:fill="auto" w:val="clear"/>
          <w:lang w:val="pt-BR"/>
        </w:rPr>
      </w:pPr>
      <w:r>
        <w:rPr>
          <w:rFonts w:cs="Arial" w:ascii="Arial" w:hAnsi="Arial"/>
          <w:b/>
          <w:color w:val="000000"/>
          <w:sz w:val="20"/>
          <w:szCs w:val="20"/>
          <w:shd w:fill="auto" w:val="clear"/>
          <w:lang w:val="pt-BR"/>
        </w:rPr>
      </w:r>
    </w:p>
    <w:p>
      <w:pPr>
        <w:pStyle w:val="BodyText"/>
        <w:jc w:val="center"/>
        <w:rPr>
          <w:rFonts w:ascii="Arial" w:hAnsi="Arial" w:cs="Arial"/>
          <w:b/>
          <w:color w:val="auto"/>
          <w:sz w:val="20"/>
          <w:szCs w:val="20"/>
          <w:highlight w:val="none"/>
          <w:shd w:fill="auto" w:val="clear"/>
          <w:lang w:val="pt-BR"/>
        </w:rPr>
      </w:pPr>
      <w:r>
        <w:rPr>
          <w:rFonts w:cs="Arial" w:ascii="Arial" w:hAnsi="Arial"/>
          <w:b/>
          <w:color w:val="000000"/>
          <w:sz w:val="20"/>
          <w:szCs w:val="20"/>
          <w:shd w:fill="auto" w:val="clear"/>
          <w:lang w:val="pt-BR"/>
        </w:rPr>
      </w:r>
    </w:p>
    <w:p>
      <w:pPr>
        <w:pStyle w:val="BodyText"/>
        <w:jc w:val="center"/>
        <w:rPr>
          <w:rFonts w:ascii="Arial" w:hAnsi="Arial" w:cs="Arial"/>
          <w:b/>
          <w:color w:val="auto"/>
          <w:sz w:val="20"/>
          <w:szCs w:val="20"/>
          <w:highlight w:val="none"/>
          <w:shd w:fill="auto" w:val="clear"/>
          <w:lang w:val="pt-BR"/>
        </w:rPr>
      </w:pPr>
      <w:r>
        <w:rPr>
          <w:rFonts w:cs="Arial" w:ascii="Arial" w:hAnsi="Arial"/>
          <w:b/>
          <w:color w:val="000000"/>
          <w:sz w:val="20"/>
          <w:szCs w:val="20"/>
          <w:shd w:fill="auto" w:val="clear"/>
          <w:lang w:val="pt-BR"/>
        </w:rPr>
      </w:r>
    </w:p>
    <w:p>
      <w:pPr>
        <w:pStyle w:val="BodyText"/>
        <w:jc w:val="center"/>
        <w:rPr>
          <w:color w:val="auto"/>
          <w:highlight w:val="none"/>
          <w:shd w:fill="auto" w:val="clear"/>
        </w:rPr>
      </w:pPr>
      <w:r>
        <w:rPr>
          <w:rFonts w:cs="Arial" w:ascii="Arial" w:hAnsi="Arial"/>
          <w:b/>
          <w:color w:val="000000"/>
          <w:sz w:val="20"/>
          <w:szCs w:val="20"/>
          <w:shd w:fill="auto" w:val="clear"/>
          <w:lang w:val="pt-BR"/>
        </w:rPr>
        <w:t>FERNANDO CARLOS MOURA JÚNIOR – Cap</w:t>
      </w:r>
    </w:p>
    <w:p>
      <w:pPr>
        <w:pStyle w:val="BodyText"/>
        <w:jc w:val="center"/>
        <w:rPr>
          <w:color w:val="auto"/>
          <w:highlight w:val="none"/>
          <w:shd w:fill="auto" w:val="clear"/>
        </w:rPr>
      </w:pPr>
      <w:r>
        <w:rPr>
          <w:rFonts w:cs="Arial" w:ascii="Arial" w:hAnsi="Arial"/>
          <w:bCs/>
          <w:color w:val="000000"/>
          <w:sz w:val="20"/>
          <w:szCs w:val="20"/>
          <w:shd w:fill="auto" w:val="clear"/>
          <w:lang w:val="pt-BR"/>
        </w:rPr>
        <w:t>Integrante Administrativo da Equipe de Planejamento</w:t>
      </w:r>
    </w:p>
    <w:p>
      <w:pPr>
        <w:pStyle w:val="BodyText"/>
        <w:rPr>
          <w:rFonts w:ascii="Arial" w:hAnsi="Arial" w:cs="Arial"/>
          <w:color w:val="auto"/>
          <w:sz w:val="20"/>
          <w:highlight w:val="none"/>
          <w:shd w:fill="auto" w:val="clear"/>
        </w:rPr>
      </w:pPr>
      <w:r>
        <w:rPr>
          <w:rFonts w:cs="Arial" w:ascii="Arial" w:hAnsi="Arial"/>
          <w:color w:val="000000"/>
          <w:sz w:val="20"/>
          <w:shd w:fill="auto" w:val="clear"/>
        </w:rPr>
      </w:r>
    </w:p>
    <w:p>
      <w:pPr>
        <w:pStyle w:val="BodyText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</w:r>
    </w:p>
    <w:p>
      <w:pPr>
        <w:pStyle w:val="BodyText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</w:r>
    </w:p>
    <w:p>
      <w:pPr>
        <w:pStyle w:val="BodyText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567" w:right="567" w:gutter="0" w:header="0" w:top="567" w:footer="360" w:bottom="567"/>
      <w:pgNumType w:fmt="decimal"/>
      <w:formProt w:val="false"/>
      <w:titlePg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left" w:pos="8222" w:leader="dot"/>
        <w:tab w:val="left" w:pos="8775" w:leader="none"/>
      </w:tabs>
      <w:spacing w:lineRule="auto" w:line="360"/>
      <w:jc w:val="center"/>
      <w:rPr>
        <w:rFonts w:ascii="Times New Roman" w:hAnsi="Times New Roman" w:cs="Times New Roman"/>
        <w:sz w:val="18"/>
        <w:szCs w:val="20"/>
      </w:rPr>
    </w:pPr>
    <w:r>
      <w:rPr>
        <w:rFonts w:cs="Times New Roman" w:ascii="Times New Roman" w:hAnsi="Times New Roman"/>
        <w:sz w:val="18"/>
        <w:szCs w:val="20"/>
      </w:rPr>
      <w:t>(Mapa Comparativo de Preços</w:t>
    </w:r>
    <w:r>
      <w:rPr>
        <w:rFonts w:cs="Times New Roman" w:ascii="Times New Roman" w:hAnsi="Times New Roman"/>
        <w:sz w:val="18"/>
      </w:rPr>
      <w:tab/>
      <w:t xml:space="preserve"> </w:t>
    </w:r>
    <w:r>
      <w:rPr>
        <w:rFonts w:cs="Times New Roman" w:ascii="Times New Roman" w:hAnsi="Times New Roman"/>
        <w:sz w:val="18"/>
        <w:szCs w:val="20"/>
      </w:rPr>
      <w:t xml:space="preserve">Pg </w:t>
    </w:r>
    <w:r>
      <w:rPr>
        <w:rFonts w:cs="Times New Roman" w:ascii="Times New Roman" w:hAnsi="Times New Roman"/>
        <w:sz w:val="18"/>
        <w:szCs w:val="20"/>
      </w:rPr>
      <w:fldChar w:fldCharType="begin"/>
    </w:r>
    <w:r>
      <w:rPr>
        <w:sz w:val="18"/>
        <w:szCs w:val="20"/>
        <w:rFonts w:cs="Times New Roman" w:ascii="Times New Roman" w:hAnsi="Times New Roman"/>
      </w:rPr>
      <w:instrText xml:space="preserve"> PAGE </w:instrText>
    </w:r>
    <w:r>
      <w:rPr>
        <w:sz w:val="18"/>
        <w:szCs w:val="20"/>
        <w:rFonts w:cs="Times New Roman" w:ascii="Times New Roman" w:hAnsi="Times New Roman"/>
      </w:rPr>
      <w:fldChar w:fldCharType="separate"/>
    </w:r>
    <w:r>
      <w:rPr>
        <w:sz w:val="18"/>
        <w:szCs w:val="20"/>
        <w:rFonts w:cs="Times New Roman" w:ascii="Times New Roman" w:hAnsi="Times New Roman"/>
      </w:rPr>
      <w:t>2</w:t>
    </w:r>
    <w:r>
      <w:rPr>
        <w:sz w:val="18"/>
        <w:szCs w:val="20"/>
        <w:rFonts w:cs="Times New Roman" w:ascii="Times New Roman" w:hAnsi="Times New Roman"/>
      </w:rPr>
      <w:fldChar w:fldCharType="end"/>
    </w:r>
    <w:r>
      <w:rPr>
        <w:rFonts w:cs="Times New Roman" w:ascii="Times New Roman" w:hAnsi="Times New Roman"/>
        <w:sz w:val="18"/>
        <w:szCs w:val="20"/>
      </w:rPr>
      <w:t>/</w:t>
    </w:r>
    <w:r>
      <w:rPr>
        <w:rFonts w:cs="Times New Roman" w:ascii="Times New Roman" w:hAnsi="Times New Roman"/>
        <w:sz w:val="18"/>
        <w:szCs w:val="20"/>
      </w:rPr>
      <w:fldChar w:fldCharType="begin"/>
    </w:r>
    <w:r>
      <w:rPr>
        <w:sz w:val="18"/>
        <w:szCs w:val="20"/>
        <w:rFonts w:cs="Times New Roman" w:ascii="Times New Roman" w:hAnsi="Times New Roman"/>
      </w:rPr>
      <w:instrText xml:space="preserve"> NUMPAGES </w:instrText>
    </w:r>
    <w:r>
      <w:rPr>
        <w:sz w:val="18"/>
        <w:szCs w:val="20"/>
        <w:rFonts w:cs="Times New Roman" w:ascii="Times New Roman" w:hAnsi="Times New Roman"/>
      </w:rPr>
      <w:fldChar w:fldCharType="separate"/>
    </w:r>
    <w:r>
      <w:rPr>
        <w:sz w:val="18"/>
        <w:szCs w:val="20"/>
        <w:rFonts w:cs="Times New Roman" w:ascii="Times New Roman" w:hAnsi="Times New Roman"/>
      </w:rPr>
      <w:t>1</w:t>
    </w:r>
    <w:r>
      <w:rPr>
        <w:sz w:val="18"/>
        <w:szCs w:val="20"/>
        <w:rFonts w:cs="Times New Roman" w:ascii="Times New Roman" w:hAnsi="Times New Roman"/>
      </w:rPr>
      <w:fldChar w:fldCharType="end"/>
    </w:r>
    <w:r>
      <w:rPr>
        <w:rFonts w:cs="Times New Roman" w:ascii="Times New Roman" w:hAnsi="Times New Roman"/>
        <w:sz w:val="18"/>
        <w:szCs w:val="20"/>
      </w:rPr>
      <w:t>)</w:t>
    </w:r>
  </w:p>
  <w:p>
    <w:pPr>
      <w:pStyle w:val="BodyText"/>
      <w:spacing w:lineRule="auto" w:line="9"/>
      <w:rPr>
        <w:sz w:val="20"/>
      </w:rPr>
    </w:pPr>
    <w:r>
      <w:rPr>
        <w:sz w:val="2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  <w:p>
    <w:pPr>
      <w:pStyle w:val="Header"/>
      <w:spacing w:before="0" w:after="60"/>
      <w:jc w:val="center"/>
      <w:rPr>
        <w:rFonts w:ascii="Times New Roman" w:hAnsi="Times New Roman" w:cs="Times New Roman"/>
        <w:sz w:val="20"/>
      </w:rPr>
    </w:pPr>
    <w:r>
      <w:rPr/>
      <w:drawing>
        <wp:inline distT="0" distB="0" distL="0" distR="0">
          <wp:extent cx="768350" cy="756285"/>
          <wp:effectExtent l="0" t="0" r="0" b="0"/>
          <wp:docPr id="1" name="Imagem 793807532" descr="Brasão da Repúbli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793807532" descr="Brasão da Repúblic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350" cy="756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tabs>
        <w:tab w:val="clear" w:pos="720"/>
        <w:tab w:val="left" w:pos="6180" w:leader="none"/>
      </w:tabs>
      <w:jc w:val="center"/>
      <w:rPr>
        <w:rFonts w:ascii="Arial" w:hAnsi="Arial"/>
        <w:sz w:val="18"/>
        <w:szCs w:val="18"/>
      </w:rPr>
    </w:pPr>
    <w:r>
      <w:rPr>
        <w:rFonts w:cs="Arial" w:ascii="Arial" w:hAnsi="Arial"/>
        <w:bCs/>
        <w:sz w:val="18"/>
        <w:szCs w:val="18"/>
      </w:rPr>
      <w:t>MINISTÉRIO DA DEFESA</w:t>
    </w:r>
  </w:p>
  <w:p>
    <w:pPr>
      <w:pStyle w:val="Normal"/>
      <w:tabs>
        <w:tab w:val="clear" w:pos="720"/>
        <w:tab w:val="left" w:pos="6180" w:leader="none"/>
      </w:tabs>
      <w:jc w:val="center"/>
      <w:rPr>
        <w:rFonts w:ascii="Arial" w:hAnsi="Arial"/>
        <w:sz w:val="18"/>
        <w:szCs w:val="18"/>
      </w:rPr>
    </w:pPr>
    <w:r>
      <w:rPr>
        <w:rFonts w:cs="Arial" w:ascii="Arial" w:hAnsi="Arial"/>
        <w:bCs/>
        <w:sz w:val="18"/>
        <w:szCs w:val="18"/>
      </w:rPr>
      <w:t>EXÉRCITO BRASILEIRO</w:t>
    </w:r>
  </w:p>
  <w:p>
    <w:pPr>
      <w:pStyle w:val="normal1"/>
      <w:jc w:val="center"/>
      <w:rPr>
        <w:rFonts w:ascii="Arial" w:hAnsi="Arial"/>
        <w:sz w:val="18"/>
        <w:szCs w:val="18"/>
      </w:rPr>
    </w:pPr>
    <w:r>
      <w:rPr>
        <w:rFonts w:eastAsia="Calibri" w:cs="Calibri"/>
        <w:sz w:val="18"/>
        <w:szCs w:val="18"/>
      </w:rPr>
      <w:t>D E C Ex - DESMil</w:t>
    </w:r>
  </w:p>
  <w:p>
    <w:pPr>
      <w:pStyle w:val="normal1"/>
      <w:jc w:val="center"/>
      <w:rPr>
        <w:rFonts w:ascii="Arial" w:hAnsi="Arial"/>
        <w:sz w:val="18"/>
        <w:szCs w:val="18"/>
      </w:rPr>
    </w:pPr>
    <w:r>
      <w:rPr>
        <w:rFonts w:eastAsia="Calibri" w:cs="Calibri"/>
        <w:sz w:val="18"/>
        <w:szCs w:val="18"/>
      </w:rPr>
      <w:t>CENTRO DE PREPARAÇÃO DE OFICIAIS DA RESERVA/PA</w:t>
    </w:r>
  </w:p>
  <w:p>
    <w:pPr>
      <w:pStyle w:val="normal1"/>
      <w:jc w:val="center"/>
      <w:rPr>
        <w:rFonts w:ascii="Arial" w:hAnsi="Arial"/>
        <w:sz w:val="18"/>
        <w:szCs w:val="18"/>
      </w:rPr>
    </w:pPr>
    <w:r>
      <w:rPr>
        <w:rFonts w:eastAsia="Calibri" w:cs="Calibri"/>
        <w:bCs/>
        <w:sz w:val="18"/>
        <w:szCs w:val="18"/>
      </w:rPr>
      <w:t>(CENTRO MARECHAL SALVADOR CÉSAR OBINO)</w:t>
    </w:r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19"/>
        <w:b w:val="false"/>
        <w:szCs w:val="19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19"/>
        <w:b w:val="false"/>
        <w:szCs w:val="19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false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19"/>
        <w:b w:val="false"/>
        <w:szCs w:val="19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81"/>
  <w:revisionView w:insDel="0" w:formatting="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377f3"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link w:val="Ttulo1Char"/>
    <w:uiPriority w:val="9"/>
    <w:qFormat/>
    <w:pPr>
      <w:spacing w:before="1" w:after="0"/>
      <w:ind w:left="223"/>
      <w:outlineLvl w:val="0"/>
    </w:pPr>
    <w:rPr/>
  </w:style>
  <w:style w:type="paragraph" w:styleId="Heading2">
    <w:name w:val="Heading 2"/>
    <w:basedOn w:val="Normal"/>
    <w:uiPriority w:val="9"/>
    <w:unhideWhenUsed/>
    <w:qFormat/>
    <w:pPr>
      <w:ind w:hanging="215" w:left="437"/>
      <w:outlineLvl w:val="1"/>
    </w:pPr>
    <w:rPr>
      <w:rFonts w:ascii="Arial" w:hAnsi="Arial" w:eastAsia="Arial" w:cs="Arial"/>
      <w:b/>
      <w:bCs/>
      <w:sz w:val="19"/>
      <w:szCs w:val="19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0e60c6"/>
    <w:rPr>
      <w:rFonts w:ascii="Arial MT" w:hAnsi="Arial MT" w:eastAsia="Arial MT" w:cs="Arial MT"/>
      <w:lang w:val="pt-PT"/>
    </w:rPr>
  </w:style>
  <w:style w:type="character" w:styleId="RodapChar" w:customStyle="1">
    <w:name w:val="Rodapé Char"/>
    <w:basedOn w:val="DefaultParagraphFont"/>
    <w:uiPriority w:val="99"/>
    <w:qFormat/>
    <w:rsid w:val="000e60c6"/>
    <w:rPr>
      <w:rFonts w:ascii="Arial MT" w:hAnsi="Arial MT" w:eastAsia="Arial MT" w:cs="Arial MT"/>
      <w:lang w:val="pt-PT"/>
    </w:rPr>
  </w:style>
  <w:style w:type="character" w:styleId="CorpodetextoChar" w:customStyle="1">
    <w:name w:val="Corpo de texto Char"/>
    <w:basedOn w:val="DefaultParagraphFont"/>
    <w:uiPriority w:val="1"/>
    <w:qFormat/>
    <w:rsid w:val="004b2a63"/>
    <w:rPr>
      <w:rFonts w:ascii="Arial MT" w:hAnsi="Arial MT" w:eastAsia="Arial MT" w:cs="Arial MT"/>
      <w:sz w:val="16"/>
      <w:szCs w:val="16"/>
      <w:lang w:val="pt-PT"/>
    </w:rPr>
  </w:style>
  <w:style w:type="character" w:styleId="Ttulo1Char" w:customStyle="1">
    <w:name w:val="Título 1 Char"/>
    <w:basedOn w:val="DefaultParagraphFont"/>
    <w:uiPriority w:val="9"/>
    <w:qFormat/>
    <w:rsid w:val="008f280f"/>
    <w:rPr>
      <w:rFonts w:ascii="Arial MT" w:hAnsi="Arial MT" w:eastAsia="Arial MT" w:cs="Arial MT"/>
      <w:lang w:val="pt-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iPriority w:val="1"/>
    <w:qFormat/>
    <w:pPr/>
    <w:rPr>
      <w:sz w:val="16"/>
      <w:szCs w:val="16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pPr>
      <w:spacing w:before="67" w:after="0"/>
      <w:ind w:hanging="215" w:left="437"/>
    </w:pPr>
    <w:rPr>
      <w:rFonts w:ascii="Arial" w:hAnsi="Arial" w:eastAsia="Arial" w:cs="Arial"/>
    </w:rPr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0e60c6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0e60c6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dou-paragraph" w:customStyle="1">
    <w:name w:val="dou-paragraph"/>
    <w:basedOn w:val="Normal"/>
    <w:qFormat/>
    <w:rsid w:val="00c822ab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normal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Application>LibreOffice/24.2.5.2$Windows_X86_64 LibreOffice_project/bffef4ea93e59bebbeaf7f431bb02b1a39ee8a59</Application>
  <AppVersion>15.0000</AppVersion>
  <Pages>1</Pages>
  <Words>267</Words>
  <Characters>1244</Characters>
  <CharactersWithSpaces>1438</CharactersWithSpaces>
  <Paragraphs>82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2024-12-12T14:00:00Z</dcterms:created>
  <dc:creator>Cristian Schast</dc:creator>
  <dc:description/>
  <dc:language>pt-BR</dc:language>
  <cp:lastModifiedBy/>
  <dcterms:modified xsi:type="dcterms:W3CDTF">2025-07-21T16:14:03Z</dcterms:modified>
  <cp:revision>71</cp:revision>
  <dc:subject/>
  <dc:title>Documento de Formalização da Demanda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2024-08-27T00:00:00Z</vt:filetime>
  </property>
  <property fmtid="{D5CDD505-2E9C-101B-9397-08002B2CF9AE}" pid="3" name="LastSaved">
    <vt:filetime>2024-08-27T00:00:00Z</vt:filetime>
  </property>
</Properties>
</file>