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46" w:after="0"/>
        <w:ind w:right="-52" w:hanging="0"/>
        <w:jc w:val="center"/>
        <w:rPr>
          <w:rFonts w:ascii="Arial" w:hAnsi="Arial" w:cs="Arial"/>
          <w:b/>
          <w:sz w:val="28"/>
          <w:szCs w:val="18"/>
        </w:rPr>
      </w:pPr>
      <w:r>
        <w:rPr>
          <w:rFonts w:cs="Arial" w:ascii="Arial" w:hAnsi="Arial"/>
          <w:b/>
          <w:sz w:val="28"/>
          <w:szCs w:val="18"/>
        </w:rPr>
        <w:t xml:space="preserve">Relatório da Pesquisa de Preços </w:t>
      </w:r>
      <w:r>
        <w:rPr>
          <w:rFonts w:eastAsia="Arial MT" w:cs="Arial" w:ascii="Arial" w:hAnsi="Arial"/>
          <w:b/>
          <w:sz w:val="28"/>
          <w:szCs w:val="18"/>
          <w:lang w:val="pt-PT"/>
        </w:rPr>
        <w:t>001/2025</w:t>
      </w:r>
      <w:bookmarkStart w:id="0" w:name="Número_do_Documento_de_Formalização_da_D"/>
      <w:bookmarkEnd w:id="0"/>
    </w:p>
    <w:p>
      <w:pPr>
        <w:pStyle w:val="Normal"/>
        <w:spacing w:before="46" w:after="0"/>
        <w:ind w:right="-52" w:hanging="0"/>
        <w:jc w:val="center"/>
        <w:rPr>
          <w:rFonts w:ascii="Arial" w:hAnsi="Arial" w:cs="Arial"/>
          <w:b/>
          <w:sz w:val="28"/>
          <w:szCs w:val="18"/>
        </w:rPr>
      </w:pPr>
      <w:r>
        <w:rPr>
          <w:rFonts w:cs="Arial" w:ascii="Arial" w:hAnsi="Arial"/>
          <w:b/>
          <w:sz w:val="28"/>
          <w:szCs w:val="18"/>
        </w:rPr>
      </w:r>
    </w:p>
    <w:p>
      <w:pPr>
        <w:pStyle w:val="Normal"/>
        <w:spacing w:before="99" w:after="0"/>
        <w:ind w:left="223" w:hanging="0"/>
        <w:jc w:val="both"/>
        <w:rPr>
          <w:rFonts w:ascii="Arial" w:hAnsi="Arial" w:cs="Arial"/>
          <w:bCs/>
          <w:color w:val="FF0000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Número</w:t>
      </w:r>
      <w:r>
        <w:rPr>
          <w:rFonts w:cs="Arial" w:ascii="Arial" w:hAnsi="Arial"/>
          <w:b/>
          <w:spacing w:val="14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do</w:t>
      </w:r>
      <w:r>
        <w:rPr>
          <w:rFonts w:cs="Arial" w:ascii="Arial" w:hAnsi="Arial"/>
          <w:b/>
          <w:spacing w:val="14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processo:</w:t>
      </w:r>
      <w:r>
        <w:rPr>
          <w:rFonts w:cs="Arial" w:ascii="Arial" w:hAnsi="Arial"/>
          <w:b/>
          <w:spacing w:val="19"/>
          <w:sz w:val="20"/>
          <w:szCs w:val="20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val="pt-PT"/>
        </w:rPr>
        <w:t xml:space="preserve">64214.002845/2025-73 </w:t>
      </w:r>
    </w:p>
    <w:p>
      <w:pPr>
        <w:pStyle w:val="Normal"/>
        <w:spacing w:before="99" w:after="0"/>
        <w:ind w:left="223" w:hanging="0"/>
        <w:jc w:val="both"/>
        <w:rPr>
          <w:rFonts w:ascii="Arial" w:hAnsi="Arial" w:cs="Arial"/>
          <w:bCs/>
          <w:color w:val="FF0000"/>
          <w:sz w:val="20"/>
          <w:szCs w:val="20"/>
        </w:rPr>
      </w:pPr>
      <w:r>
        <w:rPr>
          <w:rFonts w:eastAsia="Arial MT" w:cs="Arial" w:ascii="Arial" w:hAnsi="Arial"/>
          <w:b/>
          <w:sz w:val="20"/>
          <w:szCs w:val="20"/>
          <w:lang w:val="pt-PT"/>
        </w:rPr>
        <w:t xml:space="preserve">Assunto: </w:t>
      </w:r>
      <w:r>
        <w:rPr>
          <w:rFonts w:eastAsia="Times New Roman" w:cs="Arial" w:ascii="Arial" w:hAnsi="Arial"/>
          <w:sz w:val="20"/>
          <w:szCs w:val="20"/>
          <w:lang w:val="pt-PT"/>
        </w:rPr>
        <w:t>Planejamento e Contratação do Processo Licitatório, cujo mo objetivo é a contratação do serviço de Alfaiataria.</w:t>
      </w:r>
    </w:p>
    <w:p>
      <w:pPr>
        <w:pStyle w:val="Corpodotexto"/>
        <w:spacing w:before="9" w:after="0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Corpodotexto"/>
        <w:spacing w:before="9" w:after="0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567" w:leader="none"/>
          <w:tab w:val="left" w:pos="993" w:leader="none"/>
        </w:tabs>
        <w:spacing w:lineRule="auto" w:line="360" w:before="0" w:after="0"/>
        <w:ind w:left="284" w:hanging="0"/>
        <w:contextualSpacing/>
        <w:jc w:val="both"/>
        <w:outlineLvl w:val="0"/>
        <w:rPr>
          <w:rFonts w:eastAsia="Times New Roman"/>
          <w:b/>
          <w:sz w:val="20"/>
          <w:szCs w:val="20"/>
        </w:rPr>
      </w:pPr>
      <w:bookmarkStart w:id="1" w:name="_Toc144559527"/>
      <w:bookmarkStart w:id="2" w:name="1._Informações_Básicas"/>
      <w:bookmarkEnd w:id="2"/>
      <w:r>
        <w:rPr>
          <w:rFonts w:eastAsia="Times New Roman"/>
          <w:b/>
          <w:sz w:val="20"/>
          <w:szCs w:val="20"/>
        </w:rPr>
        <w:t>INTRODUÇÃO</w:t>
      </w:r>
      <w:bookmarkEnd w:id="1"/>
    </w:p>
    <w:p>
      <w:pPr>
        <w:pStyle w:val="Normal"/>
        <w:spacing w:lineRule="auto" w:line="360"/>
        <w:ind w:left="284" w:firstLine="436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O presente relatório é resultado da pesquisa de preços a seguir discriminada, em cumprimento ao determinado na Lei nº 14.133 de 1º de abril de 2022 e demais dispositivos legais.</w:t>
      </w:r>
    </w:p>
    <w:p>
      <w:pPr>
        <w:pStyle w:val="Normal"/>
        <w:tabs>
          <w:tab w:val="clear" w:pos="720"/>
          <w:tab w:val="left" w:pos="1377" w:leader="none"/>
        </w:tabs>
        <w:spacing w:lineRule="auto" w:line="360"/>
        <w:rPr>
          <w:rFonts w:ascii="Arial" w:hAnsi="Arial" w:eastAsia="Times New Roman" w:cs="Arial"/>
          <w:b/>
          <w:sz w:val="20"/>
          <w:szCs w:val="20"/>
        </w:rPr>
      </w:pPr>
      <w:r>
        <w:rPr>
          <w:rFonts w:eastAsia="Times New Roman" w:cs="Arial" w:ascii="Arial" w:hAnsi="Arial"/>
          <w:b/>
          <w:sz w:val="20"/>
          <w:szCs w:val="20"/>
        </w:rPr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567" w:leader="none"/>
        </w:tabs>
        <w:spacing w:lineRule="auto" w:line="360" w:before="0" w:after="0"/>
        <w:ind w:left="284" w:hanging="0"/>
        <w:contextualSpacing/>
        <w:jc w:val="both"/>
        <w:outlineLvl w:val="0"/>
        <w:rPr>
          <w:rFonts w:eastAsia="Times New Roman"/>
          <w:b/>
          <w:sz w:val="20"/>
          <w:szCs w:val="20"/>
        </w:rPr>
      </w:pPr>
      <w:bookmarkStart w:id="3" w:name="_Toc144559528"/>
      <w:r>
        <w:rPr>
          <w:rFonts w:eastAsia="Times New Roman"/>
          <w:b/>
          <w:sz w:val="20"/>
          <w:szCs w:val="20"/>
        </w:rPr>
        <w:t>DESENVOLVIMENTO</w:t>
      </w:r>
      <w:bookmarkEnd w:id="3"/>
    </w:p>
    <w:p>
      <w:pPr>
        <w:pStyle w:val="ListParagraph"/>
        <w:widowControl/>
        <w:numPr>
          <w:ilvl w:val="1"/>
          <w:numId w:val="1"/>
        </w:numPr>
        <w:spacing w:lineRule="auto" w:line="360" w:before="0" w:after="0"/>
        <w:ind w:left="284" w:hanging="0"/>
        <w:contextualSpacing/>
        <w:jc w:val="both"/>
        <w:outlineLvl w:val="1"/>
        <w:rPr>
          <w:rFonts w:eastAsia="Times New Roman"/>
          <w:b/>
          <w:sz w:val="20"/>
          <w:szCs w:val="20"/>
        </w:rPr>
      </w:pPr>
      <w:bookmarkStart w:id="4" w:name="_Toc144559529"/>
      <w:r>
        <w:rPr>
          <w:rFonts w:eastAsia="Times New Roman"/>
          <w:b/>
          <w:sz w:val="20"/>
          <w:szCs w:val="20"/>
        </w:rPr>
        <w:t>Descrição do objeto a ser contratado (Inc. I, Art. 3º da IN SEGES/ME nº 65/2021)</w:t>
      </w:r>
      <w:bookmarkEnd w:id="4"/>
    </w:p>
    <w:tbl>
      <w:tblPr>
        <w:tblW w:w="5000" w:type="pct"/>
        <w:jc w:val="left"/>
        <w:tblInd w:w="3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5"/>
        <w:gridCol w:w="10146"/>
      </w:tblGrid>
      <w:tr>
        <w:trPr/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10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Uniforme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01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túnica verde-oliva, confeccionada em tecido sarja, na cor verde-oliva,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02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túnica branca, confeccionada em tecido de sarja, na cor branca, fabricada de acordo com as prescrições do (RUE)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03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túnica masculina cinza, confeccionada em tecido sarja, na cor cinza, fabricada de acordo com as prescrições do (RUE)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04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túnica feminina verde-oliva, confeccionada em tecido sarja, na cor verde-oliva, fabricada de acordo com as prescrições do Regulamento de Uniformes do Exército (RUE).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05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túnica feminina cinza, confeccionada em tecido sarja, na cor cinza, fabricada de acordo com as prescrições do Regulamento de Uniformes do Exército (RUE).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06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calça social verde-oliva, confeccionada em tecido sarja, na cor verde-oliva,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07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calça cinza, confeccionada em tecido sarja, na cor cinza,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08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saia, confeccionada em tecido sarja, na cor verde-oliva,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09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saia, confeccionada em tecido sarja, na cor cinza,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10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jaqueta de parada masculina, confeccionada em tecido sarja, na cor verde-oliva,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11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camiseta meia-manga, na cor bege, gola dura, diversos tamanhos,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12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camiseta masculina, manga longa, na cor bege, fabricadas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13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quepe masculino, na cor verde-oliva, para oficiais e graduados, fabricadas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14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gandola de combate camuflado, tamanhos diversos, fabricado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15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calça de combate camuflada, confeccionada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16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jaleco, confeccionado na cor branca, fabricado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17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Confecção de calça, confeccionada na cor branca,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18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Camiseta sem manga para treinamento físico militar, na cor branca,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19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Calção, para treinamento físico militar, na cor verde-oliva, para oficiais e praças,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20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Camiseta meia manga camuflada, gola redonda, fabricada de acordo com as prescrições do RUE.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21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Serviço de bordado em camiseta, sem manga e meia manga camuflada.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22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Serviço de bordado em sutache.</w:t>
            </w:r>
          </w:p>
        </w:tc>
      </w:tr>
      <w:tr>
        <w:trPr/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/>
            </w:pPr>
            <w:r>
              <w:rPr/>
              <w:t>23</w:t>
            </w:r>
          </w:p>
        </w:tc>
        <w:tc>
          <w:tcPr>
            <w:tcW w:w="10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Serviço de bordado em sutache “tipagem sanguínea''.</w:t>
            </w:r>
          </w:p>
        </w:tc>
      </w:tr>
    </w:tbl>
    <w:p>
      <w:pPr>
        <w:pStyle w:val="ListParagraph"/>
        <w:widowControl/>
        <w:numPr>
          <w:ilvl w:val="0"/>
          <w:numId w:val="0"/>
        </w:numPr>
        <w:spacing w:lineRule="auto" w:line="360" w:before="0" w:after="0"/>
        <w:ind w:left="284" w:hanging="0"/>
        <w:contextualSpacing/>
        <w:jc w:val="both"/>
        <w:outlineLvl w:val="1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</w:r>
    </w:p>
    <w:p>
      <w:pPr>
        <w:pStyle w:val="ListParagraph"/>
        <w:widowControl/>
        <w:numPr>
          <w:ilvl w:val="1"/>
          <w:numId w:val="1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sz w:val="20"/>
          <w:szCs w:val="20"/>
        </w:rPr>
      </w:pPr>
      <w:bookmarkStart w:id="5" w:name="_Toc144559531"/>
      <w:r>
        <w:rPr>
          <w:rFonts w:eastAsia="Times New Roman"/>
          <w:b/>
          <w:sz w:val="20"/>
          <w:szCs w:val="20"/>
        </w:rPr>
        <w:t>Fontes consultadas (IN SEGES/ME nº 91/2022 – obras e serviços de engenharia)</w:t>
      </w:r>
      <w:bookmarkEnd w:id="5"/>
    </w:p>
    <w:p>
      <w:pPr>
        <w:pStyle w:val="ListParagraph"/>
        <w:widowControl/>
        <w:numPr>
          <w:ilvl w:val="2"/>
          <w:numId w:val="1"/>
        </w:numPr>
        <w:tabs>
          <w:tab w:val="clear" w:pos="720"/>
          <w:tab w:val="left" w:pos="851" w:leader="none"/>
        </w:tabs>
        <w:spacing w:lineRule="auto" w:line="360" w:before="0" w:after="0"/>
        <w:ind w:left="284" w:right="90" w:hanging="0"/>
        <w:contextualSpacing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Arial MT" w:cs="Arial MT"/>
          <w:color w:val="auto"/>
          <w:kern w:val="0"/>
          <w:sz w:val="22"/>
          <w:szCs w:val="22"/>
          <w:lang w:val="pt-PT" w:eastAsia="en-US" w:bidi="ar-SA"/>
        </w:rPr>
        <w:t>“</w:t>
      </w:r>
      <w:r>
        <w:rPr>
          <w:rFonts w:eastAsia="Arial MT" w:cs="Arial MT"/>
          <w:color w:val="auto"/>
          <w:kern w:val="0"/>
          <w:sz w:val="22"/>
          <w:szCs w:val="22"/>
          <w:lang w:val="pt-PT" w:eastAsia="en-US" w:bidi="ar-SA"/>
        </w:rPr>
        <w:t xml:space="preserve">Este parâmentro não foi utilizado por não terem sido encontrados processos passíveis de comparação em qualidade e dimensionamento que atendessem as necessidades conforme o objeto da pesquisa. Desta forma, a equipe recorreu à próxima fonte de consulta.” </w:t>
      </w:r>
    </w:p>
    <w:p>
      <w:pPr>
        <w:pStyle w:val="Normal"/>
        <w:spacing w:lineRule="auto" w:line="36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</w:r>
    </w:p>
    <w:p>
      <w:pPr>
        <w:pStyle w:val="ListParagraph"/>
        <w:widowControl/>
        <w:numPr>
          <w:ilvl w:val="2"/>
          <w:numId w:val="1"/>
        </w:numPr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Composição de custos unitários por meio da utilização de dados contidos em tabela de referência formalmente aprovada por órgãos ou entidades da administração pública federal: (Art. 6º, Dec. nº 7.983/13)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/>
      </w:pP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>“</w:t>
      </w: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>Este parâmentro não foi  utlizado porque não existem tabelas de referência formalmente aprovada por órgãos ou entidades da administração pública federal que que atendessem as necessidades conforme o objeto da pesquisa. Desta forma, a equipe recorreu à próxima fonte de consulta.”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Arial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</w:r>
    </w:p>
    <w:p>
      <w:pPr>
        <w:pStyle w:val="ListParagraph"/>
        <w:widowControl/>
        <w:numPr>
          <w:ilvl w:val="2"/>
          <w:numId w:val="1"/>
        </w:numPr>
        <w:tabs>
          <w:tab w:val="clear" w:pos="720"/>
          <w:tab w:val="left" w:pos="968" w:leader="none"/>
        </w:tabs>
        <w:suppressAutoHyphens w:val="true"/>
        <w:bidi w:val="0"/>
        <w:spacing w:lineRule="auto" w:line="360" w:before="0" w:after="0"/>
        <w:ind w:left="0" w:right="0" w:firstLine="283"/>
        <w:contextualSpacing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Composição de custos unitários por meio da utilização de dados contidos em publicações técnicas especializadas: </w:t>
      </w:r>
      <w:r>
        <w:rPr>
          <w:sz w:val="20"/>
          <w:szCs w:val="20"/>
        </w:rPr>
        <w:t>(Art. 6º, Dec. nº 7.983/13)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Arial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>“</w:t>
      </w: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 xml:space="preserve">Este parâmentro não foi  utlizado porque não existem publicações técnicas especializadas que que atendessem as necessidades conforme o objeto da pesquisa. Desta forma, a equipe recorreu à próxima fonte de consulta.” 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cs="Arial" w:ascii="Arial" w:hAnsi="Arial"/>
          <w:color w:val="FF0000"/>
          <w:sz w:val="20"/>
          <w:szCs w:val="20"/>
        </w:rPr>
      </w:r>
    </w:p>
    <w:p>
      <w:pPr>
        <w:pStyle w:val="ListParagraph"/>
        <w:widowControl/>
        <w:numPr>
          <w:ilvl w:val="2"/>
          <w:numId w:val="1"/>
        </w:numPr>
        <w:tabs>
          <w:tab w:val="clear" w:pos="720"/>
          <w:tab w:val="left" w:pos="1023" w:leader="none"/>
        </w:tabs>
        <w:suppressAutoHyphens w:val="true"/>
        <w:bidi w:val="0"/>
        <w:spacing w:lineRule="auto" w:line="360" w:before="0" w:after="0"/>
        <w:ind w:left="0" w:right="0" w:firstLine="283"/>
        <w:contextualSpacing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Composição de custos unitários por meio da utilização de dados contidos em sistema específico para o setor: </w:t>
      </w:r>
      <w:r>
        <w:rPr>
          <w:sz w:val="20"/>
          <w:szCs w:val="20"/>
        </w:rPr>
        <w:t>(Art. 6º, Dec. nº 7.983/13)</w:t>
      </w:r>
    </w:p>
    <w:p>
      <w:pPr>
        <w:pStyle w:val="Normal"/>
        <w:widowControl/>
        <w:tabs>
          <w:tab w:val="clear" w:pos="720"/>
          <w:tab w:val="left" w:pos="341" w:leader="none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Times New Roman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Times New Roman" w:cs="Arial" w:ascii="Arial" w:hAnsi="Arial"/>
          <w:color w:val="auto"/>
          <w:kern w:val="0"/>
          <w:sz w:val="20"/>
          <w:szCs w:val="20"/>
          <w:lang w:val="pt-PT" w:eastAsia="en-US" w:bidi="ar-SA"/>
        </w:rPr>
        <w:t>“</w:t>
      </w:r>
      <w:r>
        <w:rPr>
          <w:rFonts w:eastAsia="Times New Roman" w:cs="Arial" w:ascii="Arial" w:hAnsi="Arial"/>
          <w:color w:val="auto"/>
          <w:kern w:val="0"/>
          <w:sz w:val="20"/>
          <w:szCs w:val="20"/>
          <w:lang w:val="pt-PT" w:eastAsia="en-US" w:bidi="ar-SA"/>
        </w:rPr>
        <w:t xml:space="preserve">Este parâmentro não foi  utlizado porque não existem sistemas específicos para o setor que atendessem as necessidades conforme o objeto da pesquisa. Desta forma, a equipe recorreu à próxima fonte de consulta.” 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cs="Arial" w:ascii="Arial" w:hAnsi="Arial"/>
          <w:color w:val="FF0000"/>
          <w:sz w:val="20"/>
          <w:szCs w:val="20"/>
        </w:rPr>
      </w:r>
    </w:p>
    <w:p>
      <w:pPr>
        <w:pStyle w:val="ListParagraph"/>
        <w:widowControl/>
        <w:numPr>
          <w:ilvl w:val="1"/>
          <w:numId w:val="1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sz w:val="20"/>
          <w:szCs w:val="20"/>
        </w:rPr>
      </w:pPr>
      <w:bookmarkStart w:id="6" w:name="_Toc144559532"/>
      <w:r>
        <w:rPr>
          <w:rFonts w:eastAsia="Times New Roman"/>
          <w:b/>
          <w:sz w:val="20"/>
          <w:szCs w:val="20"/>
        </w:rPr>
        <w:t>Fontes consultadas (Inc. III, Art. 3º da IN SEGES/ME nº 65/2021 – bens e serviços comuns)</w:t>
      </w:r>
      <w:bookmarkEnd w:id="6"/>
    </w:p>
    <w:p>
      <w:pPr>
        <w:pStyle w:val="ListParagraph"/>
        <w:widowControl/>
        <w:numPr>
          <w:ilvl w:val="2"/>
          <w:numId w:val="1"/>
        </w:numPr>
        <w:spacing w:lineRule="auto" w:line="360" w:before="0" w:after="0"/>
        <w:contextualSpacing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Composição de custos unitários menores ou iguais à mediana do item correspondente no painel de preços ou no banco de preços em saúde disponíveis ou Portal Nacional de Contratações Públicas (PNCP), observado o índice de atualização de preços correspondente</w:t>
      </w:r>
      <w:r>
        <w:rPr>
          <w:sz w:val="20"/>
          <w:szCs w:val="20"/>
        </w:rPr>
        <w:t>: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Times New Roman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Times New Roman" w:cs="Arial" w:ascii="Arial" w:hAnsi="Arial"/>
          <w:color w:val="auto"/>
          <w:kern w:val="0"/>
          <w:sz w:val="20"/>
          <w:szCs w:val="20"/>
          <w:lang w:val="pt-PT" w:eastAsia="en-US" w:bidi="ar-SA"/>
        </w:rPr>
        <w:t>“</w:t>
      </w:r>
      <w:r>
        <w:rPr>
          <w:rFonts w:eastAsia="Times New Roman" w:cs="Arial" w:ascii="Arial" w:hAnsi="Arial"/>
          <w:color w:val="auto"/>
          <w:kern w:val="0"/>
          <w:sz w:val="20"/>
          <w:szCs w:val="20"/>
          <w:lang w:val="pt-PT" w:eastAsia="en-US" w:bidi="ar-SA"/>
        </w:rPr>
        <w:t xml:space="preserve">Este parâmentro não foi utilizado por não terem sido encontrados processos passíveis de comparação em qualidade e dimensionamento que atendessem as necessidades conforme o objeto da pesquisa. Desta forma, a equipe recorreu à próxima fonte de consulta.” 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cs="Arial" w:ascii="Arial" w:hAnsi="Arial"/>
          <w:color w:val="FF0000"/>
          <w:sz w:val="20"/>
          <w:szCs w:val="20"/>
        </w:rPr>
      </w:r>
    </w:p>
    <w:p>
      <w:pPr>
        <w:pStyle w:val="ListParagraph"/>
        <w:widowControl/>
        <w:numPr>
          <w:ilvl w:val="2"/>
          <w:numId w:val="1"/>
        </w:numPr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Contratações similares feitas pela Administração Pública, em execução ou concluídas no período de 1 (um) ano anterior à data da pesquisa de preços, inclusive mediante sistema de registro de preços, observado o índice de atualização de preços correspondente</w:t>
      </w:r>
      <w:r>
        <w:rPr>
          <w:sz w:val="20"/>
          <w:szCs w:val="20"/>
        </w:rPr>
        <w:t>.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Times New Roman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Times New Roman" w:cs="Arial" w:ascii="Arial" w:hAnsi="Arial"/>
          <w:color w:val="auto"/>
          <w:kern w:val="0"/>
          <w:sz w:val="20"/>
          <w:szCs w:val="20"/>
          <w:lang w:val="pt-PT" w:eastAsia="en-US" w:bidi="ar-SA"/>
        </w:rPr>
        <w:t>“</w:t>
      </w:r>
      <w:r>
        <w:rPr>
          <w:rFonts w:eastAsia="Times New Roman" w:cs="Arial" w:ascii="Arial" w:hAnsi="Arial"/>
          <w:color w:val="auto"/>
          <w:kern w:val="0"/>
          <w:sz w:val="20"/>
          <w:szCs w:val="20"/>
          <w:lang w:val="pt-PT" w:eastAsia="en-US" w:bidi="ar-SA"/>
        </w:rPr>
        <w:t xml:space="preserve">Este parâmentro não foi utilizado por não terem sido encontrados processos passíveis de comparação em qualidade e dimensionamento que atendessem as necessidades conforme o objeto da pesquisa. Desta forma, a equipe recorreu à próxima fonte de consulta.” 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Times New Roman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Times New Roman" w:cs="Arial" w:ascii="Arial" w:hAnsi="Arial"/>
          <w:color w:val="auto"/>
          <w:kern w:val="0"/>
          <w:sz w:val="20"/>
          <w:szCs w:val="20"/>
          <w:lang w:val="pt-PT" w:eastAsia="en-US" w:bidi="ar-SA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cs="Arial" w:ascii="Arial" w:hAnsi="Arial"/>
          <w:color w:val="FF0000"/>
          <w:sz w:val="20"/>
          <w:szCs w:val="20"/>
        </w:rPr>
      </w:r>
    </w:p>
    <w:p>
      <w:pPr>
        <w:pStyle w:val="ListParagraph"/>
        <w:widowControl/>
        <w:numPr>
          <w:ilvl w:val="2"/>
          <w:numId w:val="1"/>
        </w:numPr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Utilização de dados de pesquisa publicada em mídia especializada, de tabela de referência formalmente aprovada pelo Poder Executivo federal e de sítios eletrônicos especializados ou de domínio amplo, desde que contenham a data e hora de acesso, e compreendidos no intervalo de até 6 (seis) meses de antecedência da data de divulgação do edital, contendo a data e a hora de acesso</w:t>
      </w:r>
      <w:r>
        <w:rPr>
          <w:rFonts w:eastAsia="Times New Roman"/>
          <w:sz w:val="20"/>
          <w:szCs w:val="20"/>
        </w:rPr>
        <w:t>: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Arial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>“</w:t>
      </w: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 xml:space="preserve">Este parâmentro não foi utilizado por não terem sido encontrados processos passíveis de comparação em qualidade e dimensionamento que atendessem as necessidades conforme o objeto da pesquisa. Desta forma, a equipe recorreu à próxima fonte de consulta.” 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Arial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</w:r>
    </w:p>
    <w:p>
      <w:pPr>
        <w:pStyle w:val="ListParagraph"/>
        <w:widowControl/>
        <w:numPr>
          <w:ilvl w:val="2"/>
          <w:numId w:val="1"/>
        </w:numPr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Pesquisa direta com fornecedores, mediante solicitação formal de cotação, desde que os orçamentos considerados estejam compreendidos no intervalo de até 6 (seis) meses de antecedência da data de divulgação do edital: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Arial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>“</w:t>
      </w: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 xml:space="preserve">Este parâmentro não foi utilizado por não terem sido encontrados processos passíveis de comparação em qualidade e dimensionamento que atendessem as necessidades conforme o objeto da pesquisa. Desta forma, a equipe recorreu à próxima fonte de consulta.” 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cs="Arial" w:ascii="Arial" w:hAnsi="Arial"/>
          <w:color w:val="FF0000"/>
          <w:sz w:val="20"/>
          <w:szCs w:val="20"/>
        </w:rPr>
      </w:r>
    </w:p>
    <w:p>
      <w:pPr>
        <w:pStyle w:val="ListParagraph"/>
        <w:widowControl/>
        <w:numPr>
          <w:ilvl w:val="3"/>
          <w:numId w:val="1"/>
        </w:numPr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Fornecedores consultados que apresentaram cotações:</w:t>
      </w:r>
    </w:p>
    <w:tbl>
      <w:tblPr>
        <w:tblW w:w="11057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1" w:lastRow="0" w:firstColumn="1" w:lastColumn="0" w:noHBand="0" w:val="04a0"/>
      </w:tblPr>
      <w:tblGrid>
        <w:gridCol w:w="3677"/>
        <w:gridCol w:w="4541"/>
        <w:gridCol w:w="2839"/>
      </w:tblGrid>
      <w:tr>
        <w:trPr>
          <w:trHeight w:val="371" w:hRule="atLeast"/>
        </w:trPr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suppressLineNumbers/>
              <w:suppressAutoHyphens w:val="true"/>
              <w:snapToGrid w:val="false"/>
              <w:spacing w:before="67" w:after="0"/>
              <w:ind w:left="360" w:right="282" w:hanging="0"/>
              <w:jc w:val="center"/>
              <w:textAlignment w:val="baseline"/>
              <w:rPr>
                <w:color w:val="000000"/>
              </w:rPr>
            </w:pPr>
            <w:r>
              <w:rPr>
                <w:rFonts w:eastAsia="Times New Roman"/>
                <w:b/>
                <w:bCs/>
                <w:iCs/>
                <w:color w:val="000000"/>
                <w:sz w:val="20"/>
                <w:szCs w:val="20"/>
                <w:lang w:eastAsia="ar-SA"/>
              </w:rPr>
              <w:t>Fonte utilizada para os seguintes itens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suppressLineNumbers/>
              <w:suppressAutoHyphens w:val="true"/>
              <w:snapToGrid w:val="false"/>
              <w:spacing w:before="67" w:after="0"/>
              <w:ind w:left="360" w:right="282" w:hanging="0"/>
              <w:jc w:val="center"/>
              <w:textAlignment w:val="baseline"/>
              <w:rPr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Razão social e CNPJ/MF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textAlignment w:val="baseline"/>
              <w:rPr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Comprovante da resposta </w:t>
            </w:r>
          </w:p>
        </w:tc>
      </w:tr>
      <w:tr>
        <w:trPr>
          <w:trHeight w:val="283" w:hRule="atLeast"/>
        </w:trPr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pt-PT" w:eastAsia="en-US" w:bidi="ar-SA"/>
              </w:rPr>
              <w:t>01 a 23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pt-PT" w:eastAsia="en-US" w:bidi="ar-SA"/>
              </w:rPr>
              <w:t xml:space="preserve">CNPJ 11.863.056/0001-96 </w:t>
            </w:r>
          </w:p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pt-PT" w:eastAsia="en-US" w:bidi="ar-SA"/>
              </w:rPr>
              <w:t xml:space="preserve">FELIPE CORREA BOFF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baseline"/>
              <w:rPr>
                <w:rFonts w:ascii="Arial" w:hAnsi="Arial" w:eastAsia="Arial" w:cs="Arial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pt-PT" w:eastAsia="en-US" w:bidi="ar-SA"/>
              </w:rPr>
              <w:t>Anexo A</w:t>
            </w:r>
          </w:p>
        </w:tc>
      </w:tr>
      <w:tr>
        <w:trPr>
          <w:trHeight w:val="283" w:hRule="atLeast"/>
        </w:trPr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pt-PT" w:eastAsia="en-US" w:bidi="ar-SA"/>
              </w:rPr>
              <w:t>01 a 23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pt-PT" w:eastAsia="en-US" w:bidi="ar-SA"/>
              </w:rPr>
              <w:t>CNPJ 03.625.674/0001-70</w:t>
            </w:r>
          </w:p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pt-PT" w:eastAsia="en-US" w:bidi="ar-SA"/>
              </w:rPr>
              <w:t>Razão Social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baseline"/>
              <w:rPr>
                <w:rFonts w:ascii="Arial" w:hAnsi="Arial" w:eastAsia="Arial" w:cs="Arial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pt-PT" w:eastAsia="en-US" w:bidi="ar-SA"/>
              </w:rPr>
              <w:t>Anexo B</w:t>
            </w:r>
          </w:p>
        </w:tc>
      </w:tr>
    </w:tbl>
    <w:p>
      <w:pPr>
        <w:pStyle w:val="Normal"/>
        <w:widowControl/>
        <w:spacing w:lineRule="auto" w:line="360"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widowControl/>
        <w:numPr>
          <w:ilvl w:val="3"/>
          <w:numId w:val="1"/>
        </w:numPr>
        <w:spacing w:lineRule="auto" w:line="360" w:before="0" w:after="0"/>
        <w:contextualSpacing/>
        <w:jc w:val="both"/>
        <w:rPr>
          <w:color w:val="FF0000"/>
          <w:sz w:val="20"/>
          <w:szCs w:val="20"/>
        </w:rPr>
      </w:pPr>
      <w:r>
        <w:rPr>
          <w:sz w:val="20"/>
          <w:szCs w:val="20"/>
        </w:rPr>
        <w:t>Fornecedores consultados que não apresentaram cotações:</w:t>
      </w:r>
    </w:p>
    <w:tbl>
      <w:tblPr>
        <w:tblW w:w="11057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1" w:lastRow="0" w:firstColumn="1" w:lastColumn="0" w:noHBand="0" w:val="04a0"/>
      </w:tblPr>
      <w:tblGrid>
        <w:gridCol w:w="3677"/>
        <w:gridCol w:w="4541"/>
        <w:gridCol w:w="2839"/>
      </w:tblGrid>
      <w:tr>
        <w:trPr>
          <w:trHeight w:val="371" w:hRule="atLeast"/>
        </w:trPr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suppressLineNumbers/>
              <w:suppressAutoHyphens w:val="true"/>
              <w:snapToGrid w:val="false"/>
              <w:spacing w:before="67" w:after="0"/>
              <w:ind w:left="360" w:right="282" w:hanging="0"/>
              <w:jc w:val="center"/>
              <w:textAlignment w:val="baseline"/>
              <w:rPr>
                <w:color w:val="000000"/>
              </w:rPr>
            </w:pPr>
            <w:r>
              <w:rPr>
                <w:rFonts w:eastAsia="Times New Roman"/>
                <w:b/>
                <w:bCs/>
                <w:iCs/>
                <w:color w:val="000000"/>
                <w:sz w:val="20"/>
                <w:szCs w:val="20"/>
                <w:lang w:eastAsia="ar-SA"/>
              </w:rPr>
              <w:t>Fonte utilizada para os seguintes itens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suppressLineNumbers/>
              <w:suppressAutoHyphens w:val="true"/>
              <w:snapToGrid w:val="false"/>
              <w:spacing w:before="67" w:after="0"/>
              <w:ind w:left="360" w:right="282" w:hanging="0"/>
              <w:jc w:val="center"/>
              <w:textAlignment w:val="baseline"/>
              <w:rPr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Razão social e CNPJ/MF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textAlignment w:val="baseline"/>
              <w:rPr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ar-SA"/>
              </w:rPr>
              <w:t>Comprovante da soliticação</w:t>
            </w:r>
          </w:p>
        </w:tc>
      </w:tr>
      <w:tr>
        <w:trPr>
          <w:trHeight w:val="283" w:hRule="atLeast"/>
        </w:trPr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01 a 23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hanging="0"/>
              <w:jc w:val="center"/>
              <w:textAlignment w:val="baseline"/>
              <w:rPr/>
            </w:pPr>
            <w:r>
              <w:rPr/>
              <w:t>CNPJ 91.746.123/0001-21</w:t>
            </w:r>
          </w:p>
          <w:p>
            <w:pPr>
              <w:pStyle w:val="Normal"/>
              <w:widowControl w:val="false"/>
              <w:suppressLineNumbers/>
              <w:suppressAutoHyphens w:val="true"/>
              <w:ind w:hanging="0"/>
              <w:jc w:val="center"/>
              <w:textAlignment w:val="baseline"/>
              <w:rPr/>
            </w:pPr>
            <w:r>
              <w:rPr/>
              <w:t>FEDU ARTIGOD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baseline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Anexo C</w:t>
            </w:r>
          </w:p>
        </w:tc>
      </w:tr>
      <w:tr>
        <w:trPr>
          <w:trHeight w:val="283" w:hRule="atLeast"/>
        </w:trPr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01 a 23</w:t>
            </w:r>
          </w:p>
        </w:tc>
        <w:tc>
          <w:tcPr>
            <w:tcW w:w="45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/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 xml:space="preserve">CNPJ </w:t>
            </w: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51.717.656/0001-60</w:t>
            </w: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Brasão Militar</w:t>
            </w:r>
          </w:p>
        </w:tc>
        <w:tc>
          <w:tcPr>
            <w:tcW w:w="2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baseline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 xml:space="preserve">Anexo </w:t>
            </w: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D</w:t>
            </w:r>
          </w:p>
        </w:tc>
      </w:tr>
      <w:tr>
        <w:trPr>
          <w:trHeight w:val="283" w:hRule="atLeast"/>
        </w:trPr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01 a 23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/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 xml:space="preserve">CNPJ </w:t>
            </w: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26.643.765/0001-33</w:t>
            </w:r>
          </w:p>
          <w:p>
            <w:pPr>
              <w:pStyle w:val="Normal"/>
              <w:widowControl w:val="false"/>
              <w:suppressLineNumbers/>
              <w:suppressAutoHyphens w:val="true"/>
              <w:ind w:left="266" w:hanging="266"/>
              <w:jc w:val="center"/>
              <w:textAlignment w:val="baseline"/>
              <w:rPr/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M</w:t>
            </w: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undo das Túnicas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textAlignment w:val="baseline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</w:pP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 xml:space="preserve">Anexo </w:t>
            </w:r>
            <w:r>
              <w:rPr>
                <w:rFonts w:eastAsia="Arial" w:cs="Arial" w:ascii="Arial" w:hAnsi="Arial"/>
                <w:i w:val="false"/>
                <w:iCs w:val="false"/>
                <w:color w:val="auto"/>
                <w:kern w:val="0"/>
                <w:sz w:val="20"/>
                <w:szCs w:val="20"/>
                <w:lang w:val="pt-PT" w:eastAsia="en-US" w:bidi="ar-SA"/>
              </w:rPr>
              <w:t>E</w:t>
            </w:r>
          </w:p>
        </w:tc>
      </w:tr>
    </w:tbl>
    <w:p>
      <w:pPr>
        <w:pStyle w:val="Normal"/>
        <w:widowControl/>
        <w:spacing w:lineRule="auto" w:line="360" w:before="0" w:after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cs="Arial" w:ascii="Arial" w:hAnsi="Arial"/>
          <w:color w:val="FF0000"/>
          <w:sz w:val="20"/>
          <w:szCs w:val="20"/>
        </w:rPr>
      </w:r>
    </w:p>
    <w:p>
      <w:pPr>
        <w:pStyle w:val="ListParagraph"/>
        <w:widowControl/>
        <w:numPr>
          <w:ilvl w:val="3"/>
          <w:numId w:val="1"/>
        </w:numPr>
        <w:spacing w:lineRule="auto" w:line="360" w:before="67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Justificativa da escolha dos fornecedores: </w:t>
      </w:r>
      <w:r>
        <w:rPr>
          <w:rFonts w:eastAsia="Arial" w:cs="Arial"/>
          <w:color w:val="auto"/>
          <w:kern w:val="0"/>
          <w:sz w:val="20"/>
          <w:szCs w:val="20"/>
          <w:lang w:val="pt-PT" w:eastAsia="en-US" w:bidi="ar-SA"/>
        </w:rPr>
        <w:t>para o levantamento de fornecedores para realização da Pesquisa de Preços, a equipe não localizou via SICAF, foi feita pesquisa via internet. De posse desta lista de fornecedores, a equipe encaminhou solicitação de cotação. Conforme, segue acima, para todos os e-mails cadastrados no SICAF.</w:t>
      </w:r>
    </w:p>
    <w:p>
      <w:pPr>
        <w:pStyle w:val="ListParagraph"/>
        <w:widowControl/>
        <w:numPr>
          <w:ilvl w:val="2"/>
          <w:numId w:val="1"/>
        </w:numPr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Pesquisa na base nacional de notas fiscais eletrónicas, desde que a data das notas fiscais esteja compreendida no período de até 1 (um) ano anterior à data de divulgação do edital, conforme disposto no Caderno de Logística, elaborado pela Secretaria de Gestão da Secretaria Especial de Desburocratização, </w:t>
      </w:r>
      <w:r>
        <w:rPr>
          <w:rFonts w:eastAsia="Arial" w:cs="Arial"/>
          <w:color w:val="auto"/>
          <w:kern w:val="0"/>
          <w:sz w:val="20"/>
          <w:szCs w:val="20"/>
          <w:lang w:val="pt-PT" w:eastAsia="en-US" w:bidi="ar-SA"/>
        </w:rPr>
        <w:t>Gestão e Governo Digital do Ministério da Economia: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eastAsia="Arial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>“</w:t>
      </w:r>
      <w:r>
        <w:rPr>
          <w:rFonts w:eastAsia="Arial" w:cs="Arial" w:ascii="Arial" w:hAnsi="Arial"/>
          <w:color w:val="auto"/>
          <w:kern w:val="0"/>
          <w:sz w:val="20"/>
          <w:szCs w:val="20"/>
          <w:lang w:val="pt-PT" w:eastAsia="en-US" w:bidi="ar-SA"/>
        </w:rPr>
        <w:t xml:space="preserve">Este parâmentro não foi utilizado porque foi priorizada a fonte de consulta anterior.” </w:t>
      </w:r>
    </w:p>
    <w:p>
      <w:pPr>
        <w:pStyle w:val="Normal"/>
        <w:widowControl/>
        <w:tabs>
          <w:tab w:val="clear" w:pos="720"/>
          <w:tab w:val="left" w:pos="851" w:leader="none"/>
        </w:tabs>
        <w:spacing w:lineRule="auto" w:line="360" w:before="0" w:after="0"/>
        <w:ind w:left="284" w:hanging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cs="Arial" w:ascii="Arial" w:hAnsi="Arial"/>
          <w:color w:val="FF0000"/>
          <w:sz w:val="20"/>
          <w:szCs w:val="20"/>
        </w:rPr>
      </w:r>
    </w:p>
    <w:p>
      <w:pPr>
        <w:pStyle w:val="ListParagraph"/>
        <w:widowControl/>
        <w:numPr>
          <w:ilvl w:val="0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vanish/>
          <w:sz w:val="20"/>
          <w:szCs w:val="20"/>
        </w:rPr>
      </w:pPr>
      <w:r>
        <w:rPr>
          <w:rFonts w:eastAsia="Times New Roman"/>
          <w:b/>
          <w:vanish/>
          <w:sz w:val="20"/>
          <w:szCs w:val="20"/>
        </w:rPr>
      </w:r>
    </w:p>
    <w:p>
      <w:pPr>
        <w:pStyle w:val="ListParagraph"/>
        <w:widowControl/>
        <w:numPr>
          <w:ilvl w:val="0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vanish/>
          <w:sz w:val="20"/>
          <w:szCs w:val="20"/>
        </w:rPr>
      </w:pPr>
      <w:r>
        <w:rPr>
          <w:rFonts w:eastAsia="Times New Roman"/>
          <w:b/>
          <w:vanish/>
          <w:sz w:val="20"/>
          <w:szCs w:val="20"/>
        </w:rPr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vanish/>
          <w:sz w:val="20"/>
          <w:szCs w:val="20"/>
        </w:rPr>
      </w:pPr>
      <w:r>
        <w:rPr>
          <w:rFonts w:eastAsia="Times New Roman"/>
          <w:b/>
          <w:vanish/>
          <w:sz w:val="20"/>
          <w:szCs w:val="20"/>
        </w:rPr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vanish/>
          <w:sz w:val="20"/>
          <w:szCs w:val="20"/>
        </w:rPr>
      </w:pPr>
      <w:r>
        <w:rPr>
          <w:rFonts w:eastAsia="Times New Roman"/>
          <w:b/>
          <w:vanish/>
          <w:sz w:val="20"/>
          <w:szCs w:val="20"/>
        </w:rPr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vanish/>
          <w:sz w:val="20"/>
          <w:szCs w:val="20"/>
        </w:rPr>
      </w:pPr>
      <w:r>
        <w:rPr>
          <w:rFonts w:eastAsia="Times New Roman"/>
          <w:b/>
          <w:vanish/>
          <w:sz w:val="20"/>
          <w:szCs w:val="20"/>
        </w:rPr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  <w:t xml:space="preserve">Série de preços coletados </w:t>
      </w:r>
    </w:p>
    <w:p>
      <w:pPr>
        <w:pStyle w:val="ListParagraph"/>
        <w:widowControl/>
        <w:numPr>
          <w:ilvl w:val="2"/>
          <w:numId w:val="2"/>
        </w:numPr>
        <w:spacing w:lineRule="auto" w:line="360" w:before="0" w:after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A série de preços coletados encontram-se em planilha específica no documento “Mapa Comparativo” neste mesmo processo.</w:t>
      </w:r>
    </w:p>
    <w:p>
      <w:pPr>
        <w:pStyle w:val="ListParagraph"/>
        <w:widowControl/>
        <w:numPr>
          <w:ilvl w:val="0"/>
          <w:numId w:val="0"/>
        </w:numPr>
        <w:spacing w:lineRule="auto" w:line="360" w:before="0" w:after="0"/>
        <w:ind w:left="792" w:hanging="0"/>
        <w:contextualSpacing/>
        <w:jc w:val="both"/>
        <w:outlineLvl w:val="1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sz w:val="20"/>
          <w:szCs w:val="20"/>
        </w:rPr>
      </w:pPr>
      <w:bookmarkStart w:id="7" w:name="_Toc144559533"/>
      <w:r>
        <w:rPr>
          <w:rFonts w:eastAsia="Times New Roman"/>
          <w:b/>
          <w:sz w:val="20"/>
          <w:szCs w:val="20"/>
        </w:rPr>
        <w:t>Metodologia aplicada (Inc. IV, V, VI, VII do Art. 3º da IN SEGES/ME nº 65/2021)</w:t>
      </w:r>
      <w:bookmarkEnd w:id="7"/>
    </w:p>
    <w:p>
      <w:pPr>
        <w:pStyle w:val="ListParagraph"/>
        <w:widowControl/>
        <w:numPr>
          <w:ilvl w:val="2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FF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Justificativa da utilização de outras metodologias para estimativa de preços além da média, mediana ou men</w:t>
      </w:r>
      <w:r>
        <w:rPr>
          <w:rFonts w:eastAsia="Times New Roman" w:cs="Arial"/>
          <w:color w:val="000000"/>
          <w:kern w:val="0"/>
          <w:sz w:val="20"/>
          <w:szCs w:val="20"/>
          <w:lang w:val="pt-PT" w:eastAsia="en-US" w:bidi="ar-SA"/>
        </w:rPr>
        <w:t>or valor: não foram utilizadas outras metodologias.</w:t>
      </w:r>
    </w:p>
    <w:p>
      <w:pPr>
        <w:pStyle w:val="ListParagraph"/>
        <w:widowControl/>
        <w:numPr>
          <w:ilvl w:val="2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Justificativa da utilização de menos de três orçamentos para as estimativas: </w:t>
      </w:r>
      <w:r>
        <w:rPr>
          <w:rFonts w:eastAsia="Times New Roman" w:cs="Arial"/>
          <w:color w:val="000000"/>
          <w:kern w:val="0"/>
          <w:sz w:val="20"/>
          <w:szCs w:val="20"/>
          <w:lang w:val="pt-PT" w:eastAsia="en-US" w:bidi="ar-SA"/>
        </w:rPr>
        <w:t>foram usados menos de três orçamentos para a estimativas nos itens 1 a 23, tendo em vista que as empresas consultadas não disponibilizaram o orçamento.</w:t>
      </w:r>
    </w:p>
    <w:p>
      <w:pPr>
        <w:pStyle w:val="ListParagraph"/>
        <w:widowControl/>
        <w:numPr>
          <w:ilvl w:val="2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</w:rPr>
      </w:pPr>
      <w:r>
        <w:rPr>
          <w:rFonts w:eastAsia="Times New Roman" w:cs="Arial"/>
          <w:color w:val="000000"/>
          <w:kern w:val="0"/>
          <w:sz w:val="20"/>
          <w:szCs w:val="20"/>
          <w:lang w:val="pt-PT" w:eastAsia="en-US" w:bidi="ar-SA"/>
        </w:rPr>
        <w:t>Valores inexequíveis, inconsiste</w:t>
      </w:r>
      <w:r>
        <w:rPr>
          <w:rFonts w:eastAsia="Times New Roman"/>
          <w:color w:val="000000"/>
          <w:sz w:val="20"/>
          <w:szCs w:val="20"/>
        </w:rPr>
        <w:t>ntes ou excessivamente elevados:</w:t>
      </w:r>
    </w:p>
    <w:p>
      <w:pPr>
        <w:pStyle w:val="ListParagraph"/>
        <w:widowControl/>
        <w:numPr>
          <w:ilvl w:val="3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Valores desconsiderados</w:t>
      </w:r>
      <w:r>
        <w:rPr>
          <w:rFonts w:eastAsia="Times New Roman" w:cs="Arial"/>
          <w:color w:val="000000"/>
          <w:kern w:val="0"/>
          <w:sz w:val="20"/>
          <w:szCs w:val="20"/>
          <w:lang w:val="pt-PT" w:eastAsia="en-US" w:bidi="ar-SA"/>
        </w:rPr>
        <w:t>: não houve valores desconsiderados.</w:t>
      </w:r>
    </w:p>
    <w:p>
      <w:pPr>
        <w:pStyle w:val="ListParagraph"/>
        <w:widowControl/>
        <w:numPr>
          <w:ilvl w:val="3"/>
          <w:numId w:val="2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000000"/>
          <w:kern w:val="0"/>
          <w:sz w:val="20"/>
          <w:szCs w:val="20"/>
          <w:lang w:val="pt-PT" w:eastAsia="en-US" w:bidi="ar-SA"/>
        </w:rPr>
      </w:pPr>
      <w:r>
        <w:rPr>
          <w:rFonts w:eastAsia="Times New Roman" w:cs="Arial"/>
          <w:color w:val="000000"/>
          <w:kern w:val="0"/>
          <w:sz w:val="20"/>
          <w:szCs w:val="20"/>
          <w:lang w:val="pt-PT" w:eastAsia="en-US" w:bidi="ar-SA"/>
        </w:rPr>
        <w:t>Critérios adotados para a desconsideração dos valores e sua fundamentação: não houve valores desconsiderados.</w:t>
      </w:r>
    </w:p>
    <w:p>
      <w:pPr>
        <w:pStyle w:val="ListParagraph"/>
        <w:widowControl/>
        <w:numPr>
          <w:ilvl w:val="2"/>
          <w:numId w:val="2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000000"/>
          <w:kern w:val="0"/>
          <w:sz w:val="20"/>
          <w:szCs w:val="20"/>
          <w:lang w:val="pt-PT" w:eastAsia="en-US" w:bidi="ar-SA"/>
        </w:rPr>
      </w:pPr>
      <w:r>
        <w:rPr>
          <w:rFonts w:eastAsia="Times New Roman" w:cs="Arial"/>
          <w:color w:val="000000"/>
          <w:kern w:val="0"/>
          <w:sz w:val="20"/>
          <w:szCs w:val="20"/>
          <w:lang w:val="pt-PT" w:eastAsia="en-US" w:bidi="ar-SA"/>
        </w:rPr>
        <w:t>A Equipe de Planejamento da contratação deste processo certifica que o valor previamente estimado da contratação está compatível com os valores praticados pelo mercado, considerados os preços constantes de bancos de dados públicos e as quantidades a serem contratadas, observadas a potencial economia de escala e as peculiaridades do local de execução do objeto.</w:t>
      </w:r>
    </w:p>
    <w:p>
      <w:pPr>
        <w:pStyle w:val="ListParagraph"/>
        <w:widowControl/>
        <w:numPr>
          <w:ilvl w:val="2"/>
          <w:numId w:val="2"/>
        </w:numPr>
        <w:spacing w:lineRule="auto" w:line="360" w:before="0" w:after="0"/>
        <w:contextualSpacing/>
        <w:jc w:val="both"/>
        <w:rPr>
          <w:rFonts w:eastAsia="Calibri"/>
          <w:color w:val="00B0F0"/>
          <w:sz w:val="20"/>
          <w:szCs w:val="20"/>
        </w:rPr>
      </w:pPr>
      <w:r>
        <w:rPr>
          <w:rFonts w:eastAsia="Calibri"/>
          <w:sz w:val="20"/>
          <w:szCs w:val="20"/>
        </w:rPr>
        <w:t>A Equipe de Planejamento da contratação deste p</w:t>
      </w:r>
      <w:r>
        <w:rPr>
          <w:rFonts w:eastAsia="Calibri" w:cs="Arial"/>
          <w:color w:val="auto"/>
          <w:kern w:val="0"/>
          <w:sz w:val="20"/>
          <w:szCs w:val="20"/>
          <w:lang w:val="pt-PT" w:eastAsia="en-US" w:bidi="ar-SA"/>
        </w:rPr>
        <w:t>rocesso certifica que o preço estimado foi obtido com base em pelo menos três preços ou foram apresentadas as justificativas para a hipótese excepcional em que não for respeitado referido número mínimo.</w:t>
      </w:r>
    </w:p>
    <w:p>
      <w:pPr>
        <w:pStyle w:val="ListParagraph"/>
        <w:widowControl/>
        <w:numPr>
          <w:ilvl w:val="2"/>
          <w:numId w:val="2"/>
        </w:numPr>
        <w:tabs>
          <w:tab w:val="clear" w:pos="720"/>
          <w:tab w:val="left" w:pos="4245" w:leader="none"/>
        </w:tabs>
        <w:spacing w:lineRule="auto" w:line="360" w:before="0" w:after="0"/>
        <w:contextualSpacing/>
        <w:jc w:val="both"/>
        <w:rPr>
          <w:rFonts w:eastAsia="Calibri"/>
          <w:color w:val="00B0F0"/>
          <w:sz w:val="20"/>
          <w:szCs w:val="20"/>
        </w:rPr>
      </w:pPr>
      <w:r>
        <w:rPr>
          <w:rFonts w:eastAsia="Calibri"/>
          <w:sz w:val="20"/>
          <w:szCs w:val="20"/>
        </w:rPr>
        <w:t>A Equipe de Planejamento da contratação des</w:t>
      </w:r>
      <w:r>
        <w:rPr>
          <w:rFonts w:eastAsia="Calibri" w:cs="Arial"/>
          <w:color w:val="auto"/>
          <w:kern w:val="0"/>
          <w:sz w:val="20"/>
          <w:szCs w:val="20"/>
          <w:lang w:val="pt-PT" w:eastAsia="en-US" w:bidi="ar-SA"/>
        </w:rPr>
        <w:t>te processo certifica que caso o preço tenha sido obtido unicamente com base nos sistemas oficiais de governo, como Painel de Preços ou banco de preços em saúde, foi certificado que o valor estimado não é superior à mediana do item nos sistemas consultados.</w:t>
      </w:r>
    </w:p>
    <w:p>
      <w:pPr>
        <w:pStyle w:val="ListParagraph"/>
        <w:widowControl/>
        <w:numPr>
          <w:ilvl w:val="2"/>
          <w:numId w:val="2"/>
        </w:numPr>
        <w:tabs>
          <w:tab w:val="clear" w:pos="720"/>
          <w:tab w:val="left" w:pos="4245" w:leader="none"/>
          <w:tab w:val="left" w:pos="7256" w:leader="none"/>
        </w:tabs>
        <w:spacing w:lineRule="auto" w:line="360" w:before="0" w:after="0"/>
        <w:contextualSpacing/>
        <w:jc w:val="both"/>
        <w:rPr>
          <w:rFonts w:eastAsia="Calibri"/>
          <w:color w:val="00B0F0"/>
          <w:sz w:val="20"/>
          <w:szCs w:val="20"/>
        </w:rPr>
      </w:pPr>
      <w:r>
        <w:rPr>
          <w:rFonts w:eastAsia="Calibri"/>
          <w:sz w:val="20"/>
          <w:szCs w:val="20"/>
        </w:rPr>
        <w:t>A Equipe de Planejamento da contratação deste pro</w:t>
      </w:r>
      <w:r>
        <w:rPr>
          <w:rFonts w:eastAsia="Calibri" w:cs="Arial"/>
          <w:color w:val="auto"/>
          <w:kern w:val="0"/>
          <w:sz w:val="20"/>
          <w:szCs w:val="20"/>
          <w:lang w:val="pt-PT" w:eastAsia="en-US" w:bidi="ar-SA"/>
        </w:rPr>
        <w:t>cesso certifica que foram priorizados na pesquisa de preços os sistemas oficiais de governo, como Painel de Preços ou banco de preços em saúde, e contratações similares feitas pela Administração Pública, ou justificada a impossibilidade de utilização dessas fontes.</w:t>
      </w:r>
    </w:p>
    <w:p>
      <w:pPr>
        <w:pStyle w:val="Corpodotexto"/>
        <w:ind w:left="720" w:hanging="0"/>
        <w:rPr>
          <w:rFonts w:ascii="Arial" w:hAnsi="Arial" w:eastAsia="Calibri" w:cs="Arial"/>
          <w:color w:val="auto"/>
          <w:kern w:val="0"/>
          <w:sz w:val="20"/>
          <w:szCs w:val="20"/>
          <w:lang w:val="pt-PT" w:eastAsia="en-US" w:bidi="ar-SA"/>
        </w:rPr>
      </w:pPr>
      <w:r>
        <w:rPr>
          <w:rFonts w:eastAsia="Calibri" w:cs="Arial" w:ascii="Arial" w:hAnsi="Arial"/>
          <w:color w:val="auto"/>
          <w:kern w:val="0"/>
          <w:sz w:val="20"/>
          <w:szCs w:val="20"/>
          <w:lang w:val="pt-PT" w:eastAsia="en-US" w:bidi="ar-SA"/>
        </w:rPr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bCs/>
          <w:color w:val="000000"/>
          <w:sz w:val="20"/>
          <w:szCs w:val="20"/>
        </w:rPr>
      </w:pPr>
      <w:bookmarkStart w:id="8" w:name="_Toc144559534"/>
      <w:r>
        <w:rPr>
          <w:b/>
          <w:bCs/>
          <w:sz w:val="20"/>
          <w:szCs w:val="20"/>
        </w:rPr>
        <w:t>Memória de cálculo da estimativa de preços</w:t>
      </w:r>
      <w:bookmarkEnd w:id="8"/>
    </w:p>
    <w:p>
      <w:pPr>
        <w:pStyle w:val="ListParagraph"/>
        <w:widowControl/>
        <w:numPr>
          <w:ilvl w:val="2"/>
          <w:numId w:val="2"/>
        </w:numPr>
        <w:spacing w:lineRule="auto" w:line="360" w:before="0" w:after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A memória de cálculo dos </w:t>
      </w:r>
      <w:r>
        <w:rPr>
          <w:rFonts w:eastAsia="Calibri" w:cs="Arial"/>
          <w:color w:val="auto"/>
          <w:kern w:val="0"/>
          <w:sz w:val="20"/>
          <w:szCs w:val="20"/>
          <w:lang w:val="pt-PT" w:eastAsia="en-US" w:bidi="ar-SA"/>
        </w:rPr>
        <w:t>preços coletados encontra-se em planilha específica no documento “Mapa Comparativo de Preços” ne</w:t>
      </w:r>
      <w:r>
        <w:rPr>
          <w:rFonts w:eastAsia="Calibri"/>
          <w:sz w:val="20"/>
          <w:szCs w:val="20"/>
        </w:rPr>
        <w:t>ste mesmo processo.</w:t>
      </w:r>
    </w:p>
    <w:p>
      <w:pPr>
        <w:pStyle w:val="ListParagraph"/>
        <w:widowControl/>
        <w:spacing w:lineRule="auto" w:line="360" w:before="0" w:after="0"/>
        <w:ind w:left="1224" w:hanging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567" w:leader="none"/>
        </w:tabs>
        <w:spacing w:lineRule="auto" w:line="360" w:before="0" w:after="0"/>
        <w:contextualSpacing/>
        <w:jc w:val="both"/>
        <w:outlineLvl w:val="0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CONCLUSÃO</w:t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bCs/>
          <w:color w:val="000000"/>
          <w:sz w:val="20"/>
          <w:szCs w:val="20"/>
        </w:rPr>
      </w:pPr>
      <w:bookmarkStart w:id="9" w:name="_Hlk187392825"/>
      <w:r>
        <w:rPr>
          <w:b/>
          <w:bCs/>
          <w:sz w:val="20"/>
          <w:szCs w:val="20"/>
        </w:rPr>
        <w:t>Restrição de acesso</w:t>
      </w:r>
      <w:bookmarkEnd w:id="9"/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  <w:tab w:val="left" w:pos="567" w:leader="none"/>
        </w:tabs>
        <w:ind w:left="0" w:hanging="0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color w:val="FF0000"/>
          <w:sz w:val="20"/>
          <w:szCs w:val="20"/>
        </w:rPr>
        <w:tab/>
        <w:tab/>
      </w:r>
      <w:r>
        <w:rPr>
          <w:rFonts w:cs="Arial" w:ascii="Arial" w:hAnsi="Arial"/>
          <w:sz w:val="20"/>
          <w:szCs w:val="20"/>
        </w:rPr>
        <w:t xml:space="preserve">As informações contidas neste Relatório de Pesquisa </w:t>
      </w:r>
      <w:r>
        <w:rPr>
          <w:rFonts w:eastAsia="Arial MT" w:cs="Arial" w:ascii="Arial" w:hAnsi="Arial"/>
          <w:color w:val="auto"/>
          <w:kern w:val="0"/>
          <w:sz w:val="20"/>
          <w:szCs w:val="20"/>
          <w:lang w:val="pt-PT" w:eastAsia="en-US" w:bidi="ar-SA"/>
        </w:rPr>
        <w:t xml:space="preserve">de Preços não são classificadas como sigilosas, </w:t>
      </w:r>
      <w:r>
        <w:rPr>
          <w:rFonts w:cs="Arial" w:ascii="Arial" w:hAnsi="Arial"/>
          <w:sz w:val="20"/>
          <w:szCs w:val="20"/>
        </w:rPr>
        <w:t>nos termos da Lei Nr 12.527 de 18 de novembro de 2011.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  <w:tab w:val="left" w:pos="567" w:leader="none"/>
        </w:tabs>
        <w:ind w:left="0" w:hanging="0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color w:val="FF0000"/>
          <w:sz w:val="20"/>
          <w:szCs w:val="20"/>
        </w:rPr>
        <w:tab/>
        <w:tab/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bCs/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>Responsáveis</w:t>
      </w:r>
    </w:p>
    <w:p>
      <w:pPr>
        <w:pStyle w:val="Corpodotexto"/>
        <w:spacing w:before="9" w:after="0"/>
        <w:ind w:left="284" w:hanging="0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</w:r>
    </w:p>
    <w:p>
      <w:pPr>
        <w:pStyle w:val="Corpodotexto"/>
        <w:jc w:val="center"/>
        <w:rPr>
          <w:rFonts w:ascii="Arial" w:hAnsi="Arial" w:cs="Arial"/>
          <w:bCs/>
          <w:sz w:val="20"/>
          <w:szCs w:val="20"/>
          <w:lang w:val="pt-BR"/>
        </w:rPr>
      </w:pPr>
      <w:bookmarkStart w:id="10" w:name="1._Informações_Básicas_Copia_1"/>
      <w:bookmarkEnd w:id="10"/>
      <w:r>
        <w:rPr>
          <w:rFonts w:eastAsia="Arial MT" w:cs="Arial" w:ascii="Arial" w:hAnsi="Arial"/>
          <w:bCs/>
          <w:color w:val="auto"/>
          <w:kern w:val="0"/>
          <w:sz w:val="20"/>
          <w:szCs w:val="20"/>
          <w:lang w:val="pt-BR" w:eastAsia="en-US" w:bidi="ar-SA"/>
        </w:rPr>
        <w:t>Porto Alegre/RS, na</w:t>
      </w:r>
      <w:r>
        <w:rPr>
          <w:rFonts w:cs="Arial" w:ascii="Arial" w:hAnsi="Arial"/>
          <w:bCs/>
          <w:sz w:val="20"/>
          <w:szCs w:val="20"/>
          <w:lang w:val="pt-BR"/>
        </w:rPr>
        <w:t xml:space="preserve"> data da assinatura eletrônica.</w:t>
      </w:r>
    </w:p>
    <w:p>
      <w:pPr>
        <w:pStyle w:val="Corpodotexto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Corpodotexto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Corpodotexto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jc w:val="center"/>
        <w:rPr>
          <w:rFonts w:ascii="Arial" w:hAnsi="Arial" w:eastAsia="Arial MT" w:cs="Arial"/>
          <w:b/>
          <w:bCs/>
          <w:color w:val="auto"/>
          <w:kern w:val="0"/>
          <w:sz w:val="20"/>
          <w:szCs w:val="20"/>
          <w:lang w:val="pt-BR" w:eastAsia="en-US" w:bidi="ar-SA"/>
        </w:rPr>
      </w:pPr>
      <w:r>
        <w:rPr>
          <w:rFonts w:eastAsia="Arial MT" w:cs="Arial" w:ascii="Arial" w:hAnsi="Arial"/>
          <w:b/>
          <w:bCs/>
          <w:color w:val="auto"/>
          <w:kern w:val="0"/>
          <w:sz w:val="20"/>
          <w:szCs w:val="20"/>
          <w:lang w:val="pt-BR" w:eastAsia="en-US" w:bidi="ar-SA"/>
        </w:rPr>
        <w:t>OTÁVIO GERMANO DOS SANTOS MAGNUS – 1º Sgt</w:t>
      </w:r>
    </w:p>
    <w:p>
      <w:pPr>
        <w:pStyle w:val="Normal"/>
        <w:jc w:val="center"/>
        <w:rPr>
          <w:rFonts w:ascii="Arial" w:hAnsi="Arial" w:eastAsia="Arial MT" w:cs="Arial"/>
          <w:bCs/>
          <w:color w:val="auto"/>
          <w:kern w:val="0"/>
          <w:sz w:val="20"/>
          <w:szCs w:val="20"/>
          <w:lang w:val="pt-BR" w:eastAsia="en-US" w:bidi="ar-SA"/>
        </w:rPr>
      </w:pPr>
      <w:r>
        <w:rPr>
          <w:rFonts w:eastAsia="Arial MT" w:cs="Arial" w:ascii="Arial" w:hAnsi="Arial"/>
          <w:bCs/>
          <w:color w:val="auto"/>
          <w:kern w:val="0"/>
          <w:sz w:val="20"/>
          <w:szCs w:val="20"/>
          <w:lang w:val="pt-BR" w:eastAsia="en-US" w:bidi="ar-SA"/>
        </w:rPr>
        <w:t>Chefe da Equipe</w:t>
      </w:r>
    </w:p>
    <w:p>
      <w:pPr>
        <w:pStyle w:val="Normal"/>
        <w:jc w:val="center"/>
        <w:rPr>
          <w:rFonts w:ascii="Arial" w:hAnsi="Arial" w:eastAsia="Arial MT" w:cs="Arial"/>
          <w:bCs/>
          <w:color w:val="auto"/>
          <w:kern w:val="0"/>
          <w:sz w:val="20"/>
          <w:szCs w:val="20"/>
          <w:lang w:val="pt-BR" w:eastAsia="en-US" w:bidi="ar-SA"/>
        </w:rPr>
      </w:pPr>
      <w:r>
        <w:rPr>
          <w:rFonts w:eastAsia="Arial MT" w:cs="Arial" w:ascii="Arial" w:hAnsi="Arial"/>
          <w:bCs/>
          <w:color w:val="auto"/>
          <w:kern w:val="0"/>
          <w:sz w:val="20"/>
          <w:szCs w:val="20"/>
          <w:lang w:val="pt-BR" w:eastAsia="en-US" w:bidi="ar-SA"/>
        </w:rPr>
      </w:r>
    </w:p>
    <w:p>
      <w:pPr>
        <w:pStyle w:val="Normal"/>
        <w:jc w:val="center"/>
        <w:rPr>
          <w:rFonts w:ascii="Arial" w:hAnsi="Arial" w:eastAsia="Arial MT" w:cs="Arial"/>
          <w:bCs/>
          <w:color w:val="auto"/>
          <w:kern w:val="0"/>
          <w:sz w:val="20"/>
          <w:szCs w:val="20"/>
          <w:lang w:val="pt-BR" w:eastAsia="en-US" w:bidi="ar-SA"/>
        </w:rPr>
      </w:pPr>
      <w:r>
        <w:rPr>
          <w:rFonts w:eastAsia="Arial MT" w:cs="Arial" w:ascii="Arial" w:hAnsi="Arial"/>
          <w:bCs/>
          <w:color w:val="auto"/>
          <w:kern w:val="0"/>
          <w:sz w:val="20"/>
          <w:szCs w:val="20"/>
          <w:lang w:val="pt-BR" w:eastAsia="en-US" w:bidi="ar-SA"/>
        </w:rPr>
      </w:r>
    </w:p>
    <w:p>
      <w:pPr>
        <w:pStyle w:val="Normal"/>
        <w:jc w:val="center"/>
        <w:rPr>
          <w:rFonts w:ascii="Arial" w:hAnsi="Arial" w:eastAsia="Arial MT" w:cs="Arial"/>
          <w:bCs/>
          <w:color w:val="auto"/>
          <w:kern w:val="0"/>
          <w:sz w:val="20"/>
          <w:szCs w:val="20"/>
          <w:lang w:val="pt-BR" w:eastAsia="en-US" w:bidi="ar-SA"/>
        </w:rPr>
      </w:pPr>
      <w:r>
        <w:rPr>
          <w:rFonts w:eastAsia="Arial MT" w:cs="Arial" w:ascii="Arial" w:hAnsi="Arial"/>
          <w:bCs/>
          <w:color w:val="auto"/>
          <w:kern w:val="0"/>
          <w:sz w:val="20"/>
          <w:szCs w:val="20"/>
          <w:lang w:val="pt-BR" w:eastAsia="en-US" w:bidi="ar-SA"/>
        </w:rPr>
      </w:r>
    </w:p>
    <w:p>
      <w:pPr>
        <w:pStyle w:val="Normal"/>
        <w:jc w:val="center"/>
        <w:rPr>
          <w:rFonts w:ascii="Arial" w:hAnsi="Arial" w:eastAsia="Arial MT" w:cs="Arial"/>
          <w:b/>
          <w:bCs/>
          <w:color w:val="auto"/>
          <w:kern w:val="0"/>
          <w:sz w:val="20"/>
          <w:szCs w:val="20"/>
          <w:lang w:val="pt-BR" w:eastAsia="en-US" w:bidi="ar-SA"/>
        </w:rPr>
      </w:pPr>
      <w:r>
        <w:rPr>
          <w:rFonts w:eastAsia="Arial MT" w:cs="Arial" w:ascii="Arial" w:hAnsi="Arial"/>
          <w:b/>
          <w:bCs/>
          <w:color w:val="auto"/>
          <w:kern w:val="0"/>
          <w:sz w:val="20"/>
          <w:szCs w:val="20"/>
          <w:lang w:val="pt-BR" w:eastAsia="en-US" w:bidi="ar-SA"/>
        </w:rPr>
        <w:t>MARIO VITOR DE MORAES KUNRATH – 3º Sgt</w:t>
      </w:r>
    </w:p>
    <w:p>
      <w:pPr>
        <w:pStyle w:val="Normal"/>
        <w:jc w:val="center"/>
        <w:rPr>
          <w:rFonts w:ascii="Arial" w:hAnsi="Arial" w:eastAsia="Arial MT" w:cs="Arial"/>
          <w:bCs/>
          <w:color w:val="auto"/>
          <w:kern w:val="0"/>
          <w:sz w:val="20"/>
          <w:szCs w:val="20"/>
          <w:lang w:val="pt-BR" w:eastAsia="en-US" w:bidi="ar-SA"/>
        </w:rPr>
      </w:pPr>
      <w:r>
        <w:rPr>
          <w:rFonts w:eastAsia="Arial MT" w:cs="Arial" w:ascii="Arial" w:hAnsi="Arial"/>
          <w:bCs/>
          <w:color w:val="auto"/>
          <w:kern w:val="0"/>
          <w:sz w:val="20"/>
          <w:szCs w:val="20"/>
          <w:lang w:val="pt-BR" w:eastAsia="en-US" w:bidi="ar-SA"/>
        </w:rPr>
        <w:t>Membro da Equipe</w:t>
      </w:r>
    </w:p>
    <w:p>
      <w:pPr>
        <w:pStyle w:val="Corpodotexto"/>
        <w:ind w:left="720" w:hanging="0"/>
        <w:rPr>
          <w:rFonts w:ascii="Arial" w:hAnsi="Arial" w:cs="Arial"/>
          <w:bCs/>
          <w:color w:val="FF0000"/>
          <w:sz w:val="19"/>
          <w:szCs w:val="19"/>
          <w:lang w:val="pt-BR"/>
        </w:rPr>
      </w:pPr>
      <w:r>
        <w:rPr>
          <w:rFonts w:cs="Arial" w:ascii="Arial" w:hAnsi="Arial"/>
          <w:bCs/>
          <w:color w:val="FF0000"/>
          <w:sz w:val="19"/>
          <w:szCs w:val="19"/>
          <w:lang w:val="pt-BR"/>
        </w:rPr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567" w:right="567" w:gutter="0" w:header="0" w:top="567" w:footer="360" w:bottom="567"/>
      <w:pgNumType w:fmt="decimal"/>
      <w:formProt w:val="false"/>
      <w:titlePg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left" w:pos="8222" w:leader="dot"/>
        <w:tab w:val="left" w:pos="8775" w:leader="none"/>
      </w:tabs>
      <w:spacing w:lineRule="auto" w:line="360"/>
      <w:jc w:val="center"/>
      <w:rPr>
        <w:rFonts w:ascii="Times New Roman" w:hAnsi="Times New Roman" w:cs="Times New Roman"/>
        <w:sz w:val="18"/>
        <w:szCs w:val="20"/>
      </w:rPr>
    </w:pPr>
    <w:r>
      <w:rPr>
        <w:rFonts w:cs="Times New Roman" w:ascii="Times New Roman" w:hAnsi="Times New Roman"/>
        <w:sz w:val="18"/>
        <w:szCs w:val="20"/>
      </w:rPr>
      <w:t>(Relatório da Pesquisa de Preços</w:t>
    </w:r>
    <w:r>
      <w:rPr>
        <w:rFonts w:cs="Times New Roman" w:ascii="Times New Roman" w:hAnsi="Times New Roman"/>
        <w:sz w:val="18"/>
      </w:rPr>
      <w:tab/>
      <w:t xml:space="preserve"> </w:t>
    </w:r>
    <w:r>
      <w:rPr>
        <w:rFonts w:cs="Times New Roman" w:ascii="Times New Roman" w:hAnsi="Times New Roman"/>
        <w:sz w:val="18"/>
        <w:szCs w:val="20"/>
      </w:rPr>
      <w:t xml:space="preserve">Pg </w:t>
    </w:r>
    <w:r>
      <w:rPr>
        <w:rFonts w:cs="Times New Roman" w:ascii="Times New Roman" w:hAnsi="Times New Roman"/>
        <w:sz w:val="18"/>
        <w:szCs w:val="20"/>
      </w:rPr>
      <w:fldChar w:fldCharType="begin"/>
    </w:r>
    <w:r>
      <w:rPr>
        <w:sz w:val="18"/>
        <w:szCs w:val="20"/>
        <w:rFonts w:cs="Times New Roman" w:ascii="Times New Roman" w:hAnsi="Times New Roman"/>
      </w:rPr>
      <w:instrText xml:space="preserve"> PAGE </w:instrText>
    </w:r>
    <w:r>
      <w:rPr>
        <w:sz w:val="18"/>
        <w:szCs w:val="20"/>
        <w:rFonts w:cs="Times New Roman" w:ascii="Times New Roman" w:hAnsi="Times New Roman"/>
      </w:rPr>
      <w:fldChar w:fldCharType="separate"/>
    </w:r>
    <w:r>
      <w:rPr>
        <w:sz w:val="18"/>
        <w:szCs w:val="20"/>
        <w:rFonts w:cs="Times New Roman" w:ascii="Times New Roman" w:hAnsi="Times New Roman"/>
      </w:rPr>
      <w:t>2</w:t>
    </w:r>
    <w:r>
      <w:rPr>
        <w:sz w:val="18"/>
        <w:szCs w:val="20"/>
        <w:rFonts w:cs="Times New Roman" w:ascii="Times New Roman" w:hAnsi="Times New Roman"/>
      </w:rPr>
      <w:fldChar w:fldCharType="end"/>
    </w:r>
    <w:r>
      <w:rPr>
        <w:rFonts w:cs="Times New Roman" w:ascii="Times New Roman" w:hAnsi="Times New Roman"/>
        <w:sz w:val="18"/>
        <w:szCs w:val="20"/>
      </w:rPr>
      <w:t>/</w:t>
    </w:r>
    <w:r>
      <w:rPr>
        <w:rFonts w:cs="Times New Roman" w:ascii="Times New Roman" w:hAnsi="Times New Roman"/>
        <w:sz w:val="18"/>
        <w:szCs w:val="20"/>
      </w:rPr>
      <w:fldChar w:fldCharType="begin"/>
    </w:r>
    <w:r>
      <w:rPr>
        <w:sz w:val="18"/>
        <w:szCs w:val="20"/>
        <w:rFonts w:cs="Times New Roman" w:ascii="Times New Roman" w:hAnsi="Times New Roman"/>
      </w:rPr>
      <w:instrText xml:space="preserve"> NUMPAGES </w:instrText>
    </w:r>
    <w:r>
      <w:rPr>
        <w:sz w:val="18"/>
        <w:szCs w:val="20"/>
        <w:rFonts w:cs="Times New Roman" w:ascii="Times New Roman" w:hAnsi="Times New Roman"/>
      </w:rPr>
      <w:fldChar w:fldCharType="separate"/>
    </w:r>
    <w:r>
      <w:rPr>
        <w:sz w:val="18"/>
        <w:szCs w:val="20"/>
        <w:rFonts w:cs="Times New Roman" w:ascii="Times New Roman" w:hAnsi="Times New Roman"/>
      </w:rPr>
      <w:t>4</w:t>
    </w:r>
    <w:r>
      <w:rPr>
        <w:sz w:val="18"/>
        <w:szCs w:val="20"/>
        <w:rFonts w:cs="Times New Roman" w:ascii="Times New Roman" w:hAnsi="Times New Roman"/>
      </w:rPr>
      <w:fldChar w:fldCharType="end"/>
    </w:r>
    <w:r>
      <w:rPr>
        <w:rFonts w:cs="Times New Roman" w:ascii="Times New Roman" w:hAnsi="Times New Roman"/>
        <w:sz w:val="18"/>
        <w:szCs w:val="20"/>
      </w:rPr>
      <w:t>)</w:t>
    </w:r>
  </w:p>
  <w:p>
    <w:pPr>
      <w:pStyle w:val="Corpodotexto"/>
      <w:spacing w:lineRule="auto" w:line="4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  <w:p>
    <w:pPr>
      <w:pStyle w:val="Cabealho"/>
      <w:spacing w:before="0" w:after="60"/>
      <w:jc w:val="center"/>
      <w:rPr>
        <w:rFonts w:ascii="Times New Roman" w:hAnsi="Times New Roman" w:cs="Times New Roman"/>
        <w:sz w:val="20"/>
      </w:rPr>
    </w:pPr>
    <w:r>
      <w:rPr/>
      <w:drawing>
        <wp:inline distT="0" distB="0" distL="0" distR="0">
          <wp:extent cx="768350" cy="756285"/>
          <wp:effectExtent l="0" t="0" r="0" b="0"/>
          <wp:docPr id="1" name="Imagem 306115090" descr="Brasão da Repú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06115090" descr="Brasão da Repúblic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756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20"/>
        <w:tab w:val="left" w:pos="6180" w:leader="none"/>
      </w:tabs>
      <w:jc w:val="center"/>
      <w:rPr>
        <w:rFonts w:ascii="Arial" w:hAnsi="Arial" w:cs="Arial"/>
        <w:bCs/>
        <w:sz w:val="18"/>
      </w:rPr>
    </w:pPr>
    <w:r>
      <w:rPr>
        <w:rFonts w:cs="Arial" w:ascii="Arial" w:hAnsi="Arial"/>
        <w:bCs/>
        <w:sz w:val="18"/>
      </w:rPr>
      <w:t>MINISTÉRIO DA DEFESA</w:t>
    </w:r>
  </w:p>
  <w:p>
    <w:pPr>
      <w:pStyle w:val="Normal"/>
      <w:tabs>
        <w:tab w:val="clear" w:pos="720"/>
        <w:tab w:val="left" w:pos="6180" w:leader="none"/>
      </w:tabs>
      <w:jc w:val="center"/>
      <w:rPr>
        <w:rFonts w:ascii="Arial" w:hAnsi="Arial" w:cs="Arial"/>
        <w:bCs/>
        <w:sz w:val="18"/>
      </w:rPr>
    </w:pPr>
    <w:r>
      <w:rPr>
        <w:rFonts w:cs="Arial" w:ascii="Arial" w:hAnsi="Arial"/>
        <w:bCs/>
        <w:sz w:val="18"/>
      </w:rPr>
      <w:t>EXÉRCITO BRASILEIRO</w:t>
    </w:r>
  </w:p>
  <w:p>
    <w:pPr>
      <w:pStyle w:val="Normal"/>
      <w:tabs>
        <w:tab w:val="clear" w:pos="720"/>
        <w:tab w:val="left" w:pos="6180" w:leader="none"/>
      </w:tabs>
      <w:jc w:val="center"/>
      <w:rPr>
        <w:rFonts w:ascii="Arial" w:hAnsi="Arial" w:eastAsia="Arial MT" w:cs="Arial"/>
        <w:bCs/>
        <w:sz w:val="18"/>
        <w:lang w:val="pt-PT"/>
      </w:rPr>
    </w:pPr>
    <w:r>
      <w:rPr>
        <w:rFonts w:eastAsia="Arial MT" w:cs="Arial" w:ascii="Arial" w:hAnsi="Arial"/>
        <w:bCs/>
        <w:sz w:val="18"/>
        <w:lang w:val="pt-PT"/>
      </w:rPr>
      <w:t xml:space="preserve">CENTRO DE PREPARAÇÃO DE OFICIAIS DA RESERVA DE PORTO ALEGRE </w:t>
    </w:r>
  </w:p>
  <w:p>
    <w:pPr>
      <w:pStyle w:val="Normal"/>
      <w:tabs>
        <w:tab w:val="clear" w:pos="720"/>
        <w:tab w:val="left" w:pos="6180" w:leader="none"/>
      </w:tabs>
      <w:jc w:val="center"/>
      <w:rPr>
        <w:rFonts w:ascii="Arial" w:hAnsi="Arial" w:eastAsia="Arial MT" w:cs="Arial"/>
        <w:bCs/>
        <w:sz w:val="18"/>
        <w:lang w:val="pt-PT"/>
      </w:rPr>
    </w:pPr>
    <w:r>
      <w:rPr>
        <w:rFonts w:eastAsia="Arial MT" w:cs="Arial" w:ascii="Arial" w:hAnsi="Arial"/>
        <w:bCs/>
        <w:sz w:val="18"/>
        <w:lang w:val="pt-PT"/>
      </w:rPr>
      <w:t xml:space="preserve"> </w:t>
    </w:r>
    <w:r>
      <w:rPr>
        <w:rFonts w:eastAsia="Arial MT" w:cs="Arial" w:ascii="Arial" w:hAnsi="Arial"/>
        <w:bCs/>
        <w:sz w:val="18"/>
        <w:lang w:val="pt-PT"/>
      </w:rPr>
      <w:t xml:space="preserve">(CENTRO MARECHAL SALVADOR CÉSAR OBINO) </w:t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19"/>
        <w:b w:val="false"/>
        <w:szCs w:val="19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19"/>
        <w:b w:val="false"/>
        <w:szCs w:val="19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19"/>
        <w:b w:val="false"/>
        <w:szCs w:val="19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1a78"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link w:val="Ttulo1Char"/>
    <w:uiPriority w:val="9"/>
    <w:qFormat/>
    <w:pPr>
      <w:spacing w:before="1" w:after="0"/>
      <w:ind w:left="223" w:hanging="0"/>
      <w:outlineLvl w:val="0"/>
    </w:pPr>
    <w:rPr/>
  </w:style>
  <w:style w:type="paragraph" w:styleId="Ttulo2">
    <w:name w:val="Heading 2"/>
    <w:basedOn w:val="Normal"/>
    <w:uiPriority w:val="9"/>
    <w:unhideWhenUsed/>
    <w:qFormat/>
    <w:pPr>
      <w:ind w:left="437" w:hanging="215"/>
      <w:outlineLvl w:val="1"/>
    </w:pPr>
    <w:rPr>
      <w:rFonts w:ascii="Arial" w:hAnsi="Arial" w:eastAsia="Arial" w:cs="Arial"/>
      <w:b/>
      <w:bCs/>
      <w:sz w:val="19"/>
      <w:szCs w:val="19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0e60c6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0e60c6"/>
    <w:rPr>
      <w:rFonts w:ascii="Arial MT" w:hAnsi="Arial MT" w:eastAsia="Arial MT" w:cs="Arial MT"/>
      <w:lang w:val="pt-PT"/>
    </w:rPr>
  </w:style>
  <w:style w:type="character" w:styleId="CorpodetextoChar" w:customStyle="1">
    <w:name w:val="Corpo de texto Char"/>
    <w:basedOn w:val="DefaultParagraphFont"/>
    <w:uiPriority w:val="1"/>
    <w:qFormat/>
    <w:rsid w:val="004b2a63"/>
    <w:rPr>
      <w:rFonts w:ascii="Arial MT" w:hAnsi="Arial MT" w:eastAsia="Arial MT" w:cs="Arial MT"/>
      <w:sz w:val="16"/>
      <w:szCs w:val="16"/>
      <w:lang w:val="pt-PT"/>
    </w:rPr>
  </w:style>
  <w:style w:type="character" w:styleId="Ttulo1Char" w:customStyle="1">
    <w:name w:val="Título 1 Char"/>
    <w:basedOn w:val="DefaultParagraphFont"/>
    <w:uiPriority w:val="9"/>
    <w:qFormat/>
    <w:rsid w:val="008f280f"/>
    <w:rPr>
      <w:rFonts w:ascii="Arial MT" w:hAnsi="Arial MT" w:eastAsia="Arial MT" w:cs="Arial MT"/>
      <w:lang w:val="pt-PT"/>
    </w:rPr>
  </w:style>
  <w:style w:type="character" w:styleId="Nfase">
    <w:name w:val="Emphasis"/>
    <w:qFormat/>
    <w:rPr>
      <w:i/>
      <w:i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1"/>
    <w:qFormat/>
    <w:pPr/>
    <w:rPr>
      <w:sz w:val="16"/>
      <w:szCs w:val="16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pPr>
      <w:spacing w:before="67" w:after="0"/>
      <w:ind w:left="437" w:hanging="215"/>
    </w:pPr>
    <w:rPr>
      <w:rFonts w:ascii="Arial" w:hAnsi="Arial" w:eastAsia="Arial" w:cs="Arial"/>
    </w:rPr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0e60c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0e60c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Dou-paragraph" w:customStyle="1">
    <w:name w:val="dou-paragraph"/>
    <w:basedOn w:val="Normal"/>
    <w:qFormat/>
    <w:rsid w:val="00c822ab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Application>LibreOffice/7.5.9.2$Windows_X86_64 LibreOffice_project/cdeefe45c17511d326101eed8008ac4092f278a9</Application>
  <AppVersion>15.0000</AppVersion>
  <Pages>4</Pages>
  <Words>1706</Words>
  <Characters>9554</Characters>
  <CharactersWithSpaces>11130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2024-12-12T14:00:00Z</dcterms:created>
  <dc:creator>Cristian Schast</dc:creator>
  <dc:description/>
  <dc:language>pt-BR</dc:language>
  <cp:lastModifiedBy/>
  <dcterms:modified xsi:type="dcterms:W3CDTF">2025-07-01T10:28:15Z</dcterms:modified>
  <cp:revision>87</cp:revision>
  <dc:subject/>
  <dc:title>Documento de Formalização da Demanda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2024-08-27T00:00:00Z</vt:filetime>
  </property>
  <property fmtid="{D5CDD505-2E9C-101B-9397-08002B2CF9AE}" pid="3" name="LastSaved">
    <vt:filetime>2024-08-27T00:00:00Z</vt:filetime>
  </property>
</Properties>
</file>