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12" w:before="0" w:after="288"/>
        <w:jc w:val="center"/>
        <w:rPr>
          <w:rFonts w:ascii="Arial" w:hAnsi="Arial"/>
          <w:sz w:val="20"/>
          <w:szCs w:val="20"/>
        </w:rPr>
      </w:pPr>
      <w:r>
        <w:rPr>
          <w:rFonts w:eastAsia="Calibri" w:cs="Times New Roman" w:ascii="Arial" w:hAnsi="Arial"/>
          <w:b/>
          <w:color w:val="000000"/>
          <w:sz w:val="20"/>
          <w:szCs w:val="20"/>
          <w:lang w:eastAsia="en-US"/>
        </w:rPr>
        <w:t>MODELO DE ATA DE REGISTRO DE PREÇOS</w:t>
      </w:r>
      <w:r>
        <w:rPr>
          <w:rFonts w:eastAsia="Calibri" w:cs="Arial" w:ascii="Arial" w:hAnsi="Arial"/>
          <w:b/>
          <w:bCs/>
          <w:color w:val="000000"/>
          <w:sz w:val="20"/>
          <w:szCs w:val="20"/>
          <w:lang w:eastAsia="en-US"/>
        </w:rPr>
        <w:t xml:space="preserve"> </w:t>
        <w:br/>
      </w:r>
      <w:r>
        <w:rPr>
          <w:rFonts w:eastAsia="Calibri" w:cs="Times New Roman" w:ascii="Arial" w:hAnsi="Arial"/>
          <w:b/>
          <w:color w:val="000000"/>
          <w:sz w:val="20"/>
          <w:szCs w:val="20"/>
          <w:lang w:eastAsia="en-US"/>
        </w:rPr>
        <w:t>Lei nº 14.133, de 1º de abril de 2021</w:t>
      </w:r>
    </w:p>
    <w:p>
      <w:pPr>
        <w:pStyle w:val="Normal"/>
        <w:jc w:val="center"/>
        <w:rPr>
          <w:rFonts w:ascii="Arial" w:hAnsi="Arial"/>
          <w:b/>
          <w:b/>
          <w:bCs/>
          <w:sz w:val="20"/>
          <w:szCs w:val="2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7870" cy="806450"/>
            <wp:effectExtent l="0" t="0" r="0" b="0"/>
            <wp:wrapTopAndBottom/>
            <wp:docPr id="1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sz w:val="20"/>
          <w:szCs w:val="20"/>
        </w:rPr>
        <w:t>M</w:t>
      </w:r>
      <w:r>
        <w:rPr>
          <w:rFonts w:ascii="Arial" w:hAnsi="Arial"/>
          <w:b/>
          <w:bCs/>
          <w:sz w:val="20"/>
          <w:szCs w:val="20"/>
        </w:rPr>
        <w:t>INISTÉRIO DA DEFESA</w:t>
      </w:r>
    </w:p>
    <w:p>
      <w:pPr>
        <w:pStyle w:val="Normal"/>
        <w:jc w:val="center"/>
        <w:rPr>
          <w:rFonts w:ascii="Arial" w:hAnsi="Arial"/>
          <w:b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EXÉRCITO BRASILEIRO</w:t>
      </w:r>
    </w:p>
    <w:p>
      <w:pPr>
        <w:pStyle w:val="Normal"/>
        <w:jc w:val="center"/>
        <w:rPr>
          <w:rFonts w:ascii="Arial" w:hAnsi="Arial"/>
          <w:b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  <w:lang w:eastAsia="en-US"/>
        </w:rPr>
        <w:t>COLÉGIO MILITAR DE RECIFE</w:t>
      </w:r>
    </w:p>
    <w:p>
      <w:pPr>
        <w:pStyle w:val="Normal"/>
        <w:spacing w:lineRule="auto" w:line="312" w:before="120" w:after="0"/>
        <w:jc w:val="center"/>
        <w:rPr>
          <w:rFonts w:ascii="Arial" w:hAnsi="Arial"/>
          <w:sz w:val="20"/>
          <w:szCs w:val="20"/>
        </w:rPr>
      </w:pPr>
      <w:r>
        <w:rPr>
          <w:rFonts w:eastAsia="Calibri" w:cs="Times New Roman" w:ascii="Arial" w:hAnsi="Arial"/>
          <w:color w:val="000000"/>
          <w:sz w:val="20"/>
          <w:szCs w:val="20"/>
          <w:lang w:eastAsia="en-US"/>
        </w:rPr>
        <w:t xml:space="preserve">Processo </w:t>
      </w:r>
      <w:r>
        <w:rPr>
          <w:rFonts w:eastAsia="Calibri" w:cs="Arial" w:ascii="Arial" w:hAnsi="Arial"/>
          <w:color w:val="000000"/>
          <w:sz w:val="20"/>
          <w:szCs w:val="20"/>
          <w:lang w:eastAsia="en-US"/>
        </w:rPr>
        <w:t>Administrativo n</w:t>
      </w:r>
      <w:r>
        <w:rPr>
          <w:rFonts w:eastAsia="Calibri" w:cs="Arial" w:ascii="Arial" w:hAnsi="Arial"/>
          <w:bCs/>
          <w:color w:val="000000"/>
          <w:sz w:val="20"/>
          <w:szCs w:val="20"/>
          <w:lang w:eastAsia="en-US"/>
        </w:rPr>
        <w:t xml:space="preserve">° </w:t>
      </w:r>
      <w:r>
        <w:rPr>
          <w:rFonts w:eastAsia="Calibri" w:cs="Arial" w:ascii="Arial" w:hAnsi="Arial"/>
          <w:bCs/>
          <w:i/>
          <w:iCs/>
          <w:color w:val="FF0000"/>
          <w:sz w:val="20"/>
          <w:szCs w:val="20"/>
          <w:lang w:eastAsia="en-US"/>
        </w:rPr>
        <w:t xml:space="preserve"> </w:t>
      </w:r>
      <w:r>
        <w:rPr>
          <w:rFonts w:eastAsia="Times New Roman" w:cs="Arial" w:ascii="Arial" w:hAnsi="Arial"/>
          <w:b w:val="false"/>
          <w:bCs/>
          <w:i w:val="false"/>
          <w:iCs/>
          <w:caps w:val="false"/>
          <w:smallCaps w:val="false"/>
          <w:color w:val="000000" w:themeColor="text1"/>
          <w:spacing w:val="0"/>
          <w:kern w:val="0"/>
          <w:sz w:val="20"/>
          <w:szCs w:val="20"/>
          <w:lang w:val="pt-BR" w:eastAsia="pt-BR" w:bidi="ar-SA"/>
        </w:rPr>
        <w:t>64257.006200/2026-94</w:t>
      </w:r>
    </w:p>
    <w:p>
      <w:pPr>
        <w:pStyle w:val="Normal"/>
        <w:spacing w:lineRule="auto" w:line="312" w:before="0" w:after="288"/>
        <w:jc w:val="center"/>
        <w:rPr>
          <w:rFonts w:ascii="Arial" w:hAnsi="Arial"/>
          <w:sz w:val="20"/>
          <w:szCs w:val="20"/>
        </w:rPr>
      </w:pPr>
      <w:r>
        <w:rPr>
          <w:rFonts w:eastAsia="Calibri" w:cs="Arial" w:ascii="Arial" w:hAnsi="Arial"/>
          <w:color w:val="000000"/>
          <w:sz w:val="20"/>
          <w:szCs w:val="20"/>
          <w:lang w:eastAsia="en-US"/>
        </w:rPr>
        <w:t xml:space="preserve">Ata de Registro de Preços </w:t>
      </w:r>
      <w:r>
        <w:rPr>
          <w:rFonts w:eastAsia="Calibri" w:cs="Times New Roman" w:ascii="Arial" w:hAnsi="Arial"/>
          <w:color w:val="000000"/>
          <w:sz w:val="20"/>
          <w:szCs w:val="20"/>
          <w:lang w:eastAsia="en-US"/>
        </w:rPr>
        <w:t>nº</w:t>
      </w:r>
      <w:r>
        <w:rPr>
          <w:rFonts w:eastAsia="Calibri" w:cs="Arial" w:ascii="Arial" w:hAnsi="Arial"/>
          <w:color w:val="000000"/>
          <w:sz w:val="20"/>
          <w:szCs w:val="20"/>
          <w:lang w:eastAsia="en-US"/>
        </w:rPr>
        <w:t xml:space="preserve"> </w:t>
      </w:r>
      <w:r>
        <w:rPr>
          <w:rFonts w:eastAsia="Calibri" w:cs="Arial" w:ascii="Arial" w:hAnsi="Arial"/>
          <w:i/>
          <w:iCs/>
          <w:color w:val="FF0000"/>
          <w:sz w:val="20"/>
          <w:szCs w:val="20"/>
          <w:lang w:eastAsia="en-US"/>
        </w:rPr>
        <w:t>XX</w:t>
      </w:r>
      <w:r>
        <w:rPr>
          <w:rFonts w:eastAsia="Calibri" w:cs="Arial" w:ascii="Arial" w:hAnsi="Arial"/>
          <w:color w:val="000000"/>
          <w:sz w:val="20"/>
          <w:szCs w:val="20"/>
          <w:lang w:eastAsia="en-US"/>
        </w:rPr>
        <w:t>/</w:t>
      </w:r>
      <w:r>
        <w:rPr>
          <w:rFonts w:eastAsia="Calibri" w:cs="Arial" w:ascii="Arial" w:hAnsi="Arial"/>
          <w:i/>
          <w:iCs/>
          <w:color w:val="FF0000"/>
          <w:sz w:val="20"/>
          <w:szCs w:val="20"/>
          <w:lang w:eastAsia="en-US"/>
        </w:rPr>
        <w:t>XXXX</w:t>
      </w:r>
    </w:p>
    <w:p>
      <w:pPr>
        <w:pStyle w:val="Normal"/>
        <w:widowControl w:val="false"/>
        <w:tabs>
          <w:tab w:val="clear" w:pos="708"/>
          <w:tab w:val="center" w:pos="4779" w:leader="none"/>
          <w:tab w:val="right" w:pos="9198" w:leader="none"/>
        </w:tabs>
        <w:spacing w:lineRule="auto" w:line="276" w:before="120" w:after="120"/>
        <w:ind w:right="-28" w:firstLine="1418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O </w:t>
      </w:r>
      <w:r>
        <w:rPr>
          <w:rFonts w:eastAsia="Times New Roman" w:cs="Tahoma" w:ascii="Arial" w:hAnsi="Arial"/>
          <w:color w:val="auto"/>
          <w:kern w:val="0"/>
          <w:sz w:val="20"/>
          <w:szCs w:val="20"/>
          <w:lang w:val="pt-BR" w:eastAsia="pt-BR" w:bidi="ar-SA"/>
        </w:rPr>
        <w:t>Colégio Militar de Recife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eastAsia="Arial" w:cs="Arial" w:ascii="Arial" w:hAnsi="Arial"/>
          <w:sz w:val="20"/>
          <w:szCs w:val="20"/>
        </w:rPr>
        <w:t xml:space="preserve">com sede na </w:t>
      </w:r>
      <w:r>
        <w:rPr>
          <w:rFonts w:eastAsia="Times New Roman" w:cs="Tahoma" w:ascii="Arial" w:hAnsi="Arial"/>
          <w:color w:val="auto"/>
          <w:kern w:val="0"/>
          <w:sz w:val="20"/>
          <w:szCs w:val="20"/>
          <w:lang w:val="pt-BR" w:eastAsia="pt-BR" w:bidi="ar-SA"/>
        </w:rPr>
        <w:t xml:space="preserve">Av. Visconde de São Leopoldo, 198, Engenho do Meio, Recife - PE, CEP 50.730-120, </w:t>
      </w:r>
      <w:r>
        <w:rPr>
          <w:rFonts w:eastAsia="Arial" w:cs="Arial" w:ascii="Arial" w:hAnsi="Arial"/>
          <w:sz w:val="20"/>
          <w:szCs w:val="20"/>
        </w:rPr>
        <w:t xml:space="preserve">inscrito(a) no CNPJ sob o nº </w:t>
      </w:r>
      <w:r>
        <w:rPr>
          <w:rFonts w:eastAsia="Times New Roman" w:cs="Tahoma" w:ascii="Arial" w:hAnsi="Arial"/>
          <w:color w:val="auto"/>
          <w:kern w:val="0"/>
          <w:sz w:val="20"/>
          <w:szCs w:val="20"/>
          <w:lang w:val="pt-BR" w:eastAsia="pt-BR" w:bidi="ar-SA"/>
        </w:rPr>
        <w:t>09.586.596/0001-28</w:t>
      </w:r>
      <w:r>
        <w:rPr>
          <w:rFonts w:eastAsia="Arial" w:cs="Arial" w:ascii="Arial" w:hAnsi="Arial"/>
          <w:sz w:val="20"/>
          <w:szCs w:val="20"/>
        </w:rPr>
        <w:t xml:space="preserve"> neste ato representado(a) pelo </w:t>
      </w:r>
      <w:r>
        <w:rPr>
          <w:rFonts w:eastAsia="Arial MT" w:cs="Calibri" w:ascii="Arial" w:hAnsi="Arial" w:cstheme="minorHAnsi"/>
          <w:sz w:val="20"/>
          <w:szCs w:val="20"/>
          <w:lang w:val="pt-PT"/>
        </w:rPr>
        <w:t>Comandante e Ordenador de Despesas, Cel Paulo Fernando de Barros e Silva Filho, nomeado(a)</w:t>
      </w:r>
      <w:r>
        <w:rPr>
          <w:rFonts w:eastAsia="Arial MT" w:cs="Calibri" w:ascii="Arial" w:hAnsi="Arial" w:cstheme="minorHAnsi"/>
          <w:color w:val="000000"/>
          <w:sz w:val="20"/>
          <w:szCs w:val="20"/>
          <w:lang w:val="pt-PT"/>
        </w:rPr>
        <w:t xml:space="preserve"> pela portaria nº </w:t>
      </w:r>
      <w:r>
        <w:rPr>
          <w:rFonts w:eastAsia="Arial MT" w:cs="Calibri" w:ascii="Arial" w:hAnsi="Arial" w:cstheme="minorHAnsi"/>
          <w:i/>
          <w:iCs/>
          <w:color w:val="000000"/>
          <w:sz w:val="20"/>
          <w:szCs w:val="20"/>
          <w:lang w:val="pt-PT"/>
        </w:rPr>
        <w:t>248</w:t>
      </w:r>
      <w:r>
        <w:rPr>
          <w:rFonts w:eastAsia="Arial MT" w:cs="Calibri" w:ascii="Arial" w:hAnsi="Arial" w:cstheme="minorHAnsi"/>
          <w:color w:val="000000"/>
          <w:sz w:val="20"/>
          <w:szCs w:val="20"/>
          <w:lang w:val="pt-PT"/>
        </w:rPr>
        <w:t xml:space="preserve">, de </w:t>
      </w:r>
      <w:r>
        <w:rPr>
          <w:rFonts w:eastAsia="Arial MT" w:cs="Calibri" w:ascii="Arial" w:hAnsi="Arial" w:cstheme="minorHAnsi"/>
          <w:i/>
          <w:iCs/>
          <w:color w:val="000000"/>
          <w:sz w:val="20"/>
          <w:szCs w:val="20"/>
          <w:lang w:val="pt-PT"/>
        </w:rPr>
        <w:t xml:space="preserve">12 </w:t>
      </w:r>
      <w:r>
        <w:rPr>
          <w:rFonts w:eastAsia="Arial MT" w:cs="Calibri" w:ascii="Arial" w:hAnsi="Arial" w:cstheme="minorHAnsi"/>
          <w:color w:val="000000"/>
          <w:sz w:val="20"/>
          <w:szCs w:val="20"/>
          <w:lang w:val="pt-PT"/>
        </w:rPr>
        <w:t xml:space="preserve">de março de </w:t>
      </w:r>
      <w:r>
        <w:rPr>
          <w:rFonts w:eastAsia="Arial MT" w:cs="Calibri" w:ascii="Arial" w:hAnsi="Arial" w:cstheme="minorHAnsi"/>
          <w:i/>
          <w:iCs/>
          <w:color w:val="000000"/>
          <w:sz w:val="20"/>
          <w:szCs w:val="20"/>
          <w:lang w:val="pt-PT"/>
        </w:rPr>
        <w:t xml:space="preserve"> 2025</w:t>
      </w:r>
      <w:r>
        <w:rPr>
          <w:rFonts w:eastAsia="Arial MT" w:cs="Calibri" w:ascii="Arial" w:hAnsi="Arial" w:cstheme="minorHAnsi"/>
          <w:color w:val="000000"/>
          <w:sz w:val="20"/>
          <w:szCs w:val="20"/>
          <w:lang w:val="pt-PT"/>
        </w:rPr>
        <w:t xml:space="preserve"> publicada no</w:t>
      </w:r>
      <w:r>
        <w:rPr>
          <w:rFonts w:eastAsia="Arial MT" w:cs="Calibri" w:ascii="Arial" w:hAnsi="Arial" w:cstheme="minorHAnsi"/>
          <w:i/>
          <w:iCs/>
          <w:color w:val="000000"/>
          <w:sz w:val="20"/>
          <w:szCs w:val="20"/>
          <w:lang w:val="pt-PT"/>
        </w:rPr>
        <w:t xml:space="preserve"> </w:t>
      </w:r>
      <w:r>
        <w:rPr>
          <w:rFonts w:eastAsia="Arial MT" w:cs="Calibri" w:ascii="Arial" w:hAnsi="Arial" w:cstheme="minorHAnsi"/>
          <w:color w:val="000000"/>
          <w:sz w:val="20"/>
          <w:szCs w:val="20"/>
          <w:lang w:val="pt-PT"/>
        </w:rPr>
        <w:t>DOU de 13 de março de 2025, portador da matrícula funcional nº 0114807142</w:t>
      </w:r>
      <w:r>
        <w:rPr>
          <w:rFonts w:eastAsia="Arial MT" w:cs="Calibri" w:ascii="Arial" w:hAnsi="Arial" w:cstheme="minorHAnsi"/>
          <w:sz w:val="20"/>
          <w:szCs w:val="20"/>
          <w:lang w:val="pt-PT"/>
        </w:rPr>
        <w:t>,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  <w:highlight w:val="yellow"/>
        </w:rPr>
        <w:t>considerando o julgamento do</w:t>
      </w:r>
      <w:r>
        <w:rPr>
          <w:rFonts w:cs="Arial" w:ascii="Arial" w:hAnsi="Arial"/>
          <w:i/>
          <w:iCs/>
          <w:color w:val="FF0000"/>
          <w:sz w:val="20"/>
          <w:szCs w:val="20"/>
          <w:highlight w:val="yellow"/>
        </w:rPr>
        <w:t xml:space="preserve"> </w:t>
      </w:r>
      <w:r>
        <w:rPr>
          <w:rFonts w:cs="Arial" w:ascii="Arial" w:hAnsi="Arial"/>
          <w:i/>
          <w:iCs/>
          <w:color w:val="000000"/>
          <w:sz w:val="20"/>
          <w:szCs w:val="20"/>
          <w:highlight w:val="yellow"/>
        </w:rPr>
        <w:t>procedimento de contratação direta</w:t>
      </w:r>
      <w:r>
        <w:rPr>
          <w:rFonts w:cs="Arial" w:ascii="Arial" w:hAnsi="Arial"/>
          <w:color w:val="000000"/>
          <w:sz w:val="20"/>
          <w:szCs w:val="20"/>
          <w:highlight w:val="yellow"/>
        </w:rPr>
        <w:t>,</w:t>
      </w:r>
      <w:r>
        <w:rPr>
          <w:rFonts w:cs="Arial" w:ascii="Arial" w:hAnsi="Arial"/>
          <w:sz w:val="20"/>
          <w:szCs w:val="20"/>
          <w:highlight w:val="yellow"/>
        </w:rPr>
        <w:t xml:space="preserve"> para REGISTRO DE PREÇOS nº 30/2027 publicada no ...... de ...../...../202.....,</w:t>
      </w:r>
      <w:r>
        <w:rPr>
          <w:rFonts w:cs="Arial" w:ascii="Arial" w:hAnsi="Arial"/>
          <w:sz w:val="20"/>
          <w:szCs w:val="20"/>
        </w:rPr>
        <w:t xml:space="preserve"> processo administrativo n.º </w:t>
      </w:r>
      <w:r>
        <w:rPr>
          <w:rFonts w:eastAsia="Times New Roman" w:cs="Arial" w:ascii="Arial" w:hAnsi="Arial"/>
          <w:b w:val="false"/>
          <w:bCs/>
          <w:i w:val="false"/>
          <w:iCs/>
          <w:caps w:val="false"/>
          <w:smallCaps w:val="false"/>
          <w:color w:val="000000" w:themeColor="text1"/>
          <w:spacing w:val="0"/>
          <w:kern w:val="0"/>
          <w:sz w:val="20"/>
          <w:szCs w:val="20"/>
          <w:lang w:val="pt-BR" w:eastAsia="pt-BR" w:bidi="ar-SA"/>
        </w:rPr>
        <w:t>64257.006200/2026-94</w:t>
      </w:r>
      <w:r>
        <w:rPr>
          <w:rFonts w:cs="Arial" w:ascii="Arial" w:hAnsi="Arial"/>
          <w:sz w:val="20"/>
          <w:szCs w:val="20"/>
        </w:rPr>
        <w:t>, RESOLVE registrar os preços da(s) empresa(s) indicada(s) e qualificada(s) nesta ATA, de acordo com a classificação por ela(s) alcançada(s) e na(s) quantidade(s) cotada(s), atendendo as condições previst</w:t>
      </w:r>
      <w:r>
        <w:rPr>
          <w:rFonts w:cs="Arial" w:ascii="Arial" w:hAnsi="Arial"/>
          <w:color w:val="000000"/>
          <w:sz w:val="20"/>
          <w:szCs w:val="20"/>
        </w:rPr>
        <w:t xml:space="preserve">as no </w:t>
      </w:r>
      <w:r>
        <w:rPr>
          <w:rFonts w:cs="Arial" w:ascii="Arial" w:hAnsi="Arial"/>
          <w:i/>
          <w:iCs/>
          <w:color w:val="000000"/>
          <w:sz w:val="20"/>
          <w:szCs w:val="20"/>
        </w:rPr>
        <w:t>Aviso da Contratação Direta</w:t>
      </w:r>
      <w:r>
        <w:rPr>
          <w:rFonts w:cs="Arial" w:ascii="Arial" w:hAnsi="Arial"/>
          <w:color w:val="000000"/>
          <w:sz w:val="20"/>
          <w:szCs w:val="20"/>
        </w:rPr>
        <w:t>, s</w:t>
      </w:r>
      <w:r>
        <w:rPr>
          <w:rFonts w:cs="Arial" w:ascii="Arial" w:hAnsi="Arial"/>
          <w:sz w:val="20"/>
          <w:szCs w:val="20"/>
        </w:rPr>
        <w:t>ujeitando-se as partes às normas constantes na Lei nº 14.133, de 1º de abril de 2021, no Decreto n.º 11.462, de 31 de março de 2023, e em conformidade com as disposições a seguir:</w:t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DO OBJETO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A presente Ata tem por objeto o registro de preços para a eventual contratação de </w:t>
      </w:r>
      <w:r>
        <w:rPr>
          <w:rFonts w:eastAsia="Arial"/>
          <w:bCs w:val="false"/>
          <w:i/>
          <w:iCs/>
          <w:color w:val="000000"/>
          <w:sz w:val="20"/>
          <w:szCs w:val="20"/>
        </w:rPr>
        <w:t>material permanente para o Setor de Aprovisionamento do Colégio Militar do Recife</w:t>
      </w:r>
      <w:r>
        <w:rPr>
          <w:sz w:val="20"/>
          <w:szCs w:val="20"/>
        </w:rPr>
        <w:t xml:space="preserve">, especificados no(s) item(ns) </w:t>
      </w:r>
      <w:r>
        <w:rPr>
          <w:i/>
          <w:iCs/>
          <w:color w:val="FF0000"/>
          <w:sz w:val="20"/>
          <w:szCs w:val="20"/>
        </w:rPr>
        <w:t xml:space="preserve">XX </w:t>
      </w:r>
      <w:r>
        <w:rPr>
          <w:sz w:val="20"/>
          <w:szCs w:val="20"/>
        </w:rPr>
        <w:t xml:space="preserve">do Termo de Referência, anexo </w:t>
      </w:r>
      <w:r>
        <w:rPr>
          <w:i/>
          <w:iCs/>
          <w:color w:val="FF0000"/>
          <w:sz w:val="20"/>
          <w:szCs w:val="20"/>
        </w:rPr>
        <w:t xml:space="preserve">XX </w:t>
      </w:r>
      <w:r>
        <w:rPr>
          <w:iCs/>
          <w:sz w:val="20"/>
          <w:szCs w:val="20"/>
        </w:rPr>
        <w:t>do</w:t>
      </w:r>
      <w:r>
        <w:rPr>
          <w:i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 xml:space="preserve">aviso da contratação direta </w:t>
      </w:r>
      <w:r>
        <w:rPr>
          <w:sz w:val="20"/>
          <w:szCs w:val="20"/>
        </w:rPr>
        <w:t xml:space="preserve">n.º </w:t>
      </w:r>
      <w:r>
        <w:rPr>
          <w:rFonts w:cs="Arial"/>
          <w:bCs/>
          <w:i/>
          <w:iCs/>
          <w:color w:val="000000"/>
          <w:sz w:val="20"/>
          <w:szCs w:val="20"/>
        </w:rPr>
        <w:t>30/2027</w:t>
      </w:r>
      <w:r>
        <w:rPr>
          <w:color w:val="000000"/>
          <w:sz w:val="20"/>
          <w:szCs w:val="20"/>
        </w:rPr>
        <w:t xml:space="preserve"> </w:t>
      </w:r>
      <w:r>
        <w:rPr>
          <w:sz w:val="20"/>
          <w:szCs w:val="20"/>
        </w:rPr>
        <w:t>que é parte integrante desta Ata, assim como as propostas cujos preços tenham sido registrados, independentemente de transcrição.</w:t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DOS PREÇOS, ESPECIFICAÇÕES E QUANTITATIVOS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O preço registrado, as especificações do objeto, as quantidades mínimas e máximas de cada item, fornecedor(es) e as demais condições ofertadas na(s) proposta(s) são as que seguem: </w:t>
      </w:r>
    </w:p>
    <w:tbl>
      <w:tblPr>
        <w:tblW w:w="9392" w:type="dxa"/>
        <w:jc w:val="left"/>
        <w:tblInd w:w="1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494"/>
        <w:gridCol w:w="1335"/>
        <w:gridCol w:w="1254"/>
        <w:gridCol w:w="1540"/>
        <w:gridCol w:w="1123"/>
        <w:gridCol w:w="1119"/>
        <w:gridCol w:w="843"/>
        <w:gridCol w:w="839"/>
        <w:gridCol w:w="844"/>
      </w:tblGrid>
      <w:tr>
        <w:trPr>
          <w:trHeight w:val="511" w:hRule="atLeast"/>
        </w:trPr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Item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do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TR</w:t>
            </w:r>
          </w:p>
        </w:tc>
        <w:tc>
          <w:tcPr>
            <w:tcW w:w="889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Fornecedor </w:t>
            </w:r>
            <w:r>
              <w:rPr>
                <w:rFonts w:cs="Arial" w:ascii="Arial" w:hAnsi="Arial"/>
                <w:i/>
                <w:color w:val="FF0000"/>
                <w:sz w:val="20"/>
                <w:szCs w:val="20"/>
              </w:rPr>
              <w:t>[razão social, CNPJ/MF, endereço, contatos, representante]</w:t>
            </w:r>
          </w:p>
        </w:tc>
      </w:tr>
      <w:tr>
        <w:trPr>
          <w:trHeight w:val="674" w:hRule="atLeast"/>
        </w:trPr>
        <w:tc>
          <w:tcPr>
            <w:tcW w:w="49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X</w:t>
            </w: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Especificação</w:t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Marca 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i/>
                <w:i/>
                <w:iCs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20"/>
                <w:szCs w:val="20"/>
              </w:rPr>
              <w:t>(se exigida no edital)</w:t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Modelo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i/>
                <w:i/>
                <w:iCs/>
                <w:sz w:val="20"/>
                <w:szCs w:val="20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20"/>
                <w:szCs w:val="20"/>
              </w:rPr>
              <w:t>(se exigido no edital)</w:t>
            </w:r>
          </w:p>
        </w:tc>
        <w:tc>
          <w:tcPr>
            <w:tcW w:w="1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Unidade</w:t>
            </w:r>
          </w:p>
        </w:tc>
        <w:tc>
          <w:tcPr>
            <w:tcW w:w="11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Quantidade</w:t>
              <w:br/>
              <w:t>Máxima</w:t>
            </w:r>
          </w:p>
        </w:tc>
        <w:tc>
          <w:tcPr>
            <w:tcW w:w="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Quantidade</w:t>
              <w:br/>
              <w:t>Mínima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Valor</w:t>
              <w:br/>
              <w:t>Unitário</w:t>
            </w: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Prazo garantia ou validade</w:t>
            </w:r>
          </w:p>
        </w:tc>
      </w:tr>
      <w:tr>
        <w:trPr>
          <w:trHeight w:val="174" w:hRule="atLeast"/>
        </w:trPr>
        <w:tc>
          <w:tcPr>
            <w:tcW w:w="4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/>
        <w:rPr>
          <w:rFonts w:ascii="Arial" w:hAnsi="Arial" w:cs="Arial"/>
          <w:sz w:val="20"/>
          <w:szCs w:val="20"/>
          <w:lang w:eastAsia="en-US"/>
        </w:rPr>
      </w:pPr>
      <w:r>
        <w:rPr>
          <w:rFonts w:cs="Arial" w:ascii="Arial" w:hAnsi="Arial"/>
          <w:sz w:val="20"/>
          <w:szCs w:val="20"/>
          <w:lang w:eastAsia="en-US"/>
        </w:rPr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  <w:lang w:eastAsia="en-US"/>
        </w:rPr>
        <w:t>A listagem do cadastro de reserva referente ao presente registro de preços consta como anexo a esta Ata.</w:t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ÓRGÃO(S) GERENCIADOR E PARTICIPANTE(S)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 órgão gerenciador será o</w:t>
      </w:r>
      <w:r>
        <w:rPr>
          <w:rFonts w:cs="Arial"/>
          <w:color w:val="000000"/>
          <w:sz w:val="20"/>
          <w:szCs w:val="20"/>
        </w:rPr>
        <w:t xml:space="preserve"> </w:t>
      </w:r>
      <w:r>
        <w:rPr>
          <w:rFonts w:eastAsia="Times New Roman" w:cs="Tahoma"/>
          <w:color w:val="000000"/>
          <w:kern w:val="0"/>
          <w:sz w:val="20"/>
          <w:szCs w:val="20"/>
          <w:lang w:val="pt-BR" w:eastAsia="pt-BR" w:bidi="ar-SA"/>
        </w:rPr>
        <w:t>Colégio Militar de Recife</w:t>
      </w:r>
      <w:r>
        <w:rPr>
          <w:rFonts w:cs="Arial"/>
          <w:color w:val="000000"/>
          <w:sz w:val="20"/>
          <w:szCs w:val="20"/>
        </w:rPr>
        <w:t xml:space="preserve"> </w:t>
      </w:r>
    </w:p>
    <w:p>
      <w:pPr>
        <w:pStyle w:val="Nvel2Red"/>
        <w:numPr>
          <w:ilvl w:val="1"/>
          <w:numId w:val="1"/>
        </w:numPr>
        <w:ind w:left="0" w:hanging="0"/>
        <w:rPr>
          <w:rFonts w:ascii="Arial" w:hAnsi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Além do gerenciador, não há órgãos e entidades públicas participantes do registro de preços.</w:t>
      </w:r>
    </w:p>
    <w:p>
      <w:pPr>
        <w:pStyle w:val="Ou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DA ADESÃO À ATA DE REGISTRO DE PREÇOS</w:t>
      </w:r>
    </w:p>
    <w:p>
      <w:pPr>
        <w:pStyle w:val="Nvel2Red"/>
        <w:numPr>
          <w:ilvl w:val="1"/>
          <w:numId w:val="1"/>
        </w:numPr>
        <w:ind w:left="0" w:hanging="0"/>
        <w:rPr>
          <w:rFonts w:ascii="Arial" w:hAnsi="Arial"/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en-US"/>
        </w:rPr>
        <w:t xml:space="preserve"> </w:t>
      </w:r>
      <w:r>
        <w:rPr>
          <w:color w:val="000000"/>
          <w:sz w:val="20"/>
          <w:szCs w:val="20"/>
          <w:lang w:eastAsia="en-US"/>
        </w:rPr>
        <w:t>Não será admitida a adesão à ata de registro de preços decorrente desta licitação ou desta contratação direta, conforme justificativa apresentada nos estudos técnicos preliminares.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É vedado efetuar acréscimos nos quantitativos fixados na ata de registro de preços.</w:t>
      </w:r>
    </w:p>
    <w:p>
      <w:pPr>
        <w:pStyle w:val="Nivel2"/>
        <w:numPr>
          <w:ilvl w:val="0"/>
          <w:numId w:val="0"/>
        </w:numPr>
        <w:ind w:left="57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VALIDADE, FORMALIZAÇÃO DA ATA DE REGISTRO DE PREÇOS E CADASTRO RESERVA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 validade da Ata de Registro de Preços será de 1 (um) ano, contado a partir do primeiro dia útil subsequ</w:t>
      </w:r>
      <w:r>
        <w:rPr>
          <w:color w:val="000000"/>
          <w:sz w:val="20"/>
          <w:szCs w:val="20"/>
        </w:rPr>
        <w:t>ente à data de div</w:t>
      </w:r>
      <w:r>
        <w:rPr>
          <w:color w:val="000000"/>
          <w:sz w:val="20"/>
          <w:szCs w:val="20"/>
          <w:shd w:fill="auto" w:val="clear"/>
        </w:rPr>
        <w:t>ulgação no PNCP, podendo ser prorrogada por igual período, mediante a anuência do fornecedor, desde que comprovado o preço vantajoso.</w:t>
      </w:r>
    </w:p>
    <w:p>
      <w:pPr>
        <w:pStyle w:val="Nvel3R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  <w:shd w:fill="auto" w:val="clear"/>
        </w:rPr>
        <w:t xml:space="preserve">Em caso de prorrogação da ata, </w:t>
      </w:r>
      <w:r>
        <w:rPr>
          <w:color w:val="000000"/>
          <w:sz w:val="20"/>
          <w:szCs w:val="20"/>
          <w:shd w:fill="auto" w:val="clear"/>
        </w:rPr>
        <w:t>não poderá</w:t>
      </w:r>
      <w:r>
        <w:rPr>
          <w:i w:val="false"/>
          <w:iCs w:val="false"/>
          <w:color w:val="000000"/>
          <w:sz w:val="20"/>
          <w:szCs w:val="20"/>
          <w:shd w:fill="auto" w:val="clear"/>
        </w:rPr>
        <w:t xml:space="preserve"> ser renovado o quantitativo originalmente registrado.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 contrato decorrente da ata de registro de preços terá sua vigência estabelecida no próprio instrumento contratual e observará no momento da contratação e a cada exercício financeiro a disponibilidade de créditos orçamentários, bem como a previsão no plano plurianual, quando ultrapassar 1 (um) exercício financeiro.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formalização do contrato ou do instrumento substituto deverá haver a indicação da disponibilidade dos créditos orçamentários respectivos.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 contratação com os fornecedores registrados na ata será formalizada pelo órgão ou pela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interessada por intermédio de instrumento contratual, emissão de nota de empenho de despesa, autorização de compra ou outro instrumento hábil, conforme o art. 95 da Lei nº 14.133, de 2021.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O instrumento contratual de que trata o item 5.2. deverá ser assinado no prazo de validade da ata de registro de preços.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Os contratos decorrentes do sistema de registro de preços poderão ser alterados, observado o art. 124 da Lei nº 14.133, de 2021.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Após a homologação da licitação ou da contratação direta, deverão ser observadas as seguintes condições para formalização da ata de registro de preços: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Serão registrados na ata os preços e os quantita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vos do adjudicatário, devendo ser observada a possibilidade de o licitante oferecer ou não proposta em quantitativo inferior ao máximo previsto no</w:t>
      </w:r>
      <w:r>
        <w:rPr>
          <w:i/>
          <w:iCs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aviso de contratação direta</w:t>
      </w:r>
      <w:r>
        <w:rPr>
          <w:i/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e se obrigar nos limites dela;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Será incluído na ata, na forma de anexo, o registro dos licitantes ou dos fornecedores que:</w:t>
      </w:r>
    </w:p>
    <w:p>
      <w:pPr>
        <w:pStyle w:val="Nvel4"/>
        <w:numPr>
          <w:ilvl w:val="3"/>
          <w:numId w:val="1"/>
        </w:numPr>
        <w:ind w:left="567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Aceitarem cotar os bens, as obras ou os serviços com preços iguais aos do adjudicatário, observada a classificação da licitação; e </w:t>
      </w:r>
    </w:p>
    <w:p>
      <w:pPr>
        <w:pStyle w:val="Nvel4"/>
        <w:numPr>
          <w:ilvl w:val="3"/>
          <w:numId w:val="1"/>
        </w:numPr>
        <w:ind w:left="567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Mantiverem sua proposta original. </w:t>
      </w:r>
      <w:bookmarkStart w:id="0" w:name="cadastro_reserva"/>
      <w:bookmarkEnd w:id="0"/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Será respeitada, nas contratações, a ordem de classificação dos licitantes ou dos fornecedores registrados na ata.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 registro a que se refere o item 5.4.2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tem por obje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vo a formação de cadastro de reserva para o caso de impossibilidade de atendimento pelo signatário da ata.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Para fins da ordem de classificação, os licitantes ou fornecedores que aceitarem reduzir suas propostas para o preço do adjudicatário antecederão aqueles que mantiverem sua proposta original.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A habilitação dos licitantes que comporão o cadastro de reserva a que se refere o item </w:t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> REF cadastro_reserva \r \h </w:instrText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5.4.2.2.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somente será efetuada quando houver necessidade de contratação dos licitantes remanescentes, nas seguintes hipóteses: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Quando o licitante vencedor não assinar a ata de registro de preços, no prazo e nas condições estabelecidos no</w:t>
      </w:r>
      <w:r>
        <w:rPr>
          <w:i/>
          <w:iCs/>
          <w:sz w:val="20"/>
          <w:szCs w:val="20"/>
        </w:rPr>
        <w:t xml:space="preserve"> </w:t>
      </w:r>
      <w:r>
        <w:rPr>
          <w:i/>
          <w:iCs/>
          <w:color w:val="000000"/>
          <w:sz w:val="20"/>
          <w:szCs w:val="20"/>
        </w:rPr>
        <w:t>aviso de contratação direta;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Quando houver o cancelamento do registro do licitante ou do registro de preços nas hipóteses previstas no item </w:t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> REF cancelamento \r \h </w:instrText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9.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>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 preço registrado com indicação dos licitantes e fornecedores será divulgado no PNCP e ficará disponibilizado durante a vigência da ata de registro de preços.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 decair o direito, sem prejuízo das sanções previstas na Lei nº 14.133, de 2021.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 prazo de convocação poderá ser prorrogado 1 (uma) vez, por igual período, mediante solicitação do licitante ou fornecedor convocado, desde que apresentada dentro do prazo, devidamente justificada, e que a justificativa seja aceita pela Administração.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 ata de registro de preços será assinada por meio de assinatura digital e disponibilizada no Sistema de Registro de Preços.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Quando o convocado não assinar a ata de registro de preços no prazo e nas condições estabelecidos no edital ou no aviso de contratação, fica facultado à Administração convocar os licitantes remanescentes do cadastro de reserva, na ordem de classificação, para fazê-lo em igual prazo e nas condições propostas pelo primeiro classificado.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de nenhum dos licitantes que trata o item 5.4.2.1, aceitar a contratação nos termos do item anterior, a Administração, observados o valor es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 xml:space="preserve">mado e sua eventual atualização nos termos do </w:t>
      </w:r>
      <w:r>
        <w:rPr>
          <w:i/>
          <w:color w:val="000000"/>
          <w:sz w:val="20"/>
          <w:szCs w:val="20"/>
        </w:rPr>
        <w:t>aviso de contratação direta</w:t>
      </w:r>
      <w:r>
        <w:rPr>
          <w:color w:val="000000"/>
          <w:sz w:val="20"/>
          <w:szCs w:val="20"/>
        </w:rPr>
        <w:t>,</w:t>
      </w:r>
      <w:r>
        <w:rPr>
          <w:sz w:val="20"/>
          <w:szCs w:val="20"/>
        </w:rPr>
        <w:t xml:space="preserve"> poderá: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Convocar para negociação os demais licitantes ou fornecedores remanescentes cujos preços foram registrados sem redução, observada a ordem de classificação, com vistas à obtenção de preço melhor, mesmo que acima do preço do adjudicatário; ou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Adjudicar e firmar o contrato nas condições ofertadas pelos licitantes ou fornecedores remanescentes, atendida a ordem classificatória, quando frustrada a negociação de melhor condição.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 existência de preços registrados implicará compromisso de fornecimento nas condições estabelecidas, mas não obrigará a Administração a contratar, facultada a realização de licitação específica para a aquisição pretendida, desde que devidamente justificada.</w:t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ALTERAÇÃO OU ATUALIZAÇÃO DOS PREÇOS REGISTRADOS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Os preços registrados poderão ser alterados ou atualizados em decorrência de eventual redução dos preços pra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cados no mercado ou de fato que eleve o custo dos bens, das obras ou dos serviços registrados, nas seguintes situações: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Em caso de força maior, caso fortuito ou fato do príncipe ou em decorrência de fatos imprevisíveis ou previsíveis de consequências incalculáveis, que inviabilizem a execução da ata tal como pactuada, nos termos da alínea “d” do inciso II do caput do art. 124 da Lei nº 14.133, de 2021</w:t>
      </w:r>
      <w:r>
        <w:rPr>
          <w:color w:val="0000EF"/>
          <w:sz w:val="20"/>
          <w:szCs w:val="20"/>
        </w:rPr>
        <w:t>;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Em caso de criação, alteração ou ex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 xml:space="preserve">nção de quaisquer tributos ou encargos legais ou a superveniência de disposições legais, com comprovada repercussão sobre os preços registrados; 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de previsão no edital ou no aviso de contratação direta de cláusula de reajustamento ou repactuação sobre os preços registrados, nos termos da Lei nº 14.133, de 2021.</w:t>
      </w:r>
    </w:p>
    <w:p>
      <w:pPr>
        <w:pStyle w:val="Nvel4"/>
        <w:numPr>
          <w:ilvl w:val="3"/>
          <w:numId w:val="1"/>
        </w:numPr>
        <w:ind w:left="567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No caso do reajustamento, deverá ser respeitada a contagem da anualidade e o índice previstos para a contratação;  </w:t>
      </w:r>
    </w:p>
    <w:p>
      <w:pPr>
        <w:pStyle w:val="Nvel4"/>
        <w:numPr>
          <w:ilvl w:val="3"/>
          <w:numId w:val="1"/>
        </w:numPr>
        <w:ind w:left="567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No caso da repactuação, poderá ser a pedido do interessado, conforme critérios definidos para a contratação.</w:t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NEGOCIAÇÃO DE PREÇOS REGISTRADOS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de o preço registrado tornar-se superior ao preço pra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cado no mercado por mo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vo superveniente, o órgão ou en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dade gerenciadora convocará o fornecedor para negociar a redução do preço registrado.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Caso não aceite reduzir seu preço aos valores pra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cados pelo mercado, o fornecedor será liberado do compromisso assumido quanto ao item registrado, sem aplicação de penalidades administrativas.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Na hipótese prevista no item anterior, o gerenciador convocará os fornecedores do cadastro de reserva, na ordem de classificação, para verificar se aceitam reduzir seus preços aos valores de mercado e não convocará os licitantes ou fornecedores que tiveram seu registro cancelado. 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Se não obtiver êxito nas negociações, o órgão ou en</w:t>
      </w:r>
      <w:r>
        <w:rPr>
          <w:rFonts w:eastAsia="Calibri"/>
          <w:sz w:val="20"/>
          <w:szCs w:val="20"/>
        </w:rPr>
        <w:t>tid</w:t>
      </w:r>
      <w:r>
        <w:rPr>
          <w:sz w:val="20"/>
          <w:szCs w:val="20"/>
        </w:rPr>
        <w:t>ade gerenciadora procederá ao cancelamento da ata de registro de preços, adotando as medidas cabíveis para obtenção de contratação mais vantajosa.</w:t>
      </w:r>
      <w:bookmarkStart w:id="1" w:name="reducao_preco_mercado_negociacao_frustra"/>
      <w:bookmarkEnd w:id="1"/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rFonts w:cs="Calibri"/>
          <w:sz w:val="20"/>
          <w:szCs w:val="20"/>
        </w:rPr>
        <w:t>Na hipótese de</w:t>
      </w:r>
      <w:r>
        <w:rPr>
          <w:sz w:val="20"/>
          <w:szCs w:val="20"/>
        </w:rPr>
        <w:t xml:space="preserve"> redução do preço registrado, o gerenciador comunicará aos órgãos e às en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 xml:space="preserve">dades que 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verem firmado contratos decorrentes da ata de registro de preços para que avaliem a conveniência e a oportunidade de diligenciarem negociação com vistas à alteração contratual, observado o disposto no art. 124 da Lei nº 14.133, de 2021.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de o preço de mercado tornar-se superior ao preço registrado e o fornecedor não poder cumprir as obrigações estabelecidas na ata, será facultado ao fornecedor requerer ao gerenciador a alteração do preço registrado, mediante comprovação de fato superveniente que supostamente o impossibilite de cumprir o compromisso.</w:t>
      </w:r>
      <w:bookmarkStart w:id="2" w:name="hipotese_preco_mercado_maior"/>
      <w:bookmarkEnd w:id="2"/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Neste caso, o fornecedor encaminhará, juntamente com o pedido de alteração, a documentação comprobatória ou a planilha de custos que demonstre a inviabilidade do preço registrado em relação às condições inicialmente pactuadas.</w:t>
      </w:r>
      <w:bookmarkStart w:id="3" w:name="prova_preco_mercado_maior"/>
      <w:bookmarkEnd w:id="3"/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de não comprovação da existência de fato superveniente que inviabilize o preço registrado, o pedido será indeferido pelo órgão ou en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 xml:space="preserve">dade gerenciadora e o fornecedor deverá cumprir as obrigações estabelecidas na ata, sob pena de cancelamento do seu registro, nos termos do item </w:t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> REF cancelamento_do_fornecedor \r \h </w:instrText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9.1.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>, sem prejuízo das sanções previstas na Lei nº 14.133, de 2021, e na legislação aplicável.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de cancelamento do registro do fornecedor, nos termos do item anterior, o gerenciador convocará os fornecedores do cadastro de reserva, na ordem de classificação, para verificar se aceitam manter seus preços registrados, observado o disposto no item 5.7.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Se não obtiver êxito nas negociações, o órgão ou entidade gerenciadora procederá ao cancelamento da ata de registro de preços, nos termos do item </w:t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> REF cancelamento_da_ata \r \h </w:instrText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9.4.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>, e adotará as medidas cabíveis para a obtenção da contratação mais vantajosa.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Na hipótese de comprovação da majoração do preço de mercado que inviabilize o preço registrado, conforme previsto no item </w:t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> REF hipotese_preco_mercado_maior \r \h </w:instrText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7.2.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e no item </w:t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> REF prova_preco_mercado_maior \r \h </w:instrText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7.2.1.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>, o órgão ou en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dade gerenciadora atualizará o preço registrado, de acordo com a realidade dos valores praticados pelo mercado.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O órgão ou en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dade gerenciadora comunicará aos órgãos e às en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 xml:space="preserve">dades que 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verem firmado contratos decorrentes da ata de registro de preços sobre a efe</w:t>
      </w:r>
      <w:r>
        <w:rPr>
          <w:rFonts w:eastAsia="Calibri"/>
          <w:sz w:val="20"/>
          <w:szCs w:val="20"/>
        </w:rPr>
        <w:t>ti</w:t>
      </w:r>
      <w:r>
        <w:rPr>
          <w:sz w:val="20"/>
          <w:szCs w:val="20"/>
        </w:rPr>
        <w:t>va alteração do preço registrado, para que avaliem a necessidade de alteração contratual, observado o disposto no art. 124 da Lei nº 14.133, de 2021.</w:t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REMANEJAMENTO DAS QUANTIDADES REGISTRADAS NA ATA DE REGISTRO DE PREÇOS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As quan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dades previstas para os itens com preços registrados nas atas de registro de preços poderão ser remanejadas pelo órgão ou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gerenciadora entre os órgãos ou as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dades par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cipantes e não par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cipantes do registro de preços.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O remanejamento somente poderá ser feito: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De órgão ou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par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cipante para órgão ou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par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cipante; ou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De órgão ou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par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cipante para órgão ou entidade não participante.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 órgão ou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gerenciadora que tiver es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mado as quan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dades que pretende contratar será considerado participante para efeito do remanejamento.</w:t>
      </w:r>
      <w:bookmarkStart w:id="4" w:name="gerenciador_estimador_é_partic_em_remane"/>
      <w:bookmarkEnd w:id="4"/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de remanejamento de órgão ou entidade par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cipante para órgão ou entidade não participante, serão observados os limites previstos no art. 32 do Decreto nº 11.462, de 2023.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Competirá ao órgão ou à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gerenciadora autorizar o remanejamento solicitado, com a redução do quan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ta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vo inicialmente informado pelo órgão ou pela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par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cipante, desde que haja prévia anuência do órgão ou da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que sofrer redução dos quantitativos informados.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Caso o remanejamento seja feito entre órgãos ou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dades dos Estados, do Distrito Federal ou de Municípios dis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ntos, caberá ao fornecedor beneficiário da ata de registro de preços, observadas as condições nela estabelecidas, optar pela aceitação ou não do fornecimento decorrente do remanejamento dos itens.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da compra centralizada, não havendo indicação pelo órgão ou pela en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dade gerenciadora, dos quan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ta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vos dos par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 xml:space="preserve">cipantes da compra centralizada, nos termos do item </w:t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> REF gerenciador_estimador_é_partic_em_remane \r \h </w:instrText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8.3.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>, a distribuição das quantidades para a execução descentralizada será por meio do remanejamento.</w:t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CANCELAMENTO DO REGISTRO DO LICITANTE VENCEDOR E DOS PREÇOS REGISTRADOS</w:t>
      </w:r>
      <w:bookmarkStart w:id="5" w:name="cancelamento"/>
      <w:bookmarkEnd w:id="5"/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 registro do fornecedor será cancelado pelo gerenciador, quando o fornecedor:</w:t>
      </w:r>
      <w:bookmarkStart w:id="6" w:name="cancelamento_do_fornecedor"/>
      <w:bookmarkEnd w:id="6"/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Descumprir as condições da ata de registro de preços, sem motivo justificado;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Não re</w:t>
      </w:r>
      <w:r>
        <w:rPr>
          <w:rFonts w:eastAsia="Arial"/>
          <w:sz w:val="20"/>
          <w:szCs w:val="20"/>
        </w:rPr>
        <w:t>ti</w:t>
      </w:r>
      <w:r>
        <w:rPr>
          <w:sz w:val="20"/>
          <w:szCs w:val="20"/>
        </w:rPr>
        <w:t>rar a nota de empenho, ou instrumento equivalente, no prazo estabelecido pela Administração sem justificativa razoável;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Não aceitar manter seu preço registrado, na hipótese prevista no artigo 27, § 2º, do Decreto nº 11.462, de 2023; ou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Sofrer sanção prevista nos incisos III ou IV do caput do art. 156 da Lei nº 14.133, de 2021.</w:t>
      </w:r>
    </w:p>
    <w:p>
      <w:pPr>
        <w:pStyle w:val="Nvel4"/>
        <w:numPr>
          <w:ilvl w:val="3"/>
          <w:numId w:val="1"/>
        </w:numPr>
        <w:ind w:left="567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de aplicação de sanção prevista nos incisos III ou IV do caput do art. 156 da Lei nº 14.133, de 2021, caso a penalidade aplicada ao fornecedor não ultrapasse o prazo de vigência da ata de registro de preços, poderá o órgão ou a entidade gerenciadora, mediante decisão fundamentada, decidir pela manutenção do registro de preços, vedadas contratações derivadas da ata enquanto perdurarem os efeitos da sanção.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O cancelamento de registros nas hipóteses previstas no item </w:t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> REF cancelamento_do_fornecedor \r \h </w:instrText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9.1.</w:t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será formalizado por despacho do órgão ou da entidade gerenciadora, garantidos os princípios do contraditório e da ampla defesa.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Na hipótese de cancelamento do registro do fornecedor, o órgão ou a entidade gerenciadora poderá convocar os licitantes que compõem o cadastro de reserva, observada a ordem de classificação.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 cancelamento dos preços registrados poderá ser realizado pelo gerenciador, em determinada ata de registro de preços, total ou parcialmente, nas seguintes hipóteses, desde que devidamente comprovadas e justificadas:</w:t>
      </w:r>
      <w:bookmarkStart w:id="7" w:name="cancelamento_da_ata"/>
      <w:bookmarkEnd w:id="7"/>
      <w:r>
        <w:rPr>
          <w:sz w:val="20"/>
          <w:szCs w:val="20"/>
        </w:rPr>
        <w:t xml:space="preserve"> 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Por razão de interesse público;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 pedido do fornecedor, decorrente de caso fortuito ou força maior; ou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Se não houver êxito nas negociações, nas hipóteses em que o preço de mercado tornar-se superior ou inferior ao preço registrado, nos termos do artigos 26, § 3º e  27, § 4º, ambos do Decreto nº 11.462, de 2023. </w:t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DAS PENALIDADES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O descumprimento da Ata de Registro de Preços ensejará aplicação das penalidades estabelecidas </w:t>
      </w:r>
      <w:r>
        <w:rPr>
          <w:iCs/>
          <w:sz w:val="20"/>
          <w:szCs w:val="20"/>
        </w:rPr>
        <w:t>no</w:t>
      </w:r>
      <w:r>
        <w:rPr>
          <w:i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aviso de contratação direta.</w:t>
      </w:r>
    </w:p>
    <w:p>
      <w:pPr>
        <w:pStyle w:val="Nvel3"/>
        <w:numPr>
          <w:ilvl w:val="2"/>
          <w:numId w:val="1"/>
        </w:numPr>
        <w:ind w:left="284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As sanções também se aplicam aos integrantes do cadastro de reserva no registro de preços que, convocados, não honrarem o compromisso assumido injustificadamente após terem assinado a ata. 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É da competência do gerenciador a aplicação das penalidades decorrentes do descumprimento do pactuado nesta ata de registro de preço (art. 7º, XIV, do Decreto nº 11.462, de 2023), exceto nas hipóteses em que o descumprimento disser respeito às contratações dos órgãos ou entidade participante, caso no qual caberá ao respectivo órgão participante a aplicação da penalidade (art. 8º, IX, do Decreto nº 11.462, de 2023).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O órgão ou entidade participante deverá comunicar ao órgão gerenciador qualquer das ocorrências previstas no item 9.1, dada a necessidade de instauração de procedimento para cancelamento do registro do fornecedor.</w:t>
      </w:r>
    </w:p>
    <w:p>
      <w:pPr>
        <w:pStyle w:val="Nivel01"/>
        <w:numPr>
          <w:ilvl w:val="0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CONDIÇÕES GERAIS</w:t>
      </w:r>
    </w:p>
    <w:p>
      <w:pPr>
        <w:pStyle w:val="Nivel2"/>
        <w:numPr>
          <w:ilvl w:val="1"/>
          <w:numId w:val="1"/>
        </w:numPr>
        <w:ind w:left="0" w:hanging="0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As condições gerais de execução do objeto, tais como os prazos para entrega e recebimento, as obrigações da Administração e do fornecedor registrado, penalidades e demais condições do ajuste, encontram-se definidos no Termo de Referência, anexo ao</w:t>
      </w:r>
      <w:r>
        <w:rPr>
          <w:i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aviso de contratação direta</w:t>
      </w:r>
    </w:p>
    <w:p>
      <w:pPr>
        <w:pStyle w:val="Normal"/>
        <w:widowControl w:val="false"/>
        <w:spacing w:lineRule="auto" w:line="276" w:before="120" w:after="120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Para firmeza e validade do pactuado, a presente Ata foi lavrada e</w:t>
      </w:r>
      <w:r>
        <w:rPr>
          <w:rFonts w:cs="Arial" w:ascii="Arial" w:hAnsi="Arial"/>
          <w:color w:val="000000"/>
          <w:sz w:val="20"/>
          <w:szCs w:val="20"/>
        </w:rPr>
        <w:t>m 2 (duas) v</w:t>
      </w:r>
      <w:r>
        <w:rPr>
          <w:rFonts w:cs="Arial" w:ascii="Arial" w:hAnsi="Arial"/>
          <w:sz w:val="20"/>
          <w:szCs w:val="20"/>
        </w:rPr>
        <w:t>ias de igual teor, que, depois de lida e achada em ordem, vai assinada pelas partes</w:t>
      </w:r>
      <w:r>
        <w:rPr>
          <w:rFonts w:cs="Arial" w:ascii="Arial" w:hAnsi="Arial"/>
          <w:i/>
          <w:iCs/>
          <w:color w:val="FF0000"/>
          <w:sz w:val="20"/>
          <w:szCs w:val="20"/>
        </w:rPr>
        <w:t>.</w:t>
      </w:r>
    </w:p>
    <w:p>
      <w:pPr>
        <w:pStyle w:val="Normal"/>
        <w:widowControl w:val="false"/>
        <w:spacing w:lineRule="auto" w:line="276" w:before="120" w:after="12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ivel2"/>
        <w:widowControl w:val="false"/>
        <w:numPr>
          <w:ilvl w:val="0"/>
          <w:numId w:val="0"/>
        </w:numPr>
        <w:spacing w:lineRule="auto" w:line="360"/>
        <w:ind w:left="1080" w:hanging="0"/>
        <w:jc w:val="center"/>
        <w:rPr>
          <w:rFonts w:ascii="Arial" w:hAnsi="Arial" w:cs="Arial"/>
          <w:sz w:val="20"/>
          <w:szCs w:val="20"/>
        </w:rPr>
      </w:pPr>
      <w:r>
        <w:rPr>
          <w:rFonts w:eastAsia="Times New Roman" w:cs="Arial"/>
          <w:bCs/>
          <w:color w:val="auto"/>
          <w:kern w:val="0"/>
          <w:sz w:val="20"/>
          <w:szCs w:val="20"/>
          <w:lang w:val="pt-BR" w:eastAsia="en-US" w:bidi="ar-SA"/>
        </w:rPr>
        <w:t>Recife, na data da assinatura do documento.</w:t>
      </w:r>
    </w:p>
    <w:p>
      <w:pPr>
        <w:pStyle w:val="Nivel2"/>
        <w:widowControl w:val="false"/>
        <w:numPr>
          <w:ilvl w:val="0"/>
          <w:numId w:val="0"/>
        </w:numPr>
        <w:spacing w:lineRule="auto" w:line="360"/>
        <w:ind w:left="0" w:hanging="0"/>
        <w:jc w:val="center"/>
        <w:rPr>
          <w:rFonts w:eastAsia="Times New Roman"/>
          <w:bCs/>
          <w:color w:val="auto"/>
          <w:kern w:val="0"/>
          <w:lang w:val="pt-BR" w:eastAsia="en-US" w:bidi="ar-SA"/>
        </w:rPr>
      </w:pPr>
      <w:r>
        <w:rPr>
          <w:rFonts w:eastAsia="Times New Roman"/>
          <w:bCs/>
          <w:color w:val="auto"/>
          <w:kern w:val="0"/>
          <w:lang w:val="pt-BR" w:eastAsia="en-US" w:bidi="ar-SA"/>
        </w:rPr>
      </w:r>
    </w:p>
    <w:p>
      <w:pPr>
        <w:pStyle w:val="Nivel2"/>
        <w:widowControl w:val="false"/>
        <w:numPr>
          <w:ilvl w:val="0"/>
          <w:numId w:val="0"/>
        </w:numPr>
        <w:spacing w:lineRule="auto" w:line="360"/>
        <w:ind w:left="0" w:hanging="0"/>
        <w:jc w:val="center"/>
        <w:rPr>
          <w:rFonts w:eastAsia="Times New Roman"/>
          <w:bCs/>
          <w:color w:val="auto"/>
          <w:kern w:val="0"/>
          <w:lang w:val="pt-BR" w:eastAsia="en-US" w:bidi="ar-SA"/>
        </w:rPr>
      </w:pPr>
      <w:r>
        <w:rPr>
          <w:rFonts w:eastAsia="Times New Roman"/>
          <w:bCs/>
          <w:color w:val="auto"/>
          <w:kern w:val="0"/>
          <w:lang w:val="pt-BR" w:eastAsia="en-US" w:bidi="ar-SA"/>
        </w:rPr>
      </w:r>
    </w:p>
    <w:p>
      <w:pPr>
        <w:pStyle w:val="WWRecuodecorpodetexto2"/>
        <w:ind w:left="0" w:right="0" w:hanging="0"/>
        <w:jc w:val="center"/>
        <w:rPr>
          <w:rFonts w:ascii="Arial" w:hAnsi="Arial"/>
          <w:sz w:val="20"/>
          <w:szCs w:val="20"/>
        </w:rPr>
      </w:pPr>
      <w:r>
        <w:rPr>
          <w:rFonts w:cs="Calibri" w:ascii="Arial" w:hAnsi="Arial"/>
          <w:bCs/>
          <w:spacing w:val="-10"/>
          <w:sz w:val="20"/>
          <w:szCs w:val="20"/>
        </w:rPr>
        <w:t>PAULO FERNANDO DE BARROS E SILVA FILHO</w:t>
      </w:r>
      <w:r>
        <w:rPr>
          <w:rFonts w:cs="Calibri" w:ascii="Arial" w:hAnsi="Arial"/>
          <w:spacing w:val="-10"/>
          <w:sz w:val="20"/>
          <w:szCs w:val="20"/>
        </w:rPr>
        <w:t xml:space="preserve"> – Coronel</w:t>
      </w:r>
    </w:p>
    <w:p>
      <w:pPr>
        <w:pStyle w:val="WWRecuodecorpodetexto2"/>
        <w:widowControl w:val="false"/>
        <w:spacing w:lineRule="auto" w:line="312" w:before="288" w:after="288"/>
        <w:ind w:left="0" w:right="0" w:hanging="0"/>
        <w:jc w:val="center"/>
        <w:rPr>
          <w:rFonts w:ascii="Arial" w:hAnsi="Arial"/>
          <w:b w:val="false"/>
          <w:b w:val="false"/>
          <w:bCs w:val="false"/>
          <w:color w:val="000000"/>
          <w:sz w:val="20"/>
          <w:szCs w:val="20"/>
        </w:rPr>
      </w:pPr>
      <w:r>
        <w:rPr>
          <w:rFonts w:eastAsia="MS Mincho" w:cs="Arial" w:ascii="Arial" w:hAnsi="Arial"/>
          <w:b w:val="false"/>
          <w:bCs w:val="false"/>
          <w:color w:val="000000"/>
          <w:spacing w:val="-10"/>
          <w:sz w:val="20"/>
          <w:szCs w:val="20"/>
        </w:rPr>
        <w:t>Ordenador de Despesas do Colégio Militar do Recife</w:t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Representante(s) legal(is) do(s) </w:t>
      </w:r>
      <w:r>
        <w:rPr>
          <w:rFonts w:cs="Arial" w:ascii="Arial" w:hAnsi="Arial"/>
          <w:color w:val="000000"/>
          <w:sz w:val="20"/>
          <w:szCs w:val="20"/>
        </w:rPr>
        <w:t>fornecedor(s) registrado(s)</w:t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  <w:r>
        <w:br w:type="page"/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Anexo</w:t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Cadastro Reserva</w:t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Seguindo a ordem de classificação, segue relação de fornecedores que aceitaram cotar os itens com preços iguais ao adjudicatário:</w:t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tbl>
      <w:tblPr>
        <w:tblW w:w="9392" w:type="dxa"/>
        <w:jc w:val="left"/>
        <w:tblInd w:w="1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494"/>
        <w:gridCol w:w="1335"/>
        <w:gridCol w:w="1254"/>
        <w:gridCol w:w="1540"/>
        <w:gridCol w:w="1123"/>
        <w:gridCol w:w="1119"/>
        <w:gridCol w:w="843"/>
        <w:gridCol w:w="839"/>
        <w:gridCol w:w="844"/>
      </w:tblGrid>
      <w:tr>
        <w:trPr>
          <w:trHeight w:val="511" w:hRule="atLeast"/>
        </w:trPr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Item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do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TR</w:t>
            </w:r>
          </w:p>
        </w:tc>
        <w:tc>
          <w:tcPr>
            <w:tcW w:w="889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Fornecedor </w:t>
            </w:r>
            <w:r>
              <w:rPr>
                <w:rFonts w:cs="Arial" w:ascii="Arial" w:hAnsi="Arial"/>
                <w:i/>
                <w:color w:val="FF0000"/>
                <w:sz w:val="16"/>
                <w:szCs w:val="16"/>
              </w:rPr>
              <w:t>[razão social, CNPJ/MF, endereço, contatos, representante]</w:t>
            </w:r>
          </w:p>
        </w:tc>
      </w:tr>
      <w:tr>
        <w:trPr>
          <w:trHeight w:val="674" w:hRule="atLeast"/>
        </w:trPr>
        <w:tc>
          <w:tcPr>
            <w:tcW w:w="49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X</w:t>
            </w: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Especificação</w:t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Marca 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Modelo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Unidade</w:t>
            </w:r>
          </w:p>
        </w:tc>
        <w:tc>
          <w:tcPr>
            <w:tcW w:w="11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Quantidade</w:t>
              <w:br/>
              <w:t>Máxima</w:t>
            </w:r>
          </w:p>
        </w:tc>
        <w:tc>
          <w:tcPr>
            <w:tcW w:w="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Quantidade</w:t>
              <w:br/>
              <w:t>Mínima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Valor</w:t>
              <w:br/>
              <w:t>Unitário</w:t>
            </w: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Prazo garantia ou validade</w:t>
            </w:r>
          </w:p>
        </w:tc>
      </w:tr>
      <w:tr>
        <w:trPr>
          <w:trHeight w:val="174" w:hRule="atLeast"/>
        </w:trPr>
        <w:tc>
          <w:tcPr>
            <w:tcW w:w="4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1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Seguindo a ordem de classificação, segue relação de fornecedores que mantiveram sua proposta original:</w:t>
      </w:r>
    </w:p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tbl>
      <w:tblPr>
        <w:tblW w:w="9392" w:type="dxa"/>
        <w:jc w:val="left"/>
        <w:tblInd w:w="1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494"/>
        <w:gridCol w:w="1335"/>
        <w:gridCol w:w="1254"/>
        <w:gridCol w:w="1540"/>
        <w:gridCol w:w="1123"/>
        <w:gridCol w:w="1119"/>
        <w:gridCol w:w="843"/>
        <w:gridCol w:w="839"/>
        <w:gridCol w:w="844"/>
      </w:tblGrid>
      <w:tr>
        <w:trPr>
          <w:trHeight w:val="511" w:hRule="atLeast"/>
        </w:trPr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Item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do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TR</w:t>
            </w:r>
          </w:p>
        </w:tc>
        <w:tc>
          <w:tcPr>
            <w:tcW w:w="889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Fornecedor </w:t>
            </w:r>
            <w:r>
              <w:rPr>
                <w:rFonts w:cs="Arial" w:ascii="Arial" w:hAnsi="Arial"/>
                <w:i/>
                <w:color w:val="FF0000"/>
                <w:sz w:val="16"/>
                <w:szCs w:val="16"/>
              </w:rPr>
              <w:t>[razão social, CNPJ/MF, endereço, contatos, representante]</w:t>
            </w:r>
          </w:p>
        </w:tc>
      </w:tr>
      <w:tr>
        <w:trPr>
          <w:trHeight w:val="674" w:hRule="atLeast"/>
        </w:trPr>
        <w:tc>
          <w:tcPr>
            <w:tcW w:w="49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X</w:t>
            </w: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Especificação</w:t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Marca 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Modelo</w:t>
            </w:r>
          </w:p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Unidade</w:t>
            </w:r>
          </w:p>
        </w:tc>
        <w:tc>
          <w:tcPr>
            <w:tcW w:w="11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Quantidade</w:t>
              <w:br/>
              <w:t>Máxima</w:t>
            </w:r>
          </w:p>
        </w:tc>
        <w:tc>
          <w:tcPr>
            <w:tcW w:w="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Quantidade</w:t>
              <w:br/>
              <w:t>Mínima</w:t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Valor</w:t>
              <w:br/>
              <w:t>Unitário</w:t>
            </w: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right="-28" w:hanging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Prazo garantia ou validade</w:t>
            </w:r>
          </w:p>
        </w:tc>
      </w:tr>
      <w:tr>
        <w:trPr>
          <w:trHeight w:val="174" w:hRule="atLeast"/>
        </w:trPr>
        <w:tc>
          <w:tcPr>
            <w:tcW w:w="4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3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1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11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spacing w:lineRule="auto" w:line="360"/>
        <w:ind w:right="-30" w:hanging="0"/>
        <w:jc w:val="center"/>
        <w:rPr>
          <w:rFonts w:ascii="Arial" w:hAnsi="Arial" w:cs="Arial"/>
          <w:color w:val="000000"/>
          <w:sz w:val="20"/>
          <w:szCs w:val="20"/>
        </w:rPr>
      </w:pPr>
      <w:r>
        <w:rPr/>
      </w:r>
    </w:p>
    <w:sectPr>
      <w:footerReference w:type="default" r:id="rId3"/>
      <w:type w:val="nextPage"/>
      <w:pgSz w:w="11906" w:h="16838"/>
      <w:pgMar w:left="1701" w:right="1134" w:header="0" w:top="1418" w:footer="708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Ecofont_Spranq_eco_Sans"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8496B0"/>
        <w:spacing w:val="60"/>
        <w:sz w:val="16"/>
        <w:szCs w:val="16"/>
      </w:rPr>
    </w:pPr>
    <w:r>
      <w:rPr>
        <w:color w:val="8496B0"/>
        <w:spacing w:val="60"/>
      </w:rPr>
      <w:tab/>
      <w:tab/>
    </w:r>
  </w:p>
  <w:p>
    <w:pPr>
      <w:pStyle w:val="Rodap"/>
      <w:rPr>
        <w:rFonts w:ascii="Arial" w:hAnsi="Arial" w:cs="Arial"/>
        <w:color w:val="7F7F7F"/>
        <w:sz w:val="18"/>
        <w:szCs w:val="18"/>
      </w:rPr>
    </w:pPr>
    <w:r>
      <w:rPr>
        <w:color w:val="7F7F7F"/>
        <w:spacing w:val="60"/>
      </w:rPr>
      <w:tab/>
      <w:tab/>
    </w:r>
    <w:r>
      <w:rPr>
        <w:rFonts w:cs="Arial" w:ascii="Arial" w:hAnsi="Arial"/>
        <w:color w:val="595959"/>
        <w:spacing w:val="60"/>
        <w:sz w:val="18"/>
        <w:szCs w:val="18"/>
      </w:rPr>
      <w:t>Página</w:t>
    </w:r>
    <w:r>
      <w:rPr>
        <w:rFonts w:cs="Arial" w:ascii="Arial" w:hAnsi="Arial"/>
        <w:color w:val="595959"/>
        <w:sz w:val="18"/>
        <w:szCs w:val="18"/>
      </w:rPr>
      <w:t xml:space="preserve"> </w:t>
    </w:r>
    <w:r>
      <w:rPr>
        <w:rFonts w:cs="Arial" w:ascii="Arial" w:hAnsi="Arial"/>
        <w:color w:val="595959"/>
        <w:sz w:val="18"/>
        <w:szCs w:val="18"/>
      </w:rPr>
      <w:fldChar w:fldCharType="begin"/>
    </w:r>
    <w:r>
      <w:rPr>
        <w:sz w:val="18"/>
        <w:szCs w:val="18"/>
        <w:rFonts w:cs="Arial" w:ascii="Arial" w:hAnsi="Arial"/>
        <w:color w:val="595959"/>
      </w:rPr>
      <w:instrText> PAGE </w:instrText>
    </w:r>
    <w:r>
      <w:rPr>
        <w:sz w:val="18"/>
        <w:szCs w:val="18"/>
        <w:rFonts w:cs="Arial" w:ascii="Arial" w:hAnsi="Arial"/>
        <w:color w:val="595959"/>
      </w:rPr>
      <w:fldChar w:fldCharType="separate"/>
    </w:r>
    <w:r>
      <w:rPr>
        <w:sz w:val="18"/>
        <w:szCs w:val="18"/>
        <w:rFonts w:cs="Arial" w:ascii="Arial" w:hAnsi="Arial"/>
        <w:color w:val="595959"/>
      </w:rPr>
      <w:t>8</w:t>
    </w:r>
    <w:r>
      <w:rPr>
        <w:sz w:val="18"/>
        <w:szCs w:val="18"/>
        <w:rFonts w:cs="Arial" w:ascii="Arial" w:hAnsi="Arial"/>
        <w:color w:val="595959"/>
      </w:rPr>
      <w:fldChar w:fldCharType="end"/>
    </w:r>
    <w:r>
      <w:rPr>
        <w:rFonts w:cs="Arial" w:ascii="Arial" w:hAnsi="Arial"/>
        <w:color w:val="595959"/>
        <w:sz w:val="18"/>
        <w:szCs w:val="18"/>
      </w:rPr>
      <w:t xml:space="preserve"> | </w:t>
    </w:r>
    <w:r>
      <w:rPr>
        <w:rFonts w:cs="Arial" w:ascii="Arial" w:hAnsi="Arial"/>
        <w:color w:val="595959"/>
        <w:sz w:val="18"/>
        <w:szCs w:val="18"/>
      </w:rPr>
      <w:fldChar w:fldCharType="begin"/>
    </w:r>
    <w:r>
      <w:rPr>
        <w:sz w:val="18"/>
        <w:szCs w:val="18"/>
        <w:rFonts w:cs="Arial" w:ascii="Arial" w:hAnsi="Arial"/>
        <w:color w:val="595959"/>
      </w:rPr>
      <w:instrText> NUMPAGES </w:instrText>
    </w:r>
    <w:r>
      <w:rPr>
        <w:sz w:val="18"/>
        <w:szCs w:val="18"/>
        <w:rFonts w:cs="Arial" w:ascii="Arial" w:hAnsi="Arial"/>
        <w:color w:val="595959"/>
      </w:rPr>
      <w:fldChar w:fldCharType="separate"/>
    </w:r>
    <w:r>
      <w:rPr>
        <w:sz w:val="18"/>
        <w:szCs w:val="18"/>
        <w:rFonts w:cs="Arial" w:ascii="Arial" w:hAnsi="Arial"/>
        <w:color w:val="595959"/>
      </w:rPr>
      <w:t>8</w:t>
    </w:r>
    <w:r>
      <w:rPr>
        <w:sz w:val="18"/>
        <w:szCs w:val="18"/>
        <w:rFonts w:cs="Arial" w:ascii="Arial" w:hAnsi="Arial"/>
        <w:color w:val="595959"/>
      </w:rPr>
      <w:fldChar w:fldCharType="end"/>
    </w:r>
  </w:p>
  <w:p>
    <w:pPr>
      <w:pStyle w:val="Rodap"/>
      <w:rPr>
        <w:rFonts w:ascii="Arial" w:hAnsi="Arial"/>
        <w:sz w:val="14"/>
      </w:rPr>
    </w:pPr>
    <w:r>
      <w:rPr>
        <w:rFonts w:ascii="Arial" w:hAnsi="Arial"/>
        <w:sz w:val="14"/>
      </w:rPr>
      <w:t>Câmara Nacional de Modelos de Licitações e Contratos da Consultoria-Geral da União</w:t>
    </w:r>
  </w:p>
  <w:p>
    <w:pPr>
      <w:pStyle w:val="Rodap"/>
      <w:rPr>
        <w:rFonts w:ascii="Arial" w:hAnsi="Arial"/>
        <w:color w:val="222A35"/>
        <w:sz w:val="14"/>
      </w:rPr>
    </w:pPr>
    <w:r>
      <w:rPr>
        <w:rFonts w:cs="Arial" w:ascii="Arial" w:hAnsi="Arial"/>
        <w:sz w:val="14"/>
        <w:szCs w:val="14"/>
      </w:rPr>
      <w:t xml:space="preserve">Modelo de </w:t>
    </w:r>
    <w:r>
      <w:rPr>
        <w:rFonts w:ascii="Arial" w:hAnsi="Arial"/>
        <w:sz w:val="14"/>
      </w:rPr>
      <w:t>Modelo Ata de Registro de Preços - Lei nº 14.133, de 2021</w:t>
    </w:r>
  </w:p>
  <w:p>
    <w:pPr>
      <w:pStyle w:val="Rodap"/>
      <w:rPr>
        <w:rFonts w:ascii="Arial" w:hAnsi="Arial"/>
        <w:sz w:val="14"/>
      </w:rPr>
    </w:pPr>
    <w:r>
      <w:rPr>
        <w:rFonts w:ascii="Arial" w:hAnsi="Arial"/>
        <w:sz w:val="14"/>
      </w:rPr>
      <w:t>Aprovado pela Secretaria de Gestão e Inovação</w:t>
    </w:r>
  </w:p>
  <w:p>
    <w:pPr>
      <w:pStyle w:val="Rodap"/>
      <w:rPr>
        <w:rFonts w:ascii="Arial" w:hAnsi="Arial"/>
        <w:sz w:val="14"/>
      </w:rPr>
    </w:pPr>
    <w:r>
      <w:rPr>
        <w:rFonts w:ascii="Arial" w:hAnsi="Arial"/>
        <w:sz w:val="14"/>
      </w:rPr>
      <w:t>Identidade visual pela Secretaria de Gestão e Inovação</w:t>
    </w:r>
  </w:p>
  <w:p>
    <w:pPr>
      <w:pStyle w:val="Rodap"/>
      <w:rPr>
        <w:rFonts w:ascii="Arial" w:hAnsi="Arial"/>
        <w:sz w:val="14"/>
      </w:rPr>
    </w:pPr>
    <w:r>
      <w:rPr>
        <w:rFonts w:cs="Arial" w:ascii="Arial" w:hAnsi="Arial"/>
        <w:sz w:val="14"/>
        <w:szCs w:val="14"/>
      </w:rPr>
      <w:t>Atualização: NOV/2025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b/>
        <w:rFonts w:ascii="Arial" w:hAnsi="Arial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4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99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b46fc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Ttulo1Char"/>
    <w:qFormat/>
    <w:rsid w:val="006362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GradeColoridanfase1Char" w:customStyle="1">
    <w:name w:val="Grade Colorida - Ênfase 1 Char"/>
    <w:link w:val="GradeColorida-nfase11"/>
    <w:qFormat/>
    <w:rsid w:val="00cb46fc"/>
    <w:rPr>
      <w:rFonts w:ascii="Ecofont_Spranq_eco_Sans" w:hAnsi="Ecofont_Spranq_eco_Sans" w:eastAsia="Calibri" w:cs="Tahoma"/>
      <w:i/>
      <w:iCs/>
      <w:color w:val="000000"/>
      <w:szCs w:val="24"/>
      <w:lang w:val="pt-BR" w:eastAsia="en-US" w:bidi="ar-SA"/>
    </w:rPr>
  </w:style>
  <w:style w:type="character" w:styleId="CorpodetextoChar" w:customStyle="1">
    <w:name w:val="Corpo de texto Char"/>
    <w:link w:val="Corpodetexto"/>
    <w:uiPriority w:val="99"/>
    <w:qFormat/>
    <w:rsid w:val="002f4c05"/>
    <w:rPr>
      <w:sz w:val="24"/>
      <w:szCs w:val="24"/>
    </w:rPr>
  </w:style>
  <w:style w:type="character" w:styleId="LinkdaInternet">
    <w:name w:val="Link da Internet"/>
    <w:uiPriority w:val="99"/>
    <w:unhideWhenUsed/>
    <w:rsid w:val="00520e7a"/>
    <w:rPr>
      <w:color w:val="0000FF"/>
      <w:u w:val="single"/>
    </w:rPr>
  </w:style>
  <w:style w:type="character" w:styleId="CabealhoChar" w:customStyle="1">
    <w:name w:val="Cabeçalho Char"/>
    <w:basedOn w:val="DefaultParagraphFont"/>
    <w:link w:val="Cabealho"/>
    <w:qFormat/>
    <w:rsid w:val="00bb5309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basedOn w:val="DefaultParagraphFont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character" w:styleId="Citao2Char" w:customStyle="1">
    <w:name w:val="citação 2 Char"/>
    <w:basedOn w:val="CitaoChar"/>
    <w:link w:val="citao2"/>
    <w:qFormat/>
    <w:rsid w:val="002038c8"/>
    <w:rPr>
      <w:rFonts w:ascii="Ecofont_Spranq_eco_Sans" w:hAnsi="Ecofont_Spranq_eco_Sans" w:eastAsia="Calibri" w:cs="Tahoma"/>
      <w:i/>
      <w:iCs/>
      <w:color w:val="000000"/>
      <w:sz w:val="24"/>
      <w:szCs w:val="24"/>
      <w:shd w:fill="FFFFCC" w:val="clear"/>
      <w:lang w:eastAsia="en-US"/>
    </w:rPr>
  </w:style>
  <w:style w:type="character" w:styleId="CitaoChar" w:customStyle="1">
    <w:name w:val="Citação Char"/>
    <w:basedOn w:val="DefaultParagraphFont"/>
    <w:link w:val="Citao"/>
    <w:uiPriority w:val="29"/>
    <w:qFormat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character" w:styleId="Ttulo1Char" w:customStyle="1">
    <w:name w:val="Título 1 Char"/>
    <w:basedOn w:val="DefaultParagraphFont"/>
    <w:link w:val="Ttulo1"/>
    <w:qFormat/>
    <w:rsid w:val="006362ae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Nivel1Char" w:customStyle="1">
    <w:name w:val="Nivel1 Char"/>
    <w:basedOn w:val="Ttulo1Char"/>
    <w:link w:val="Nivel1"/>
    <w:qFormat/>
    <w:rsid w:val="006362ae"/>
    <w:rPr>
      <w:rFonts w:ascii="Arial" w:hAnsi="Arial" w:eastAsia="" w:cs="Arial" w:eastAsiaTheme="majorEastAsia"/>
      <w:b/>
      <w:bCs/>
      <w:color w:val="365F91" w:themeColor="accent1" w:themeShade="bf"/>
      <w:sz w:val="28"/>
      <w:szCs w:val="28"/>
    </w:rPr>
  </w:style>
  <w:style w:type="character" w:styleId="Annotationreference">
    <w:name w:val="annotation reference"/>
    <w:basedOn w:val="DefaultParagraphFont"/>
    <w:semiHidden/>
    <w:unhideWhenUsed/>
    <w:qFormat/>
    <w:rsid w:val="006a7a1a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qFormat/>
    <w:rsid w:val="006a7a1a"/>
    <w:rPr>
      <w:rFonts w:ascii="Ecofont_Spranq_eco_Sans" w:hAnsi="Ecofont_Spranq_eco_Sans" w:cs="Tahoma"/>
    </w:rPr>
  </w:style>
  <w:style w:type="character" w:styleId="AssuntodocomentrioChar" w:customStyle="1">
    <w:name w:val="Assunto do comentário Char"/>
    <w:basedOn w:val="TextodecomentrioChar"/>
    <w:link w:val="Assuntodocomentrio"/>
    <w:semiHidden/>
    <w:qFormat/>
    <w:rsid w:val="006a7a1a"/>
    <w:rPr>
      <w:rFonts w:ascii="Ecofont_Spranq_eco_Sans" w:hAnsi="Ecofont_Spranq_eco_Sans" w:cs="Tahoma"/>
      <w:b/>
      <w:bCs/>
    </w:rPr>
  </w:style>
  <w:style w:type="character" w:styleId="TextodebaloChar" w:customStyle="1">
    <w:name w:val="Texto de balão Char"/>
    <w:basedOn w:val="DefaultParagraphFont"/>
    <w:link w:val="Textodebalo"/>
    <w:semiHidden/>
    <w:qFormat/>
    <w:rsid w:val="006a7a1a"/>
    <w:rPr>
      <w:rFonts w:ascii="Segoe UI" w:hAnsi="Segoe UI" w:cs="Segoe UI"/>
      <w:sz w:val="18"/>
      <w:szCs w:val="18"/>
    </w:rPr>
  </w:style>
  <w:style w:type="character" w:styleId="Nivel01Char" w:customStyle="1">
    <w:name w:val="Nivel 01 Char"/>
    <w:basedOn w:val="DefaultParagraphFont"/>
    <w:link w:val="Nivel01"/>
    <w:qFormat/>
    <w:rsid w:val="00636001"/>
    <w:rPr>
      <w:rFonts w:ascii="Arial" w:hAnsi="Arial" w:eastAsia="" w:cs="Arial" w:eastAsiaTheme="majorEastAsia"/>
      <w:b/>
      <w:bCs/>
      <w:lang w:eastAsia="en-US"/>
    </w:rPr>
  </w:style>
  <w:style w:type="character" w:styleId="Nivel2Char" w:customStyle="1">
    <w:name w:val="Nivel 2 Char"/>
    <w:basedOn w:val="DefaultParagraphFont"/>
    <w:link w:val="Nivel2"/>
    <w:qFormat/>
    <w:locked/>
    <w:rsid w:val="00d8054f"/>
    <w:rPr>
      <w:rFonts w:ascii="Arial" w:hAnsi="Arial" w:cs="Arial"/>
    </w:rPr>
  </w:style>
  <w:style w:type="character" w:styleId="Nvel2RedChar" w:customStyle="1">
    <w:name w:val="Nível 2 -Red Char"/>
    <w:basedOn w:val="Nivel2Char"/>
    <w:link w:val="Nvel2-Red"/>
    <w:qFormat/>
    <w:rsid w:val="00be6ea8"/>
    <w:rPr>
      <w:rFonts w:ascii="Arial" w:hAnsi="Arial" w:cs="Arial"/>
      <w:i/>
      <w:iCs/>
      <w:color w:val="FF0000"/>
    </w:rPr>
  </w:style>
  <w:style w:type="character" w:styleId="OuChar" w:customStyle="1">
    <w:name w:val="ou Char"/>
    <w:basedOn w:val="DefaultParagraphFont"/>
    <w:link w:val="ou"/>
    <w:qFormat/>
    <w:rsid w:val="009d6ccc"/>
    <w:rPr>
      <w:rFonts w:ascii="Arial" w:hAnsi="Arial" w:eastAsia="Calibri" w:cs="Arial" w:eastAsiaTheme="minorHAnsi"/>
      <w:b/>
      <w:bCs/>
      <w:i/>
      <w:iCs/>
      <w:color w:val="FF0000"/>
      <w:szCs w:val="24"/>
      <w:u w:val="single"/>
    </w:rPr>
  </w:style>
  <w:style w:type="character" w:styleId="Nvel3RChar" w:customStyle="1">
    <w:name w:val="Nível 3-R Char"/>
    <w:basedOn w:val="DefaultParagraphFont"/>
    <w:link w:val="Nvel3-R"/>
    <w:qFormat/>
    <w:rsid w:val="00b73e47"/>
    <w:rPr>
      <w:rFonts w:ascii="Arial" w:hAnsi="Arial" w:eastAsia="" w:cs="Arial" w:eastAsiaTheme="minorEastAsia"/>
      <w:i/>
      <w:iCs/>
      <w:color w:val="FF0000"/>
    </w:rPr>
  </w:style>
  <w:style w:type="character" w:styleId="Nvel3Char" w:customStyle="1">
    <w:name w:val="Nível 3 Char"/>
    <w:basedOn w:val="Nvel3RChar"/>
    <w:link w:val="Nvel3"/>
    <w:qFormat/>
    <w:rsid w:val="009d6ccc"/>
    <w:rPr>
      <w:rFonts w:ascii="Arial" w:hAnsi="Arial" w:eastAsia="" w:cs="Arial" w:eastAsiaTheme="minorEastAsia"/>
      <w:i w:val="false"/>
      <w:iCs w:val="false"/>
      <w:color w:val="FF0000"/>
    </w:rPr>
  </w:style>
  <w:style w:type="character" w:styleId="Nvel4Char" w:customStyle="1">
    <w:name w:val="Nível 4 Char"/>
    <w:basedOn w:val="Nvel3Char"/>
    <w:link w:val="Nvel4"/>
    <w:qFormat/>
    <w:rsid w:val="009d6ccc"/>
    <w:rPr>
      <w:rFonts w:ascii="Arial" w:hAnsi="Arial" w:eastAsia="" w:cs="Arial" w:eastAsiaTheme="minorEastAsia"/>
      <w:i w:val="false"/>
      <w:iCs w:val="false"/>
      <w:color w:val="FF0000"/>
    </w:rPr>
  </w:style>
  <w:style w:type="character" w:styleId="SubTitNNChar" w:customStyle="1">
    <w:name w:val="SubTitNN Char"/>
    <w:basedOn w:val="DefaultParagraphFont"/>
    <w:link w:val="SubTitNN"/>
    <w:qFormat/>
    <w:rsid w:val="009d6ccc"/>
    <w:rPr>
      <w:rFonts w:ascii="Arial" w:hAnsi="Arial" w:cs="Arial"/>
      <w:b/>
      <w:bCs/>
      <w:i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unhideWhenUsed/>
    <w:rsid w:val="002f4c05"/>
    <w:pPr>
      <w:spacing w:beforeAutospacing="1" w:afterAutospacing="1"/>
    </w:pPr>
    <w:rPr>
      <w:rFonts w:ascii="Times New Roman" w:hAnsi="Times New Roman" w:cs="Times New Roman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GradeColoridanfase11" w:customStyle="1">
    <w:name w:val="Grade Colorida - Ênfase 11"/>
    <w:basedOn w:val="Normal"/>
    <w:next w:val="Normal"/>
    <w:link w:val="GradeColorida-nfase1Char"/>
    <w:qFormat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sz w:val="20"/>
      <w:lang w:eastAsia="en-US"/>
    </w:rPr>
  </w:style>
  <w:style w:type="paragraph" w:styleId="ListParagraph">
    <w:name w:val="List Paragraph"/>
    <w:basedOn w:val="Normal"/>
    <w:uiPriority w:val="34"/>
    <w:qFormat/>
    <w:rsid w:val="003f48df"/>
    <w:pPr>
      <w:spacing w:before="0" w:after="0"/>
      <w:ind w:left="720" w:hanging="0"/>
      <w:contextualSpacing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rsid w:val="00bb530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itao2" w:customStyle="1">
    <w:name w:val="citação 2"/>
    <w:basedOn w:val="Quote"/>
    <w:link w:val="citao2Char"/>
    <w:qFormat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color w:val="000000"/>
      <w:lang w:eastAsia="en-US"/>
    </w:rPr>
  </w:style>
  <w:style w:type="paragraph" w:styleId="Quote">
    <w:name w:val="Quote"/>
    <w:basedOn w:val="Normal"/>
    <w:next w:val="Normal"/>
    <w:link w:val="CitaoChar"/>
    <w:uiPriority w:val="29"/>
    <w:qFormat/>
    <w:rsid w:val="002038c8"/>
    <w:pPr/>
    <w:rPr>
      <w:i/>
      <w:iCs/>
      <w:color w:val="000000" w:themeColor="text1"/>
    </w:rPr>
  </w:style>
  <w:style w:type="paragraph" w:styleId="Nivel1" w:customStyle="1">
    <w:name w:val="Nivel1"/>
    <w:basedOn w:val="Ttulo1"/>
    <w:next w:val="Normal"/>
    <w:link w:val="Nivel1Char"/>
    <w:qFormat/>
    <w:rsid w:val="006362ae"/>
    <w:pPr>
      <w:widowControl w:val="false"/>
      <w:spacing w:lineRule="auto" w:line="276" w:before="480" w:after="120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paragraph" w:styleId="Nivel01" w:customStyle="1">
    <w:name w:val="Nivel 01"/>
    <w:basedOn w:val="Ttulo1"/>
    <w:next w:val="Normal"/>
    <w:link w:val="Nivel01Char"/>
    <w:qFormat/>
    <w:rsid w:val="00636001"/>
    <w:pPr>
      <w:tabs>
        <w:tab w:val="clear" w:pos="708"/>
        <w:tab w:val="left" w:pos="567" w:leader="none"/>
      </w:tabs>
      <w:spacing w:lineRule="auto" w:line="276" w:before="120" w:after="120"/>
      <w:ind w:left="0" w:hanging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paragraph" w:styleId="Annotationtext">
    <w:name w:val="annotation text"/>
    <w:basedOn w:val="Normal"/>
    <w:link w:val="TextodecomentrioChar"/>
    <w:unhideWhenUsed/>
    <w:qFormat/>
    <w:rsid w:val="006a7a1a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semiHidden/>
    <w:unhideWhenUsed/>
    <w:qFormat/>
    <w:rsid w:val="006a7a1a"/>
    <w:pPr/>
    <w:rPr>
      <w:b/>
      <w:bCs/>
    </w:rPr>
  </w:style>
  <w:style w:type="paragraph" w:styleId="BalloonText">
    <w:name w:val="Balloon Text"/>
    <w:basedOn w:val="Normal"/>
    <w:link w:val="TextodebaloChar"/>
    <w:semiHidden/>
    <w:unhideWhenUsed/>
    <w:qFormat/>
    <w:rsid w:val="006a7a1a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586901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val="pt-BR" w:eastAsia="pt-BR" w:bidi="ar-SA"/>
    </w:rPr>
  </w:style>
  <w:style w:type="paragraph" w:styleId="Nivel2" w:customStyle="1">
    <w:name w:val="Nivel 2"/>
    <w:basedOn w:val="Normal"/>
    <w:link w:val="Nivel2Char"/>
    <w:qFormat/>
    <w:rsid w:val="00d8054f"/>
    <w:pPr>
      <w:numPr>
        <w:ilvl w:val="0"/>
        <w:numId w:val="1"/>
      </w:numPr>
      <w:spacing w:lineRule="auto" w:line="276" w:before="120" w:after="120"/>
      <w:ind w:left="0" w:hanging="0"/>
      <w:jc w:val="both"/>
    </w:pPr>
    <w:rPr>
      <w:rFonts w:ascii="Arial" w:hAnsi="Arial" w:cs="Arial"/>
      <w:sz w:val="20"/>
      <w:szCs w:val="20"/>
    </w:rPr>
  </w:style>
  <w:style w:type="paragraph" w:styleId="Nvel2Red" w:customStyle="1">
    <w:name w:val="Nível 2 -Red"/>
    <w:basedOn w:val="Nivel2"/>
    <w:link w:val="Nvel2-RedChar"/>
    <w:qFormat/>
    <w:rsid w:val="00be6ea8"/>
    <w:pPr/>
    <w:rPr>
      <w:i/>
      <w:iCs/>
      <w:color w:val="FF0000"/>
    </w:rPr>
  </w:style>
  <w:style w:type="paragraph" w:styleId="Ou" w:customStyle="1">
    <w:name w:val="ou"/>
    <w:basedOn w:val="ListParagraph"/>
    <w:link w:val="ouChar"/>
    <w:qFormat/>
    <w:rsid w:val="009d6ccc"/>
    <w:pPr>
      <w:spacing w:lineRule="auto" w:line="259" w:before="60" w:after="60"/>
      <w:ind w:left="0" w:hanging="0"/>
      <w:contextualSpacing/>
      <w:jc w:val="center"/>
    </w:pPr>
    <w:rPr>
      <w:rFonts w:ascii="Arial" w:hAnsi="Arial" w:eastAsia="Calibri" w:cs="Arial" w:eastAsiaTheme="minorHAnsi"/>
      <w:b/>
      <w:bCs/>
      <w:i/>
      <w:iCs/>
      <w:color w:val="FF0000"/>
      <w:sz w:val="20"/>
      <w:u w:val="single"/>
    </w:rPr>
  </w:style>
  <w:style w:type="paragraph" w:styleId="Nvel3R" w:customStyle="1">
    <w:name w:val="Nível 3-R"/>
    <w:basedOn w:val="Normal"/>
    <w:link w:val="Nvel3-RChar"/>
    <w:qFormat/>
    <w:rsid w:val="00b73e47"/>
    <w:pPr>
      <w:numPr>
        <w:ilvl w:val="0"/>
        <w:numId w:val="1"/>
      </w:numPr>
      <w:spacing w:lineRule="auto" w:line="276" w:before="120" w:after="120"/>
      <w:ind w:left="284" w:hanging="0"/>
      <w:jc w:val="both"/>
    </w:pPr>
    <w:rPr>
      <w:rFonts w:ascii="Arial" w:hAnsi="Arial" w:eastAsia="" w:cs="Arial" w:eastAsiaTheme="minorEastAsia"/>
      <w:i/>
      <w:iCs/>
      <w:color w:val="FF0000"/>
      <w:sz w:val="20"/>
      <w:szCs w:val="20"/>
    </w:rPr>
  </w:style>
  <w:style w:type="paragraph" w:styleId="Nvel3" w:customStyle="1">
    <w:name w:val="Nível 3"/>
    <w:basedOn w:val="Nvel3R"/>
    <w:link w:val="Nvel3Char"/>
    <w:qFormat/>
    <w:rsid w:val="009d6ccc"/>
    <w:pPr/>
    <w:rPr>
      <w:rFonts w:eastAsia="Times New Roman"/>
      <w:i w:val="false"/>
      <w:iCs w:val="false"/>
      <w:color w:val="auto"/>
    </w:rPr>
  </w:style>
  <w:style w:type="paragraph" w:styleId="Nvel4" w:customStyle="1">
    <w:name w:val="Nível 4"/>
    <w:basedOn w:val="Nvel3"/>
    <w:link w:val="Nvel4Char"/>
    <w:qFormat/>
    <w:rsid w:val="009d6ccc"/>
    <w:pPr>
      <w:ind w:left="567" w:hanging="0"/>
    </w:pPr>
    <w:rPr/>
  </w:style>
  <w:style w:type="paragraph" w:styleId="SubTitNN" w:customStyle="1">
    <w:name w:val="SubTitNN"/>
    <w:basedOn w:val="Normal"/>
    <w:link w:val="SubTitNNChar"/>
    <w:qFormat/>
    <w:rsid w:val="009d6ccc"/>
    <w:pPr>
      <w:spacing w:lineRule="auto" w:line="276" w:before="240" w:after="120"/>
      <w:jc w:val="both"/>
    </w:pPr>
    <w:rPr>
      <w:rFonts w:ascii="Arial" w:hAnsi="Arial" w:cs="Arial"/>
      <w:b/>
      <w:bCs/>
      <w:iCs/>
      <w:sz w:val="20"/>
      <w:szCs w:val="20"/>
    </w:rPr>
  </w:style>
  <w:style w:type="paragraph" w:styleId="WWRecuodecorpodetexto2">
    <w:name w:val="WW-Recuo de corpo de texto 2"/>
    <w:basedOn w:val="Normal"/>
    <w:qFormat/>
    <w:pPr>
      <w:ind w:left="0" w:right="0" w:firstLine="709"/>
      <w:jc w:val="both"/>
    </w:pPr>
    <w:rPr>
      <w:b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Application>LibreOffice/7.0.2.2$Windows_X86_64 LibreOffice_project/8349ace3c3162073abd90d81fd06dcfb6b36b994</Application>
  <Pages>8</Pages>
  <Words>2930</Words>
  <Characters>16222</Characters>
  <CharactersWithSpaces>18937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2025-11-18T13:38:00Z</dcterms:created>
  <dc:creator/>
  <dc:description/>
  <dc:language>pt-BR</dc:language>
  <cp:lastModifiedBy/>
  <dcterms:modified xsi:type="dcterms:W3CDTF">2026-11-03T10:52:09Z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