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header2.xml" ContentType="application/vnd.openxmlformats-officedocument.wordprocessingml.header+xml"/>
  <Override PartName="/word/comments.xml" ContentType="application/vnd.openxmlformats-officedocument.wordprocessingml.comment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comments.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rPr>
          <w:rFonts w:cs="Arial"/>
          <w:b/>
          <w:b/>
          <w:bCs/>
          <w:i/>
          <w:i/>
          <w:iCs/>
          <w:color w:val="FF0000"/>
          <w:szCs w:val="18"/>
        </w:rPr>
      </w:pPr>
      <w:commentRangeStart w:id="0"/>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CONTRATAÇÃO</w:t>
      </w:r>
    </w:p>
    <w:p>
      <w:pPr>
        <w:pStyle w:val="Normal"/>
        <w:rPr>
          <w:rFonts w:cs="Arial"/>
          <w:color w:val="405CA1"/>
          <w:sz w:val="56"/>
          <w:szCs w:val="56"/>
        </w:rPr>
      </w:pPr>
      <w:r>
        <w:rPr>
          <w:rFonts w:cs="Arial"/>
          <w:color w:val="405CA1"/>
          <w:sz w:val="56"/>
          <w:szCs w:val="56"/>
        </w:rPr>
        <w:t>DIRETA</w:t>
      </w:r>
      <w:commentRangeEnd w:id="0"/>
      <w:r>
        <w:commentReference w:id="0"/>
      </w:r>
      <w:r>
        <w:rPr>
          <w:rFonts w:cs="Arial"/>
          <w:color w:val="405CA1"/>
          <w:sz w:val="56"/>
          <w:szCs w:val="56"/>
        </w:rPr>
      </w:r>
    </w:p>
    <w:p>
      <w:pPr>
        <w:pStyle w:val="Normal"/>
        <w:rPr>
          <w:rFonts w:cs="Arial"/>
          <w:b/>
          <w:b/>
          <w:bCs/>
          <w:color w:val="5B5B5F"/>
          <w:sz w:val="28"/>
          <w:szCs w:val="28"/>
        </w:rPr>
      </w:pPr>
      <w:r>
        <w:rPr>
          <w:rFonts w:cs="Arial"/>
          <w:bCs/>
          <w:color w:val="5B5B5F"/>
          <w:sz w:val="28"/>
          <w:szCs w:val="28"/>
        </w:rPr>
        <w:t>00007</w:t>
      </w:r>
      <w:r>
        <w:rPr>
          <w:rFonts w:cs="Arial"/>
          <w:bCs/>
          <w:color w:val="5B5B5F"/>
          <w:sz w:val="28"/>
          <w:szCs w:val="28"/>
        </w:rPr>
        <w:t>/202</w:t>
      </w:r>
      <w:r>
        <w:rPr>
          <w:rFonts w:cs="Arial"/>
          <w:bCs/>
          <w:color w:val="5B5B5F"/>
          <w:sz w:val="28"/>
          <w:szCs w:val="28"/>
        </w:rPr>
        <w:t>3</w:t>
      </w:r>
    </w:p>
    <w:p>
      <w:pPr>
        <w:pStyle w:val="Normal"/>
        <w:spacing w:lineRule="auto" w:line="259"/>
        <w:rPr>
          <w:rFonts w:cs="Arial"/>
          <w:b/>
          <w:b/>
          <w:bCs/>
          <w:color w:val="405CA1"/>
          <w:sz w:val="32"/>
          <w:szCs w:val="32"/>
        </w:rPr>
      </w:pPr>
      <w:r>
        <w:rPr>
          <w:rFonts w:cs="Arial"/>
          <w:b/>
          <w:bCs/>
          <w:color w:val="405CA1"/>
          <w:sz w:val="32"/>
          <w:szCs w:val="32"/>
        </w:rPr>
      </w:r>
    </w:p>
    <w:p>
      <w:pPr>
        <w:pStyle w:val="Normal"/>
        <w:spacing w:lineRule="auto" w:line="259"/>
        <w:rPr>
          <w:rFonts w:cs="Arial"/>
          <w:b/>
          <w:b/>
          <w:bCs/>
          <w:color w:val="405CA1"/>
          <w:sz w:val="32"/>
          <w:szCs w:val="32"/>
        </w:rPr>
      </w:pPr>
      <w:r>
        <w:rPr>
          <w:rFonts w:cs="Arial"/>
          <w:b/>
          <w:bCs/>
          <w:color w:val="405CA1"/>
          <w:sz w:val="32"/>
          <w:szCs w:val="32"/>
        </w:rPr>
        <w:t>CONTRATANTE (UASG)</w:t>
      </w:r>
    </w:p>
    <w:p>
      <w:pPr>
        <w:pStyle w:val="Normal"/>
        <w:rPr>
          <w:rFonts w:cs="Arial"/>
          <w:bCs/>
          <w:color w:val="5B5B5F"/>
          <w:sz w:val="28"/>
          <w:szCs w:val="28"/>
        </w:rPr>
      </w:pPr>
      <w:r>
        <w:rPr>
          <w:rFonts w:cs="Arial"/>
          <w:bCs/>
          <w:color w:val="5B5B5F"/>
          <w:sz w:val="28"/>
          <w:szCs w:val="28"/>
        </w:rPr>
        <w:t>170178</w:t>
      </w:r>
    </w:p>
    <w:p>
      <w:pPr>
        <w:pStyle w:val="Normal"/>
        <w:rPr>
          <w:rFonts w:cs="Arial"/>
          <w:b/>
          <w:b/>
          <w:bCs/>
          <w:color w:val="405CA1"/>
          <w:sz w:val="32"/>
          <w:szCs w:val="32"/>
        </w:rPr>
      </w:pPr>
      <w:r>
        <w:rPr>
          <w:rFonts w:cs="Arial"/>
          <w:b/>
          <w:bCs/>
          <w:color w:val="405CA1"/>
          <w:sz w:val="32"/>
          <w:szCs w:val="32"/>
        </w:rPr>
      </w:r>
    </w:p>
    <w:p>
      <w:pPr>
        <w:pStyle w:val="Normal"/>
        <w:rPr>
          <w:rFonts w:cs="Arial"/>
          <w:b/>
          <w:b/>
          <w:bCs/>
          <w:color w:val="5B5B5F"/>
          <w:szCs w:val="20"/>
        </w:rPr>
      </w:pPr>
      <w:r>
        <w:rPr>
          <w:rFonts w:cs="Arial"/>
          <w:b/>
          <w:bCs/>
          <w:color w:val="405CA1"/>
          <w:sz w:val="32"/>
          <w:szCs w:val="32"/>
        </w:rPr>
        <w:t>OBJETO</w:t>
      </w:r>
    </w:p>
    <w:p>
      <w:pPr>
        <w:pStyle w:val="Normal"/>
        <w:jc w:val="both"/>
        <w:rPr>
          <w:rFonts w:cs="Arial"/>
          <w:color w:val="5B5B5F"/>
          <w:sz w:val="28"/>
          <w:szCs w:val="28"/>
        </w:rPr>
      </w:pPr>
      <w:r>
        <w:rPr>
          <w:rFonts w:cs="Arial"/>
          <w:color w:val="5B5B5F"/>
          <w:sz w:val="28"/>
          <w:szCs w:val="28"/>
        </w:rPr>
        <w:t>Serviços de assessoria à fiscalização para a obra de recuperação das fachadas do prédio sede da Delegacia da Receita Federal do Brasil em Santo Angelo - RS (DRF/SAO)</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VALOR TOTAL DA CONTRATAÇÃO</w:t>
      </w:r>
    </w:p>
    <w:p>
      <w:pPr>
        <w:pStyle w:val="Normal"/>
        <w:rPr>
          <w:rFonts w:cs="Arial"/>
          <w:b/>
          <w:b/>
          <w:bCs/>
          <w:color w:val="5B5B5F"/>
          <w:sz w:val="28"/>
          <w:szCs w:val="28"/>
        </w:rPr>
      </w:pPr>
      <w:r>
        <w:rPr>
          <w:rFonts w:cs="Arial"/>
          <w:b/>
          <w:bCs/>
          <w:color w:val="5B5B5F"/>
          <w:sz w:val="28"/>
          <w:szCs w:val="28"/>
        </w:rPr>
        <w:t>R$ X0.000,00</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DATA DA SESSÃO </w:t>
      </w:r>
    </w:p>
    <w:p>
      <w:pPr>
        <w:pStyle w:val="Normal"/>
        <w:rPr>
          <w:rFonts w:cs="Arial"/>
          <w:color w:val="5B5B5F"/>
          <w:sz w:val="28"/>
          <w:szCs w:val="28"/>
        </w:rPr>
      </w:pPr>
      <w:r>
        <w:rPr>
          <w:rFonts w:cs="Arial"/>
          <w:color w:val="5B5B5F"/>
          <w:sz w:val="28"/>
          <w:szCs w:val="28"/>
        </w:rPr>
        <w:t xml:space="preserve">De </w:t>
      </w:r>
      <w:r>
        <w:rPr>
          <w:rFonts w:cs="Arial"/>
          <w:b/>
          <w:bCs/>
          <w:color w:val="5B5B5F"/>
          <w:sz w:val="28"/>
          <w:szCs w:val="28"/>
        </w:rPr>
        <w:t>06 a 11</w:t>
      </w:r>
      <w:r>
        <w:rPr>
          <w:rFonts w:cs="Arial"/>
          <w:b/>
          <w:bCs/>
          <w:color w:val="5B5B5F"/>
          <w:sz w:val="28"/>
          <w:szCs w:val="28"/>
        </w:rPr>
        <w:t>/</w:t>
      </w:r>
      <w:r>
        <w:rPr>
          <w:rFonts w:cs="Arial"/>
          <w:b/>
          <w:bCs/>
          <w:color w:val="5B5B5F"/>
          <w:sz w:val="28"/>
          <w:szCs w:val="28"/>
        </w:rPr>
        <w:t>07</w:t>
      </w:r>
      <w:r>
        <w:rPr>
          <w:rFonts w:cs="Arial"/>
          <w:b/>
          <w:bCs/>
          <w:color w:val="5B5B5F"/>
          <w:sz w:val="28"/>
          <w:szCs w:val="28"/>
        </w:rPr>
        <w:t>/202</w:t>
      </w:r>
      <w:r>
        <w:rPr>
          <w:rFonts w:cs="Arial"/>
          <w:b/>
          <w:bCs/>
          <w:color w:val="5B5B5F"/>
          <w:sz w:val="28"/>
          <w:szCs w:val="28"/>
        </w:rPr>
        <w:t>3</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commentRangeStart w:id="1"/>
      <w:r>
        <w:rPr>
          <w:rFonts w:cs="Arial"/>
          <w:b/>
          <w:bCs/>
          <w:color w:val="405CA1"/>
          <w:sz w:val="32"/>
          <w:szCs w:val="32"/>
        </w:rPr>
        <w:t>HORÁRIO DA FASE DE LANCES</w:t>
      </w:r>
    </w:p>
    <w:p>
      <w:pPr>
        <w:pStyle w:val="Normal"/>
        <w:rPr>
          <w:rFonts w:cs="Arial"/>
          <w:color w:val="5B5B5F"/>
          <w:sz w:val="28"/>
          <w:szCs w:val="28"/>
        </w:rPr>
      </w:pPr>
      <w:r>
        <w:rPr>
          <w:rFonts w:cs="Arial"/>
          <w:color w:val="5B5B5F"/>
          <w:sz w:val="28"/>
          <w:szCs w:val="28"/>
        </w:rPr>
        <w:t xml:space="preserve">Das </w:t>
      </w:r>
      <w:r>
        <w:rPr>
          <w:rFonts w:cs="Arial"/>
          <w:color w:val="5B5B5F"/>
          <w:sz w:val="28"/>
          <w:szCs w:val="28"/>
        </w:rPr>
        <w:t>09</w:t>
      </w:r>
      <w:r>
        <w:rPr>
          <w:rFonts w:cs="Arial"/>
          <w:color w:val="5B5B5F"/>
          <w:sz w:val="28"/>
          <w:szCs w:val="28"/>
        </w:rPr>
        <w:t xml:space="preserve">h até </w:t>
      </w:r>
      <w:r>
        <w:rPr>
          <w:rFonts w:cs="Arial"/>
          <w:color w:val="5B5B5F"/>
          <w:sz w:val="28"/>
          <w:szCs w:val="28"/>
        </w:rPr>
        <w:t>17</w:t>
      </w:r>
      <w:r>
        <w:rPr>
          <w:rFonts w:cs="Arial"/>
          <w:color w:val="5B5B5F"/>
          <w:sz w:val="28"/>
          <w:szCs w:val="28"/>
        </w:rPr>
        <w:t>h</w:t>
      </w:r>
      <w:commentRangeEnd w:id="1"/>
      <w:r>
        <w:commentReference w:id="1"/>
      </w:r>
      <w:r>
        <w:rPr>
          <w:rFonts w:cs="Arial"/>
          <w:color w:val="5B5B5F"/>
          <w:sz w:val="28"/>
          <w:szCs w:val="28"/>
        </w:rPr>
      </w:r>
    </w:p>
    <w:p>
      <w:pPr>
        <w:pStyle w:val="Normal"/>
        <w:rPr>
          <w:rFonts w:cs="Arial"/>
          <w:b/>
          <w:b/>
          <w:bCs/>
          <w:color w:val="405CA1"/>
          <w:sz w:val="32"/>
          <w:szCs w:val="32"/>
        </w:rPr>
      </w:pPr>
      <w:r>
        <w:rPr>
          <w:rFonts w:cs="Arial"/>
          <w:b/>
          <w:bCs/>
          <w:color w:val="405CA1"/>
          <w:sz w:val="32"/>
          <w:szCs w:val="32"/>
        </w:rPr>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PREFERÊNCIA ME/EPP/EQUIPARADAS</w:t>
        <w:br/>
      </w:r>
      <w:r>
        <w:rPr>
          <w:rFonts w:cs="Arial"/>
          <w:b/>
          <w:bCs/>
          <w:color w:val="5B5B5F"/>
          <w:sz w:val="28"/>
          <w:szCs w:val="28"/>
        </w:rPr>
        <w:t>SIM</w:t>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sdt>
      <w:sdtPr>
        <w:docPartObj>
          <w:docPartGallery w:val="Table of Contents"/>
          <w:docPartUnique w:val="true"/>
        </w:docPartObj>
      </w:sdtPr>
      <w:sdtContent>
        <w:p>
          <w:pPr>
            <w:pStyle w:val="Ttulodosumrio"/>
            <w:ind w:left="0" w:hanging="0"/>
            <w:rPr/>
          </w:pPr>
          <w:r>
            <w:rPr/>
            <w:t>Sumário</w:t>
          </w:r>
        </w:p>
        <w:p>
          <w:pPr>
            <w:pStyle w:val="Sumrio1"/>
            <w:tabs>
              <w:tab w:val="clear" w:pos="708"/>
              <w:tab w:val="left" w:pos="440" w:leader="none"/>
              <w:tab w:val="right" w:pos="8494" w:leader="dot"/>
            </w:tabs>
            <w:rPr/>
          </w:pPr>
          <w:r>
            <w:fldChar w:fldCharType="begin"/>
          </w:r>
          <w:r>
            <w:rPr>
              <w:webHidden/>
              <w:rStyle w:val="Vnculodendice"/>
              <w:rFonts w:eastAsia="Arial Unicode MS"/>
              <w:lang w:bidi="hi-IN"/>
            </w:rPr>
            <w:instrText xml:space="preserve"> TOC \z \o "1-3" \u \h</w:instrText>
          </w:r>
          <w:r>
            <w:rPr>
              <w:webHidden/>
              <w:rStyle w:val="Vnculodendice"/>
              <w:rFonts w:eastAsia="Arial Unicode MS"/>
              <w:lang w:bidi="hi-IN"/>
            </w:rPr>
            <w:fldChar w:fldCharType="separate"/>
          </w:r>
          <w:hyperlink w:anchor="_Toc118380899">
            <w:r>
              <w:rPr>
                <w:webHidden/>
                <w:rStyle w:val="Vnculodendice"/>
                <w:rFonts w:eastAsia="Arial Unicode MS"/>
                <w:lang w:bidi="hi-IN"/>
              </w:rPr>
              <w:t>1.</w:t>
            </w:r>
            <w:r>
              <w:rPr>
                <w:rStyle w:val="Vnculodendice"/>
              </w:rPr>
              <w:tab/>
            </w:r>
            <w:r>
              <w:rPr>
                <w:rStyle w:val="Vnculodendice"/>
                <w:rFonts w:eastAsia="Arial Unicode MS"/>
                <w:lang w:bidi="hi-IN"/>
              </w:rPr>
              <w:t>OBJETO DA CONTRATAÇÃO DIRETA</w:t>
            </w:r>
            <w:r>
              <w:rPr>
                <w:webHidden/>
              </w:rPr>
              <w:fldChar w:fldCharType="begin"/>
            </w:r>
            <w:r>
              <w:rPr>
                <w:webHidden/>
              </w:rPr>
              <w:instrText xml:space="preserve">PAGEREF _Toc118380899 \h</w:instrText>
            </w:r>
            <w:r>
              <w:rPr>
                <w:webHidden/>
              </w:rPr>
              <w:fldChar w:fldCharType="separate"/>
            </w:r>
            <w:r>
              <w:rPr>
                <w:rStyle w:val="Vnculodendice"/>
                <w:vanish w:val="false"/>
              </w:rPr>
              <w:tab/>
              <w:t>3</w:t>
            </w:r>
            <w:r>
              <w:rPr>
                <w:webHidden/>
              </w:rPr>
              <w:fldChar w:fldCharType="end"/>
            </w:r>
          </w:hyperlink>
        </w:p>
        <w:p>
          <w:pPr>
            <w:pStyle w:val="Sumrio1"/>
            <w:tabs>
              <w:tab w:val="clear" w:pos="708"/>
              <w:tab w:val="left" w:pos="440" w:leader="none"/>
              <w:tab w:val="right" w:pos="8494" w:leader="dot"/>
            </w:tabs>
            <w:rPr/>
          </w:pPr>
          <w:hyperlink w:anchor="_Toc118380900">
            <w:r>
              <w:rPr>
                <w:webHidden/>
                <w:rStyle w:val="Vnculodendice"/>
                <w:rFonts w:eastAsia="Arial Unicode MS"/>
                <w:lang w:bidi="hi-IN"/>
              </w:rPr>
              <w:t>2.</w:t>
            </w:r>
            <w:r>
              <w:rPr>
                <w:rStyle w:val="Vnculodendice"/>
              </w:rPr>
              <w:tab/>
            </w:r>
            <w:r>
              <w:rPr>
                <w:rStyle w:val="Vnculodendice"/>
                <w:rFonts w:eastAsia="Arial Unicode MS"/>
                <w:lang w:bidi="hi-IN"/>
              </w:rPr>
              <w:t>PARTICIPAÇÃO NA DISPENSA ELETRÔNICA.</w:t>
            </w:r>
            <w:r>
              <w:rPr>
                <w:webHidden/>
              </w:rPr>
              <w:fldChar w:fldCharType="begin"/>
            </w:r>
            <w:r>
              <w:rPr>
                <w:webHidden/>
              </w:rPr>
              <w:instrText xml:space="preserve">PAGEREF _Toc118380900 \h</w:instrText>
            </w:r>
            <w:r>
              <w:rPr>
                <w:webHidden/>
              </w:rPr>
              <w:fldChar w:fldCharType="separate"/>
            </w:r>
            <w:r>
              <w:rPr>
                <w:rStyle w:val="Vnculodendice"/>
                <w:vanish w:val="false"/>
              </w:rPr>
              <w:tab/>
              <w:t>4</w:t>
            </w:r>
            <w:r>
              <w:rPr>
                <w:webHidden/>
              </w:rPr>
              <w:fldChar w:fldCharType="end"/>
            </w:r>
          </w:hyperlink>
        </w:p>
        <w:p>
          <w:pPr>
            <w:pStyle w:val="Sumrio1"/>
            <w:tabs>
              <w:tab w:val="clear" w:pos="708"/>
              <w:tab w:val="left" w:pos="440" w:leader="none"/>
              <w:tab w:val="right" w:pos="8494" w:leader="dot"/>
            </w:tabs>
            <w:rPr/>
          </w:pPr>
          <w:hyperlink w:anchor="_Toc118380901">
            <w:r>
              <w:rPr>
                <w:webHidden/>
                <w:rStyle w:val="Vnculodendice"/>
                <w:rFonts w:eastAsia="Arial Unicode MS"/>
                <w:lang w:bidi="hi-IN"/>
              </w:rPr>
              <w:t>3.</w:t>
            </w:r>
            <w:r>
              <w:rPr>
                <w:rStyle w:val="Vnculodendice"/>
              </w:rPr>
              <w:tab/>
            </w:r>
            <w:r>
              <w:rPr>
                <w:rStyle w:val="Vnculodendice"/>
                <w:rFonts w:eastAsia="Arial Unicode MS"/>
                <w:lang w:bidi="hi-IN"/>
              </w:rPr>
              <w:t>INGRESSO NA DISPENSA ELETRÔNICA E CADASTRAMENTO DA PROPOSTA INICIAL</w:t>
            </w:r>
            <w:r>
              <w:rPr>
                <w:webHidden/>
              </w:rPr>
              <w:fldChar w:fldCharType="begin"/>
            </w:r>
            <w:r>
              <w:rPr>
                <w:webHidden/>
              </w:rPr>
              <w:instrText xml:space="preserve">PAGEREF _Toc118380901 \h</w:instrText>
            </w:r>
            <w:r>
              <w:rPr>
                <w:webHidden/>
              </w:rPr>
              <w:fldChar w:fldCharType="separate"/>
            </w:r>
            <w:r>
              <w:rPr>
                <w:rStyle w:val="Vnculodendice"/>
                <w:vanish w:val="false"/>
              </w:rPr>
              <w:tab/>
              <w:t>5</w:t>
            </w:r>
            <w:r>
              <w:rPr>
                <w:webHidden/>
              </w:rPr>
              <w:fldChar w:fldCharType="end"/>
            </w:r>
          </w:hyperlink>
        </w:p>
        <w:p>
          <w:pPr>
            <w:pStyle w:val="Sumrio1"/>
            <w:tabs>
              <w:tab w:val="clear" w:pos="708"/>
              <w:tab w:val="left" w:pos="440" w:leader="none"/>
              <w:tab w:val="right" w:pos="8494" w:leader="dot"/>
            </w:tabs>
            <w:rPr/>
          </w:pPr>
          <w:hyperlink w:anchor="_Toc118380902">
            <w:r>
              <w:rPr>
                <w:webHidden/>
                <w:rStyle w:val="Vnculodendice"/>
                <w:rFonts w:eastAsia="Arial Unicode MS"/>
                <w:lang w:bidi="hi-IN"/>
              </w:rPr>
              <w:t>4.</w:t>
            </w:r>
            <w:r>
              <w:rPr>
                <w:rStyle w:val="Vnculodendice"/>
              </w:rPr>
              <w:tab/>
            </w:r>
            <w:r>
              <w:rPr>
                <w:rStyle w:val="Vnculodendice"/>
                <w:rFonts w:eastAsia="Arial Unicode MS"/>
                <w:lang w:bidi="hi-IN"/>
              </w:rPr>
              <w:t>FASE DE LANCES</w:t>
            </w:r>
            <w:r>
              <w:rPr>
                <w:webHidden/>
              </w:rPr>
              <w:fldChar w:fldCharType="begin"/>
            </w:r>
            <w:r>
              <w:rPr>
                <w:webHidden/>
              </w:rPr>
              <w:instrText xml:space="preserve">PAGEREF _Toc118380902 \h</w:instrText>
            </w:r>
            <w:r>
              <w:rPr>
                <w:webHidden/>
              </w:rPr>
              <w:fldChar w:fldCharType="separate"/>
            </w:r>
            <w:r>
              <w:rPr>
                <w:rStyle w:val="Vnculodendice"/>
                <w:vanish w:val="false"/>
              </w:rPr>
              <w:tab/>
              <w:t>7</w:t>
            </w:r>
            <w:r>
              <w:rPr>
                <w:webHidden/>
              </w:rPr>
              <w:fldChar w:fldCharType="end"/>
            </w:r>
          </w:hyperlink>
        </w:p>
        <w:p>
          <w:pPr>
            <w:pStyle w:val="Sumrio1"/>
            <w:tabs>
              <w:tab w:val="clear" w:pos="708"/>
              <w:tab w:val="left" w:pos="440" w:leader="none"/>
              <w:tab w:val="right" w:pos="8494" w:leader="dot"/>
            </w:tabs>
            <w:rPr/>
          </w:pPr>
          <w:hyperlink w:anchor="_Toc118380903">
            <w:r>
              <w:rPr>
                <w:webHidden/>
                <w:rStyle w:val="Vnculodendice"/>
                <w:rFonts w:eastAsia="Arial Unicode MS"/>
                <w:lang w:bidi="hi-IN"/>
              </w:rPr>
              <w:t>5.</w:t>
            </w:r>
            <w:r>
              <w:rPr>
                <w:rStyle w:val="Vnculodendice"/>
              </w:rPr>
              <w:tab/>
            </w:r>
            <w:r>
              <w:rPr>
                <w:rStyle w:val="Vnculodendice"/>
                <w:rFonts w:eastAsia="Arial Unicode MS"/>
                <w:lang w:bidi="hi-IN"/>
              </w:rPr>
              <w:t>JULGAMENTO DAS PROPOSTAS DE PREÇO</w:t>
            </w:r>
            <w:r>
              <w:rPr>
                <w:webHidden/>
              </w:rPr>
              <w:fldChar w:fldCharType="begin"/>
            </w:r>
            <w:r>
              <w:rPr>
                <w:webHidden/>
              </w:rPr>
              <w:instrText xml:space="preserve">PAGEREF _Toc118380903 \h</w:instrText>
            </w:r>
            <w:r>
              <w:rPr>
                <w:webHidden/>
              </w:rPr>
              <w:fldChar w:fldCharType="separate"/>
            </w:r>
            <w:r>
              <w:rPr>
                <w:rStyle w:val="Vnculodendice"/>
                <w:vanish w:val="false"/>
              </w:rPr>
              <w:tab/>
              <w:t>7</w:t>
            </w:r>
            <w:r>
              <w:rPr>
                <w:webHidden/>
              </w:rPr>
              <w:fldChar w:fldCharType="end"/>
            </w:r>
          </w:hyperlink>
        </w:p>
        <w:p>
          <w:pPr>
            <w:pStyle w:val="Sumrio1"/>
            <w:tabs>
              <w:tab w:val="clear" w:pos="708"/>
              <w:tab w:val="left" w:pos="440" w:leader="none"/>
              <w:tab w:val="right" w:pos="8494" w:leader="dot"/>
            </w:tabs>
            <w:rPr/>
          </w:pPr>
          <w:hyperlink w:anchor="_Toc118380904">
            <w:r>
              <w:rPr>
                <w:webHidden/>
                <w:rStyle w:val="Vnculodendice"/>
                <w:rFonts w:eastAsia="Arial Unicode MS"/>
                <w:lang w:bidi="hi-IN"/>
              </w:rPr>
              <w:t>6.</w:t>
            </w:r>
            <w:r>
              <w:rPr>
                <w:rStyle w:val="Vnculodendice"/>
              </w:rPr>
              <w:tab/>
            </w:r>
            <w:r>
              <w:rPr>
                <w:rStyle w:val="Vnculodendice"/>
                <w:rFonts w:eastAsia="Arial Unicode MS"/>
                <w:lang w:bidi="hi-IN"/>
              </w:rPr>
              <w:t>HABILITAÇÃO</w:t>
            </w:r>
            <w:r>
              <w:rPr>
                <w:webHidden/>
              </w:rPr>
              <w:fldChar w:fldCharType="begin"/>
            </w:r>
            <w:r>
              <w:rPr>
                <w:webHidden/>
              </w:rPr>
              <w:instrText xml:space="preserve">PAGEREF _Toc118380904 \h</w:instrText>
            </w:r>
            <w:r>
              <w:rPr>
                <w:webHidden/>
              </w:rPr>
              <w:fldChar w:fldCharType="separate"/>
            </w:r>
            <w:r>
              <w:rPr>
                <w:rStyle w:val="Vnculodendice"/>
                <w:vanish w:val="false"/>
              </w:rPr>
              <w:tab/>
              <w:t>9</w:t>
            </w:r>
            <w:r>
              <w:rPr>
                <w:webHidden/>
              </w:rPr>
              <w:fldChar w:fldCharType="end"/>
            </w:r>
          </w:hyperlink>
        </w:p>
        <w:p>
          <w:pPr>
            <w:pStyle w:val="Sumrio1"/>
            <w:tabs>
              <w:tab w:val="clear" w:pos="708"/>
              <w:tab w:val="left" w:pos="440" w:leader="none"/>
              <w:tab w:val="right" w:pos="8494" w:leader="dot"/>
            </w:tabs>
            <w:rPr/>
          </w:pPr>
          <w:hyperlink w:anchor="_Toc118380905">
            <w:r>
              <w:rPr>
                <w:webHidden/>
                <w:rStyle w:val="Vnculodendice"/>
                <w:rFonts w:eastAsia="Arial Unicode MS"/>
                <w:lang w:bidi="hi-IN"/>
              </w:rPr>
              <w:t>7.</w:t>
            </w:r>
            <w:r>
              <w:rPr>
                <w:rStyle w:val="Vnculodendice"/>
              </w:rPr>
              <w:tab/>
            </w:r>
            <w:r>
              <w:rPr>
                <w:rStyle w:val="Vnculodendice"/>
                <w:rFonts w:eastAsia="Arial Unicode MS"/>
                <w:lang w:bidi="hi-IN"/>
              </w:rPr>
              <w:t>CONTRATAÇÃO</w:t>
            </w:r>
            <w:r>
              <w:rPr>
                <w:webHidden/>
              </w:rPr>
              <w:fldChar w:fldCharType="begin"/>
            </w:r>
            <w:r>
              <w:rPr>
                <w:webHidden/>
              </w:rPr>
              <w:instrText xml:space="preserve">PAGEREF _Toc118380905 \h</w:instrText>
            </w:r>
            <w:r>
              <w:rPr>
                <w:webHidden/>
              </w:rPr>
              <w:fldChar w:fldCharType="separate"/>
            </w:r>
            <w:r>
              <w:rPr>
                <w:rStyle w:val="Vnculodendice"/>
                <w:vanish w:val="false"/>
              </w:rPr>
              <w:tab/>
              <w:t>11</w:t>
            </w:r>
            <w:r>
              <w:rPr>
                <w:webHidden/>
              </w:rPr>
              <w:fldChar w:fldCharType="end"/>
            </w:r>
          </w:hyperlink>
        </w:p>
        <w:p>
          <w:pPr>
            <w:pStyle w:val="Sumrio1"/>
            <w:tabs>
              <w:tab w:val="clear" w:pos="708"/>
              <w:tab w:val="left" w:pos="440" w:leader="none"/>
              <w:tab w:val="right" w:pos="8494" w:leader="dot"/>
            </w:tabs>
            <w:rPr/>
          </w:pPr>
          <w:hyperlink w:anchor="_Toc118380906">
            <w:r>
              <w:rPr>
                <w:webHidden/>
                <w:rStyle w:val="Vnculodendice"/>
                <w:rFonts w:eastAsia="Arial Unicode MS"/>
                <w:lang w:bidi="hi-IN"/>
              </w:rPr>
              <w:t>8.</w:t>
            </w:r>
            <w:r>
              <w:rPr>
                <w:rStyle w:val="Vnculodendice"/>
              </w:rPr>
              <w:tab/>
            </w:r>
            <w:r>
              <w:rPr>
                <w:rStyle w:val="Vnculodendice"/>
                <w:rFonts w:eastAsia="Arial Unicode MS"/>
                <w:lang w:bidi="hi-IN"/>
              </w:rPr>
              <w:t>INFRAÇÕES E SANÇÕES ADMINISTRATIVAS</w:t>
            </w:r>
            <w:r>
              <w:rPr>
                <w:webHidden/>
              </w:rPr>
              <w:fldChar w:fldCharType="begin"/>
            </w:r>
            <w:r>
              <w:rPr>
                <w:webHidden/>
              </w:rPr>
              <w:instrText xml:space="preserve">PAGEREF _Toc118380906 \h</w:instrText>
            </w:r>
            <w:r>
              <w:rPr>
                <w:webHidden/>
              </w:rPr>
              <w:fldChar w:fldCharType="separate"/>
            </w:r>
            <w:r>
              <w:rPr>
                <w:rStyle w:val="Vnculodendice"/>
                <w:vanish w:val="false"/>
              </w:rPr>
              <w:tab/>
              <w:t>11</w:t>
            </w:r>
            <w:r>
              <w:rPr>
                <w:webHidden/>
              </w:rPr>
              <w:fldChar w:fldCharType="end"/>
            </w:r>
          </w:hyperlink>
        </w:p>
        <w:p>
          <w:pPr>
            <w:pStyle w:val="Sumrio1"/>
            <w:tabs>
              <w:tab w:val="clear" w:pos="708"/>
              <w:tab w:val="left" w:pos="440" w:leader="none"/>
              <w:tab w:val="right" w:pos="8494" w:leader="dot"/>
            </w:tabs>
            <w:rPr/>
          </w:pPr>
          <w:hyperlink w:anchor="_Toc118380907">
            <w:r>
              <w:rPr>
                <w:webHidden/>
                <w:rStyle w:val="Vnculodendice"/>
                <w:rFonts w:eastAsia="Arial Unicode MS"/>
                <w:lang w:bidi="hi-IN"/>
              </w:rPr>
              <w:t>9.</w:t>
            </w:r>
            <w:r>
              <w:rPr>
                <w:rStyle w:val="Vnculodendice"/>
              </w:rPr>
              <w:tab/>
            </w:r>
            <w:r>
              <w:rPr>
                <w:rStyle w:val="Vnculodendice"/>
                <w:rFonts w:eastAsia="Arial Unicode MS"/>
                <w:lang w:bidi="hi-IN"/>
              </w:rPr>
              <w:t>DAS DISPOSIÇÕES GERAIS</w:t>
            </w:r>
            <w:r>
              <w:rPr>
                <w:webHidden/>
              </w:rPr>
              <w:fldChar w:fldCharType="begin"/>
            </w:r>
            <w:r>
              <w:rPr>
                <w:webHidden/>
              </w:rPr>
              <w:instrText xml:space="preserve">PAGEREF _Toc118380907 \h</w:instrText>
            </w:r>
            <w:r>
              <w:rPr>
                <w:webHidden/>
              </w:rPr>
              <w:fldChar w:fldCharType="separate"/>
            </w:r>
            <w:r>
              <w:rPr>
                <w:rStyle w:val="Vnculodendice"/>
                <w:vanish w:val="false"/>
              </w:rPr>
              <w:tab/>
              <w:t>13</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i w:val="false"/>
          <w:i w:val="false"/>
          <w:iCs w:val="false"/>
          <w:color w:val="000000"/>
        </w:rPr>
      </w:pPr>
      <w:r>
        <w:rPr>
          <w:rFonts w:cs="Arial"/>
          <w:b/>
          <w:bCs/>
          <w:i w:val="false"/>
          <w:iCs w:val="false"/>
          <w:color w:val="000000"/>
          <w:szCs w:val="20"/>
        </w:rPr>
        <w:t>DELEGACIA DA RECEITA FEDERAL DO BRASIL EM CAXIAS DO SUL</w:t>
      </w:r>
    </w:p>
    <w:p>
      <w:pPr>
        <w:pStyle w:val="Normal"/>
        <w:jc w:val="center"/>
        <w:rPr>
          <w:rFonts w:cs="Arial"/>
          <w:b/>
          <w:b/>
          <w:bCs/>
          <w:color w:val="5B5B5F"/>
          <w:sz w:val="28"/>
          <w:szCs w:val="28"/>
        </w:rPr>
      </w:pPr>
      <w:r>
        <w:rPr>
          <w:rFonts w:cs="Arial"/>
          <w:b/>
          <w:bCs/>
          <w:color w:val="000000" w:themeColor="text1"/>
          <w:szCs w:val="20"/>
        </w:rPr>
        <w:t xml:space="preserve">AVISO DE CONTRATAÇÃO DIRETA Nº </w:t>
      </w:r>
      <w:r>
        <w:rPr>
          <w:rFonts w:cs="Arial"/>
          <w:b/>
          <w:bCs/>
          <w:color w:val="000000" w:themeColor="text1"/>
          <w:szCs w:val="20"/>
        </w:rPr>
        <w:t>00007/2023</w:t>
      </w:r>
      <w:r>
        <w:rPr>
          <w:rFonts w:cs="Arial"/>
          <w:b/>
          <w:bCs/>
          <w:color w:val="000000" w:themeColor="text1"/>
          <w:szCs w:val="20"/>
        </w:rPr>
        <w:t xml:space="preserve"> </w:t>
      </w:r>
    </w:p>
    <w:p>
      <w:pPr>
        <w:pStyle w:val="Normal"/>
        <w:spacing w:lineRule="auto" w:line="276"/>
        <w:jc w:val="center"/>
        <w:rPr>
          <w:rFonts w:cs="Arial"/>
          <w:b/>
          <w:b/>
          <w:bCs/>
          <w:color w:val="000000" w:themeColor="text1"/>
          <w:szCs w:val="20"/>
        </w:rPr>
      </w:pPr>
      <w:r>
        <w:rPr>
          <w:rFonts w:cs="Arial"/>
          <w:b/>
          <w:bCs/>
          <w:color w:val="000000" w:themeColor="text1"/>
          <w:szCs w:val="20"/>
        </w:rPr>
      </w:r>
    </w:p>
    <w:p>
      <w:pPr>
        <w:pStyle w:val="Normal"/>
        <w:spacing w:lineRule="auto" w:line="276" w:before="0" w:after="120"/>
        <w:ind w:right="-15" w:hanging="0"/>
        <w:jc w:val="center"/>
        <w:rPr>
          <w:rFonts w:cs="Arial"/>
          <w:b/>
          <w:b/>
          <w:bCs/>
          <w:color w:val="000000"/>
          <w:szCs w:val="20"/>
        </w:rPr>
      </w:pPr>
      <w:r>
        <w:rPr>
          <w:rFonts w:cs="Arial"/>
          <w:b/>
          <w:bCs/>
          <w:color w:val="000000" w:themeColor="text1"/>
          <w:szCs w:val="20"/>
        </w:rPr>
        <w:t xml:space="preserve">(Processo Administrativo n° </w:t>
      </w:r>
      <w:r>
        <w:rPr>
          <w:rFonts w:cs="Arial"/>
          <w:b/>
          <w:bCs/>
          <w:color w:val="000000" w:themeColor="text1"/>
          <w:szCs w:val="20"/>
        </w:rPr>
        <w:t>11020.728740/2023-97</w:t>
      </w:r>
      <w:r>
        <w:rPr>
          <w:rFonts w:cs="Arial"/>
          <w:b/>
          <w:bCs/>
          <w:color w:val="000000" w:themeColor="text1"/>
          <w:szCs w:val="20"/>
        </w:rPr>
        <w:t>)</w:t>
      </w:r>
    </w:p>
    <w:p>
      <w:pPr>
        <w:pStyle w:val="Normal"/>
        <w:rPr>
          <w:rFonts w:cs="Arial"/>
        </w:rPr>
      </w:pPr>
      <w:r>
        <w:rPr>
          <w:rFonts w:cs="Arial"/>
        </w:rPr>
      </w:r>
    </w:p>
    <w:p>
      <w:pPr>
        <w:pStyle w:val="Normal"/>
        <w:snapToGrid w:val="false"/>
        <w:spacing w:lineRule="auto" w:line="276" w:before="0" w:after="120"/>
        <w:ind w:right="-30" w:firstLine="540"/>
        <w:jc w:val="both"/>
        <w:rPr>
          <w:rFonts w:cs="Arial"/>
          <w:color w:val="000000"/>
          <w:szCs w:val="20"/>
        </w:rPr>
      </w:pPr>
      <w:commentRangeStart w:id="2"/>
      <w:r>
        <w:rPr>
          <w:rFonts w:cs="Arial"/>
          <w:color w:val="000000" w:themeColor="text1"/>
          <w:szCs w:val="20"/>
        </w:rPr>
        <w:t xml:space="preserve">Torna-se público que </w:t>
      </w:r>
      <w:r>
        <w:rPr>
          <w:rFonts w:cs="Arial"/>
          <w:color w:val="000000" w:themeColor="text1"/>
          <w:szCs w:val="20"/>
        </w:rPr>
        <w:t>a DELEGACIA DA RECEITA FEDERAL DO BRASIL EM CAXIAS DO SUL</w:t>
      </w:r>
      <w:r>
        <w:rPr>
          <w:rFonts w:cs="Arial"/>
          <w:color w:val="000000" w:themeColor="text1"/>
          <w:szCs w:val="20"/>
        </w:rPr>
        <w:t>, por meio do</w:t>
      </w:r>
      <w:r>
        <w:rPr>
          <w:rFonts w:eastAsia="Arial" w:cs="Arial"/>
          <w:color w:val="000000" w:themeColor="text1"/>
          <w:szCs w:val="20"/>
        </w:rPr>
        <w:t xml:space="preserve"> </w:t>
      </w:r>
      <w:r>
        <w:rPr>
          <w:rFonts w:eastAsia="Arial" w:cs="Arial"/>
          <w:color w:val="000000" w:themeColor="text1"/>
          <w:szCs w:val="20"/>
        </w:rPr>
        <w:t>Serviço de Programação e Logística</w:t>
      </w:r>
      <w:r>
        <w:rPr>
          <w:rFonts w:cs="Arial"/>
          <w:color w:val="000000" w:themeColor="text1"/>
          <w:szCs w:val="20"/>
        </w:rPr>
        <w:t xml:space="preserve">, realizará Dispensa Eletrônica, </w:t>
      </w:r>
      <w:r>
        <w:rPr>
          <w:rFonts w:cs="Arial"/>
          <w:bCs/>
          <w:color w:val="000000" w:themeColor="text1"/>
          <w:szCs w:val="20"/>
        </w:rPr>
        <w:t>com critério de julgamento</w:t>
      </w:r>
      <w:r>
        <w:rPr>
          <w:rFonts w:cs="Arial"/>
          <w:b/>
          <w:bCs/>
          <w:color w:val="000000" w:themeColor="text1"/>
          <w:szCs w:val="20"/>
        </w:rPr>
        <w:t xml:space="preserve"> </w:t>
      </w:r>
      <w:r>
        <w:rPr>
          <w:rFonts w:cs="Arial"/>
          <w:b/>
          <w:bCs/>
          <w:i/>
          <w:color w:val="000000"/>
          <w:szCs w:val="20"/>
        </w:rPr>
        <w:t>menor preço</w:t>
      </w:r>
      <w:r>
        <w:rPr>
          <w:rFonts w:cs="Arial"/>
          <w:b/>
          <w:bCs/>
          <w:i/>
          <w:color w:val="000000"/>
          <w:szCs w:val="20"/>
        </w:rPr>
        <w:t>,</w:t>
      </w:r>
      <w:r>
        <w:rPr>
          <w:rFonts w:cs="Arial"/>
          <w:b/>
          <w:bCs/>
          <w:i/>
          <w:color w:val="FF0000"/>
          <w:szCs w:val="20"/>
        </w:rPr>
        <w:t xml:space="preserve"> </w:t>
      </w:r>
      <w:r>
        <w:rPr>
          <w:rFonts w:cs="Arial"/>
          <w:color w:val="000000" w:themeColor="text1"/>
          <w:szCs w:val="20"/>
        </w:rPr>
        <w:t xml:space="preserve">na hipótese do </w:t>
      </w:r>
      <w:r>
        <w:fldChar w:fldCharType="begin"/>
      </w:r>
      <w:r>
        <w:rPr>
          <w:rStyle w:val="LinkdaInternet"/>
          <w:i w:val="false"/>
          <w:u w:val="none"/>
          <w:szCs w:val="20"/>
          <w:iCs w:val="false"/>
          <w:rFonts w:cs="Arial"/>
          <w:color w:val="000000"/>
        </w:rPr>
        <w:instrText xml:space="preserve"> HYPERLINK "http://www.planalto.gov.br/ccivil_03/_ato2019-2022/2021/lei/L14133.htm" \l "art75"</w:instrText>
      </w:r>
      <w:r>
        <w:rPr>
          <w:rStyle w:val="LinkdaInternet"/>
          <w:i w:val="false"/>
          <w:u w:val="none"/>
          <w:szCs w:val="20"/>
          <w:iCs w:val="false"/>
          <w:rFonts w:cs="Arial"/>
          <w:color w:val="000000"/>
        </w:rPr>
        <w:fldChar w:fldCharType="separate"/>
      </w:r>
      <w:r>
        <w:rPr>
          <w:rStyle w:val="LinkdaInternet"/>
          <w:rFonts w:cs="Arial"/>
          <w:i w:val="false"/>
          <w:iCs w:val="false"/>
          <w:color w:val="000000"/>
          <w:szCs w:val="20"/>
          <w:u w:val="none"/>
        </w:rPr>
        <w:t>art. 75</w:t>
      </w:r>
      <w:r>
        <w:rPr>
          <w:rStyle w:val="LinkdaInternet"/>
          <w:i w:val="false"/>
          <w:u w:val="none"/>
          <w:szCs w:val="20"/>
          <w:iCs w:val="false"/>
          <w:rFonts w:cs="Arial"/>
          <w:color w:val="000000"/>
        </w:rPr>
        <w:fldChar w:fldCharType="end"/>
      </w:r>
      <w:r>
        <w:rPr>
          <w:rFonts w:cs="Arial"/>
          <w:i w:val="false"/>
          <w:iCs w:val="false"/>
          <w:color w:val="000000" w:themeColor="text1"/>
          <w:szCs w:val="20"/>
          <w:u w:val="none"/>
        </w:rPr>
        <w:t xml:space="preserve">, </w:t>
      </w:r>
      <w:r>
        <w:rPr>
          <w:rFonts w:cs="Arial"/>
          <w:i w:val="false"/>
          <w:iCs w:val="false"/>
          <w:color w:val="000000"/>
          <w:szCs w:val="20"/>
          <w:u w:val="none"/>
        </w:rPr>
        <w:t xml:space="preserve">inciso </w:t>
      </w:r>
      <w:r>
        <w:rPr>
          <w:rFonts w:cs="Arial"/>
          <w:i w:val="false"/>
          <w:iCs w:val="false"/>
          <w:color w:val="000000"/>
          <w:szCs w:val="20"/>
          <w:u w:val="none"/>
        </w:rPr>
        <w:t>I</w:t>
      </w:r>
      <w:r>
        <w:rPr>
          <w:rFonts w:cs="Arial"/>
          <w:i w:val="false"/>
          <w:iCs w:val="false"/>
          <w:color w:val="000000"/>
          <w:szCs w:val="20"/>
          <w:u w:val="none"/>
        </w:rPr>
        <w:t xml:space="preserve">, </w:t>
      </w:r>
      <w:r>
        <w:rPr>
          <w:rFonts w:cs="Arial"/>
          <w:bCs/>
          <w:szCs w:val="20"/>
        </w:rPr>
        <w:t xml:space="preserve">nos termos da </w:t>
      </w:r>
      <w:hyperlink r:id="rId2">
        <w:r>
          <w:rPr>
            <w:rStyle w:val="LinkdaInternet"/>
            <w:rFonts w:cs="Arial"/>
            <w:bCs/>
            <w:szCs w:val="20"/>
          </w:rPr>
          <w:t>Lei n.º 14.133, de 1º de abril de 2021</w:t>
        </w:r>
      </w:hyperlink>
      <w:r>
        <w:rPr>
          <w:rFonts w:cs="Arial"/>
          <w:bCs/>
          <w:szCs w:val="20"/>
        </w:rPr>
        <w:t xml:space="preserve">, da </w:t>
      </w:r>
      <w:hyperlink r:id="rId3">
        <w:r>
          <w:rPr>
            <w:rStyle w:val="LinkdaInternet"/>
            <w:rFonts w:cs="Arial"/>
            <w:bCs/>
            <w:szCs w:val="20"/>
          </w:rPr>
          <w:t>Instrução Normativa Seges/ME nº 67, de 2021</w:t>
        </w:r>
      </w:hyperlink>
      <w:r>
        <w:rPr>
          <w:rFonts w:cs="Arial"/>
          <w:bCs/>
          <w:szCs w:val="20"/>
        </w:rPr>
        <w:t>, e demais normas aplicáveis</w:t>
      </w:r>
      <w:r>
        <w:rPr>
          <w:rFonts w:cs="Arial"/>
          <w:color w:val="000000"/>
          <w:szCs w:val="20"/>
        </w:rPr>
        <w:t>.</w:t>
      </w:r>
      <w:commentRangeEnd w:id="2"/>
      <w:r>
        <w:commentReference w:id="2"/>
      </w:r>
      <w:r>
        <w:rPr>
          <w:rFonts w:cs="Arial"/>
          <w:color w:val="000000"/>
          <w:szCs w:val="20"/>
        </w:rPr>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rFonts w:cs="Arial"/>
          <w:b/>
          <w:b/>
          <w:bCs/>
          <w:szCs w:val="20"/>
        </w:rPr>
      </w:pPr>
      <w:r>
        <w:rPr>
          <w:rFonts w:cs="Arial"/>
          <w:b/>
          <w:bCs/>
          <w:color w:val="000000" w:themeColor="text1"/>
          <w:szCs w:val="20"/>
        </w:rPr>
        <w:t>Data da sessão:</w:t>
      </w:r>
    </w:p>
    <w:p>
      <w:pPr>
        <w:pStyle w:val="Normal"/>
        <w:rPr>
          <w:rFonts w:cs="Arial"/>
          <w:color w:val="000000" w:themeColor="text1"/>
          <w:szCs w:val="20"/>
        </w:rPr>
      </w:pPr>
      <w:r>
        <w:rPr>
          <w:rFonts w:cs="Arial"/>
          <w:b/>
          <w:bCs/>
          <w:color w:val="000000" w:themeColor="text1"/>
          <w:szCs w:val="20"/>
        </w:rPr>
        <w:t>Horário da Fase de Lances:</w:t>
      </w:r>
      <w:r>
        <w:rPr>
          <w:rFonts w:cs="Arial"/>
          <w:i w:val="false"/>
          <w:iCs w:val="false"/>
          <w:color w:val="000000" w:themeColor="text1"/>
          <w:szCs w:val="20"/>
        </w:rPr>
        <w:t xml:space="preserve"> </w:t>
      </w:r>
      <w:r>
        <w:rPr>
          <w:rFonts w:cs="Arial"/>
          <w:i w:val="false"/>
          <w:iCs w:val="false"/>
          <w:color w:val="000000"/>
          <w:szCs w:val="20"/>
        </w:rPr>
        <w:t>09:00</w:t>
      </w:r>
      <w:r>
        <w:rPr>
          <w:rFonts w:cs="Arial"/>
          <w:i w:val="false"/>
          <w:iCs w:val="false"/>
          <w:color w:val="000000"/>
          <w:szCs w:val="20"/>
        </w:rPr>
        <w:t xml:space="preserve"> </w:t>
      </w:r>
      <w:r>
        <w:rPr>
          <w:rFonts w:cs="Arial"/>
          <w:i w:val="false"/>
          <w:iCs w:val="false"/>
          <w:color w:val="000000" w:themeColor="text1"/>
          <w:szCs w:val="20"/>
        </w:rPr>
        <w:t xml:space="preserve">às </w:t>
      </w:r>
      <w:r>
        <w:rPr>
          <w:rFonts w:cs="Arial"/>
          <w:i w:val="false"/>
          <w:iCs w:val="false"/>
          <w:color w:val="000000"/>
          <w:szCs w:val="20"/>
        </w:rPr>
        <w:t>17:00</w:t>
      </w:r>
    </w:p>
    <w:p>
      <w:pPr>
        <w:pStyle w:val="Normal"/>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p>
    <w:p>
      <w:pPr>
        <w:pStyle w:val="Normal"/>
        <w:spacing w:lineRule="auto" w:line="276"/>
        <w:ind w:right="-15" w:hanging="0"/>
        <w:jc w:val="both"/>
        <w:rPr>
          <w:rFonts w:cs="Arial"/>
          <w:i/>
          <w:i/>
          <w:iCs/>
          <w:color w:val="FF0000"/>
          <w:szCs w:val="20"/>
        </w:rPr>
      </w:pPr>
      <w:r>
        <w:rPr>
          <w:rFonts w:cs="Arial"/>
          <w:b/>
          <w:bCs/>
          <w:i/>
          <w:iCs/>
          <w:szCs w:val="20"/>
        </w:rPr>
        <w:t>Critério de Julgamento:</w:t>
      </w:r>
      <w:r>
        <w:rPr>
          <w:rFonts w:cs="Arial"/>
          <w:szCs w:val="20"/>
        </w:rPr>
        <w:t xml:space="preserve"> </w:t>
      </w:r>
      <w:r>
        <w:rPr>
          <w:rFonts w:cs="Arial"/>
          <w:i w:val="false"/>
          <w:iCs w:val="false"/>
          <w:color w:val="000000"/>
          <w:szCs w:val="20"/>
        </w:rPr>
        <w:t>menor preço</w:t>
      </w:r>
    </w:p>
    <w:p>
      <w:pPr>
        <w:pStyle w:val="Normal"/>
        <w:spacing w:lineRule="auto" w:line="276"/>
        <w:ind w:right="-15" w:hanging="0"/>
        <w:jc w:val="both"/>
        <w:rPr>
          <w:i w:val="false"/>
          <w:i w:val="false"/>
          <w:iCs w:val="false"/>
          <w:color w:val="000000"/>
        </w:rPr>
      </w:pPr>
      <w:r>
        <w:rPr>
          <w:rFonts w:cs="Arial"/>
          <w:b/>
          <w:bCs/>
          <w:i w:val="false"/>
          <w:iCs w:val="false"/>
          <w:color w:val="000000"/>
        </w:rPr>
        <w:t>Regime de Execução:</w:t>
      </w:r>
      <w:r>
        <w:rPr>
          <w:rFonts w:cs="Arial"/>
          <w:i w:val="false"/>
          <w:iCs w:val="false"/>
          <w:color w:val="000000"/>
        </w:rPr>
        <w:t xml:space="preserve"> Empreitada por Preço Global </w:t>
      </w:r>
    </w:p>
    <w:p>
      <w:pPr>
        <w:pStyle w:val="Normal"/>
        <w:spacing w:lineRule="auto" w:line="276"/>
        <w:ind w:right="-15" w:hanging="0"/>
        <w:jc w:val="both"/>
        <w:rPr>
          <w:rFonts w:cs="Arial"/>
          <w:b/>
          <w:b/>
          <w:bCs/>
          <w:i/>
          <w:i/>
          <w:iCs/>
          <w:color w:val="FF0000"/>
        </w:rPr>
      </w:pPr>
      <w:r>
        <w:rPr>
          <w:rFonts w:cs="Arial"/>
          <w:b/>
          <w:bCs/>
          <w:i/>
          <w:iCs/>
          <w:color w:val="FF0000"/>
        </w:rPr>
      </w:r>
    </w:p>
    <w:p>
      <w:pPr>
        <w:pStyle w:val="Normal"/>
        <w:rPr/>
      </w:pPr>
      <w:r>
        <w:rPr/>
      </w:r>
    </w:p>
    <w:p>
      <w:pPr>
        <w:pStyle w:val="Ttulo1"/>
        <w:rPr/>
      </w:pPr>
      <w:bookmarkStart w:id="0" w:name="_Toc118380899"/>
      <w:r>
        <w:rPr/>
        <w:t>OBJETO DA CONTRATAÇÃO DIRETA</w:t>
      </w:r>
      <w:bookmarkEnd w:id="0"/>
    </w:p>
    <w:p>
      <w:pPr>
        <w:pStyle w:val="PADRO"/>
        <w:keepNext w:val="false"/>
        <w:widowControl/>
        <w:numPr>
          <w:ilvl w:val="1"/>
          <w:numId w:val="1"/>
        </w:numPr>
        <w:shd w:val="clear" w:color="auto" w:fill="auto"/>
        <w:spacing w:before="120" w:after="120"/>
        <w:rPr>
          <w:rFonts w:ascii="Arial" w:hAnsi="Arial" w:cs="Arial"/>
          <w:szCs w:val="20"/>
        </w:rPr>
      </w:pPr>
      <w:r>
        <w:rPr>
          <w:rFonts w:cs="Arial" w:ascii="Arial" w:hAnsi="Arial"/>
          <w:color w:val="000000" w:themeColor="text1"/>
          <w:szCs w:val="20"/>
        </w:rPr>
        <w:t xml:space="preserve">O objeto da presente dispensa é a escolha da proposta mais vantajosa para a </w:t>
      </w:r>
      <w:r>
        <w:rPr>
          <w:rFonts w:cs="Arial" w:ascii="Arial" w:hAnsi="Arial"/>
          <w:szCs w:val="20"/>
        </w:rPr>
        <w:t xml:space="preserve">contratação, </w:t>
      </w:r>
      <w:r>
        <w:rPr>
          <w:rFonts w:cs="Arial" w:ascii="Arial" w:hAnsi="Arial"/>
          <w:color w:val="000000" w:themeColor="text1"/>
          <w:szCs w:val="20"/>
        </w:rPr>
        <w:t>por dispensa de licitação, de</w:t>
      </w:r>
      <w:r>
        <w:rPr>
          <w:rFonts w:cs="Arial" w:ascii="Arial" w:hAnsi="Arial"/>
          <w:color w:val="FF0000"/>
          <w:szCs w:val="20"/>
        </w:rPr>
        <w:t xml:space="preserve"> </w:t>
      </w:r>
      <w:r>
        <w:rPr>
          <w:rFonts w:cs="Arial" w:ascii="Arial" w:hAnsi="Arial"/>
          <w:color w:val="000000"/>
          <w:szCs w:val="20"/>
        </w:rPr>
        <w:t>serviços de assessoria à fiscalização</w:t>
      </w:r>
      <w:r>
        <w:rPr>
          <w:rFonts w:cs="Arial" w:ascii="Arial" w:hAnsi="Arial"/>
          <w:b/>
          <w:bCs/>
          <w:color w:val="000000" w:themeColor="text1"/>
          <w:szCs w:val="20"/>
        </w:rPr>
        <w:t>,</w:t>
      </w:r>
      <w:r>
        <w:rPr>
          <w:rFonts w:cs="Arial" w:ascii="Arial" w:hAnsi="Arial"/>
          <w:color w:val="000000" w:themeColor="text1"/>
          <w:szCs w:val="20"/>
        </w:rPr>
        <w:t xml:space="preserve"> conforme condições, quantidades e exigências estabelecidas neste Aviso de Contratação Direta e seus anexos.</w:t>
      </w:r>
    </w:p>
    <w:p>
      <w:pPr>
        <w:pStyle w:val="PADRO"/>
        <w:keepNext w:val="false"/>
        <w:widowControl/>
        <w:numPr>
          <w:ilvl w:val="1"/>
          <w:numId w:val="1"/>
        </w:numPr>
        <w:shd w:val="clear" w:color="auto" w:fill="auto"/>
        <w:spacing w:before="120" w:after="120"/>
        <w:rPr>
          <w:rFonts w:ascii="Arial" w:hAnsi="Arial" w:cs="Arial"/>
          <w:szCs w:val="20"/>
        </w:rPr>
      </w:pPr>
      <w:commentRangeStart w:id="3"/>
      <w:r>
        <w:rPr>
          <w:rFonts w:cs="Arial" w:ascii="Arial" w:hAnsi="Arial"/>
          <w:szCs w:val="20"/>
        </w:rPr>
        <w:t>A contratação ocorrerá conforme tabela abaixo.</w:t>
      </w:r>
      <w:commentRangeEnd w:id="3"/>
      <w:r>
        <w:commentReference w:id="3"/>
      </w:r>
      <w:r>
        <w:rPr>
          <w:rFonts w:cs="Arial" w:ascii="Arial" w:hAnsi="Arial"/>
          <w:szCs w:val="20"/>
        </w:rPr>
      </w:r>
    </w:p>
    <w:tbl>
      <w:tblPr>
        <w:tblW w:w="8222" w:type="dxa"/>
        <w:jc w:val="left"/>
        <w:tblInd w:w="137" w:type="dxa"/>
        <w:tblLayout w:type="fixed"/>
        <w:tblCellMar>
          <w:top w:w="0" w:type="dxa"/>
          <w:left w:w="108" w:type="dxa"/>
          <w:bottom w:w="0" w:type="dxa"/>
          <w:right w:w="108" w:type="dxa"/>
        </w:tblCellMar>
        <w:tblLook w:firstRow="1" w:noVBand="1" w:lastRow="0" w:firstColumn="1" w:lastColumn="0" w:noHBand="0" w:val="04a0"/>
      </w:tblPr>
      <w:tblGrid>
        <w:gridCol w:w="707"/>
        <w:gridCol w:w="3686"/>
        <w:gridCol w:w="1136"/>
        <w:gridCol w:w="1134"/>
        <w:gridCol w:w="1559"/>
      </w:tblGrid>
      <w:tr>
        <w:trPr/>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cs="Arial"/>
                <w:b/>
                <w:b/>
                <w:bCs/>
                <w:color w:val="000000"/>
                <w:szCs w:val="20"/>
              </w:rPr>
            </w:pPr>
            <w:r>
              <w:rPr>
                <w:rFonts w:cs="Arial"/>
                <w:b/>
                <w:bCs/>
                <w:color w:val="000000"/>
                <w:szCs w:val="20"/>
              </w:rPr>
              <w:t>ITEM</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cs="Arial"/>
                <w:color w:val="000000"/>
                <w:szCs w:val="20"/>
              </w:rPr>
            </w:pPr>
            <w:r>
              <w:rPr>
                <w:rFonts w:cs="Arial"/>
                <w:b/>
                <w:bCs/>
                <w:color w:val="000000"/>
                <w:szCs w:val="20"/>
              </w:rPr>
              <w:t>ESPECIFICAÇÃO</w:t>
            </w:r>
          </w:p>
        </w:tc>
        <w:tc>
          <w:tcPr>
            <w:tcW w:w="11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cs="Arial"/>
                <w:color w:val="000000"/>
                <w:szCs w:val="20"/>
              </w:rPr>
            </w:pPr>
            <w:r>
              <w:rPr>
                <w:rFonts w:cs="Arial"/>
                <w:b/>
                <w:bCs/>
                <w:color w:val="000000"/>
                <w:szCs w:val="20"/>
              </w:rPr>
              <w:t>CATSER/CATMAT</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cs="Arial"/>
                <w:color w:val="000000"/>
                <w:szCs w:val="20"/>
              </w:rPr>
            </w:pPr>
            <w:r>
              <w:rPr>
                <w:rFonts w:cs="Arial"/>
                <w:b/>
                <w:bCs/>
                <w:color w:val="000000"/>
                <w:szCs w:val="20"/>
              </w:rPr>
              <w:t>UNIDADE DE MEDIDA</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cs="Arial"/>
                <w:b/>
                <w:b/>
                <w:bCs/>
                <w:szCs w:val="20"/>
              </w:rPr>
            </w:pPr>
            <w:r>
              <w:rPr>
                <w:rFonts w:cs="Arial"/>
                <w:b/>
                <w:bCs/>
                <w:szCs w:val="20"/>
              </w:rPr>
              <w:t>QUANTIDADE</w:t>
            </w:r>
          </w:p>
        </w:tc>
      </w:tr>
      <w:tr>
        <w:trPr/>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cs="Arial"/>
                <w:b/>
                <w:b/>
                <w:color w:val="000000"/>
                <w:szCs w:val="20"/>
              </w:rPr>
            </w:pPr>
            <w:r>
              <w:rPr>
                <w:rFonts w:cs="Arial"/>
                <w:b/>
                <w:color w:val="000000"/>
                <w:szCs w:val="20"/>
              </w:rPr>
              <w:t>1</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Normal"/>
              <w:keepNext w:val="false"/>
              <w:widowControl w:val="false"/>
              <w:suppressAutoHyphens w:val="true"/>
              <w:spacing w:lineRule="auto" w:line="276" w:before="0" w:after="0"/>
              <w:jc w:val="both"/>
              <w:rPr/>
            </w:pPr>
            <w:r>
              <w:rPr>
                <w:rFonts w:cs="Arial"/>
                <w:sz w:val="20"/>
                <w:szCs w:val="20"/>
              </w:rPr>
              <w:t>Serviços de Assessoria à Fiscalização para a Obra Recuperação das fachadas do prédio sede da Delegacia da Receita Federal do Brasil em Santo Ângelo (DRF/SAO)</w:t>
            </w:r>
          </w:p>
        </w:tc>
        <w:tc>
          <w:tcPr>
            <w:tcW w:w="1136" w:type="dxa"/>
            <w:tcBorders>
              <w:top w:val="single" w:sz="4" w:space="0" w:color="000000"/>
              <w:left w:val="single" w:sz="4" w:space="0" w:color="000000"/>
              <w:bottom w:val="single" w:sz="4" w:space="0" w:color="000000"/>
              <w:right w:val="single" w:sz="4" w:space="0" w:color="000000"/>
            </w:tcBorders>
            <w:vAlign w:val="center"/>
          </w:tcPr>
          <w:p>
            <w:pPr>
              <w:pStyle w:val="Normal"/>
              <w:keepNext w:val="false"/>
              <w:widowControl w:val="false"/>
              <w:suppressAutoHyphens w:val="true"/>
              <w:spacing w:lineRule="auto" w:line="276" w:before="0" w:after="0"/>
              <w:jc w:val="center"/>
              <w:rPr/>
            </w:pPr>
            <w:r>
              <w:rPr>
                <w:rFonts w:cs="Arial"/>
                <w:color w:val="000000"/>
                <w:sz w:val="20"/>
                <w:szCs w:val="20"/>
                <w:shd w:fill="auto" w:val="clear"/>
              </w:rPr>
              <w:t>809</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keepNext w:val="false"/>
              <w:widowControl w:val="false"/>
              <w:suppressAutoHyphens w:val="true"/>
              <w:spacing w:lineRule="auto" w:line="276" w:before="0" w:after="0"/>
              <w:jc w:val="center"/>
              <w:rPr/>
            </w:pPr>
            <w:r>
              <w:rPr>
                <w:rFonts w:cs="Arial"/>
                <w:color w:val="000000"/>
                <w:sz w:val="20"/>
                <w:szCs w:val="20"/>
              </w:rPr>
              <w:t>un</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keepNext w:val="false"/>
              <w:widowControl w:val="false"/>
              <w:suppressAutoHyphens w:val="true"/>
              <w:spacing w:lineRule="auto" w:line="276" w:before="0" w:after="0"/>
              <w:jc w:val="center"/>
              <w:rPr/>
            </w:pPr>
            <w:r>
              <w:rPr>
                <w:rFonts w:cs="Arial"/>
                <w:color w:val="000000"/>
                <w:sz w:val="20"/>
                <w:szCs w:val="20"/>
              </w:rPr>
              <w:t>1</w:t>
            </w:r>
          </w:p>
        </w:tc>
      </w:tr>
    </w:tbl>
    <w:p>
      <w:pPr>
        <w:pStyle w:val="PADRO"/>
        <w:keepNext w:val="false"/>
        <w:widowControl/>
        <w:shd w:val="clear" w:color="auto" w:fill="auto"/>
        <w:spacing w:before="120" w:after="120"/>
        <w:rPr>
          <w:rFonts w:ascii="Arial" w:hAnsi="Arial" w:cs="Arial"/>
          <w:szCs w:val="20"/>
        </w:rPr>
      </w:pPr>
      <w:r>
        <w:rPr>
          <w:rFonts w:cs="Arial" w:ascii="Arial" w:hAnsi="Arial"/>
          <w:szCs w:val="20"/>
        </w:rPr>
      </w:r>
    </w:p>
    <w:p>
      <w:pPr>
        <w:pStyle w:val="PADRO"/>
        <w:keepNext w:val="false"/>
        <w:widowControl/>
        <w:numPr>
          <w:ilvl w:val="2"/>
          <w:numId w:val="1"/>
        </w:numPr>
        <w:shd w:val="clear" w:color="auto" w:fill="auto"/>
        <w:spacing w:before="120" w:after="120"/>
        <w:rPr>
          <w:rFonts w:ascii="Arial" w:hAnsi="Arial" w:cs="Arial"/>
        </w:rPr>
      </w:pPr>
      <w:r>
        <w:rPr>
          <w:rFonts w:cs="Arial" w:ascii="Arial" w:hAnsi="Arial"/>
          <w:szCs w:val="20"/>
        </w:rPr>
        <w:t>Havendo mais de um item, faculta-se ao fornecedor a participação em quantos forem de seu interesse.</w:t>
      </w:r>
    </w:p>
    <w:p>
      <w:pPr>
        <w:pStyle w:val="PADRO"/>
        <w:keepNext w:val="false"/>
        <w:widowControl/>
        <w:numPr>
          <w:ilvl w:val="1"/>
          <w:numId w:val="1"/>
        </w:numPr>
        <w:shd w:val="clear" w:color="auto" w:fill="auto"/>
        <w:spacing w:before="120" w:after="120"/>
        <w:rPr>
          <w:rFonts w:ascii="Arial" w:hAnsi="Arial" w:cs="Arial"/>
          <w:color w:val="000000" w:themeColor="text1"/>
          <w:szCs w:val="20"/>
        </w:rPr>
      </w:pPr>
      <w:r>
        <w:rPr>
          <w:rFonts w:cs="Arial" w:ascii="Arial" w:hAnsi="Arial"/>
          <w:szCs w:val="20"/>
        </w:rPr>
        <w:t>O critério de julgamento adotado será o</w:t>
      </w:r>
      <w:r>
        <w:rPr>
          <w:rFonts w:cs="Arial" w:ascii="Arial" w:hAnsi="Arial"/>
          <w:i w:val="false"/>
          <w:iCs w:val="false"/>
          <w:color w:val="000000"/>
          <w:szCs w:val="20"/>
        </w:rPr>
        <w:t xml:space="preserve"> </w:t>
      </w:r>
      <w:r>
        <w:rPr>
          <w:rFonts w:cs="Arial" w:ascii="Arial" w:hAnsi="Arial"/>
          <w:i w:val="false"/>
          <w:iCs w:val="false"/>
          <w:color w:val="000000"/>
          <w:szCs w:val="20"/>
        </w:rPr>
        <w:t xml:space="preserve">menor preço, </w:t>
      </w:r>
      <w:r>
        <w:rPr>
          <w:rFonts w:cs="Arial" w:ascii="Arial" w:hAnsi="Arial"/>
          <w:szCs w:val="20"/>
        </w:rPr>
        <w:t>observadas as exigências contidas neste Aviso de Contratação Direta e seus Anexos quanto às especificações do objeto.</w:t>
      </w:r>
    </w:p>
    <w:p>
      <w:pPr>
        <w:pStyle w:val="Normal"/>
        <w:suppressAutoHyphens w:val="false"/>
        <w:spacing w:lineRule="auto" w:line="259" w:before="0" w:after="160"/>
        <w:rPr>
          <w:rFonts w:eastAsia="WenQuanYi Micro Hei" w:cs="Arial"/>
          <w:b/>
          <w:b/>
          <w:lang w:eastAsia="zh-CN" w:bidi="hi-IN"/>
        </w:rPr>
      </w:pPr>
      <w:r>
        <w:rPr>
          <w:rFonts w:eastAsia="WenQuanYi Micro Hei" w:cs="Arial"/>
          <w:b/>
          <w:lang w:eastAsia="zh-CN" w:bidi="hi-IN"/>
        </w:rPr>
      </w:r>
      <w:r>
        <w:br w:type="page"/>
      </w:r>
    </w:p>
    <w:p>
      <w:pPr>
        <w:pStyle w:val="Ttulo1"/>
        <w:rPr/>
      </w:pPr>
      <w:bookmarkStart w:id="1" w:name="_Toc118380900"/>
      <w:r>
        <w:rPr/>
        <w:t>PARTICIPAÇÃO NA DISPENSA ELETRÔNICA.</w:t>
      </w:r>
      <w:bookmarkEnd w:id="1"/>
    </w:p>
    <w:p>
      <w:pPr>
        <w:pStyle w:val="Normal"/>
        <w:numPr>
          <w:ilvl w:val="1"/>
          <w:numId w:val="1"/>
        </w:numPr>
        <w:spacing w:lineRule="auto" w:line="276" w:before="120" w:after="120"/>
        <w:ind w:left="425" w:hanging="0"/>
        <w:jc w:val="both"/>
        <w:rPr>
          <w:rFonts w:cs="Arial"/>
          <w:szCs w:val="20"/>
        </w:rPr>
      </w:pPr>
      <w:r>
        <w:rPr>
          <w:rFonts w:cs="Arial"/>
          <w:szCs w:val="20"/>
        </w:rPr>
        <w:t xml:space="preserve">A </w:t>
      </w:r>
      <w:r>
        <w:rPr>
          <w:rFonts w:cs="Arial"/>
          <w:color w:val="000000" w:themeColor="text1"/>
          <w:szCs w:val="20"/>
        </w:rPr>
        <w:t>participação</w:t>
      </w:r>
      <w:r>
        <w:rPr>
          <w:rFonts w:cs="Arial"/>
          <w:szCs w:val="20"/>
        </w:rPr>
        <w:t xml:space="preserve"> na presente dispensa eletrônica ocorrerá por meio do </w:t>
      </w:r>
      <w:r>
        <w:rPr>
          <w:rFonts w:cs="Arial"/>
          <w:bCs/>
          <w:szCs w:val="20"/>
        </w:rPr>
        <w:t>Sistema de Dispensa Eletrônica, ferramenta informatizada</w:t>
      </w:r>
      <w:r>
        <w:rPr>
          <w:rFonts w:cs="Arial"/>
          <w:szCs w:val="20"/>
        </w:rPr>
        <w:t xml:space="preserve"> integrante do Sistema de Compras do Governo Federal – Compras.gov.br, disponível no </w:t>
      </w:r>
      <w:r>
        <w:rPr>
          <w:rFonts w:cs="Arial"/>
          <w:bCs/>
          <w:szCs w:val="20"/>
        </w:rPr>
        <w:t xml:space="preserve">Portal de Compras do Governo Federal, no endereço eletrônico </w:t>
      </w:r>
      <w:hyperlink r:id="rId4">
        <w:r>
          <w:rPr>
            <w:rStyle w:val="LinkdaInternet"/>
            <w:rFonts w:cs="Arial"/>
            <w:bCs/>
            <w:szCs w:val="20"/>
          </w:rPr>
          <w:t>www.gov.br/compras</w:t>
        </w:r>
      </w:hyperlink>
      <w:r>
        <w:rPr>
          <w:rFonts w:cs="Arial"/>
          <w:bCs/>
          <w:szCs w:val="20"/>
        </w:rPr>
        <w:t>.</w:t>
      </w:r>
      <w:r>
        <w:rPr>
          <w:rFonts w:cs="Arial"/>
          <w:szCs w:val="20"/>
        </w:rPr>
        <w:t xml:space="preserve"> </w:t>
      </w:r>
    </w:p>
    <w:p>
      <w:pPr>
        <w:pStyle w:val="Normal"/>
        <w:numPr>
          <w:ilvl w:val="2"/>
          <w:numId w:val="1"/>
        </w:numPr>
        <w:spacing w:lineRule="auto" w:line="276" w:before="120" w:after="120"/>
        <w:jc w:val="both"/>
        <w:rPr>
          <w:rFonts w:cs="Arial"/>
          <w:szCs w:val="20"/>
        </w:rPr>
      </w:pPr>
      <w:r>
        <w:rPr>
          <w:rFonts w:cs="Arial"/>
          <w:szCs w:val="20"/>
        </w:rPr>
        <w:t xml:space="preserve">O procedimento será divulgado no Compras.gov.br e no </w:t>
      </w:r>
      <w:hyperlink r:id="rId5">
        <w:r>
          <w:rPr>
            <w:rStyle w:val="LinkdaInternet"/>
            <w:rFonts w:cs="Arial"/>
            <w:szCs w:val="20"/>
          </w:rPr>
          <w:t>Portal Nacional de Contratações Públicas - PNCP</w:t>
        </w:r>
      </w:hyperlink>
      <w:r>
        <w:rPr>
          <w:rFonts w:cs="Arial"/>
          <w:szCs w:val="20"/>
        </w:rPr>
        <w:t>, e encaminhado automaticamente aos fornecedores registrados no Sistema de Registro Cadastral Unificado - Sicaf, por mensagem eletrônica, na correspondente linha de fornecimento que pretende atender.</w:t>
      </w:r>
    </w:p>
    <w:p>
      <w:pPr>
        <w:pStyle w:val="Normal"/>
        <w:numPr>
          <w:ilvl w:val="2"/>
          <w:numId w:val="1"/>
        </w:numPr>
        <w:spacing w:lineRule="auto" w:line="276" w:before="120" w:after="120"/>
        <w:jc w:val="both"/>
        <w:rPr>
          <w:rFonts w:cs="Arial"/>
          <w:szCs w:val="20"/>
        </w:rPr>
      </w:pPr>
      <w:r>
        <w:rPr>
          <w:rFonts w:cs="Arial"/>
          <w:szCs w:val="20"/>
        </w:rPr>
        <w:t xml:space="preserve">O Compras.gov.br poderá ser acessado pela web ou pelo </w:t>
      </w:r>
      <w:hyperlink r:id="rId6">
        <w:r>
          <w:rPr>
            <w:rStyle w:val="LinkdaInternet"/>
            <w:rFonts w:cs="Arial"/>
            <w:szCs w:val="20"/>
          </w:rPr>
          <w:t>aplicativo Compras.gov.br.</w:t>
        </w:r>
      </w:hyperlink>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de licitação os fornecedores: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empresas controladoras, controladas ou coligadas, nos termos da </w:t>
      </w:r>
      <w:hyperlink r:id="rId7">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 xml:space="preserve"> </w:t>
      </w:r>
      <w:r>
        <w:rPr>
          <w:rFonts w:cs="Arial"/>
          <w:color w:val="00000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i w:val="false"/>
          <w:i w:val="false"/>
          <w:iCs w:val="false"/>
          <w:color w:val="000000"/>
        </w:rPr>
      </w:pPr>
      <w:r>
        <w:rPr>
          <w:rFonts w:cs="Arial"/>
          <w:i w:val="false"/>
          <w:iCs w:val="false"/>
          <w:color w:val="000000"/>
          <w:szCs w:val="20"/>
        </w:rPr>
        <w:t>sociedades cooperativas.</w:t>
      </w:r>
    </w:p>
    <w:p>
      <w:pPr>
        <w:pStyle w:val="Normal"/>
        <w:numPr>
          <w:ilvl w:val="1"/>
          <w:numId w:val="1"/>
        </w:numPr>
        <w:spacing w:lineRule="auto" w:line="276" w:before="120" w:after="120"/>
        <w:ind w:left="425" w:hanging="0"/>
        <w:jc w:val="both"/>
        <w:rPr>
          <w:rFonts w:cs="Arial"/>
          <w:bCs/>
        </w:rPr>
      </w:pPr>
      <w:r>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LinkdaInternet"/>
          <w:bCs/>
          <w:rFonts w:cs="Arial"/>
        </w:rPr>
        <w:instrText xml:space="preserve"> HYPERLINK "http://www.planalto.gov.br/ccivil_03/_ato2019-2022/2021/lei/L14133.htm" \l "art9§1"</w:instrText>
      </w:r>
      <w:r>
        <w:rPr>
          <w:rStyle w:val="LinkdaInternet"/>
          <w:bCs/>
          <w:rFonts w:cs="Arial"/>
        </w:rPr>
        <w:fldChar w:fldCharType="separate"/>
      </w:r>
      <w:r>
        <w:rPr>
          <w:rStyle w:val="LinkdaInternet"/>
          <w:rFonts w:cs="Arial"/>
          <w:bCs/>
        </w:rPr>
        <w:t>§ 1º do art. 9º da Lei n.º 14.133, de 2021</w:t>
      </w:r>
      <w:r>
        <w:rPr>
          <w:rStyle w:val="LinkdaInternet"/>
          <w:bCs/>
          <w:rFonts w:cs="Arial"/>
        </w:rPr>
        <w:fldChar w:fldCharType="end"/>
      </w:r>
      <w:r>
        <w:rPr>
          <w:rFonts w:cs="Arial"/>
          <w:bCs/>
        </w:rPr>
        <w:t>.</w:t>
      </w:r>
    </w:p>
    <w:p>
      <w:pPr>
        <w:pStyle w:val="Normal"/>
        <w:spacing w:lineRule="auto" w:line="276" w:before="120" w:after="120"/>
        <w:ind w:left="425" w:hanging="0"/>
        <w:jc w:val="both"/>
        <w:rPr>
          <w:rFonts w:cs="Arial"/>
          <w:bCs/>
        </w:rPr>
      </w:pPr>
      <w:r>
        <w:rPr>
          <w:rFonts w:cs="Arial"/>
          <w:bCs/>
        </w:rPr>
      </w:r>
    </w:p>
    <w:p>
      <w:pPr>
        <w:pStyle w:val="Ttulo1"/>
        <w:rPr/>
      </w:pPr>
      <w:bookmarkStart w:id="2" w:name="_Toc118380901"/>
      <w:r>
        <w:rPr/>
        <w:t>INGRESSO NA DISPENSA ELETRÔNICA E CADASTRAMENTO DA PROPOSTA INICIAL</w:t>
      </w:r>
      <w:bookmarkEnd w:id="2"/>
    </w:p>
    <w:p>
      <w:pPr>
        <w:pStyle w:val="Normal"/>
        <w:numPr>
          <w:ilvl w:val="1"/>
          <w:numId w:val="1"/>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ocorrerá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ormal"/>
        <w:numPr>
          <w:ilvl w:val="1"/>
          <w:numId w:val="1"/>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ou o desconto ofertados,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1"/>
        </w:numPr>
        <w:spacing w:lineRule="auto" w:line="276" w:before="120" w:after="120"/>
        <w:jc w:val="both"/>
        <w:rPr>
          <w:rFonts w:cs="Arial"/>
          <w:szCs w:val="20"/>
        </w:rPr>
      </w:pPr>
      <w:r>
        <w:rPr>
          <w:rFonts w:cs="Arial"/>
          <w:szCs w:val="20"/>
        </w:rPr>
        <w:t xml:space="preserve"> </w:t>
      </w:r>
      <w:r>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do tributo que constar da planilha, no pagamento serão retidos na fonte os percentuais estabelecidos pela legislação vigente.</w:t>
      </w:r>
    </w:p>
    <w:p>
      <w:pPr>
        <w:pStyle w:val="Normal"/>
        <w:numPr>
          <w:ilvl w:val="1"/>
          <w:numId w:val="1"/>
        </w:numPr>
        <w:spacing w:lineRule="auto" w:line="276" w:before="120" w:after="120"/>
        <w:ind w:left="425" w:hanging="0"/>
        <w:jc w:val="both"/>
        <w:rPr>
          <w:rFonts w:cs="Arial"/>
          <w:szCs w:val="20"/>
        </w:rPr>
      </w:pPr>
      <w:commentRangeStart w:id="4"/>
      <w:r>
        <w:rPr>
          <w:rFonts w:cs="Arial"/>
          <w:szCs w:val="20"/>
        </w:rPr>
        <w:t xml:space="preserve">A apresentação das propostas implica obrigatoriedade do cumprimento das disposições nelas contidas, em conformidade com o que dispõe o </w:t>
      </w:r>
      <w:r>
        <w:rPr>
          <w:rFonts w:cs="Arial"/>
          <w:iCs/>
          <w:szCs w:val="20"/>
        </w:rPr>
        <w:t>Termo de Referência</w:t>
      </w:r>
      <w:r>
        <w:rPr>
          <w:rFonts w:cs="Arial"/>
          <w:i/>
          <w:szCs w:val="20"/>
        </w:rPr>
        <w:t>,</w:t>
      </w:r>
      <w:r>
        <w:rPr>
          <w:rFonts w:cs="Arial"/>
          <w:i/>
          <w:color w:val="FF0000"/>
          <w:szCs w:val="20"/>
        </w:rPr>
        <w:t xml:space="preserve"> </w:t>
      </w:r>
      <w:r>
        <w:rPr>
          <w:rFonts w:cs="Arial"/>
          <w:szCs w:val="20"/>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4"/>
      <w:r>
        <w:commentReference w:id="4"/>
      </w:r>
      <w:r>
        <w:rPr>
          <w:rFonts w:cs="Arial"/>
          <w:szCs w:val="20"/>
        </w:rPr>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No cadastramento da proposta inicial, o fornecedor deverá, também, assinalar Termo de Aceitação, em campo próprio do sistema eletrônico, relativo às seguintes declarações:</w:t>
      </w:r>
      <w:r>
        <w:rPr>
          <w:rFonts w:eastAsia="Zurich BT" w:cs="Arial"/>
          <w:color w:val="000000" w:themeColor="text1"/>
          <w:szCs w:val="20"/>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se responsabiliza pelas transações que forem efetuadas no sistema, assumindo-as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que cumpre as exigências de reserva de cargos para pessoa com deficiência e para reabilitado da Previdência Social, de que trata </w:t>
      </w:r>
      <w:r>
        <w:fldChar w:fldCharType="begin"/>
      </w:r>
      <w:r>
        <w:rPr>
          <w:rStyle w:val="LinkdaInternet"/>
          <w:szCs w:val="20"/>
          <w:rFonts w:cs="Arial"/>
        </w:rPr>
        <w:instrText xml:space="preserve"> HYPERLINK "https://www.planalto.gov.br/ccivil_03/leis/l8213cons.htm" \l "art93"</w:instrText>
      </w:r>
      <w:r>
        <w:rPr>
          <w:rStyle w:val="LinkdaInternet"/>
          <w:szCs w:val="20"/>
          <w:rFonts w:cs="Arial"/>
        </w:rPr>
        <w:fldChar w:fldCharType="separate"/>
      </w:r>
      <w:r>
        <w:rPr>
          <w:rStyle w:val="LinkdaInternet"/>
          <w:rFonts w:cs="Arial"/>
          <w:szCs w:val="20"/>
        </w:rPr>
        <w:t>o art. 93 da Lei nº 8.213/91</w:t>
      </w:r>
      <w:r>
        <w:rPr>
          <w:rStyle w:val="LinkdaInternet"/>
          <w:szCs w:val="20"/>
          <w:rFonts w:cs="Arial"/>
        </w:rPr>
        <w:fldChar w:fldCharType="end"/>
      </w:r>
      <w:r>
        <w:rPr>
          <w:rFonts w:cs="Arial"/>
          <w:color w:val="000000" w:themeColor="text1"/>
          <w:szCs w:val="20"/>
        </w:rPr>
        <w:t>.</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r>
        <w:fldChar w:fldCharType="begin"/>
      </w:r>
      <w:r>
        <w:rPr>
          <w:rStyle w:val="LinkdaInternet"/>
          <w:szCs w:val="20"/>
          <w:rFonts w:cs="Arial"/>
        </w:rPr>
        <w:instrText xml:space="preserve"> HYPERLINK "https://normas.leg.br/?urn=urn:lex:br:federal:constituicao:1988-10-05;1988" \l "art7"</w:instrText>
      </w:r>
      <w:r>
        <w:rPr>
          <w:rStyle w:val="LinkdaInternet"/>
          <w:szCs w:val="20"/>
          <w:rFonts w:cs="Arial"/>
        </w:rPr>
        <w:fldChar w:fldCharType="separate"/>
      </w:r>
      <w:r>
        <w:rPr>
          <w:rStyle w:val="LinkdaInternet"/>
          <w:rFonts w:cs="Arial"/>
          <w:szCs w:val="20"/>
        </w:rPr>
        <w:t>artigo 7°, XXXIII, da Constituição</w:t>
      </w:r>
      <w:r>
        <w:rPr>
          <w:rStyle w:val="LinkdaInternet"/>
          <w:szCs w:val="20"/>
          <w:rFonts w:cs="Arial"/>
        </w:rPr>
        <w:fldChar w:fldCharType="end"/>
      </w:r>
      <w:r>
        <w:rPr>
          <w:rFonts w:cs="Arial"/>
          <w:color w:val="000000" w:themeColor="text1"/>
          <w:szCs w:val="20"/>
        </w:rPr>
        <w:t>;</w:t>
      </w:r>
    </w:p>
    <w:p>
      <w:pPr>
        <w:pStyle w:val="Normal"/>
        <w:numPr>
          <w:ilvl w:val="1"/>
          <w:numId w:val="1"/>
        </w:numPr>
        <w:spacing w:lineRule="auto" w:line="276" w:before="120" w:after="120"/>
        <w:jc w:val="both"/>
        <w:rPr>
          <w:rFonts w:cs="Arial"/>
          <w:color w:val="000000" w:themeColor="text1"/>
          <w:szCs w:val="20"/>
        </w:rPr>
      </w:pPr>
      <w:r>
        <w:rPr>
          <w:rFonts w:cs="Arial"/>
          <w:color w:val="000000" w:themeColor="text1"/>
          <w:szCs w:val="20"/>
        </w:rPr>
        <w:t xml:space="preserve">O licitante organizado em cooperativa deverá declarar, ainda, em campo próprio do sistema eletrônico, que cumpre os requisitos estabelecidos no </w:t>
      </w:r>
      <w:r>
        <w:fldChar w:fldCharType="begin"/>
      </w:r>
      <w:r>
        <w:rPr>
          <w:rStyle w:val="LinkdaInternet"/>
          <w:szCs w:val="20"/>
          <w:rFonts w:cs="Arial"/>
        </w:rPr>
        <w:instrText xml:space="preserve"> HYPERLINK "http://www.planalto.gov.br/ccivil_03/_ato2019-2022/2021/lei/L14133.htm" \l "art16"</w:instrText>
      </w:r>
      <w:r>
        <w:rPr>
          <w:rStyle w:val="LinkdaInternet"/>
          <w:szCs w:val="20"/>
          <w:rFonts w:cs="Arial"/>
        </w:rPr>
        <w:fldChar w:fldCharType="separate"/>
      </w:r>
      <w:r>
        <w:rPr>
          <w:rStyle w:val="LinkdaInternet"/>
          <w:rFonts w:cs="Arial"/>
          <w:szCs w:val="20"/>
        </w:rPr>
        <w:t>artigo 16 da Lei nº 14.133, de 2021.</w:t>
      </w:r>
      <w:r>
        <w:rPr>
          <w:rStyle w:val="LinkdaInternet"/>
          <w:szCs w:val="20"/>
          <w:rFonts w:cs="Arial"/>
        </w:rPr>
        <w:fldChar w:fldCharType="end"/>
      </w:r>
    </w:p>
    <w:p>
      <w:pPr>
        <w:pStyle w:val="Normal"/>
        <w:numPr>
          <w:ilvl w:val="1"/>
          <w:numId w:val="1"/>
        </w:numPr>
        <w:spacing w:lineRule="auto" w:line="276" w:before="120" w:after="120"/>
        <w:jc w:val="both"/>
        <w:rPr>
          <w:rFonts w:cs="Arial"/>
          <w:color w:val="000000" w:themeColor="text1"/>
          <w:szCs w:val="20"/>
        </w:rPr>
      </w:pPr>
      <w:commentRangeStart w:id="5"/>
      <w:r>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LinkdaInternet"/>
          <w:szCs w:val="20"/>
          <w:rFonts w:cs="Arial"/>
        </w:rPr>
        <w:instrText xml:space="preserve"> HYPERLINK "https://www.planalto.gov.br/ccivil_03/leis/lcp/lcp123.htm" \l "art3"</w:instrText>
      </w:r>
      <w:r>
        <w:rPr>
          <w:rStyle w:val="LinkdaInternet"/>
          <w:szCs w:val="20"/>
          <w:rFonts w:cs="Arial"/>
        </w:rPr>
        <w:fldChar w:fldCharType="separate"/>
      </w:r>
      <w:r>
        <w:rPr>
          <w:rStyle w:val="LinkdaInternet"/>
          <w:rFonts w:cs="Arial"/>
          <w:szCs w:val="20"/>
        </w:rPr>
        <w:t>artigo 3° da Lei Complementar nº 123, de 2006</w:t>
      </w:r>
      <w:r>
        <w:rPr>
          <w:rStyle w:val="LinkdaInternet"/>
          <w:szCs w:val="20"/>
          <w:rFonts w:cs="Arial"/>
        </w:rPr>
        <w:fldChar w:fldCharType="end"/>
      </w:r>
      <w:r>
        <w:rPr>
          <w:rFonts w:cs="Arial"/>
          <w:color w:val="000000" w:themeColor="text1"/>
          <w:szCs w:val="20"/>
        </w:rPr>
        <w:t xml:space="preserve">, estando apto a usufruir do tratamento favorecido estabelecido em seus arts. 42 a 49, observado o disposto nos </w:t>
      </w:r>
      <w:r>
        <w:fldChar w:fldCharType="begin"/>
      </w:r>
      <w:r>
        <w:rPr>
          <w:rStyle w:val="LinkdaInternet"/>
          <w:szCs w:val="20"/>
          <w:rFonts w:cs="Arial"/>
        </w:rPr>
        <w:instrText xml:space="preserve"> HYPERLINK "http://www.planalto.gov.br/ccivil_03/_ato2019-2022/2021/lei/L14133.htm" \l "art4§1"</w:instrText>
      </w:r>
      <w:r>
        <w:rPr>
          <w:rStyle w:val="LinkdaInternet"/>
          <w:szCs w:val="20"/>
          <w:rFonts w:cs="Arial"/>
        </w:rPr>
        <w:fldChar w:fldCharType="separate"/>
      </w:r>
      <w:r>
        <w:rPr>
          <w:rStyle w:val="LinkdaInternet"/>
          <w:rFonts w:cs="Arial"/>
          <w:szCs w:val="20"/>
        </w:rPr>
        <w:t>§§ 1º ao 3º do art. 4º, da Lei n.º 14.133, de 2021.</w:t>
      </w:r>
      <w:r>
        <w:rPr>
          <w:rStyle w:val="LinkdaInternet"/>
          <w:szCs w:val="20"/>
          <w:rFonts w:cs="Arial"/>
        </w:rPr>
        <w:fldChar w:fldCharType="end"/>
      </w:r>
      <w:commentRangeEnd w:id="5"/>
      <w:r>
        <w:commentReference w:id="5"/>
      </w:r>
      <w:r>
        <w:rPr>
          <w:rStyle w:val="LinkdaInternet"/>
          <w:rFonts w:cs="Arial"/>
          <w:szCs w:val="20"/>
        </w:rPr>
      </w:r>
    </w:p>
    <w:p>
      <w:pPr>
        <w:pStyle w:val="Normal"/>
        <w:numPr>
          <w:ilvl w:val="1"/>
          <w:numId w:val="1"/>
        </w:numPr>
        <w:spacing w:lineRule="auto" w:line="276" w:before="120" w:after="120"/>
        <w:jc w:val="both"/>
        <w:rPr>
          <w:i w:val="false"/>
          <w:i w:val="false"/>
          <w:iCs w:val="false"/>
          <w:color w:val="000000"/>
        </w:rPr>
      </w:pPr>
      <w:commentRangeStart w:id="6"/>
      <w:r>
        <w:rPr>
          <w:rFonts w:cs="Arial"/>
          <w:i w:val="false"/>
          <w:iCs w:val="false"/>
          <w:color w:val="000000"/>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i w:val="false"/>
          <w:i w:val="false"/>
          <w:iCs w:val="false"/>
          <w:color w:val="000000"/>
        </w:rPr>
      </w:pPr>
      <w:r>
        <w:rPr>
          <w:rFonts w:cs="Arial"/>
          <w:i w:val="false"/>
          <w:iCs w:val="false"/>
          <w:color w:val="00000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i w:val="false"/>
          <w:i w:val="false"/>
          <w:iCs w:val="false"/>
          <w:color w:val="000000"/>
        </w:rPr>
      </w:pPr>
      <w:r>
        <w:rPr>
          <w:rFonts w:cs="Arial"/>
          <w:i w:val="false"/>
          <w:iCs w:val="false"/>
          <w:color w:val="000000"/>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i w:val="false"/>
          <w:i w:val="false"/>
          <w:iCs w:val="false"/>
          <w:color w:val="000000"/>
        </w:rPr>
      </w:pPr>
      <w:r>
        <w:rPr>
          <w:rFonts w:cs="Arial"/>
          <w:i w:val="false"/>
          <w:iCs w:val="false"/>
          <w:color w:val="000000"/>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i w:val="false"/>
          <w:i w:val="false"/>
          <w:iCs w:val="false"/>
          <w:color w:val="000000"/>
        </w:rPr>
      </w:pPr>
      <w:r>
        <w:rPr>
          <w:rFonts w:cs="Arial"/>
          <w:i w:val="false"/>
          <w:iCs w:val="false"/>
          <w:color w:val="00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commentRangeEnd w:id="6"/>
      <w:r>
        <w:commentReference w:id="6"/>
      </w:r>
      <w:r>
        <w:rPr>
          <w:rFonts w:cs="Arial"/>
          <w:i w:val="false"/>
          <w:iCs w:val="false"/>
          <w:color w:val="000000"/>
          <w:szCs w:val="20"/>
        </w:rPr>
      </w:r>
    </w:p>
    <w:p>
      <w:pPr>
        <w:pStyle w:val="Ttulo1"/>
        <w:rPr/>
      </w:pPr>
      <w:bookmarkStart w:id="3" w:name="_Toc118380902"/>
      <w:r>
        <w:rPr/>
        <w:t>FASE DE LANCES</w:t>
      </w:r>
      <w:bookmarkEnd w:id="3"/>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cs="Arial"/>
          <w:szCs w:val="20"/>
          <w:lang w:eastAsia="en-US"/>
        </w:rPr>
      </w:pPr>
      <w:r>
        <w:rPr>
          <w:rFonts w:cs="Arial"/>
          <w:szCs w:val="20"/>
        </w:rPr>
        <w:t xml:space="preserve">O lance </w:t>
      </w:r>
      <w:r>
        <w:rPr>
          <w:rFonts w:cs="Arial"/>
          <w:color w:val="000000" w:themeColor="text1"/>
          <w:szCs w:val="20"/>
          <w:lang w:eastAsia="en-US"/>
        </w:rPr>
        <w:t>deverá</w:t>
      </w:r>
      <w:r>
        <w:rPr>
          <w:rFonts w:cs="Arial"/>
          <w:szCs w:val="20"/>
        </w:rPr>
        <w:t xml:space="preserve"> ser ofertado pelo valor unitário do item.</w:t>
      </w:r>
    </w:p>
    <w:p>
      <w:pPr>
        <w:pStyle w:val="Quote"/>
        <w:numPr>
          <w:ilvl w:val="1"/>
          <w:numId w:val="1"/>
        </w:numPr>
        <w:pBdr>
          <w:top w:val="nil"/>
          <w:left w:val="nil"/>
          <w:bottom w:val="nil"/>
          <w:right w:val="nil"/>
        </w:pBdr>
        <w:shd w:val="clear" w:color="auto" w:fill="FFFFFF" w:themeFill="background1"/>
        <w:spacing w:lineRule="auto" w:line="276" w:before="120" w:after="120"/>
        <w:contextualSpacing/>
        <w:rPr>
          <w:rFonts w:cs="Arial"/>
          <w:i w:val="false"/>
          <w:i w:val="false"/>
          <w:iCs w:val="false"/>
          <w:color w:val="000000" w:themeColor="text1"/>
          <w:szCs w:val="20"/>
        </w:rPr>
      </w:pPr>
      <w:r>
        <w:rPr>
          <w:rFonts w:cs="Arial"/>
          <w:i w:val="false"/>
          <w:iCs w:val="false"/>
          <w:color w:val="000000" w:themeColor="text1"/>
          <w:szCs w:val="20"/>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w:t>
      </w:r>
      <w:r>
        <w:rPr>
          <w:rFonts w:cs="Arial"/>
          <w:i w:val="false"/>
          <w:iCs w:val="false"/>
          <w:szCs w:val="20"/>
        </w:rPr>
        <w:t xml:space="preserve">e </w:t>
      </w:r>
      <w:r>
        <w:rPr>
          <w:rFonts w:cs="Arial"/>
          <w:i w:val="false"/>
          <w:iCs w:val="false"/>
          <w:color w:val="000000" w:themeColor="text1"/>
          <w:szCs w:val="20"/>
          <w:lang w:eastAsia="en-US"/>
        </w:rPr>
        <w:t>R$ 100,00 (cem reais).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ou do maior desconto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Ttulo1"/>
        <w:rPr/>
      </w:pPr>
      <w:bookmarkStart w:id="4" w:name="_Toc118380903"/>
      <w:r>
        <w:rPr/>
        <w:t>JULGAMENTO DAS PROPOSTAS DE PREÇO</w:t>
      </w:r>
      <w:bookmarkEnd w:id="4"/>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do primeiro colocado estar acima do preço máximo definido para a contratação,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color w:val="000000"/>
          <w:szCs w:val="20"/>
        </w:rPr>
        <w:t>Neste caso, será encaminhada contraproposta ao fornecedor que tenha apresentado o melhor preço, para que seja obtida a melhor proposta com preço compatível ao estipulado pela Administração.</w:t>
      </w:r>
    </w:p>
    <w:p>
      <w:pPr>
        <w:pStyle w:val="ListParagraph"/>
        <w:numPr>
          <w:ilvl w:val="2"/>
          <w:numId w:val="1"/>
        </w:numPr>
        <w:spacing w:lineRule="auto" w:line="276" w:before="120" w:after="120"/>
        <w:contextualSpacing/>
        <w:jc w:val="both"/>
        <w:rPr>
          <w:rFonts w:cs="Arial"/>
        </w:rPr>
      </w:pPr>
      <w:r>
        <w:rPr>
          <w:rFonts w:cs="Arial"/>
        </w:rPr>
        <w:t xml:space="preserve">A negociação poderá ser feita com os demais fornecedores classificados, </w:t>
      </w:r>
      <w:r>
        <w:rPr>
          <w:rFonts w:ascii="Helvetica" w:hAnsi="Helvetica"/>
          <w:shd w:fill="FFFFFF" w:val="clear"/>
        </w:rPr>
        <w:t>exclusivamente por meio do sistema,</w:t>
      </w:r>
      <w:r>
        <w:rPr>
          <w:rFonts w:cs="Arial"/>
        </w:rPr>
        <w:t xml:space="preserve"> respeitada a ordem de classificação, quando o primeiro colocado, mesmo após a negociação, for desclassificado em razão de sua proposta permanecer acima do preço máximo definido para a contratação.</w:t>
      </w:r>
    </w:p>
    <w:p>
      <w:pPr>
        <w:pStyle w:val="ListParagraph"/>
        <w:numPr>
          <w:ilvl w:val="1"/>
          <w:numId w:val="1"/>
        </w:numPr>
        <w:spacing w:lineRule="auto" w:line="276" w:before="120" w:after="120"/>
        <w:contextualSpacing/>
        <w:jc w:val="both"/>
        <w:rPr>
          <w:rFonts w:cs="Arial"/>
        </w:rPr>
      </w:pPr>
      <w:r>
        <w:rPr>
          <w:rFonts w:cs="Arial"/>
        </w:rPr>
        <w:t xml:space="preserve">Em qualquer caso, concluída a negociação, se houver, o resultado será registrado na ata do procedimento da dispensa eletrônica, </w:t>
      </w:r>
      <w:r>
        <w:rPr>
          <w:rFonts w:ascii="Helvetica" w:hAnsi="Helvetica"/>
          <w:shd w:fill="FFFFFF" w:val="clear"/>
        </w:rPr>
        <w:t>devendo esta ser anexada aos autos do processo de contratação.</w:t>
      </w:r>
    </w:p>
    <w:p>
      <w:pPr>
        <w:pStyle w:val="ListParagraph"/>
        <w:numPr>
          <w:ilvl w:val="1"/>
          <w:numId w:val="1"/>
        </w:numPr>
        <w:spacing w:lineRule="auto" w:line="276" w:before="120" w:after="120"/>
        <w:contextualSpacing/>
        <w:jc w:val="both"/>
        <w:rPr>
          <w:rFonts w:cs="Arial"/>
        </w:rPr>
      </w:pPr>
      <w:r>
        <w:rPr>
          <w:iCs/>
        </w:rPr>
        <w:t xml:space="preserve">Constatada a compatibilidade entre o valor da proposta e o estipulado para a contratação, será solicitada ao fornecedor a adequação da proposta ao valor negociado, acompanhada de documentos complementares, se necessários. </w:t>
      </w:r>
    </w:p>
    <w:p>
      <w:pPr>
        <w:pStyle w:val="ListParagraph"/>
        <w:numPr>
          <w:ilvl w:val="2"/>
          <w:numId w:val="1"/>
        </w:numPr>
        <w:spacing w:lineRule="auto" w:line="276" w:before="120" w:after="120"/>
        <w:contextualSpacing/>
        <w:jc w:val="both"/>
        <w:rPr>
          <w:i w:val="false"/>
          <w:i w:val="false"/>
          <w:iCs w:val="false"/>
          <w:color w:val="000000"/>
        </w:rPr>
      </w:pPr>
      <w:commentRangeStart w:id="7"/>
      <w:r>
        <w:rPr>
          <w:rFonts w:cs="Arial"/>
          <w:i w:val="false"/>
          <w:iCs w:val="false"/>
          <w:color w:val="000000"/>
        </w:rPr>
        <w:t>Além da documentação supracitada, o fornecedor com a melhor proposta deverá encaminhar planilha com indicação de custos unitários e formação de preços, conforme modelo anexo, com os valores adequados à proposta vencedora.</w:t>
      </w:r>
      <w:commentRangeEnd w:id="7"/>
      <w:r>
        <w:commentReference w:id="7"/>
      </w:r>
      <w:r>
        <w:rPr>
          <w:rFonts w:cs="Arial"/>
          <w:i w:val="false"/>
          <w:iCs w:val="false"/>
          <w:color w:val="000000"/>
        </w:rPr>
      </w:r>
    </w:p>
    <w:p>
      <w:pPr>
        <w:pStyle w:val="Normal"/>
        <w:numPr>
          <w:ilvl w:val="1"/>
          <w:numId w:val="1"/>
        </w:numPr>
        <w:spacing w:lineRule="auto" w:line="276" w:before="120" w:after="120"/>
        <w:jc w:val="both"/>
        <w:rPr>
          <w:rFonts w:cs="Arial"/>
          <w:color w:val="000000" w:themeColor="text1"/>
          <w:szCs w:val="20"/>
        </w:rPr>
      </w:pPr>
      <w:commentRangeStart w:id="8"/>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w:t>
      </w:r>
      <w:r>
        <w:rPr>
          <w:rFonts w:cs="Arial"/>
          <w:color w:val="000000" w:themeColor="text1"/>
          <w:szCs w:val="20"/>
        </w:rPr>
        <w:t>30</w:t>
      </w:r>
      <w:r>
        <w:rPr>
          <w:rFonts w:cs="Arial"/>
          <w:color w:val="FF0000"/>
          <w:szCs w:val="20"/>
        </w:rPr>
        <w:t xml:space="preserve"> </w:t>
      </w:r>
      <w:r>
        <w:rPr>
          <w:rFonts w:cs="Arial"/>
          <w:color w:val="000000"/>
          <w:szCs w:val="20"/>
        </w:rPr>
        <w:t>(</w:t>
      </w:r>
      <w:r>
        <w:rPr>
          <w:rFonts w:cs="Arial"/>
          <w:color w:val="000000"/>
          <w:szCs w:val="20"/>
        </w:rPr>
        <w:t>trinta</w:t>
      </w:r>
      <w:r>
        <w:rPr>
          <w:rFonts w:cs="Arial"/>
          <w:color w:val="000000"/>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commentRangeEnd w:id="8"/>
      <w:r>
        <w:commentReference w:id="8"/>
      </w:r>
      <w:r>
        <w:rPr>
          <w:rFonts w:cs="Arial"/>
          <w:color w:val="000000" w:themeColor="text1"/>
          <w:szCs w:val="20"/>
        </w:rPr>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color w:val="FF0000"/>
          <w:szCs w:val="20"/>
        </w:rPr>
      </w:pPr>
      <w:commentRangeStart w:id="9"/>
      <w:r>
        <w:rPr>
          <w:rFonts w:cs="Arial"/>
          <w:szCs w:val="20"/>
        </w:rPr>
        <w:t>apresentar preços inexequíveis</w:t>
      </w:r>
      <w:r>
        <w:rPr>
          <w:rFonts w:cs="Arial"/>
          <w:color w:val="000000"/>
          <w:szCs w:val="20"/>
        </w:rPr>
        <w:t xml:space="preserve"> ou permanecerem acima do preço máximo definido para a contratação;</w:t>
      </w:r>
      <w:commentRangeEnd w:id="9"/>
      <w:r>
        <w:commentReference w:id="9"/>
      </w:r>
      <w:r>
        <w:rPr>
          <w:rFonts w:cs="Arial"/>
          <w:color w:val="000000"/>
          <w:szCs w:val="20"/>
        </w:rPr>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szCs w:val="20"/>
        </w:rPr>
        <w:t xml:space="preserve">apresentar um ou mais valores da planilha de custo que sejam inferiores àqueles fixados em instrumentos de caráter normativo obrigatório, tais como leis, medidas </w:t>
      </w:r>
      <w:r>
        <w:rPr>
          <w:rFonts w:cs="Arial"/>
          <w:i w:val="false"/>
          <w:iCs w:val="false"/>
          <w:color w:val="000000"/>
          <w:szCs w:val="20"/>
          <w:u w:val="none"/>
        </w:rPr>
        <w:t xml:space="preserve">provisórias e convenções coletivas de trabalho </w:t>
      </w:r>
      <w:r>
        <w:rPr>
          <w:rFonts w:cs="Arial"/>
          <w:i w:val="false"/>
          <w:iCs w:val="false"/>
          <w:color w:val="000000"/>
          <w:szCs w:val="20"/>
          <w:u w:val="none"/>
          <w:shd w:fill="auto" w:val="clear"/>
        </w:rPr>
        <w:t>vigentes.</w:t>
      </w:r>
    </w:p>
    <w:p>
      <w:pPr>
        <w:pStyle w:val="ListParagraph"/>
        <w:numPr>
          <w:ilvl w:val="1"/>
          <w:numId w:val="1"/>
        </w:numPr>
        <w:spacing w:lineRule="auto" w:line="276" w:before="120" w:after="120"/>
        <w:ind w:left="858" w:right="-15" w:hanging="432"/>
        <w:contextualSpacing/>
        <w:jc w:val="both"/>
        <w:rPr>
          <w:i w:val="false"/>
          <w:i w:val="false"/>
          <w:iCs w:val="false"/>
          <w:color w:val="000000"/>
          <w:u w:val="none"/>
        </w:rPr>
      </w:pPr>
      <w:r>
        <w:rPr>
          <w:rFonts w:cs="Arial"/>
          <w:i w:val="false"/>
          <w:iCs w:val="false"/>
          <w:color w:val="000000"/>
          <w:szCs w:val="20"/>
          <w:u w:val="none"/>
          <w:lang w:eastAsia="en-US"/>
        </w:rPr>
        <w:t>Em contratação de obras ou serviços de engenharia, além das disposições acima, o critério de aceitabilidade de preços considerará o seguinte:</w:t>
      </w:r>
    </w:p>
    <w:p>
      <w:pPr>
        <w:pStyle w:val="ListParagraph"/>
        <w:numPr>
          <w:ilvl w:val="2"/>
          <w:numId w:val="1"/>
        </w:numPr>
        <w:spacing w:lineRule="auto" w:line="276" w:before="120" w:after="120"/>
        <w:ind w:left="1224" w:right="-15" w:hanging="504"/>
        <w:contextualSpacing/>
        <w:jc w:val="both"/>
        <w:rPr>
          <w:i w:val="false"/>
          <w:i w:val="false"/>
          <w:iCs w:val="false"/>
          <w:color w:val="000000"/>
          <w:u w:val="none"/>
        </w:rPr>
      </w:pPr>
      <w:commentRangeStart w:id="10"/>
      <w:r>
        <w:rPr>
          <w:rFonts w:cs="Arial"/>
          <w:i w:val="false"/>
          <w:iCs w:val="false"/>
          <w:color w:val="000000"/>
          <w:szCs w:val="20"/>
          <w:u w:val="none"/>
          <w:lang w:eastAsia="en-US"/>
        </w:rPr>
        <w:t>Ressalvado o objeto ou parte dele sujeito ao regime de empreitada por preço unitário, o critério de aceitabilidade de preços será o valor global estimado para a contratação.</w:t>
      </w:r>
    </w:p>
    <w:p>
      <w:pPr>
        <w:pStyle w:val="ListParagraph"/>
        <w:numPr>
          <w:ilvl w:val="3"/>
          <w:numId w:val="1"/>
        </w:numPr>
        <w:spacing w:lineRule="auto" w:line="276" w:before="120" w:after="120"/>
        <w:ind w:left="1728" w:right="-15" w:hanging="648"/>
        <w:contextualSpacing/>
        <w:jc w:val="both"/>
        <w:rPr>
          <w:i w:val="false"/>
          <w:i w:val="false"/>
          <w:iCs w:val="false"/>
          <w:color w:val="000000"/>
          <w:u w:val="none"/>
        </w:rPr>
      </w:pPr>
      <w:r>
        <w:rPr>
          <w:rFonts w:cs="Arial"/>
          <w:i w:val="false"/>
          <w:iCs w:val="false"/>
          <w:color w:val="000000"/>
          <w:szCs w:val="20"/>
          <w:u w:val="none"/>
          <w:lang w:eastAsia="en-US"/>
        </w:rPr>
        <w:t>Aquele que estiver mais bem colocado na disputa, deverá apresentar à Administração, por meio eletrônico, planilha que contenha o preço global, os quantitativos e os preços unitários tidos como relevantes,</w:t>
      </w:r>
    </w:p>
    <w:p>
      <w:pPr>
        <w:pStyle w:val="ListParagraph"/>
        <w:numPr>
          <w:ilvl w:val="3"/>
          <w:numId w:val="1"/>
        </w:numPr>
        <w:spacing w:lineRule="auto" w:line="276" w:before="120" w:after="120"/>
        <w:ind w:left="1728" w:right="-15" w:hanging="648"/>
        <w:contextualSpacing/>
        <w:jc w:val="both"/>
        <w:rPr/>
      </w:pPr>
      <w:r>
        <w:rPr>
          <w:rFonts w:cs="Arial"/>
          <w:i w:val="false"/>
          <w:iCs w:val="false"/>
          <w:color w:val="000000"/>
          <w:szCs w:val="20"/>
          <w:u w:val="none"/>
          <w:lang w:eastAsia="en-US"/>
        </w:rPr>
        <w:t>Conforme modelo de planilha elaborada pela Administração, para efeito de avaliação de exequibilidade (</w:t>
      </w:r>
      <w:r>
        <w:fldChar w:fldCharType="begin"/>
      </w:r>
      <w:r>
        <w:rPr>
          <w:rStyle w:val="LinkdaInternet"/>
          <w:i w:val="false"/>
          <w:u w:val="none"/>
          <w:szCs w:val="20"/>
          <w:iCs w:val="false"/>
          <w:rFonts w:cs="Arial"/>
          <w:color w:val="000000"/>
          <w:lang w:eastAsia="en-US"/>
        </w:rPr>
        <w:instrText xml:space="preserve"> HYPERLINK "http://www.planalto.gov.br/ccivil_03/_ato2019-2022/2021/lei/L14133.htm" \l "art59§3"</w:instrText>
      </w:r>
      <w:r>
        <w:rPr>
          <w:rStyle w:val="LinkdaInternet"/>
          <w:i w:val="false"/>
          <w:u w:val="none"/>
          <w:szCs w:val="20"/>
          <w:iCs w:val="false"/>
          <w:rFonts w:cs="Arial"/>
          <w:color w:val="000000"/>
          <w:lang w:eastAsia="en-US"/>
        </w:rPr>
        <w:fldChar w:fldCharType="separate"/>
      </w:r>
      <w:r>
        <w:rPr>
          <w:rStyle w:val="LinkdaInternet"/>
          <w:rFonts w:cs="Arial"/>
          <w:i w:val="false"/>
          <w:iCs w:val="false"/>
          <w:color w:val="000000"/>
          <w:szCs w:val="20"/>
          <w:u w:val="none"/>
          <w:lang w:eastAsia="en-US"/>
        </w:rPr>
        <w:t>art. 59, §3º, da Lei nº 14.133, de 2021</w:t>
      </w:r>
      <w:r>
        <w:rPr>
          <w:rStyle w:val="LinkdaInternet"/>
          <w:i w:val="false"/>
          <w:u w:val="none"/>
          <w:szCs w:val="20"/>
          <w:iCs w:val="false"/>
          <w:rFonts w:cs="Arial"/>
          <w:color w:val="000000"/>
          <w:lang w:eastAsia="en-US"/>
        </w:rPr>
        <w:fldChar w:fldCharType="end"/>
      </w:r>
      <w:r>
        <w:rPr>
          <w:rFonts w:cs="Arial"/>
          <w:i w:val="false"/>
          <w:iCs w:val="false"/>
          <w:color w:val="000000"/>
          <w:szCs w:val="20"/>
          <w:u w:val="none"/>
          <w:lang w:eastAsia="en-US"/>
        </w:rPr>
        <w:t>);</w:t>
      </w:r>
      <w:commentRangeEnd w:id="10"/>
      <w:r>
        <w:commentReference w:id="10"/>
      </w:r>
      <w:r>
        <w:rPr>
          <w:rFonts w:cs="Arial"/>
          <w:i w:val="false"/>
          <w:iCs w:val="false"/>
          <w:color w:val="000000"/>
          <w:szCs w:val="20"/>
          <w:u w:val="none"/>
          <w:lang w:eastAsia="en-US"/>
        </w:rPr>
      </w:r>
    </w:p>
    <w:p>
      <w:pPr>
        <w:pStyle w:val="ListParagraph"/>
        <w:numPr>
          <w:ilvl w:val="1"/>
          <w:numId w:val="1"/>
        </w:numPr>
        <w:spacing w:lineRule="auto" w:line="276" w:before="120" w:after="120"/>
        <w:ind w:left="858" w:right="-15" w:hanging="432"/>
        <w:contextualSpacing/>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o fornecedor comprove a exequibilidade da proposta.  </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pPr>
        <w:pStyle w:val="Ttulo1"/>
        <w:rPr/>
      </w:pPr>
      <w:bookmarkStart w:id="5" w:name="_Toc118380904"/>
      <w:r>
        <w:rPr/>
        <w:t>HABILITAÇÃO</w:t>
      </w:r>
      <w:bookmarkEnd w:id="5"/>
    </w:p>
    <w:p>
      <w:pPr>
        <w:pStyle w:val="Normal"/>
        <w:numPr>
          <w:ilvl w:val="1"/>
          <w:numId w:val="1"/>
        </w:numPr>
        <w:spacing w:lineRule="auto" w:line="276" w:before="120" w:after="120"/>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pPr>
        <w:pStyle w:val="Normal"/>
        <w:numPr>
          <w:ilvl w:val="1"/>
          <w:numId w:val="1"/>
        </w:numPr>
        <w:spacing w:lineRule="auto" w:line="276" w:before="120" w:after="120"/>
        <w:contextualSpacing/>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commentRangeStart w:id="11"/>
      <w:r>
        <w:rPr>
          <w:rFonts w:cs="Arial"/>
          <w:szCs w:val="20"/>
          <w:lang w:eastAsia="ar-SA"/>
        </w:rPr>
        <w:t xml:space="preserve">a) </w:t>
      </w:r>
      <w:hyperlink r:id="rId8">
        <w:r>
          <w:rPr>
            <w:rStyle w:val="LinkdaInternet"/>
            <w:rFonts w:cs="Arial"/>
            <w:szCs w:val="20"/>
            <w:lang w:eastAsia="ar-SA"/>
          </w:rPr>
          <w:t>SICAF</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b) Cadastro Nacional de Empresas Inidôneas e Suspensas - CEIS, mantido pela Controladoria-Geral da União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w:t>
      </w:r>
      <w:hyperlink r:id="rId9">
        <w:r>
          <w:rPr>
            <w:rStyle w:val="LinkdaInternet"/>
          </w:rPr>
          <w:t>https://portaldatransparencia.gov.br/sancoes/consulta?cadastro=1%2C2</w:t>
        </w:r>
      </w:hyperlink>
      <w:r>
        <w:rPr>
          <w:rFonts w:cs="Arial"/>
          <w:szCs w:val="20"/>
          <w:lang w:eastAsia="ar-SA"/>
        </w:rPr>
        <w:t>); e</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c) Cadastro Nacional de Empresas Punidas – CNEP, mantido pela Controladoria-Geral da União </w:t>
      </w:r>
    </w:p>
    <w:p>
      <w:pPr>
        <w:pStyle w:val="ListParagraph"/>
        <w:spacing w:lineRule="auto" w:line="276" w:before="120" w:after="120"/>
        <w:ind w:left="1134" w:hanging="0"/>
        <w:contextualSpacing/>
        <w:jc w:val="both"/>
        <w:rPr>
          <w:rFonts w:cs="Arial"/>
          <w:szCs w:val="20"/>
        </w:rPr>
      </w:pPr>
      <w:r>
        <w:rPr>
          <w:rFonts w:cs="Arial"/>
          <w:szCs w:val="20"/>
          <w:lang w:eastAsia="ar-SA"/>
        </w:rPr>
        <w:t>(</w:t>
      </w:r>
      <w:hyperlink r:id="rId10">
        <w:r>
          <w:rPr>
            <w:rStyle w:val="LinkdaInternet"/>
          </w:rPr>
          <w:t>https://portaldatransparencia.gov.br/sancoes/consulta?cadastro=1%2C2</w:t>
        </w:r>
      </w:hyperlink>
      <w:r>
        <w:rPr>
          <w:rFonts w:cs="Arial"/>
          <w:szCs w:val="20"/>
          <w:lang w:eastAsia="ar-SA"/>
        </w:rPr>
        <w:t>).</w:t>
      </w:r>
      <w:commentRangeEnd w:id="11"/>
      <w:r>
        <w:commentReference w:id="11"/>
      </w:r>
      <w:r>
        <w:rPr>
          <w:rFonts w:cs="Arial"/>
          <w:szCs w:val="20"/>
          <w:lang w:eastAsia="ar-SA"/>
        </w:rPr>
      </w:r>
    </w:p>
    <w:p>
      <w:pPr>
        <w:pStyle w:val="Normal"/>
        <w:numPr>
          <w:ilvl w:val="2"/>
          <w:numId w:val="1"/>
        </w:numPr>
        <w:spacing w:lineRule="auto" w:line="276" w:before="120" w:after="120"/>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r>
        <w:fldChar w:fldCharType="begin"/>
      </w:r>
      <w:r>
        <w:rPr>
          <w:rStyle w:val="LinkdaInternet"/>
          <w:szCs w:val="20"/>
          <w:rFonts w:cs="Arial"/>
        </w:rPr>
        <w:instrText xml:space="preserve"> HYPERLINK "https://www.planalto.gov.br/ccivil_03/leis/l8429.htm" \l "art12"</w:instrText>
      </w:r>
      <w:r>
        <w:rPr>
          <w:rStyle w:val="LinkdaInternet"/>
          <w:szCs w:val="20"/>
          <w:rFonts w:cs="Arial"/>
        </w:rPr>
        <w:fldChar w:fldCharType="separate"/>
      </w:r>
      <w:r>
        <w:rPr>
          <w:rStyle w:val="LinkdaInternet"/>
          <w:rFonts w:cs="Arial"/>
          <w:szCs w:val="20"/>
        </w:rPr>
        <w:t>artigo 12 da Lei n° 8.429, de 2 de junho de 1992</w:t>
      </w:r>
      <w:r>
        <w:rPr>
          <w:rStyle w:val="LinkdaInternet"/>
          <w:szCs w:val="20"/>
          <w:rFonts w:cs="Arial"/>
        </w:rPr>
        <w:fldChar w:fldCharType="end"/>
      </w:r>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pPr>
        <w:pStyle w:val="Normal"/>
        <w:numPr>
          <w:ilvl w:val="3"/>
          <w:numId w:val="1"/>
        </w:numPr>
        <w:spacing w:lineRule="auto" w:line="276" w:before="120" w:after="120"/>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pPr>
        <w:pStyle w:val="Normal"/>
        <w:numPr>
          <w:ilvl w:val="4"/>
          <w:numId w:val="1"/>
        </w:numPr>
        <w:spacing w:lineRule="auto" w:line="276" w:before="120" w:after="120"/>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Normal"/>
        <w:numPr>
          <w:ilvl w:val="4"/>
          <w:numId w:val="1"/>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Normal"/>
        <w:numPr>
          <w:ilvl w:val="2"/>
          <w:numId w:val="1"/>
        </w:numPr>
        <w:spacing w:lineRule="auto" w:line="276" w:before="120" w:after="120"/>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pPr>
        <w:pStyle w:val="Normal"/>
        <w:numPr>
          <w:ilvl w:val="1"/>
          <w:numId w:val="1"/>
        </w:numPr>
        <w:spacing w:lineRule="auto" w:line="276" w:before="120" w:after="120"/>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Normal"/>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Normal"/>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Normal"/>
        <w:numPr>
          <w:ilvl w:val="1"/>
          <w:numId w:val="1"/>
        </w:numPr>
        <w:spacing w:lineRule="auto" w:line="276" w:before="120" w:after="120"/>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cs="Arial"/>
          <w:color w:val="FF0000"/>
          <w:szCs w:val="20"/>
        </w:rPr>
        <w:t>........,</w:t>
      </w:r>
      <w:r>
        <w:rPr>
          <w:rFonts w:cs="Arial"/>
          <w:color w:val="000000" w:themeColor="text1"/>
          <w:szCs w:val="20"/>
        </w:rPr>
        <w:t xml:space="preserve"> sob pena de inabilitação. (</w:t>
      </w:r>
      <w:r>
        <w:fldChar w:fldCharType="begin"/>
      </w:r>
      <w:r>
        <w:rPr>
          <w:rStyle w:val="LinkdaInternet"/>
          <w:szCs w:val="20"/>
          <w:rFonts w:cs="Arial"/>
        </w:rPr>
        <w:instrText xml:space="preserve"> HYPERLINK "https://www.in.gov.br/en/web/dou/-/instrucao-normativa-seges/me-n-67-de-8-de-julho-de-2021-330985107" \l "art19§3"</w:instrText>
      </w:r>
      <w:r>
        <w:rPr>
          <w:rStyle w:val="LinkdaInternet"/>
          <w:szCs w:val="20"/>
          <w:rFonts w:cs="Arial"/>
        </w:rPr>
        <w:fldChar w:fldCharType="separate"/>
      </w:r>
      <w:r>
        <w:rPr>
          <w:rStyle w:val="LinkdaInternet"/>
          <w:rFonts w:cs="Arial"/>
          <w:szCs w:val="20"/>
        </w:rPr>
        <w:t>art. 19, § 3º, da IN Seges/ME nº 67, de 2021</w:t>
      </w:r>
      <w:r>
        <w:rPr>
          <w:rStyle w:val="LinkdaInternet"/>
          <w:szCs w:val="20"/>
          <w:rFonts w:cs="Arial"/>
        </w:rPr>
        <w:fldChar w:fldCharType="end"/>
      </w:r>
      <w:r>
        <w:rPr>
          <w:rFonts w:cs="Arial"/>
          <w:color w:val="000000" w:themeColor="text1"/>
          <w:szCs w:val="20"/>
        </w:rPr>
        <w:t>).</w:t>
      </w:r>
    </w:p>
    <w:p>
      <w:pPr>
        <w:pStyle w:val="Normal"/>
        <w:numPr>
          <w:ilvl w:val="1"/>
          <w:numId w:val="1"/>
        </w:numPr>
        <w:spacing w:lineRule="auto" w:line="276" w:before="120" w:after="120"/>
        <w:contextualSpacing/>
        <w:jc w:val="both"/>
        <w:rPr>
          <w:rFonts w:cs="Arial"/>
          <w:b/>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Normal"/>
        <w:numPr>
          <w:ilvl w:val="1"/>
          <w:numId w:val="1"/>
        </w:numPr>
        <w:spacing w:lineRule="auto" w:line="276" w:before="120" w:after="120"/>
        <w:contextualSpacing/>
        <w:jc w:val="both"/>
        <w:rPr>
          <w:rFonts w:cs="Arial"/>
          <w:color w:val="000000" w:themeColor="text1"/>
          <w:szCs w:val="20"/>
        </w:rPr>
      </w:pPr>
      <w:r>
        <w:rPr>
          <w:rFonts w:cs="Arial"/>
          <w:color w:val="000000" w:themeColor="text1"/>
          <w:szCs w:val="20"/>
        </w:rPr>
        <w:t>Não serão aceitos documentos de habilitação com indicação de CNPJ/CPF diferentes, salvo aqueles legalmente permitidos.</w:t>
      </w:r>
    </w:p>
    <w:p>
      <w:pPr>
        <w:pStyle w:val="Normal"/>
        <w:numPr>
          <w:ilvl w:val="1"/>
          <w:numId w:val="1"/>
        </w:numPr>
        <w:spacing w:lineRule="auto" w:line="276" w:before="120" w:after="120"/>
        <w:contextualSpacing/>
        <w:jc w:val="both"/>
        <w:rPr>
          <w:rFonts w:cs="Arial"/>
          <w:color w:val="000000" w:themeColor="text1"/>
          <w:szCs w:val="20"/>
        </w:rPr>
      </w:pPr>
      <w:r>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ormal"/>
        <w:numPr>
          <w:ilvl w:val="1"/>
          <w:numId w:val="1"/>
        </w:numPr>
        <w:spacing w:lineRule="auto" w:line="276" w:before="120" w:after="120"/>
        <w:contextualSpacing/>
        <w:jc w:val="both"/>
        <w:rPr>
          <w:rFonts w:cs="Arial"/>
          <w:color w:val="000000" w:themeColor="text1"/>
          <w:szCs w:val="20"/>
        </w:rPr>
      </w:pPr>
      <w:r>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pPr>
        <w:pStyle w:val="Normal"/>
        <w:numPr>
          <w:ilvl w:val="1"/>
          <w:numId w:val="1"/>
        </w:numPr>
        <w:spacing w:lineRule="auto" w:line="276" w:before="120" w:after="12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pPr>
        <w:pStyle w:val="Normal"/>
        <w:numPr>
          <w:ilvl w:val="1"/>
          <w:numId w:val="1"/>
        </w:numPr>
        <w:spacing w:lineRule="auto" w:line="276" w:before="120" w:after="120"/>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Normal"/>
        <w:numPr>
          <w:ilvl w:val="2"/>
          <w:numId w:val="1"/>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numPr>
          <w:ilvl w:val="1"/>
          <w:numId w:val="1"/>
        </w:numPr>
        <w:spacing w:lineRule="auto" w:line="276" w:before="120" w:after="120"/>
        <w:contextualSpacing/>
        <w:jc w:val="both"/>
        <w:rPr>
          <w:szCs w:val="20"/>
        </w:rPr>
      </w:pPr>
      <w:r>
        <w:rPr>
          <w:rFonts w:cs="Arial"/>
          <w:iCs/>
        </w:rPr>
        <w:t>Constatado o atendimento às exigências de habilitação, o fornecedor será habilitado.</w:t>
      </w:r>
    </w:p>
    <w:p>
      <w:pPr>
        <w:pStyle w:val="Ttulo1"/>
        <w:rPr/>
      </w:pPr>
      <w:bookmarkStart w:id="6" w:name="_Toc118380905"/>
      <w:commentRangeStart w:id="12"/>
      <w:r>
        <w:rPr/>
        <w:t>CONTRATAÇÃO</w:t>
      </w:r>
      <w:bookmarkEnd w:id="6"/>
    </w:p>
    <w:p>
      <w:pPr>
        <w:pStyle w:val="Normal"/>
        <w:numPr>
          <w:ilvl w:val="1"/>
          <w:numId w:val="1"/>
        </w:numPr>
        <w:spacing w:lineRule="auto" w:line="276" w:before="120" w:after="120"/>
        <w:ind w:left="425" w:hanging="0"/>
        <w:jc w:val="both"/>
        <w:rPr>
          <w:rFonts w:eastAsia="Arial" w:cs="Arial"/>
          <w:color w:val="000000"/>
          <w:szCs w:val="20"/>
        </w:rPr>
      </w:pPr>
      <w:commentRangeStart w:id="13"/>
      <w:r>
        <w:rPr>
          <w:rFonts w:eastAsia="Arial" w:cs="Arial"/>
          <w:color w:val="000000"/>
          <w:szCs w:val="20"/>
        </w:rPr>
        <w:t>Após a homologação e adjudicação, caso se conclua pela contratação, será firmado Termo de Contrato ou emitido instrumento equivalente.</w:t>
      </w:r>
      <w:commentRangeEnd w:id="13"/>
      <w:r>
        <w:commentReference w:id="13"/>
      </w:r>
      <w:r>
        <w:rPr>
          <w:rFonts w:eastAsia="Arial" w:cs="Arial"/>
          <w:color w:val="000000"/>
          <w:szCs w:val="20"/>
        </w:rPr>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 xml:space="preserve">O adjudicatário terá o prazo de </w:t>
      </w:r>
      <w:r>
        <w:rPr>
          <w:rFonts w:eastAsia="Arial" w:cs="Arial"/>
          <w:i w:val="false"/>
          <w:iCs w:val="false"/>
          <w:color w:val="000000"/>
          <w:szCs w:val="20"/>
        </w:rPr>
        <w:t xml:space="preserve">5 </w:t>
      </w:r>
      <w:r>
        <w:rPr>
          <w:rFonts w:eastAsia="Arial" w:cs="Arial"/>
          <w:i w:val="false"/>
          <w:iCs w:val="false"/>
          <w:color w:val="000000"/>
          <w:szCs w:val="20"/>
        </w:rPr>
        <w:t>(</w:t>
      </w:r>
      <w:r>
        <w:rPr>
          <w:rFonts w:eastAsia="Arial" w:cs="Arial"/>
          <w:i w:val="false"/>
          <w:iCs w:val="false"/>
          <w:color w:val="000000"/>
          <w:szCs w:val="20"/>
        </w:rPr>
        <w:t>cinco</w:t>
      </w:r>
      <w:r>
        <w:rPr>
          <w:rFonts w:eastAsia="Arial" w:cs="Arial"/>
          <w:i w:val="false"/>
          <w:iCs w:val="false"/>
          <w:color w:val="000000"/>
          <w:szCs w:val="20"/>
        </w:rPr>
        <w:t>) dias úteis</w:t>
      </w:r>
      <w:r>
        <w:rPr>
          <w:rFonts w:eastAsia="Arial" w:cs="Arial"/>
          <w:i w:val="false"/>
          <w:iCs w:val="false"/>
          <w:color w:val="000000"/>
          <w:szCs w:val="20"/>
        </w:rPr>
        <w:t xml:space="preserve">, contados a partir da data de sua convocação, para </w:t>
      </w:r>
      <w:r>
        <w:rPr>
          <w:rFonts w:eastAsia="Arial" w:cs="Arial"/>
          <w:i w:val="false"/>
          <w:iCs w:val="false"/>
          <w:color w:val="000000"/>
          <w:szCs w:val="20"/>
        </w:rPr>
        <w:t xml:space="preserve">assinar o Termo de Contrato ou aceitar instrumento equivalente, conforme o caso (Nota de Empenho/Carta Contrato/Autorização), </w:t>
      </w:r>
      <w:r>
        <w:rPr>
          <w:rFonts w:eastAsia="Arial" w:cs="Arial"/>
          <w:i w:val="false"/>
          <w:iCs w:val="false"/>
          <w:color w:val="000000"/>
          <w:szCs w:val="20"/>
        </w:rPr>
        <w:t>sob pena de decair o direito à contratação, sem prejuízo das sanções previstas neste Avis</w:t>
      </w:r>
      <w:r>
        <w:rPr>
          <w:rFonts w:eastAsia="Arial" w:cs="Arial"/>
          <w:color w:val="000000"/>
          <w:szCs w:val="20"/>
        </w:rPr>
        <w:t xml:space="preserve">o de Contratação Direta. </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 (.....) dias, a contar da data de seu recebimento</w:t>
      </w:r>
      <w:r>
        <w:rPr>
          <w:rFonts w:eastAsia="Arial"/>
          <w:color w:val="000000"/>
        </w:rPr>
        <w:t xml:space="preserve"> ou da disponibilização do acesso ao sistema de processo eletrônico.</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commentRangeEnd w:id="12"/>
      <w:r>
        <w:commentReference w:id="12"/>
      </w:r>
      <w:r>
        <w:rPr>
          <w:rFonts w:eastAsia="Arial" w:cs="Arial"/>
          <w:color w:val="000000"/>
          <w:szCs w:val="20"/>
        </w:rPr>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pPr>
        <w:pStyle w:val="Normal"/>
        <w:numPr>
          <w:ilvl w:val="1"/>
          <w:numId w:val="1"/>
        </w:numPr>
        <w:spacing w:lineRule="auto" w:line="276" w:before="120" w:after="120"/>
        <w:ind w:left="425" w:hanging="0"/>
        <w:jc w:val="both"/>
        <w:rPr>
          <w:rFonts w:eastAsia="Arial" w:cs="Arial"/>
          <w:color w:val="000000"/>
          <w:szCs w:val="20"/>
        </w:rPr>
      </w:pPr>
      <w:commentRangeStart w:id="14"/>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commentRangeEnd w:id="14"/>
      <w:r>
        <w:commentReference w:id="14"/>
      </w:r>
      <w:r>
        <w:rPr>
          <w:rFonts w:cs="Arial"/>
          <w:color w:val="000000"/>
          <w:szCs w:val="20"/>
        </w:rPr>
      </w:r>
    </w:p>
    <w:p>
      <w:pPr>
        <w:pStyle w:val="Ttulo1"/>
        <w:rPr/>
      </w:pPr>
      <w:bookmarkStart w:id="7" w:name="_Toc118380906"/>
      <w:r>
        <w:rPr/>
        <w:t>INFRAÇÕES E SANÇÕES ADMINISTRATIVAS</w:t>
      </w:r>
      <w:bookmarkEnd w:id="7"/>
    </w:p>
    <w:p>
      <w:pPr>
        <w:pStyle w:val="Normal"/>
        <w:numPr>
          <w:ilvl w:val="1"/>
          <w:numId w:val="1"/>
        </w:numPr>
        <w:spacing w:lineRule="auto" w:line="276" w:before="120" w:after="120"/>
        <w:ind w:left="425" w:hanging="0"/>
        <w:jc w:val="both"/>
        <w:rPr>
          <w:rFonts w:cs="Arial"/>
          <w:b/>
          <w:b/>
        </w:rPr>
      </w:pPr>
      <w:r>
        <w:rPr>
          <w:rFonts w:cs="Arial"/>
        </w:rPr>
        <w:t xml:space="preserve">Comete infração administrativa o fornecedor que praticar quaisquer das hipóteses previstas no </w:t>
      </w:r>
      <w:r>
        <w:fldChar w:fldCharType="begin"/>
      </w:r>
      <w:r>
        <w:rPr>
          <w:rStyle w:val="LinkdaInternet"/>
          <w:rFonts w:cs="Arial"/>
        </w:rPr>
        <w:instrText xml:space="preserve"> HYPERLINK "http://www.planalto.gov.br/ccivil_03/_ato2019-2022/2021/lei/L14133.htm" \l "art155"</w:instrText>
      </w:r>
      <w:r>
        <w:rPr>
          <w:rStyle w:val="LinkdaInternet"/>
          <w:rFonts w:cs="Arial"/>
        </w:rPr>
        <w:fldChar w:fldCharType="separate"/>
      </w:r>
      <w:r>
        <w:rPr>
          <w:rStyle w:val="LinkdaInternet"/>
          <w:rFonts w:cs="Arial"/>
        </w:rPr>
        <w:t>art. 155 da Lei nº 14.133, de 2021</w:t>
      </w:r>
      <w:r>
        <w:rPr>
          <w:rStyle w:val="LinkdaInternet"/>
          <w:rFonts w:cs="Arial"/>
        </w:rPr>
        <w:fldChar w:fldCharType="end"/>
      </w:r>
      <w:r>
        <w:rPr>
          <w:rFonts w:cs="Arial"/>
        </w:rPr>
        <w:t xml:space="preserve">, quais sejam: </w:t>
      </w:r>
    </w:p>
    <w:p>
      <w:pPr>
        <w:pStyle w:val="Normal"/>
        <w:numPr>
          <w:ilvl w:val="2"/>
          <w:numId w:val="1"/>
        </w:numPr>
        <w:spacing w:lineRule="auto" w:line="276" w:before="120" w:after="120"/>
        <w:jc w:val="both"/>
        <w:rPr>
          <w:rFonts w:cs="Arial"/>
        </w:rPr>
      </w:pPr>
      <w:r>
        <w:rPr>
          <w:rFonts w:cs="Arial"/>
          <w:color w:val="000000"/>
          <w:szCs w:val="20"/>
        </w:rPr>
        <w:t>dar causa à inexecução parcial do contrato</w:t>
      </w:r>
      <w:r>
        <w:rPr>
          <w:rFonts w:cs="Arial"/>
        </w:rPr>
        <w:t>;</w:t>
      </w:r>
    </w:p>
    <w:p>
      <w:pPr>
        <w:pStyle w:val="Normal"/>
        <w:numPr>
          <w:ilvl w:val="2"/>
          <w:numId w:val="1"/>
        </w:numPr>
        <w:spacing w:lineRule="auto" w:line="276" w:before="120" w:after="120"/>
        <w:jc w:val="both"/>
        <w:rPr>
          <w:rFonts w:cs="Arial"/>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rPr>
      </w:pPr>
      <w:r>
        <w:rPr>
          <w:rFonts w:cs="Arial"/>
          <w:color w:val="000000"/>
          <w:szCs w:val="20"/>
        </w:rPr>
        <w:t>dar causa à inexecução total do contrato;</w:t>
      </w:r>
    </w:p>
    <w:p>
      <w:pPr>
        <w:pStyle w:val="Normal"/>
        <w:numPr>
          <w:ilvl w:val="2"/>
          <w:numId w:val="1"/>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1"/>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ensejar o retardamento da execução ou da entrega do objeto da licitação sem motivo justificado;</w:t>
      </w:r>
    </w:p>
    <w:p>
      <w:pPr>
        <w:pStyle w:val="Normal"/>
        <w:numPr>
          <w:ilvl w:val="2"/>
          <w:numId w:val="1"/>
        </w:numPr>
        <w:spacing w:lineRule="auto" w:line="276" w:before="120" w:after="120"/>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1"/>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1"/>
        </w:numPr>
        <w:spacing w:lineRule="auto" w:line="276" w:before="120" w:after="120"/>
        <w:jc w:val="both"/>
        <w:rPr>
          <w:rStyle w:val="LinkdaInternet"/>
          <w:rFonts w:cs="Arial"/>
          <w:szCs w:val="20"/>
        </w:rPr>
      </w:pPr>
      <w:r>
        <w:rPr>
          <w:rFonts w:cs="Arial"/>
          <w:color w:val="000000"/>
          <w:szCs w:val="20"/>
        </w:rPr>
        <w:t>praticar ato lesivo previsto no </w:t>
      </w:r>
      <w:r>
        <w:fldChar w:fldCharType="begin"/>
      </w:r>
      <w:r>
        <w:rPr>
          <w:rStyle w:val="LinkdaInternet"/>
        </w:rPr>
        <w:instrText xml:space="preserve"> HYPERLINK "http://www.planalto.gov.br/ccivil_03/_ato2019-2022/2021/lei/L14133.htm" \l "art5"</w:instrText>
      </w:r>
      <w:r>
        <w:rPr>
          <w:rStyle w:val="LinkdaInternet"/>
        </w:rPr>
        <w:fldChar w:fldCharType="separate"/>
      </w:r>
      <w:r>
        <w:rPr>
          <w:rStyle w:val="LinkdaInternet"/>
        </w:rPr>
        <w:t>art. 5º da Lei nº 12.846, de 1º de agosto de 2013.</w:t>
      </w:r>
      <w:r>
        <w:rPr>
          <w:rStyle w:val="LinkdaInternet"/>
        </w:rPr>
        <w:fldChar w:fldCharType="end"/>
      </w:r>
    </w:p>
    <w:p>
      <w:pPr>
        <w:pStyle w:val="Normal"/>
        <w:numPr>
          <w:ilvl w:val="1"/>
          <w:numId w:val="1"/>
        </w:numPr>
        <w:spacing w:lineRule="auto" w:line="276" w:before="120" w:after="120"/>
        <w:ind w:left="425" w:hanging="0"/>
        <w:jc w:val="both"/>
        <w:rPr>
          <w:rFonts w:cs="Arial"/>
          <w:b/>
          <w:b/>
        </w:rPr>
      </w:pPr>
      <w:r>
        <w:fldChar w:fldCharType="begin"/>
      </w:r>
      <w:r>
        <w:rPr>
          <w:rFonts w:cs="Arial"/>
        </w:rPr>
        <w:instrText xml:space="preserve"> HYPERLINK "http://www.planalto.gov.br/ccivil_03/_ato2019-2022/2021/lei/L14133.htm" \l "art5"</w:instrText>
      </w:r>
      <w:r>
        <w:rPr>
          <w:rFonts w:cs="Arial"/>
        </w:rPr>
        <w:fldChar w:fldCharType="separate"/>
      </w:r>
      <w:r>
        <w:rPr>
          <w:rFonts w:cs="Arial"/>
        </w:rPr>
        <w:t>O fornecedor que cometer qualquer das infrações discriminadas nos subitens anteriores ficará sujeito, sem prejuízo da responsabilidade civil e criminal, às seguintes sanções:</w:t>
      </w:r>
      <w:r>
        <w:rPr>
          <w:rFonts w:cs="Arial"/>
        </w:rPr>
        <w:fldChar w:fldCharType="end"/>
      </w:r>
    </w:p>
    <w:p>
      <w:pPr>
        <w:pStyle w:val="Normal"/>
        <w:numPr>
          <w:ilvl w:val="2"/>
          <w:numId w:val="5"/>
        </w:numPr>
        <w:spacing w:lineRule="auto" w:line="276" w:before="120" w:after="120"/>
        <w:jc w:val="both"/>
        <w:rPr>
          <w:rFonts w:cs="Arial"/>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120" w:after="120"/>
        <w:jc w:val="both"/>
        <w:rPr>
          <w:rFonts w:cs="Arial"/>
        </w:rPr>
      </w:pPr>
      <w:commentRangeStart w:id="15"/>
      <w:r>
        <w:rPr>
          <w:rFonts w:cs="Arial"/>
        </w:rPr>
        <w:t xml:space="preserve">Multa de </w:t>
      </w:r>
      <w:r>
        <w:rPr>
          <w:rFonts w:cs="Arial"/>
          <w:color w:val="000000"/>
        </w:rPr>
        <w:t>1</w:t>
      </w:r>
      <w:r>
        <w:rPr>
          <w:rFonts w:cs="Arial"/>
          <w:color w:val="000000"/>
        </w:rPr>
        <w:t>% (</w:t>
      </w:r>
      <w:r>
        <w:rPr>
          <w:rFonts w:cs="Arial"/>
          <w:color w:val="000000"/>
        </w:rPr>
        <w:t>um</w:t>
      </w:r>
      <w:r>
        <w:rPr>
          <w:rFonts w:cs="Arial"/>
          <w:color w:val="000000"/>
        </w:rPr>
        <w:t xml:space="preserve"> por cento)</w:t>
      </w:r>
      <w:r>
        <w:rPr>
          <w:rFonts w:cs="Arial"/>
          <w:color w:val="FF0000"/>
        </w:rPr>
        <w:t xml:space="preserve"> </w:t>
      </w:r>
      <w:r>
        <w:rPr>
          <w:rFonts w:cs="Arial"/>
        </w:rPr>
        <w:t>sobre o valor estimado do(s) item(s) prejudicado(s) pela conduta do fornecedor, por qualquer das infrações dos subitens 8.1.1 a 8.1.12;</w:t>
      </w:r>
      <w:commentRangeEnd w:id="15"/>
      <w:r>
        <w:commentReference w:id="15"/>
      </w:r>
      <w:r>
        <w:rPr>
          <w:rFonts w:cs="Arial"/>
        </w:rPr>
      </w:r>
    </w:p>
    <w:p>
      <w:pPr>
        <w:pStyle w:val="Normal"/>
        <w:numPr>
          <w:ilvl w:val="2"/>
          <w:numId w:val="5"/>
        </w:numPr>
        <w:spacing w:lineRule="auto" w:line="276" w:before="120" w:after="120"/>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ind w:left="425" w:hanging="0"/>
        <w:jc w:val="both"/>
        <w:rPr>
          <w:rFonts w:cs="Arial"/>
          <w:bCs/>
        </w:rPr>
      </w:pPr>
      <w:r>
        <w:rPr>
          <w:rFonts w:cs="Arial"/>
          <w:bCs/>
        </w:rPr>
        <w:t>A aplicação das sanções previstas neste Contrato não exclui, em hipótese alguma, a obrigação de reparação integral do dano causado à Contratante (</w:t>
      </w:r>
      <w:r>
        <w:fldChar w:fldCharType="begin"/>
      </w:r>
      <w:r>
        <w:rPr>
          <w:rStyle w:val="LinkdaInternet"/>
          <w:bCs/>
          <w:rFonts w:cs="Arial"/>
        </w:rPr>
        <w:instrText xml:space="preserve"> HYPERLINK "http://www.planalto.gov.br/ccivil_03/_ato2019-2022/2021/lei/L14133.htm" \l "art156§9"</w:instrText>
      </w:r>
      <w:r>
        <w:rPr>
          <w:rStyle w:val="LinkdaInternet"/>
          <w:bCs/>
          <w:rFonts w:cs="Arial"/>
        </w:rPr>
        <w:fldChar w:fldCharType="separate"/>
      </w:r>
      <w:r>
        <w:rPr>
          <w:rStyle w:val="LinkdaInternet"/>
          <w:rFonts w:cs="Arial"/>
          <w:bCs/>
        </w:rPr>
        <w:t>art. 156, §9º</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 xml:space="preserve">Todas as sanções previstas neste Aviso poderão ser aplicadas cumulativamente com a multa </w:t>
      </w:r>
      <w:r>
        <w:fldChar w:fldCharType="begin"/>
      </w:r>
      <w:r>
        <w:rPr>
          <w:rStyle w:val="LinkdaInternet"/>
          <w:bCs/>
          <w:rFonts w:cs="Arial"/>
        </w:rPr>
        <w:instrText xml:space="preserve"> HYPERLINK "http://www.planalto.gov.br/ccivil_03/_ato2019-2022/2021/lei/L14133.htm" \l "art156§7"</w:instrText>
      </w:r>
      <w:r>
        <w:rPr>
          <w:rStyle w:val="LinkdaInternet"/>
          <w:bCs/>
          <w:rFonts w:cs="Arial"/>
        </w:rPr>
        <w:fldChar w:fldCharType="separate"/>
      </w:r>
      <w:r>
        <w:rPr>
          <w:rStyle w:val="LinkdaInternet"/>
          <w:rFonts w:cs="Arial"/>
          <w:bCs/>
        </w:rPr>
        <w:t>(art. 156, §7º</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Antes da aplicação da multa, será facultada a defesa do interessado no prazo de 15 (quinze) dias úteis, contado da data de sua intimação (</w:t>
      </w:r>
      <w:r>
        <w:fldChar w:fldCharType="begin"/>
      </w:r>
      <w:r>
        <w:rPr>
          <w:rStyle w:val="LinkdaInternet"/>
          <w:bCs/>
          <w:rFonts w:cs="Arial"/>
        </w:rPr>
        <w:instrText xml:space="preserve"> HYPERLINK "http://www.planalto.gov.br/ccivil_03/_ato2019-2022/2021/lei/L14133.htm" \l "art157"</w:instrText>
      </w:r>
      <w:r>
        <w:rPr>
          <w:rStyle w:val="LinkdaInternet"/>
          <w:bCs/>
          <w:rFonts w:cs="Arial"/>
        </w:rPr>
        <w:fldChar w:fldCharType="separate"/>
      </w:r>
      <w:r>
        <w:rPr>
          <w:rStyle w:val="LinkdaInternet"/>
          <w:rFonts w:cs="Arial"/>
          <w:bCs/>
        </w:rPr>
        <w:t>art. 157</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LinkdaInternet"/>
          <w:bCs/>
          <w:rFonts w:cs="Arial"/>
        </w:rPr>
        <w:instrText xml:space="preserve"> HYPERLINK "http://www.planalto.gov.br/ccivil_03/_ato2019-2022/2021/lei/L14133.htm" \l "art156§8"</w:instrText>
      </w:r>
      <w:r>
        <w:rPr>
          <w:rStyle w:val="LinkdaInternet"/>
          <w:bCs/>
          <w:rFonts w:cs="Arial"/>
        </w:rPr>
        <w:fldChar w:fldCharType="separate"/>
      </w:r>
      <w:r>
        <w:rPr>
          <w:rStyle w:val="LinkdaInternet"/>
          <w:rFonts w:cs="Arial"/>
          <w:bCs/>
        </w:rPr>
        <w:t>art. 156, §8º</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 xml:space="preserve">Previamente ao encaminhamento à cobrança judicial, a multa poderá ser recolhida administrativamente no prazo máximo de </w:t>
      </w:r>
      <w:r>
        <w:rPr>
          <w:rFonts w:cs="Arial"/>
          <w:bCs/>
          <w:i w:val="false"/>
          <w:iCs w:val="false"/>
          <w:color w:val="000000"/>
        </w:rPr>
        <w:t>20</w:t>
      </w:r>
      <w:r>
        <w:rPr>
          <w:rFonts w:cs="Arial"/>
          <w:i w:val="false"/>
          <w:iCs w:val="false"/>
          <w:color w:val="000000"/>
        </w:rPr>
        <w:t xml:space="preserve"> (</w:t>
      </w:r>
      <w:r>
        <w:rPr>
          <w:rFonts w:cs="Arial"/>
          <w:i w:val="false"/>
          <w:iCs w:val="false"/>
          <w:color w:val="000000"/>
        </w:rPr>
        <w:t>vinte)</w:t>
      </w:r>
      <w:r>
        <w:rPr>
          <w:rFonts w:cs="Arial"/>
          <w:bCs/>
          <w:i/>
          <w:iCs/>
        </w:rPr>
        <w:t xml:space="preserve"> </w:t>
      </w:r>
      <w:r>
        <w:rPr>
          <w:rFonts w:cs="Arial"/>
          <w:bCs/>
        </w:rPr>
        <w:t>dias, a contar da data do recebimento da comunicação enviada pela autoridade competente.</w:t>
      </w:r>
      <w:bookmarkStart w:id="8" w:name="_Hlk78351618"/>
      <w:bookmarkEnd w:id="8"/>
    </w:p>
    <w:p>
      <w:pPr>
        <w:pStyle w:val="Normal"/>
        <w:numPr>
          <w:ilvl w:val="1"/>
          <w:numId w:val="1"/>
        </w:numPr>
        <w:spacing w:lineRule="auto" w:line="276" w:before="120" w:after="120"/>
        <w:ind w:left="425" w:hanging="0"/>
        <w:jc w:val="both"/>
        <w:rPr>
          <w:rFonts w:cs="Arial"/>
          <w:bCs/>
        </w:rPr>
      </w:pPr>
      <w:r>
        <w:rPr>
          <w:rFonts w:cs="Arial"/>
          <w:bCs/>
        </w:rPr>
        <w:t xml:space="preserve">A aplicação das sanções realizar-se-á em processo administrativo que assegure o contraditório e a ampla defesa ao Contratado, observando-se o procedimento previsto no </w:t>
      </w:r>
      <w:r>
        <w:rPr>
          <w:rFonts w:cs="Arial"/>
          <w:b/>
          <w:bCs/>
        </w:rPr>
        <w:t xml:space="preserve">caput </w:t>
      </w:r>
      <w:r>
        <w:rPr>
          <w:rFonts w:cs="Arial"/>
          <w:bCs/>
        </w:rPr>
        <w:t xml:space="preserve">e parágrafos do </w:t>
      </w:r>
      <w:r>
        <w:fldChar w:fldCharType="begin"/>
      </w:r>
      <w:r>
        <w:rPr>
          <w:rStyle w:val="LinkdaInternet"/>
          <w:bCs/>
          <w:rFonts w:cs="Arial"/>
        </w:rPr>
        <w:instrText xml:space="preserve"> HYPERLINK "http://www.planalto.gov.br/ccivil_03/_ato2019-2022/2021/lei/L14133.htm" \l "art158"</w:instrText>
      </w:r>
      <w:r>
        <w:rPr>
          <w:rStyle w:val="LinkdaInternet"/>
          <w:bCs/>
          <w:rFonts w:cs="Arial"/>
        </w:rPr>
        <w:fldChar w:fldCharType="separate"/>
      </w:r>
      <w:r>
        <w:rPr>
          <w:rStyle w:val="LinkdaInternet"/>
          <w:rFonts w:cs="Arial"/>
          <w:bCs/>
        </w:rPr>
        <w:t>art. 158 da Lei nº 14.133, de 2021</w:t>
      </w:r>
      <w:r>
        <w:rPr>
          <w:rStyle w:val="LinkdaInternet"/>
          <w:bCs/>
          <w:rFonts w:cs="Arial"/>
        </w:rPr>
        <w:fldChar w:fldCharType="end"/>
      </w:r>
      <w:r>
        <w:rPr>
          <w:rFonts w:cs="Arial"/>
          <w:bCs/>
        </w:rPr>
        <w:t>, para as penalidades de impedimento de licitar e contratar e de declaração de inidoneidade para licitar ou contratar.</w:t>
      </w:r>
    </w:p>
    <w:p>
      <w:pPr>
        <w:pStyle w:val="Normal"/>
        <w:numPr>
          <w:ilvl w:val="1"/>
          <w:numId w:val="1"/>
        </w:numPr>
        <w:spacing w:lineRule="auto" w:line="276" w:before="120" w:after="120"/>
        <w:ind w:left="425" w:hanging="0"/>
        <w:jc w:val="both"/>
        <w:rPr>
          <w:rFonts w:cs="Arial"/>
          <w:bCs/>
        </w:rPr>
      </w:pPr>
      <w:r>
        <w:rPr>
          <w:rFonts w:cs="Arial"/>
          <w:bCs/>
        </w:rPr>
        <w:t>Na aplicação das sanções serão considerados (</w:t>
      </w:r>
      <w:r>
        <w:fldChar w:fldCharType="begin"/>
      </w:r>
      <w:r>
        <w:rPr>
          <w:rStyle w:val="LinkdaInternet"/>
          <w:bCs/>
          <w:rFonts w:cs="Arial"/>
        </w:rPr>
        <w:instrText xml:space="preserve"> HYPERLINK "http://www.planalto.gov.br/ccivil_03/_ato2019-2022/2021/lei/L14133.htm" \l "art156§1"</w:instrText>
      </w:r>
      <w:r>
        <w:rPr>
          <w:rStyle w:val="LinkdaInternet"/>
          <w:bCs/>
          <w:rFonts w:cs="Arial"/>
        </w:rPr>
        <w:fldChar w:fldCharType="separate"/>
      </w:r>
      <w:r>
        <w:rPr>
          <w:rStyle w:val="LinkdaInternet"/>
          <w:rFonts w:cs="Arial"/>
          <w:bCs/>
        </w:rPr>
        <w:t>art. 156, §1º</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a natureza e a gravidade da infração cometida;</w:t>
      </w:r>
    </w:p>
    <w:p>
      <w:pPr>
        <w:pStyle w:val="Normal"/>
        <w:numPr>
          <w:ilvl w:val="1"/>
          <w:numId w:val="1"/>
        </w:numPr>
        <w:spacing w:lineRule="auto" w:line="276" w:before="120" w:after="120"/>
        <w:ind w:left="425" w:hanging="0"/>
        <w:jc w:val="both"/>
        <w:rPr>
          <w:rFonts w:cs="Arial"/>
          <w:bCs/>
        </w:rPr>
      </w:pPr>
      <w:r>
        <w:rPr>
          <w:rFonts w:cs="Arial"/>
          <w:bCs/>
        </w:rPr>
        <w:t>as peculiaridades do caso concreto;</w:t>
      </w:r>
    </w:p>
    <w:p>
      <w:pPr>
        <w:pStyle w:val="Normal"/>
        <w:numPr>
          <w:ilvl w:val="1"/>
          <w:numId w:val="1"/>
        </w:numPr>
        <w:spacing w:lineRule="auto" w:line="276" w:before="120" w:after="120"/>
        <w:ind w:left="425" w:hanging="0"/>
        <w:jc w:val="both"/>
        <w:rPr>
          <w:rFonts w:cs="Arial"/>
          <w:bCs/>
        </w:rPr>
      </w:pPr>
      <w:r>
        <w:rPr>
          <w:rFonts w:cs="Arial"/>
          <w:bCs/>
        </w:rPr>
        <w:t>as circunstâncias agravantes ou atenuantes;</w:t>
      </w:r>
    </w:p>
    <w:p>
      <w:pPr>
        <w:pStyle w:val="Normal"/>
        <w:numPr>
          <w:ilvl w:val="1"/>
          <w:numId w:val="1"/>
        </w:numPr>
        <w:spacing w:lineRule="auto" w:line="276" w:before="120" w:after="120"/>
        <w:ind w:left="425" w:hanging="0"/>
        <w:jc w:val="both"/>
        <w:rPr>
          <w:rFonts w:cs="Arial"/>
          <w:bCs/>
        </w:rPr>
      </w:pPr>
      <w:r>
        <w:rPr>
          <w:rFonts w:cs="Arial"/>
          <w:bCs/>
        </w:rPr>
        <w:t>os danos que dela provierem para o Contratante;</w:t>
      </w:r>
    </w:p>
    <w:p>
      <w:pPr>
        <w:pStyle w:val="Normal"/>
        <w:numPr>
          <w:ilvl w:val="1"/>
          <w:numId w:val="1"/>
        </w:numPr>
        <w:spacing w:lineRule="auto" w:line="276" w:before="120" w:after="120"/>
        <w:ind w:left="425" w:hanging="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bCs/>
        </w:rPr>
      </w:pPr>
      <w:r>
        <w:rPr>
          <w:rFonts w:cs="Arial"/>
          <w:bCs/>
        </w:rPr>
        <w:t xml:space="preserve">Os atos previstos como infrações administrativas na </w:t>
      </w:r>
      <w:hyperlink r:id="rId11">
        <w:r>
          <w:rPr>
            <w:rStyle w:val="LinkdaInternet"/>
            <w:rFonts w:cs="Arial"/>
            <w:bCs/>
          </w:rPr>
          <w:t>Lei nº 14.133, de 2021</w:t>
        </w:r>
      </w:hyperlink>
      <w:r>
        <w:rPr>
          <w:rFonts w:cs="Arial"/>
          <w:bCs/>
        </w:rPr>
        <w:t xml:space="preserve">, ou em outras leis de licitações e contratos da Administração Pública que também sejam tipificados como atos lesivos na </w:t>
      </w:r>
      <w:hyperlink r:id="rId12">
        <w:r>
          <w:rPr>
            <w:rStyle w:val="LinkdaInternet"/>
            <w:rFonts w:cs="Arial"/>
            <w:bCs/>
          </w:rPr>
          <w:t>Lei nº 12.846, de 1º de agosto de 2013</w:t>
        </w:r>
      </w:hyperlink>
      <w:r>
        <w:rPr>
          <w:rFonts w:cs="Arial"/>
          <w:bCs/>
        </w:rPr>
        <w:t>, serão apurados e julgados conjuntamente, nos mesmos autos, observados o rito procedimental e autoridade competente definidos na referida Lei (</w:t>
      </w:r>
      <w:r>
        <w:fldChar w:fldCharType="begin"/>
      </w:r>
      <w:r>
        <w:rPr>
          <w:rStyle w:val="LinkdaInternet"/>
          <w:bCs/>
          <w:rFonts w:cs="Arial"/>
        </w:rPr>
        <w:instrText xml:space="preserve"> HYPERLINK "http://www.planalto.gov.br/ccivil_03/_ato2019-2022/2021/lei/L14133.htm" \l "art159"</w:instrText>
      </w:r>
      <w:r>
        <w:rPr>
          <w:rStyle w:val="LinkdaInternet"/>
          <w:bCs/>
          <w:rFonts w:cs="Arial"/>
        </w:rPr>
        <w:fldChar w:fldCharType="separate"/>
      </w:r>
      <w:r>
        <w:rPr>
          <w:rStyle w:val="LinkdaInternet"/>
          <w:rFonts w:cs="Arial"/>
          <w:bCs/>
        </w:rPr>
        <w:t>art. 159</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i/>
          <w:i/>
        </w:rPr>
      </w:pPr>
      <w:r>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LinkdaInternet"/>
          <w:bCs/>
          <w:rFonts w:cs="Arial"/>
        </w:rPr>
        <w:instrText xml:space="preserve"> HYPERLINK "http://www.planalto.gov.br/ccivil_03/_ato2019-2022/2021/lei/L14133.htm" \l "art160"</w:instrText>
      </w:r>
      <w:r>
        <w:rPr>
          <w:rStyle w:val="LinkdaInternet"/>
          <w:bCs/>
          <w:rFonts w:cs="Arial"/>
        </w:rPr>
        <w:fldChar w:fldCharType="separate"/>
      </w:r>
      <w:r>
        <w:rPr>
          <w:rStyle w:val="LinkdaInternet"/>
          <w:rFonts w:cs="Arial"/>
          <w:bCs/>
        </w:rPr>
        <w:t>art. 160</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i/>
          <w:i/>
        </w:rPr>
      </w:pPr>
      <w:r>
        <w:rPr>
          <w:rFonts w:cs="Arial"/>
          <w:bCs/>
        </w:rPr>
        <w:t xml:space="preserve"> </w:t>
      </w:r>
      <w:r>
        <w:rPr>
          <w:rFonts w:cs="Arial"/>
          <w:bCs/>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rPr>
          <w:rStyle w:val="LinkdaInternet"/>
          <w:bCs/>
          <w:rFonts w:cs="Arial"/>
        </w:rPr>
        <w:instrText xml:space="preserve"> HYPERLINK "http://www.planalto.gov.br/ccivil_03/_ato2019-2022/2021/lei/L14133.htm" \l "art161"</w:instrText>
      </w:r>
      <w:r>
        <w:rPr>
          <w:rStyle w:val="LinkdaInternet"/>
          <w:bCs/>
          <w:rFonts w:cs="Arial"/>
        </w:rPr>
        <w:fldChar w:fldCharType="separate"/>
      </w:r>
      <w:r>
        <w:rPr>
          <w:rStyle w:val="LinkdaInternet"/>
          <w:rFonts w:cs="Arial"/>
          <w:bCs/>
        </w:rPr>
        <w:t>Art. 161</w:t>
      </w:r>
      <w:r>
        <w:rPr>
          <w:rStyle w:val="LinkdaInternet"/>
          <w:bCs/>
          <w:rFonts w:cs="Arial"/>
        </w:rPr>
        <w:fldChar w:fldCharType="end"/>
      </w:r>
      <w:r>
        <w:rPr>
          <w:rFonts w:cs="Arial"/>
          <w:bCs/>
        </w:rPr>
        <w:t>)</w:t>
      </w:r>
    </w:p>
    <w:p>
      <w:pPr>
        <w:pStyle w:val="Normal"/>
        <w:numPr>
          <w:ilvl w:val="1"/>
          <w:numId w:val="1"/>
        </w:numPr>
        <w:spacing w:lineRule="auto" w:line="276" w:before="120" w:after="120"/>
        <w:ind w:left="425" w:hanging="0"/>
        <w:jc w:val="both"/>
        <w:rPr>
          <w:rFonts w:cs="Arial"/>
          <w:bCs/>
          <w:i/>
          <w:i/>
        </w:rPr>
      </w:pPr>
      <w:r>
        <w:rPr>
          <w:rFonts w:cs="Arial"/>
          <w:bCs/>
        </w:rPr>
        <w:t xml:space="preserve">As sanções de impedimento de licitar e contratar e declaração de inidoneidade para licitar ou contratar são passíveis de reabilitação na forma do </w:t>
      </w:r>
      <w:r>
        <w:fldChar w:fldCharType="begin"/>
      </w:r>
      <w:r>
        <w:rPr>
          <w:rStyle w:val="LinkdaInternet"/>
          <w:bCs/>
          <w:rFonts w:cs="Arial"/>
        </w:rPr>
        <w:instrText xml:space="preserve"> HYPERLINK "http://www.planalto.gov.br/ccivil_03/_ato2019-2022/2021/lei/L14133.htm" \l "art163"</w:instrText>
      </w:r>
      <w:r>
        <w:rPr>
          <w:rStyle w:val="LinkdaInternet"/>
          <w:bCs/>
          <w:rFonts w:cs="Arial"/>
        </w:rPr>
        <w:fldChar w:fldCharType="separate"/>
      </w:r>
      <w:r>
        <w:rPr>
          <w:rStyle w:val="LinkdaInternet"/>
          <w:rFonts w:cs="Arial"/>
          <w:bCs/>
        </w:rPr>
        <w:t>art. 163 da Lei nº 14.133, de 2021.</w:t>
      </w:r>
      <w:r>
        <w:rPr>
          <w:rStyle w:val="LinkdaInternet"/>
          <w:bCs/>
          <w:rFonts w:cs="Arial"/>
        </w:rPr>
        <w:fldChar w:fldCharType="end"/>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Ttulo1"/>
        <w:rPr/>
      </w:pPr>
      <w:bookmarkStart w:id="9" w:name="_Toc118380907"/>
      <w:r>
        <w:rPr/>
        <w:t>DAS DISPOSIÇÕES GERAIS</w:t>
      </w:r>
      <w:bookmarkEnd w:id="9"/>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Cs w:val="20"/>
        </w:rPr>
      </w:pPr>
      <w:r>
        <w:rPr>
          <w:rFonts w:cs="Arial"/>
          <w:color w:val="000000"/>
          <w:szCs w:val="20"/>
        </w:rPr>
        <w:t>republicar o presente aviso com uma nova data;</w:t>
      </w:r>
    </w:p>
    <w:p>
      <w:pPr>
        <w:pStyle w:val="Normal"/>
        <w:numPr>
          <w:ilvl w:val="2"/>
          <w:numId w:val="1"/>
        </w:numPr>
        <w:spacing w:lineRule="auto" w:line="276" w:before="120" w:after="120"/>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As providências dos subitens 9.1.1 e 9.1.2 também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1"/>
        </w:numPr>
        <w:spacing w:lineRule="auto" w:line="276" w:before="120" w:after="120"/>
        <w:jc w:val="both"/>
        <w:rPr>
          <w:rFonts w:cs="Arial"/>
          <w:color w:val="000000"/>
          <w:szCs w:val="20"/>
        </w:rPr>
      </w:pPr>
      <w:r>
        <w:rPr>
          <w:rFonts w:cs="Arial"/>
          <w:color w:val="000000"/>
          <w:szCs w:val="20"/>
        </w:rPr>
        <w:t>ANEXO I – Documentação exigida para Habilitação</w:t>
      </w:r>
    </w:p>
    <w:p>
      <w:pPr>
        <w:pStyle w:val="Normal"/>
        <w:numPr>
          <w:ilvl w:val="2"/>
          <w:numId w:val="1"/>
        </w:numPr>
        <w:spacing w:lineRule="auto" w:line="276" w:before="120" w:after="120"/>
        <w:jc w:val="both"/>
        <w:rPr>
          <w:rFonts w:cs="Arial"/>
          <w:color w:val="000000"/>
          <w:szCs w:val="20"/>
        </w:rPr>
      </w:pPr>
      <w:r>
        <w:rPr>
          <w:rFonts w:cs="Arial"/>
          <w:color w:val="000000"/>
          <w:szCs w:val="20"/>
        </w:rPr>
        <w:t>ANEXO II - Termo de Referência;</w:t>
      </w:r>
    </w:p>
    <w:p>
      <w:pPr>
        <w:pStyle w:val="Normal"/>
        <w:numPr>
          <w:ilvl w:val="3"/>
          <w:numId w:val="1"/>
        </w:numPr>
        <w:spacing w:lineRule="auto" w:line="276" w:before="120" w:after="120"/>
        <w:jc w:val="both"/>
        <w:rPr>
          <w:i w:val="false"/>
          <w:i w:val="false"/>
          <w:iCs w:val="false"/>
          <w:color w:val="000000"/>
        </w:rPr>
      </w:pPr>
      <w:r>
        <w:rPr>
          <w:rFonts w:cs="Arial"/>
          <w:i w:val="false"/>
          <w:iCs w:val="false"/>
          <w:color w:val="000000"/>
          <w:szCs w:val="20"/>
        </w:rPr>
        <w:t>ANEXO II.1 – Estudo Técnico Preliminar</w:t>
      </w:r>
    </w:p>
    <w:p>
      <w:pPr>
        <w:pStyle w:val="Normal"/>
        <w:numPr>
          <w:ilvl w:val="2"/>
          <w:numId w:val="1"/>
        </w:numPr>
        <w:spacing w:lineRule="auto" w:line="276" w:before="120" w:after="120"/>
        <w:jc w:val="both"/>
        <w:rPr>
          <w:i w:val="false"/>
          <w:i w:val="false"/>
          <w:iCs w:val="false"/>
          <w:color w:val="000000"/>
        </w:rPr>
      </w:pPr>
      <w:r>
        <w:rPr>
          <w:rFonts w:cs="Arial"/>
          <w:i w:val="false"/>
          <w:iCs w:val="false"/>
          <w:color w:val="000000"/>
          <w:szCs w:val="20"/>
        </w:rPr>
        <w:t>ANEXO III – Minuta de Termo de Contrato;</w:t>
      </w:r>
    </w:p>
    <w:p>
      <w:pPr>
        <w:pStyle w:val="Normal"/>
        <w:numPr>
          <w:ilvl w:val="2"/>
          <w:numId w:val="1"/>
        </w:numPr>
        <w:spacing w:lineRule="auto" w:line="276" w:before="120" w:after="120"/>
        <w:jc w:val="both"/>
        <w:rPr>
          <w:i w:val="false"/>
          <w:i w:val="false"/>
          <w:iCs w:val="false"/>
          <w:color w:val="000000"/>
        </w:rPr>
      </w:pPr>
      <w:r>
        <w:rPr>
          <w:rFonts w:cs="Arial"/>
          <w:i w:val="false"/>
          <w:iCs w:val="false"/>
          <w:color w:val="000000"/>
          <w:szCs w:val="20"/>
        </w:rPr>
        <w:t>ANEXO IV - Planilha de Custos e Formação de Preços;</w:t>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t>Caxias do Sul, RS</w:t>
      </w:r>
    </w:p>
    <w:p>
      <w:pPr>
        <w:pStyle w:val="Normal"/>
        <w:spacing w:lineRule="auto" w:line="276"/>
        <w:jc w:val="both"/>
        <w:rPr>
          <w:rFonts w:cs="Arial"/>
          <w:szCs w:val="20"/>
        </w:rPr>
      </w:pPr>
      <w:r>
        <w:rPr/>
      </w:r>
    </w:p>
    <w:p>
      <w:pPr>
        <w:pStyle w:val="Normal"/>
        <w:spacing w:lineRule="auto" w:line="276"/>
        <w:jc w:val="center"/>
        <w:rPr>
          <w:rFonts w:cs="Arial"/>
          <w:b/>
          <w:b/>
          <w:bCs/>
          <w:iCs/>
          <w:color w:val="000000"/>
          <w:szCs w:val="20"/>
        </w:rPr>
      </w:pPr>
      <w:r>
        <w:rPr/>
      </w:r>
    </w:p>
    <w:p>
      <w:pPr>
        <w:pStyle w:val="Normal"/>
        <w:spacing w:lineRule="auto" w:line="276"/>
        <w:jc w:val="center"/>
        <w:rPr/>
      </w:pPr>
      <w:r>
        <w:rPr>
          <w:rFonts w:cs="Arial"/>
          <w:b/>
          <w:bCs/>
          <w:iCs/>
          <w:color w:val="000000"/>
          <w:szCs w:val="20"/>
        </w:rPr>
        <w:t>Vinícius Oliveira Fraga</w:t>
      </w:r>
    </w:p>
    <w:p>
      <w:pPr>
        <w:pStyle w:val="Normal"/>
        <w:spacing w:lineRule="auto" w:line="276"/>
        <w:jc w:val="center"/>
        <w:rPr/>
      </w:pPr>
      <w:r>
        <w:rPr>
          <w:rFonts w:cs="Arial"/>
          <w:b/>
          <w:bCs/>
          <w:iCs/>
          <w:color w:val="000000"/>
          <w:szCs w:val="20"/>
        </w:rPr>
        <w:t>Chefe Sepol/DRF/CXL</w:t>
      </w:r>
    </w:p>
    <w:p>
      <w:pPr>
        <w:pStyle w:val="Normal"/>
        <w:jc w:val="center"/>
        <w:rPr>
          <w:rFonts w:cs="Arial"/>
          <w:b/>
          <w:b/>
          <w:bCs/>
          <w:lang w:eastAsia="en-US"/>
        </w:rPr>
      </w:pPr>
      <w:r>
        <w:rPr>
          <w:rFonts w:cs="Arial"/>
          <w:b/>
          <w:bCs/>
          <w:lang w:eastAsia="en-US"/>
        </w:rPr>
        <w:t>(datado e assinado eletronicamente)</w:t>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commentRangeStart w:id="16"/>
      <w:r>
        <w:rPr>
          <w:rFonts w:cs="Arial"/>
          <w:b/>
          <w:szCs w:val="20"/>
          <w:lang w:eastAsia="ar-SA"/>
        </w:rPr>
        <w:t>ANEXO I – DOCUMENTAÇÃO EXIGIDA PARA HABILITAÇÃO</w:t>
      </w:r>
      <w:commentRangeEnd w:id="16"/>
      <w:r>
        <w:commentReference w:id="16"/>
      </w:r>
      <w:r>
        <w:rPr>
          <w:rFonts w:cs="Arial"/>
          <w:b/>
          <w:szCs w:val="20"/>
          <w:lang w:eastAsia="ar-SA"/>
        </w:rPr>
      </w:r>
    </w:p>
    <w:p>
      <w:pPr>
        <w:pStyle w:val="Normal"/>
        <w:spacing w:lineRule="auto" w:line="276" w:before="0" w:after="0"/>
        <w:contextualSpacing/>
        <w:jc w:val="both"/>
        <w:rPr>
          <w:rFonts w:eastAsia="Calibri" w:cs="Arial"/>
          <w:iCs/>
          <w:szCs w:val="20"/>
          <w:lang w:eastAsia="en-US"/>
        </w:rPr>
      </w:pPr>
      <w:r>
        <w:rPr>
          <w:rFonts w:eastAsia="Calibri" w:cs="Arial"/>
          <w:iCs/>
          <w:szCs w:val="20"/>
          <w:lang w:eastAsia="en-US"/>
        </w:rPr>
      </w:r>
    </w:p>
    <w:p>
      <w:pPr>
        <w:pStyle w:val="ListParagraph"/>
        <w:spacing w:lineRule="auto" w:line="276" w:before="120" w:after="120"/>
        <w:ind w:left="1145" w:hanging="0"/>
        <w:contextualSpacing/>
        <w:jc w:val="both"/>
        <w:rPr>
          <w:rFonts w:eastAsia="WenQuanYi Micro Hei" w:cs="Arial"/>
          <w:color w:val="000000"/>
          <w:szCs w:val="20"/>
          <w:lang w:eastAsia="zh-CN" w:bidi="hi-IN"/>
        </w:rPr>
      </w:pPr>
      <w:r>
        <w:rPr>
          <w:rFonts w:eastAsia="WenQuanYi Micro Hei" w:cs="Arial"/>
          <w:color w:val="000000"/>
          <w:szCs w:val="20"/>
          <w:lang w:eastAsia="zh-CN" w:bidi="hi-IN"/>
        </w:rPr>
      </w:r>
    </w:p>
    <w:p>
      <w:pPr>
        <w:pStyle w:val="ListParagraph"/>
        <w:numPr>
          <w:ilvl w:val="0"/>
          <w:numId w:val="7"/>
        </w:numPr>
        <w:spacing w:lineRule="auto" w:line="276" w:before="120" w:after="120"/>
        <w:ind w:left="0" w:hanging="0"/>
        <w:contextualSpacing/>
        <w:jc w:val="both"/>
        <w:rPr>
          <w:rFonts w:eastAsia="WenQuanYi Micro Hei" w:cs="Arial"/>
          <w:color w:val="000000"/>
          <w:szCs w:val="20"/>
          <w:lang w:eastAsia="zh-CN" w:bidi="hi-IN"/>
        </w:rPr>
      </w:pPr>
      <w:r>
        <w:rPr>
          <w:rFonts w:eastAsia="WenQuanYi Micro Hei" w:cs="Arial"/>
          <w:color w:val="000000"/>
          <w:szCs w:val="20"/>
          <w:lang w:eastAsia="zh-CN" w:bidi="hi-IN"/>
        </w:rPr>
        <w:t>As exigências de habilitação a serem atendidas pelo fornecedor são aquelas discriminadas nos itens a seguir:</w:t>
      </w:r>
    </w:p>
    <w:p>
      <w:pPr>
        <w:pStyle w:val="ListParagraph"/>
        <w:spacing w:lineRule="auto" w:line="276" w:before="120" w:after="120"/>
        <w:ind w:left="1145" w:hanging="0"/>
        <w:contextualSpacing/>
        <w:jc w:val="both"/>
        <w:rPr>
          <w:rFonts w:eastAsia="WenQuanYi Micro Hei" w:cs="Arial"/>
          <w:color w:val="000000"/>
          <w:szCs w:val="20"/>
          <w:lang w:eastAsia="zh-CN" w:bidi="hi-IN"/>
        </w:rPr>
      </w:pPr>
      <w:r>
        <w:rPr>
          <w:rFonts w:eastAsia="WenQuanYi Micro Hei" w:cs="Arial"/>
          <w:color w:val="000000"/>
          <w:szCs w:val="20"/>
          <w:lang w:eastAsia="zh-CN" w:bidi="hi-IN"/>
        </w:rPr>
      </w:r>
    </w:p>
    <w:p>
      <w:pPr>
        <w:pStyle w:val="ListParagraph"/>
        <w:numPr>
          <w:ilvl w:val="1"/>
          <w:numId w:val="6"/>
        </w:numPr>
        <w:spacing w:lineRule="auto" w:line="276" w:before="120" w:after="120"/>
        <w:contextualSpacing/>
        <w:jc w:val="both"/>
        <w:rPr>
          <w:rFonts w:eastAsia="WenQuanYi Micro Hei" w:cs="Arial"/>
          <w:b/>
          <w:b/>
          <w:bCs/>
          <w:color w:val="000000"/>
          <w:szCs w:val="20"/>
          <w:lang w:eastAsia="zh-CN" w:bidi="hi-IN"/>
        </w:rPr>
      </w:pPr>
      <w:r>
        <w:rPr>
          <w:rFonts w:eastAsia="WenQuanYi Micro Hei" w:cs="Arial"/>
          <w:b/>
          <w:bCs/>
          <w:color w:val="000000"/>
          <w:szCs w:val="20"/>
          <w:lang w:eastAsia="zh-CN" w:bidi="hi-IN"/>
        </w:rPr>
        <w:t>Habilitação jurídica</w:t>
      </w:r>
    </w:p>
    <w:p>
      <w:pPr>
        <w:pStyle w:val="ListParagraph"/>
        <w:spacing w:lineRule="auto" w:line="276" w:before="120" w:after="120"/>
        <w:ind w:left="1134" w:firstLine="11"/>
        <w:contextualSpacing/>
        <w:jc w:val="both"/>
        <w:rPr>
          <w:rFonts w:eastAsia="Calibri" w:cs="Arial"/>
          <w:i/>
          <w:i/>
          <w:color w:val="FF0000"/>
          <w:szCs w:val="20"/>
          <w:lang w:eastAsia="en-US"/>
        </w:rPr>
      </w:pPr>
      <w:r>
        <w:rPr>
          <w:rFonts w:eastAsia="Calibri" w:cs="Arial"/>
          <w:i/>
          <w:color w:val="FF0000"/>
          <w:szCs w:val="20"/>
          <w:lang w:eastAsia="en-US"/>
        </w:rPr>
      </w:r>
    </w:p>
    <w:p>
      <w:pPr>
        <w:pStyle w:val="ListParagraph"/>
        <w:numPr>
          <w:ilvl w:val="2"/>
          <w:numId w:val="6"/>
        </w:numPr>
        <w:tabs>
          <w:tab w:val="clear" w:pos="708"/>
          <w:tab w:val="left" w:pos="1440" w:leader="none"/>
        </w:tabs>
        <w:snapToGrid w:val="false"/>
        <w:spacing w:lineRule="auto" w:line="276" w:before="120" w:after="120"/>
        <w:contextualSpacing/>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pPr>
        <w:pStyle w:val="ListParagraph"/>
        <w:numPr>
          <w:ilvl w:val="2"/>
          <w:numId w:val="6"/>
        </w:numPr>
        <w:tabs>
          <w:tab w:val="clear" w:pos="708"/>
          <w:tab w:val="left" w:pos="1440" w:leader="none"/>
        </w:tabs>
        <w:snapToGrid w:val="false"/>
        <w:spacing w:lineRule="auto" w:line="276" w:before="120" w:after="120"/>
        <w:contextualSpacing/>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Pr>
          <w:rFonts w:cs="Arial"/>
          <w:b/>
          <w:iCs/>
          <w:szCs w:val="20"/>
        </w:rPr>
        <w:t>Microempreendedor</w:t>
      </w:r>
      <w:r>
        <w:rPr>
          <w:rFonts w:cs="Arial"/>
          <w:szCs w:val="20"/>
        </w:rPr>
        <w:t xml:space="preserve"> Individual - CCMEI, cuja aceitação ficará condicionada à verificação da autenticidade no sítio </w:t>
      </w:r>
      <w:hyperlink r:id="rId13">
        <w:r>
          <w:rPr>
            <w:rStyle w:val="LinkdaInternet"/>
            <w:rFonts w:cs="Arial"/>
            <w:szCs w:val="20"/>
          </w:rPr>
          <w:t>https://www.gov.br/empresas-e-negocios/pt-br/empreendedor</w:t>
        </w:r>
      </w:hyperlink>
      <w:r>
        <w:rPr>
          <w:rFonts w:cs="Arial"/>
          <w:szCs w:val="20"/>
        </w:rPr>
        <w:t>;</w:t>
      </w:r>
    </w:p>
    <w:p>
      <w:pPr>
        <w:pStyle w:val="ListParagraph"/>
        <w:numPr>
          <w:ilvl w:val="2"/>
          <w:numId w:val="6"/>
        </w:numPr>
        <w:tabs>
          <w:tab w:val="clear" w:pos="708"/>
          <w:tab w:val="left" w:pos="1440" w:leader="none"/>
        </w:tabs>
        <w:snapToGrid w:val="false"/>
        <w:spacing w:lineRule="auto" w:line="276" w:before="120" w:after="120"/>
        <w:contextualSpacing/>
        <w:jc w:val="both"/>
        <w:rPr>
          <w:szCs w:val="20"/>
        </w:rPr>
      </w:pPr>
      <w:commentRangeStart w:id="17"/>
      <w:r>
        <w:rPr>
          <w:rFonts w:cs="Arial"/>
          <w:b/>
          <w:color w:val="000000"/>
          <w:szCs w:val="20"/>
        </w:rPr>
        <w:t>Sociedade empresária, sociedade limitada unipessoal – SLU ou sociedade identificada como empresa individual de responsabilidade limitada - EIRELI</w:t>
      </w:r>
      <w:r>
        <w:rPr>
          <w:rFonts w:cs="Arial"/>
          <w:color w:val="000000"/>
          <w:szCs w:val="20"/>
        </w:rPr>
        <w:t>: inscrição do ato constitutivo, estatuto ou contrato social no</w:t>
      </w:r>
      <w:r>
        <w:rPr>
          <w:rFonts w:cs="Arial"/>
          <w:szCs w:val="20"/>
        </w:rPr>
        <w:t xml:space="preserve"> </w:t>
      </w:r>
      <w:r>
        <w:rPr>
          <w:rFonts w:cs="Arial"/>
          <w:color w:val="000000"/>
          <w:szCs w:val="20"/>
        </w:rPr>
        <w:t>Registro Público de Empresas Mercantis, a cargo da Junta Comercial da respectiva sede, acompanhada de documento comprobatório de seus administradores;</w:t>
      </w:r>
      <w:commentRangeEnd w:id="17"/>
      <w:r>
        <w:commentReference w:id="17"/>
      </w:r>
      <w:r>
        <w:rPr>
          <w:rFonts w:cs="Arial"/>
          <w:color w:val="000000"/>
          <w:szCs w:val="20"/>
        </w:rPr>
      </w:r>
    </w:p>
    <w:p>
      <w:pPr>
        <w:pStyle w:val="ListParagraph"/>
        <w:numPr>
          <w:ilvl w:val="2"/>
          <w:numId w:val="6"/>
        </w:numPr>
        <w:tabs>
          <w:tab w:val="clear" w:pos="708"/>
          <w:tab w:val="left" w:pos="1440" w:leader="none"/>
        </w:tabs>
        <w:snapToGrid w:val="false"/>
        <w:spacing w:lineRule="auto" w:line="276" w:before="120" w:after="120"/>
        <w:contextualSpacing/>
        <w:jc w:val="both"/>
        <w:rPr>
          <w:szCs w:val="20"/>
        </w:rPr>
      </w:pPr>
      <w:r>
        <w:rPr>
          <w:rFonts w:cs="Arial"/>
          <w:b/>
          <w:color w:val="000000"/>
          <w:szCs w:val="20"/>
        </w:rPr>
        <w:t>Sociedade empresária estrangeira com atuação permanente no País</w:t>
      </w:r>
      <w:r>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ListParagraph"/>
        <w:numPr>
          <w:ilvl w:val="2"/>
          <w:numId w:val="6"/>
        </w:numPr>
        <w:tabs>
          <w:tab w:val="clear" w:pos="708"/>
          <w:tab w:val="left" w:pos="1440" w:leader="none"/>
        </w:tabs>
        <w:snapToGrid w:val="false"/>
        <w:spacing w:lineRule="auto" w:line="276" w:before="120" w:after="120"/>
        <w:contextualSpacing/>
        <w:jc w:val="both"/>
        <w:rPr>
          <w:szCs w:val="20"/>
        </w:rPr>
      </w:pPr>
      <w:r>
        <w:rPr>
          <w:rFonts w:cs="Arial"/>
          <w:b/>
          <w:color w:val="000000"/>
          <w:szCs w:val="20"/>
        </w:rPr>
        <w:t>Sociedade simples</w:t>
      </w:r>
      <w:r>
        <w:rPr>
          <w:rFonts w:cs="Arial"/>
          <w:color w:val="000000"/>
          <w:szCs w:val="20"/>
        </w:rPr>
        <w:t>: inscrição do ato constitutivo no Registro Civil de Pessoas Jurídicas do local de sua sede, acompanhada de documento comprobatório de seus administradores;</w:t>
      </w:r>
    </w:p>
    <w:p>
      <w:pPr>
        <w:pStyle w:val="ListParagraph"/>
        <w:numPr>
          <w:ilvl w:val="2"/>
          <w:numId w:val="6"/>
        </w:numPr>
        <w:tabs>
          <w:tab w:val="clear" w:pos="708"/>
          <w:tab w:val="left" w:pos="1440" w:leader="none"/>
        </w:tabs>
        <w:snapToGrid w:val="false"/>
        <w:spacing w:lineRule="auto" w:line="276" w:before="120" w:after="120"/>
        <w:contextualSpacing/>
        <w:jc w:val="both"/>
        <w:rPr>
          <w:szCs w:val="20"/>
        </w:rPr>
      </w:pPr>
      <w:r>
        <w:rPr>
          <w:rFonts w:cs="Arial"/>
          <w:b/>
          <w:color w:val="000000"/>
          <w:szCs w:val="20"/>
        </w:rPr>
        <w:t>Filial, sucursal ou agência</w:t>
      </w:r>
      <w:r>
        <w:rPr>
          <w:rFonts w:cs="Arial"/>
          <w:color w:val="000000"/>
          <w:szCs w:val="20"/>
        </w:rPr>
        <w:t xml:space="preserve"> </w:t>
      </w:r>
      <w:r>
        <w:rPr>
          <w:rFonts w:cs="Arial"/>
          <w:b/>
          <w:color w:val="000000"/>
          <w:szCs w:val="20"/>
        </w:rPr>
        <w:t>de sociedade simples ou empresária</w:t>
      </w:r>
      <w:r>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bCs/>
          <w:color w:val="000000"/>
          <w:szCs w:val="20"/>
        </w:rPr>
      </w:pPr>
      <w:r>
        <w:rPr>
          <w:rFonts w:cs="Arial"/>
          <w:bCs/>
          <w:color w:val="000000"/>
          <w:szCs w:val="20"/>
        </w:rPr>
        <w:t>Os documentos apresentados deverão estar acompanhados de todas as alterações ou da consolidação respectiva.</w:t>
      </w:r>
    </w:p>
    <w:p>
      <w:pPr>
        <w:pStyle w:val="ListParagraph"/>
        <w:numPr>
          <w:ilvl w:val="1"/>
          <w:numId w:val="6"/>
        </w:numPr>
        <w:spacing w:lineRule="auto" w:line="276" w:before="120" w:after="120"/>
        <w:contextualSpacing/>
        <w:jc w:val="both"/>
        <w:rPr>
          <w:rFonts w:eastAsia="WenQuanYi Micro Hei" w:cs="Arial"/>
          <w:b/>
          <w:b/>
          <w:bCs/>
          <w:color w:val="000000"/>
          <w:szCs w:val="20"/>
          <w:lang w:eastAsia="zh-CN" w:bidi="hi-IN"/>
        </w:rPr>
      </w:pPr>
      <w:r>
        <w:rPr>
          <w:rFonts w:eastAsia="WenQuanYi Micro Hei" w:cs="Arial"/>
          <w:b/>
          <w:bCs/>
          <w:color w:val="000000"/>
          <w:szCs w:val="20"/>
          <w:lang w:eastAsia="zh-CN" w:bidi="hi-IN"/>
        </w:rPr>
        <w:t>Habilitações fiscal, social e trabalhista:</w:t>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szCs w:val="20"/>
        </w:rPr>
      </w:pPr>
      <w:r>
        <w:rPr>
          <w:rFonts w:cs="Arial"/>
          <w:szCs w:val="20"/>
        </w:rPr>
        <w:t>prova de inscrição no Cadastro Nacional da Pessoa Jurídica (CNPJ);</w:t>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color w:val="000000"/>
          <w:szCs w:val="20"/>
        </w:rPr>
      </w:pPr>
      <w:r>
        <w:rPr>
          <w:rFonts w:cs="Arial"/>
          <w:color w:val="000000"/>
          <w:szCs w:val="20"/>
        </w:rPr>
        <w:t xml:space="preserve">prova </w:t>
      </w:r>
      <w:r>
        <w:rPr>
          <w:rFonts w:cs="Arial"/>
          <w:szCs w:val="20"/>
        </w:rPr>
        <w:t>de</w:t>
      </w:r>
      <w:r>
        <w:rPr>
          <w:rFonts w:cs="Arial"/>
          <w:color w:val="000000"/>
          <w:szCs w:val="20"/>
        </w:rPr>
        <w:t xml:space="preserve"> regularidade com o Fundo de Garantia do Tempo de Serviço (FGTS);</w:t>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bCs/>
          <w:szCs w:val="20"/>
        </w:rPr>
      </w:pPr>
      <w:r>
        <w:rPr>
          <w:rFonts w:cs="Arial"/>
          <w:bCs/>
          <w:szCs w:val="20"/>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szCs w:val="20"/>
        </w:rPr>
      </w:pPr>
      <w:r>
        <w:rPr>
          <w:rFonts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ListParagraph"/>
        <w:numPr>
          <w:ilvl w:val="2"/>
          <w:numId w:val="6"/>
        </w:numPr>
        <w:tabs>
          <w:tab w:val="clear" w:pos="708"/>
          <w:tab w:val="left" w:pos="1440" w:leader="none"/>
        </w:tabs>
        <w:snapToGrid w:val="false"/>
        <w:spacing w:lineRule="auto" w:line="276" w:before="120" w:after="120"/>
        <w:contextualSpacing/>
        <w:jc w:val="both"/>
        <w:rPr>
          <w:rFonts w:cs="DejaVu Sans"/>
          <w:szCs w:val="20"/>
        </w:rPr>
      </w:pPr>
      <w:r>
        <w:rPr>
          <w:rFonts w:cs="Arial"/>
          <w:bCs/>
          <w:szCs w:val="20"/>
        </w:rPr>
        <w:t xml:space="preserve">prova de </w:t>
      </w:r>
      <w:r>
        <w:rPr>
          <w:rFonts w:cs="Arial"/>
          <w:color w:val="000000"/>
          <w:szCs w:val="20"/>
        </w:rPr>
        <w:t xml:space="preserve">inscrição no cadastro de contribuintes </w:t>
      </w:r>
      <w:r>
        <w:rPr>
          <w:rFonts w:cs="Arial"/>
          <w:i w:val="false"/>
          <w:iCs w:val="false"/>
          <w:color w:val="000000"/>
          <w:szCs w:val="20"/>
        </w:rPr>
        <w:t>municipal</w:t>
      </w:r>
      <w:r>
        <w:rPr>
          <w:rFonts w:cs="Arial"/>
          <w:i w:val="false"/>
          <w:iCs w:val="false"/>
          <w:color w:val="000000"/>
          <w:szCs w:val="20"/>
        </w:rPr>
        <w:t xml:space="preserve">, </w:t>
      </w:r>
      <w:r>
        <w:rPr>
          <w:rFonts w:cs="Arial"/>
          <w:color w:val="000000"/>
          <w:szCs w:val="20"/>
        </w:rPr>
        <w:t xml:space="preserve">se houver, relativo ao domicílio ou sede do 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pPr>
        <w:pStyle w:val="ListParagraph"/>
        <w:numPr>
          <w:ilvl w:val="3"/>
          <w:numId w:val="6"/>
        </w:numPr>
        <w:spacing w:lineRule="auto" w:line="276" w:before="120" w:after="120"/>
        <w:contextualSpacing/>
        <w:jc w:val="both"/>
        <w:rPr>
          <w:rFonts w:cs="Arial"/>
          <w:b/>
          <w:b/>
          <w:bCs/>
          <w:szCs w:val="20"/>
        </w:rPr>
      </w:pPr>
      <w:commentRangeStart w:id="18"/>
      <w:r>
        <w:rPr>
          <w:rFonts w:cs="Arial"/>
          <w:bCs/>
          <w:szCs w:val="20"/>
        </w:rPr>
        <w:t xml:space="preserve">O fornecedor enquadrado como microempreendedor individual que pretenda auferir os benefícios do tratamento diferenciado previstos na </w:t>
      </w:r>
      <w:hyperlink r:id="rId14">
        <w:r>
          <w:rPr>
            <w:rStyle w:val="LinkdaInternet"/>
            <w:rFonts w:cs="Arial"/>
            <w:bCs/>
            <w:szCs w:val="20"/>
          </w:rPr>
          <w:t>Lei Complementar n. 123, de 2006</w:t>
        </w:r>
      </w:hyperlink>
      <w:r>
        <w:rPr>
          <w:rFonts w:cs="Arial"/>
          <w:bCs/>
          <w:szCs w:val="20"/>
        </w:rPr>
        <w:t>, estará dispensado da prova de inscrição nos cadastros de contribuintes estadual e municipal.</w:t>
      </w:r>
      <w:commentRangeEnd w:id="18"/>
      <w:r>
        <w:commentReference w:id="18"/>
      </w:r>
      <w:r>
        <w:rPr>
          <w:rFonts w:cs="Arial"/>
          <w:bCs/>
          <w:szCs w:val="20"/>
        </w:rPr>
      </w:r>
    </w:p>
    <w:p>
      <w:pPr>
        <w:pStyle w:val="ListParagraph"/>
        <w:numPr>
          <w:ilvl w:val="2"/>
          <w:numId w:val="6"/>
        </w:numPr>
        <w:tabs>
          <w:tab w:val="clear" w:pos="708"/>
          <w:tab w:val="left" w:pos="1440" w:leader="none"/>
        </w:tabs>
        <w:snapToGrid w:val="false"/>
        <w:spacing w:lineRule="auto" w:line="276" w:before="120" w:after="120"/>
        <w:contextualSpacing/>
        <w:jc w:val="both"/>
        <w:rPr>
          <w:rFonts w:cs="DejaVu Sans"/>
          <w:szCs w:val="20"/>
        </w:rPr>
      </w:pPr>
      <w:commentRangeStart w:id="19"/>
      <w:r>
        <w:rPr>
          <w:rFonts w:cs="Arial"/>
          <w:szCs w:val="20"/>
        </w:rPr>
        <w:t xml:space="preserve">prova de </w:t>
      </w:r>
      <w:r>
        <w:rPr>
          <w:rFonts w:cs="Arial"/>
          <w:bCs/>
          <w:szCs w:val="20"/>
        </w:rPr>
        <w:t>regularidade</w:t>
      </w:r>
      <w:r>
        <w:rPr>
          <w:rFonts w:cs="Arial"/>
          <w:szCs w:val="20"/>
        </w:rPr>
        <w:t xml:space="preserve"> com a Fazenda </w:t>
      </w:r>
      <w:r>
        <w:rPr>
          <w:rFonts w:cs="Arial"/>
          <w:i w:val="false"/>
          <w:iCs w:val="false"/>
          <w:color w:val="000000"/>
          <w:szCs w:val="20"/>
        </w:rPr>
        <w:t>Municipal</w:t>
      </w:r>
      <w:r>
        <w:rPr>
          <w:rFonts w:cs="Arial"/>
          <w:i w:val="false"/>
          <w:iCs w:val="false"/>
          <w:color w:val="000000"/>
          <w:szCs w:val="20"/>
        </w:rPr>
        <w:t xml:space="preserve"> </w:t>
      </w:r>
      <w:r>
        <w:rPr>
          <w:rFonts w:cs="Arial"/>
          <w:szCs w:val="20"/>
        </w:rPr>
        <w:t>ou Distrital</w:t>
      </w:r>
      <w:r>
        <w:rPr>
          <w:rFonts w:cs="Arial"/>
          <w:i/>
          <w:iCs/>
          <w:szCs w:val="20"/>
        </w:rPr>
        <w:t xml:space="preserve"> </w:t>
      </w:r>
      <w:r>
        <w:rPr>
          <w:rFonts w:cs="Arial"/>
          <w:szCs w:val="20"/>
        </w:rPr>
        <w:t xml:space="preserve">do domicílio ou sede do fornecedor, relativa à </w:t>
      </w:r>
      <w:r>
        <w:rPr>
          <w:rFonts w:cs="Arial"/>
          <w:bCs/>
          <w:szCs w:val="20"/>
        </w:rPr>
        <w:t>atividade</w:t>
      </w:r>
      <w:r>
        <w:rPr>
          <w:rFonts w:cs="Arial"/>
          <w:szCs w:val="20"/>
        </w:rPr>
        <w:t xml:space="preserve"> em cujo exercício contrata ou concorre; </w:t>
      </w:r>
    </w:p>
    <w:p>
      <w:pPr>
        <w:pStyle w:val="ListParagraph"/>
        <w:numPr>
          <w:ilvl w:val="3"/>
          <w:numId w:val="6"/>
        </w:numPr>
        <w:spacing w:lineRule="auto" w:line="276" w:before="120" w:after="120"/>
        <w:contextualSpacing/>
        <w:jc w:val="both"/>
        <w:rPr>
          <w:szCs w:val="20"/>
        </w:rPr>
      </w:pPr>
      <w:r>
        <w:rPr>
          <w:rFonts w:cs="Arial"/>
          <w:szCs w:val="20"/>
        </w:rPr>
        <w:t xml:space="preserve">caso o fornecedor seja considerado isento dos tributos </w:t>
      </w:r>
      <w:r>
        <w:rPr>
          <w:rFonts w:cs="Arial"/>
          <w:i w:val="false"/>
          <w:iCs w:val="false"/>
          <w:color w:val="000000"/>
          <w:szCs w:val="20"/>
        </w:rPr>
        <w:t>municipais</w:t>
      </w:r>
      <w:r>
        <w:rPr>
          <w:rFonts w:cs="Arial"/>
          <w:iCs/>
          <w:szCs w:val="20"/>
        </w:rPr>
        <w:t xml:space="preserve"> ou distritais</w:t>
      </w:r>
      <w:r>
        <w:rPr>
          <w:rFonts w:cs="Arial"/>
          <w:szCs w:val="20"/>
        </w:rPr>
        <w:t xml:space="preserve"> </w:t>
      </w:r>
      <w:r>
        <w:rPr>
          <w:rFonts w:cs="Arial"/>
          <w:bCs/>
          <w:szCs w:val="20"/>
        </w:rPr>
        <w:t>relacionados</w:t>
      </w:r>
      <w:r>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19"/>
      <w:r>
        <w:commentReference w:id="19"/>
      </w:r>
      <w:r>
        <w:rPr>
          <w:rFonts w:cs="Arial"/>
          <w:szCs w:val="20"/>
        </w:rPr>
      </w:r>
    </w:p>
    <w:p>
      <w:pPr>
        <w:pStyle w:val="ListParagraph"/>
        <w:ind w:left="360" w:hanging="0"/>
        <w:rPr>
          <w:rFonts w:eastAsia="WenQuanYi Micro Hei" w:cs="Arial"/>
          <w:color w:val="000000"/>
          <w:szCs w:val="20"/>
          <w:shd w:fill="00FF00" w:val="clear"/>
          <w:lang w:eastAsia="zh-CN" w:bidi="hi-IN"/>
        </w:rPr>
      </w:pPr>
      <w:r>
        <w:rPr>
          <w:rFonts w:eastAsia="WenQuanYi Micro Hei" w:cs="Arial"/>
          <w:color w:val="000000"/>
          <w:szCs w:val="20"/>
          <w:shd w:fill="00FF00" w:val="clear"/>
          <w:lang w:eastAsia="zh-CN" w:bidi="hi-IN"/>
        </w:rPr>
      </w:r>
    </w:p>
    <w:p>
      <w:pPr>
        <w:pStyle w:val="ListParagraph"/>
        <w:numPr>
          <w:ilvl w:val="1"/>
          <w:numId w:val="6"/>
        </w:numPr>
        <w:spacing w:lineRule="auto" w:line="276" w:before="120" w:after="120"/>
        <w:contextualSpacing/>
        <w:jc w:val="both"/>
        <w:rPr>
          <w:rFonts w:cs="DejaVu Sans"/>
          <w:b/>
          <w:b/>
          <w:bCs/>
          <w:szCs w:val="20"/>
        </w:rPr>
      </w:pPr>
      <w:r>
        <w:rPr>
          <w:rFonts w:cs="Arial"/>
          <w:b/>
          <w:bCs/>
          <w:color w:val="000000"/>
          <w:szCs w:val="20"/>
        </w:rPr>
        <w:t>Habilitação técnica:</w:t>
      </w:r>
    </w:p>
    <w:p>
      <w:pPr>
        <w:pStyle w:val="ListParagraph"/>
        <w:numPr>
          <w:ilvl w:val="2"/>
          <w:numId w:val="6"/>
        </w:numPr>
        <w:spacing w:lineRule="auto" w:line="276" w:before="120" w:after="120"/>
        <w:contextualSpacing/>
        <w:jc w:val="both"/>
        <w:textAlignment w:val="baseline"/>
        <w:rPr/>
      </w:pPr>
      <w:r>
        <w:rPr>
          <w:rFonts w:cs="Arial"/>
          <w:i w:val="false"/>
          <w:iCs w:val="false"/>
          <w:color w:val="000000"/>
          <w:szCs w:val="20"/>
        </w:rPr>
        <w:t>Conforme estabelecido no Termo de Referência</w:t>
      </w:r>
      <w:commentRangeStart w:id="20"/>
      <w:r>
        <w:rPr>
          <w:rFonts w:cs="Arial"/>
          <w:i w:val="false"/>
          <w:iCs w:val="false"/>
          <w:color w:val="000000"/>
          <w:szCs w:val="20"/>
        </w:rPr>
        <w:t xml:space="preserve"> </w:t>
      </w:r>
      <w:commentRangeEnd w:id="20"/>
      <w:r>
        <w:commentReference w:id="20"/>
      </w:r>
      <w:r>
        <w:rPr>
          <w:rFonts w:cs="Arial"/>
          <w:i w:val="false"/>
          <w:iCs w:val="false"/>
          <w:color w:val="000000"/>
          <w:szCs w:val="20"/>
        </w:rPr>
      </w:r>
    </w:p>
    <w:p>
      <w:pPr>
        <w:pStyle w:val="Normal"/>
        <w:rPr/>
      </w:pPr>
      <w:r>
        <w:rPr/>
      </w:r>
    </w:p>
    <w:sectPr>
      <w:headerReference w:type="default" r:id="rId15"/>
      <w:headerReference w:type="first" r:id="rId16"/>
      <w:footerReference w:type="default" r:id="rId17"/>
      <w:type w:val="nextPage"/>
      <w:pgSz w:w="11906" w:h="16838"/>
      <w:pgMar w:left="1701" w:right="1701" w:gutter="0" w:header="0" w:top="1417" w:footer="708" w:bottom="1417"/>
      <w:pgNumType w:fmt="decimal"/>
      <w:formProt w:val="false"/>
      <w:titlePg/>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Autor" w:date="0-00-00T00:00:00Z" w:initials="A">
    <w:p>
      <w:r>
        <w:rPr>
          <w:rFonts w:ascii="Liberation Serif" w:hAnsi="Liberation Serif" w:eastAsia="Segoe UI"/>
          <w:b/>
          <w:bCs/>
          <w:sz w:val="24"/>
          <w:lang w:val="en-US" w:eastAsia="en-US" w:bidi="en-US"/>
        </w:rPr>
        <w:t xml:space="preserve">ORIENTAÇÕES PARA USO DO MODELO – </w:t>
      </w:r>
      <w:r>
        <w:rPr>
          <w:rFonts w:ascii="Liberation Serif" w:hAnsi="Liberation Serif" w:eastAsia="Segoe UI"/>
          <w:b/>
          <w:bCs/>
          <w:color w:val="FF0000"/>
          <w:sz w:val="24"/>
          <w:lang w:val="en-US" w:eastAsia="en-US" w:bidi="en-US"/>
        </w:rPr>
        <w:t>LEITURA OBRIGATÓRIA</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t>1)</w:t>
      </w:r>
      <w:r>
        <w:rPr>
          <w:rFonts w:ascii="Liberation Serif" w:hAnsi="Liberation Serif" w:eastAsia="Segoe UI"/>
          <w:sz w:val="24"/>
          <w:lang w:val="en-US" w:eastAsia="en-US" w:bidi="en-US"/>
        </w:rPr>
      </w:r>
      <w:r>
        <w:rPr>
          <w:rFonts w:ascii="Liberation Serif" w:hAnsi="Liberation Serif" w:eastAsia="Segoe UI"/>
          <w:sz w:val="24"/>
          <w:lang w:val="en-US" w:eastAsia="en-US" w:bidi="en-US"/>
        </w:rPr>
        <w:t xml:space="preserve">O presente modelo de Aviso de Contratação Direta procura fornecer um ponto de partida para a elaboração do documento que dará início à competição feita via Sistema de Dispensa Eletrônica, integrado ao Compras.gov.br, conforme Instrução Normativa nº 67, de 8 de julho de 2021, da Secretaria de Gestão da Secretaria Especial de Desburocratização, Gestão e Governo Digital do Ministério da Economia (Seges/ME). As disposições deste modelo se amoldam a todos os objetos contratuais (aquisições, serviços, serviços de engenharia ou com dedicação exclusiva). Recomenda-se a leitura do Manual do Sistema de Dispensa Eletrônica, elaborado pela Secretaria de Gestão do Ministério da Economia, disponível em </w:t>
      </w:r>
      <w:hyperlink r:id="rId1">
        <w:r>
          <w:rPr>
            <w:rFonts w:ascii="Liberation Serif" w:hAnsi="Liberation Serif" w:eastAsia="Segoe UI"/>
            <w:sz w:val="24"/>
            <w:lang w:val="en-US" w:eastAsia="en-US" w:bidi="en-US"/>
          </w:rPr>
          <w:t>https://www.gov.br/compras/pt-br/acesso-a-informacao/manuais/dispensa-eletronica/ManualNovoDispensaEletrnica28.01.2022.pdf</w:t>
        </w:r>
      </w:hyperlink>
      <w:r>
        <w:rPr>
          <w:rFonts w:ascii="Liberation Serif" w:hAnsi="Liberation Serif" w:eastAsia="Segoe UI"/>
          <w:sz w:val="24"/>
          <w:lang w:val="en-US" w:eastAsia="en-US" w:bidi="en-US"/>
        </w:rPr>
        <w:t>.</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t>2)</w:t>
      </w:r>
      <w:r>
        <w:rPr>
          <w:rFonts w:ascii="Liberation Serif" w:hAnsi="Liberation Serif" w:eastAsia="Segoe UI"/>
          <w:sz w:val="24"/>
          <w:lang w:val="en-US" w:eastAsia="en-US" w:bidi="en-US"/>
        </w:rPr>
      </w:r>
      <w:r>
        <w:rPr>
          <w:rFonts w:ascii="Liberation Serif" w:hAnsi="Liberation Serif" w:eastAsia="Segoe UI"/>
          <w:sz w:val="24"/>
          <w:lang w:val="en-US" w:eastAsia="en-US" w:bidi="en-US"/>
        </w:rPr>
        <w:t>A redação em preto consiste no que se espera ser invariável. Ela até pode sofrer modificações a depender do caso concreto, mas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t>3)</w:t>
      </w:r>
      <w:r>
        <w:rPr>
          <w:rFonts w:ascii="Liberation Serif" w:hAnsi="Liberation Serif" w:eastAsia="Segoe UI"/>
          <w:sz w:val="24"/>
          <w:lang w:val="en-US" w:eastAsia="en-US" w:bidi="en-US"/>
        </w:rPr>
      </w:r>
      <w:r>
        <w:rPr>
          <w:rFonts w:ascii="Liberation Serif" w:hAnsi="Liberation Serif" w:eastAsia="Segoe UI"/>
          <w:sz w:val="24"/>
          <w:lang w:val="en-US" w:eastAsia="en-US" w:bidi="en-US"/>
        </w:rPr>
        <w:t xml:space="preserve">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 </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t>4)</w:t>
      </w:r>
      <w:r>
        <w:rPr>
          <w:rFonts w:ascii="Liberation Serif" w:hAnsi="Liberation Serif" w:eastAsia="Segoe UI"/>
          <w:sz w:val="24"/>
          <w:lang w:val="en-US" w:eastAsia="en-US" w:bidi="en-US"/>
        </w:rPr>
      </w:r>
      <w:r>
        <w:rPr>
          <w:rFonts w:ascii="Liberation Serif" w:hAnsi="Liberation Serif" w:eastAsia="Segoe UI"/>
          <w:sz w:val="24"/>
          <w:lang w:val="en-US" w:eastAsia="en-US" w:bidi="en-US"/>
        </w:rPr>
        <w:t xml:space="preserve">Alguns itens receberam notas explicativas, destacadas para compreensão do agente ou setor responsável, que deverão ser devidamente suprimidas ao se finalizar o documento na versão original. </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t>5)</w:t>
      </w:r>
      <w:r>
        <w:rPr>
          <w:rFonts w:ascii="Liberation Serif" w:hAnsi="Liberation Serif" w:eastAsia="Segoe UI"/>
          <w:sz w:val="24"/>
          <w:lang w:val="en-US" w:eastAsia="en-US" w:bidi="en-US"/>
        </w:rPr>
      </w:r>
      <w:r>
        <w:rPr>
          <w:rFonts w:ascii="Liberation Serif" w:hAnsi="Liberation Serif" w:eastAsia="Segoe UI"/>
          <w:sz w:val="24"/>
          <w:lang w:val="en-US" w:eastAsia="en-US" w:bidi="en-US"/>
        </w:rPr>
        <w:t>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t>6)</w:t>
      </w:r>
      <w:r>
        <w:rPr>
          <w:rFonts w:ascii="Liberation Serif" w:hAnsi="Liberation Serif" w:eastAsia="Segoe UI"/>
          <w:sz w:val="24"/>
          <w:lang w:val="en-US" w:eastAsia="en-US" w:bidi="en-US"/>
        </w:rPr>
      </w:r>
      <w:r>
        <w:rPr>
          <w:rFonts w:ascii="Liberation Serif" w:hAnsi="Liberation Serif" w:eastAsia="Segoe UI"/>
          <w:sz w:val="24"/>
          <w:lang w:val="en-US" w:eastAsia="en-US" w:bidi="en-US"/>
        </w:rPr>
        <w:t xml:space="preserve">Quaisquer sugestões de alteração poderão ser encaminhadas ao e-mail: </w:t>
      </w:r>
      <w:hyperlink r:id="rId2">
        <w:r>
          <w:rPr>
            <w:rFonts w:ascii="Liberation Serif" w:hAnsi="Liberation Serif" w:eastAsia="Segoe UI"/>
            <w:sz w:val="24"/>
            <w:lang w:val="en-US" w:eastAsia="en-US" w:bidi="en-US"/>
          </w:rPr>
          <w:t>cgu.modeloscontratacao@agu.gov.br</w:t>
        </w:r>
      </w:hyperlink>
      <w:r>
        <w:rPr>
          <w:rFonts w:ascii="Liberation Serif" w:hAnsi="Liberation Serif" w:eastAsia="Segoe UI"/>
          <w:sz w:val="24"/>
          <w:lang w:val="en-US" w:eastAsia="en-US" w:bidi="en-US"/>
        </w:rPr>
        <w:t>.</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t>7)</w:t>
      </w:r>
      <w:r>
        <w:rPr>
          <w:rFonts w:ascii="Liberation Serif" w:hAnsi="Liberation Serif" w:eastAsia="Segoe UI"/>
          <w:sz w:val="24"/>
          <w:lang w:val="en-US" w:eastAsia="en-US" w:bidi="en-US"/>
        </w:rPr>
      </w:r>
      <w:r>
        <w:rPr>
          <w:rFonts w:ascii="Liberation Serif" w:hAnsi="Liberation Serif" w:eastAsia="Segoe UI"/>
          <w:sz w:val="24"/>
          <w:lang w:val="en-US" w:eastAsia="en-US" w:bidi="en-US"/>
        </w:rPr>
        <w:t xml:space="preserve">Este modelo </w:t>
      </w:r>
      <w:r>
        <w:rPr>
          <w:rFonts w:ascii="Liberation Serif" w:hAnsi="Liberation Serif" w:eastAsia="Segoe UI"/>
          <w:b/>
          <w:bCs/>
          <w:sz w:val="24"/>
          <w:lang w:val="en-US" w:eastAsia="en-US" w:bidi="en-US"/>
        </w:rPr>
        <w:t>poderá</w:t>
      </w:r>
      <w:r>
        <w:rPr>
          <w:rFonts w:ascii="Liberation Serif" w:hAnsi="Liberation Serif" w:eastAsia="Segoe UI"/>
          <w:sz w:val="24"/>
          <w:lang w:val="en-US" w:eastAsia="en-US" w:bidi="en-US"/>
        </w:rPr>
        <w:t xml:space="preserve">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1" w:author="Autor" w:date="0-00-00T00:00:00Z" w:initials="A">
    <w:p>
      <w:r>
        <w:rPr>
          <w:rFonts w:ascii="Liberation Serif" w:hAnsi="Liberation Serif" w:eastAsia="Segoe UI"/>
          <w:b/>
          <w:bCs/>
          <w:i/>
          <w:iCs/>
          <w:color w:val="000000"/>
          <w:sz w:val="24"/>
          <w:lang w:val="en-US" w:eastAsia="en-US" w:bidi="en-US"/>
        </w:rPr>
        <w:t xml:space="preserve">Nota explicativa 1: </w:t>
      </w:r>
      <w:r>
        <w:rPr>
          <w:rFonts w:ascii="Liberation Serif" w:hAnsi="Liberation Serif" w:eastAsia="Segoe UI"/>
          <w:i/>
          <w:iCs/>
          <w:color w:val="000000"/>
          <w:sz w:val="24"/>
          <w:lang w:val="en-US" w:eastAsia="en-US" w:bidi="en-US"/>
        </w:rPr>
        <w:t xml:space="preserve">O horário da fase de lances deverá ser estabelecido conforme o art. 11 da Instrução Normativa Seges/ME nº 67, de 2021. </w:t>
      </w:r>
    </w:p>
  </w:comment>
  <w:comment w:id="2"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Ajustar o Preâmbulo com a hipótese de dispensa.</w:t>
      </w:r>
    </w:p>
  </w:comment>
  <w:comment w:id="3"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A tabela abaixo é meramente ilustrativa. Incumbe à área contratante ajustá-la incluindo ou excluindo informações na medida em que forem aplicáveis ou não à contratação em questão.</w:t>
      </w:r>
    </w:p>
  </w:comment>
  <w:comment w:id="4"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modelo de Termo de Referência de Serviços de Engenharia. Caso se trate de contratação integrada ou semi-integrada, adaptar a redação do item, além de outros aspectos do presente modelo.</w:t>
      </w:r>
    </w:p>
  </w:comment>
  <w:comment w:id="5"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Caso o fornecedor assinale o campo "não" na declaração relativa ao subitem acima, não fará jus ao tratamento favorecido previsto na Lei Complementar n.º 123, de 2006, mesmo que se trate de microempresa, empresa de pequeno porte ou sociedade cooperativa.</w:t>
      </w:r>
    </w:p>
  </w:comment>
  <w:comment w:id="6"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Atentar se o sistema já possui essa funcionalidade instalada. Caso não tenha, suprimir o subitem 3.11 e itens subordinados. Se já houver a funcionalidade, a revisão deve ser mantida.</w:t>
      </w:r>
    </w:p>
  </w:comment>
  <w:comment w:id="7"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utilizar este subitem caso o objeto a ser contratado exija a discriminação de custos unitários e/ou a apresentação de planilha de formação de preços (ex: serviços de engenharia sob o regime de execução de empreitada por preço unitário, em relação aos custos tidos como relevantes, ou serviços com dedicação de mão-de-obra). Deve-se verificar, outrossim, se a inexequibilidade de custos unitários isolados será utilizada como critério de desclassificação.</w:t>
      </w:r>
    </w:p>
  </w:comment>
  <w:comment w:id="8"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Preencher com prazo reputado como razoável para a conclusão da contratação. Registre-se que não há prazo mínimo ou máximo de validade previsto em normativo neste caso.</w:t>
      </w:r>
    </w:p>
  </w:comment>
  <w:comment w:id="9"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color w:val="000000"/>
          <w:sz w:val="24"/>
          <w:lang w:val="en-US" w:eastAsia="en-US" w:bidi="en-US"/>
        </w:rPr>
        <w:t xml:space="preserve"> </w:t>
      </w:r>
      <w:r>
        <w:rPr>
          <w:rFonts w:ascii="Liberation Serif" w:hAnsi="Liberation Serif" w:eastAsia="Segoe UI"/>
          <w:i/>
          <w:iCs/>
          <w:color w:val="000000"/>
          <w:sz w:val="24"/>
          <w:lang w:val="en-US" w:eastAsia="en-US" w:bidi="en-US"/>
        </w:rPr>
        <w:t>Atentar para o fato de que, segundo o § 1º do art. 16 da Instrução Normativa Seges/ME nº 67, de 2021,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 Nesse caso, o trecho em vermelho deverá ser excluído.</w:t>
      </w:r>
    </w:p>
  </w:comment>
  <w:comment w:id="10"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Se o regime não for de empreitada por preço unitário, não cabe desclassificação em razão de custos unitários superiores aos orçados pela Administração, por força do art. 56, §5º, da Lei nº 14.133, de 2021. Por essa razão, essa planilha, neste momento, servirá apenas para aferir a exequibilidade da proposta; e não eventual sobrepreço de preços unitários. Embora isso possa representar um risco em relação a um eventual  jogo de planilhas pelo contratado, os artigos 127 e principalmente 128 impedem que os preços unitários maiores sejam usados como parâmetro de futuros aditivos.</w:t>
      </w:r>
    </w:p>
  </w:comment>
  <w:comment w:id="11" w:author="Autor" w:date="0-00-00T00:00:00Z" w:initials="A">
    <w:p>
      <w:r>
        <w:rPr>
          <w:rFonts w:ascii="Liberation Serif" w:hAnsi="Liberation Serif" w:eastAsia="Segoe UI"/>
          <w:b/>
          <w:bCs/>
          <w:i/>
          <w:iCs/>
          <w:sz w:val="24"/>
          <w:lang w:val="en-US" w:eastAsia="en-US" w:bidi="en-US"/>
        </w:rPr>
        <w:t>Nota explicativa:</w:t>
      </w:r>
      <w:r>
        <w:rPr>
          <w:rFonts w:ascii="Liberation Serif" w:hAnsi="Liberation Serif" w:eastAsia="Segoe UI"/>
          <w:i/>
          <w:iCs/>
          <w:sz w:val="24"/>
          <w:lang w:val="en-US" w:eastAsia="en-US" w:bidi="en-US"/>
        </w:rPr>
        <w:t xml:space="preserve"> A recomendação de consulta aos cadastros acima se dá à luz do § 4º do  art. 91, da Lei nº 14.133, de 2021, sem prejuízo da possibilidade, a critério   do órgão respectivo, de consulta complementar a outros cadastros </w:t>
      </w:r>
      <w:r>
        <w:rPr>
          <w:rFonts w:ascii="Liberation Serif" w:hAnsi="Liberation Serif" w:eastAsia="Segoe UI"/>
          <w:i/>
          <w:iCs/>
          <w:color w:val="000000"/>
          <w:sz w:val="24"/>
          <w:lang w:val="en-US" w:eastAsia="en-US" w:bidi="en-US"/>
        </w:rPr>
        <w:t>análogos, tais como os mantidos pelo Tribunal de Contas da União – TCU.</w:t>
      </w:r>
    </w:p>
  </w:comment>
  <w:comment w:id="13" w:author="Autor" w:date="0-00-00T00:00:00Z" w:initials="A">
    <w:p>
      <w:r>
        <w:rPr>
          <w:rFonts w:ascii="Liberation Serif" w:hAnsi="Liberation Serif" w:eastAsia="Segoe UI"/>
          <w:b/>
          <w:bCs/>
          <w:color w:val="000000"/>
          <w:sz w:val="24"/>
          <w:lang w:val="en-US" w:eastAsia="en-US" w:bidi="en-US"/>
        </w:rPr>
        <w:t>Nota</w:t>
      </w:r>
      <w:r>
        <w:rPr>
          <w:rFonts w:ascii="Liberation Serif" w:hAnsi="Liberation Serif" w:eastAsia="Segoe UI"/>
          <w:color w:val="000000"/>
          <w:sz w:val="24"/>
          <w:lang w:val="en-US" w:eastAsia="en-US" w:bidi="en-US"/>
        </w:rPr>
        <w:t xml:space="preserve"> </w:t>
      </w:r>
      <w:r>
        <w:rPr>
          <w:rFonts w:ascii="Liberation Serif" w:hAnsi="Liberation Serif" w:eastAsia="Segoe UI"/>
          <w:b/>
          <w:bCs/>
          <w:color w:val="000000"/>
          <w:sz w:val="24"/>
          <w:lang w:val="en-US" w:eastAsia="en-US" w:bidi="en-US"/>
        </w:rPr>
        <w:t>explicativa</w:t>
      </w:r>
      <w:r>
        <w:rPr>
          <w:rFonts w:ascii="Liberation Serif" w:hAnsi="Liberation Serif" w:eastAsia="Segoe UI"/>
          <w:i/>
          <w:iCs/>
          <w:color w:val="000000"/>
          <w:sz w:val="24"/>
          <w:lang w:val="en-US" w:eastAsia="en-US" w:bidi="en-US"/>
        </w:rPr>
        <w:t>: De acordo com o art. 95 da Lei nº 14.133, de 2021, o termo de contrato é facultativo nas contratações fundadas no art. 75, incisos I e II (dispensa por valor) e no caso de compras com entrega imediata.</w:t>
      </w:r>
    </w:p>
    <w:p>
      <w:r>
        <w:rPr>
          <w:rFonts w:ascii="Liberation Serif" w:hAnsi="Liberation Serif" w:eastAsia="Segoe UI"/>
          <w:i/>
          <w:iCs/>
          <w:color w:val="000000"/>
          <w:sz w:val="24"/>
          <w:lang w:val="en-US" w:eastAsia="en-US" w:bidi="en-US"/>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12" w:author="Autor" w:date="0-00-00T00:00:00Z" w:initials="A">
    <w:p>
      <w:r>
        <w:rPr>
          <w:rFonts w:ascii="Liberation Serif" w:hAnsi="Liberation Serif" w:eastAsia="Segoe UI"/>
          <w:b/>
          <w:bCs/>
          <w:i/>
          <w:iCs/>
          <w:color w:val="000000"/>
          <w:sz w:val="24"/>
          <w:lang w:val="en-US" w:eastAsia="en-US" w:bidi="en-US"/>
        </w:rPr>
        <w:t xml:space="preserve">Nota </w:t>
      </w:r>
      <w:r>
        <w:rPr>
          <w:rFonts w:ascii="Liberation Serif" w:hAnsi="Liberation Serif" w:eastAsia="Segoe UI"/>
          <w:b/>
          <w:bCs/>
          <w:i/>
          <w:iCs/>
          <w:sz w:val="24"/>
          <w:lang w:val="en-US" w:eastAsia="en-US" w:bidi="en-US"/>
        </w:rPr>
        <w:t>Explicativa</w:t>
      </w:r>
      <w:r>
        <w:rPr>
          <w:rFonts w:ascii="Liberation Serif" w:hAnsi="Liberation Serif" w:eastAsia="Segoe UI"/>
          <w:b/>
          <w:bCs/>
          <w:i/>
          <w:iCs/>
          <w:color w:val="000000"/>
          <w:sz w:val="24"/>
          <w:lang w:val="en-US" w:eastAsia="en-US" w:bidi="en-US"/>
        </w:rPr>
        <w:t>:</w:t>
      </w:r>
      <w:r>
        <w:rPr>
          <w:rFonts w:ascii="Liberation Serif" w:hAnsi="Liberation Serif" w:eastAsia="Segoe UI"/>
          <w:i/>
          <w:iCs/>
          <w:color w:val="000000"/>
          <w:sz w:val="24"/>
          <w:lang w:val="en-US" w:eastAsia="en-US" w:bidi="en-US"/>
        </w:rPr>
        <w:t xml:space="preserve"> É importante que a Administração se certifique de que o Termo de Contrato, devolvido, em meio físico ou eletrônico, assinado pela Contratada, não sofreu qualquer alteração. </w:t>
      </w:r>
    </w:p>
  </w:comment>
  <w:comment w:id="14" w:author="Autor" w:date="0-00-00T00:00:00Z" w:initials="A">
    <w:p>
      <w:r>
        <w:rPr>
          <w:rFonts w:ascii="Liberation Serif" w:hAnsi="Liberation Serif" w:eastAsia="Segoe UI"/>
          <w:b/>
          <w:bCs/>
          <w:i/>
          <w:iCs/>
          <w:sz w:val="24"/>
          <w:lang w:val="en-US" w:eastAsia="en-US" w:bidi="en-US"/>
        </w:rPr>
        <w:t>Nota</w:t>
      </w:r>
      <w:r>
        <w:rPr>
          <w:rFonts w:ascii="Liberation Serif" w:hAnsi="Liberation Serif" w:eastAsia="Segoe UI"/>
          <w:i/>
          <w:iCs/>
          <w:color w:val="000000"/>
          <w:sz w:val="24"/>
          <w:lang w:val="en-US" w:eastAsia="en-US" w:bidi="en-US"/>
        </w:rPr>
        <w:t xml:space="preserve"> </w:t>
      </w:r>
      <w:r>
        <w:rPr>
          <w:rFonts w:ascii="Liberation Serif" w:hAnsi="Liberation Serif" w:eastAsia="Segoe UI"/>
          <w:b/>
          <w:bCs/>
          <w:i/>
          <w:iCs/>
          <w:sz w:val="24"/>
          <w:lang w:val="en-US" w:eastAsia="en-US" w:bidi="en-US"/>
        </w:rPr>
        <w:t>explicativa</w:t>
      </w:r>
      <w:r>
        <w:rPr>
          <w:rFonts w:ascii="Liberation Serif" w:hAnsi="Liberation Serif" w:eastAsia="Segoe UI"/>
          <w:i/>
          <w:iCs/>
          <w:color w:val="000000"/>
          <w:sz w:val="24"/>
          <w:lang w:val="en-US" w:eastAsia="en-US" w:bidi="en-US"/>
        </w:rPr>
        <w:t>: Nesse momento, deve haver a checagem da manutenção de todas as condições de habilitação, não se limitando apenas à consulta ao SICAF.</w:t>
      </w:r>
    </w:p>
  </w:comment>
  <w:comment w:id="15" w:author="Autor" w:date="0-00-00T00:00:00Z" w:initials="A">
    <w:p>
      <w:r>
        <w:rPr>
          <w:rFonts w:ascii="Liberation Serif" w:hAnsi="Liberation Serif" w:eastAsia="Segoe UI"/>
          <w:b/>
          <w:bCs/>
          <w:i/>
          <w:iCs/>
          <w:sz w:val="24"/>
          <w:lang w:val="en-US" w:eastAsia="en-US" w:bidi="en-US"/>
        </w:rPr>
        <w:t>Nota Explicativa:</w:t>
      </w:r>
      <w:r>
        <w:rPr>
          <w:rFonts w:ascii="Liberation Serif" w:hAnsi="Liberation Serif" w:eastAsia="Segoe UI"/>
          <w:i/>
          <w:iCs/>
          <w:sz w:val="24"/>
          <w:lang w:val="en-US" w:eastAsia="en-US" w:bidi="en-US"/>
        </w:rPr>
        <w:t xml:space="preserve"> Nos termos do art. 156, §3º da Lei nº 14.133, de 2021, a multa deve ser prevista em percentual entre 0,5% e 30% do valor do contrato.</w:t>
      </w:r>
    </w:p>
  </w:comment>
  <w:comment w:id="16" w:author="Autor" w:date="0-00-00T00:00:00Z" w:initials="A">
    <w:p>
      <w:r>
        <w:rPr>
          <w:rFonts w:ascii="Liberation Serif" w:hAnsi="Liberation Serif" w:eastAsia="Segoe UI"/>
          <w:b/>
          <w:bCs/>
          <w:i/>
          <w:iCs/>
          <w:color w:val="000000"/>
          <w:sz w:val="24"/>
          <w:lang w:val="en-US" w:eastAsia="en-US" w:bidi="en-US"/>
        </w:rPr>
        <w:t>Nota explicativa 1:</w:t>
      </w:r>
      <w:r>
        <w:rPr>
          <w:rFonts w:ascii="Liberation Serif" w:hAnsi="Liberation Serif" w:eastAsia="Segoe UI"/>
          <w:i/>
          <w:iCs/>
          <w:color w:val="000000"/>
          <w:sz w:val="24"/>
          <w:lang w:val="en-US" w:eastAsia="en-US" w:bidi="en-US"/>
        </w:rPr>
        <w:t xml:space="preserve"> É fundamental que a Administração observe que exigências excessivas poderão prejudicar a competitividade do processo de contratação direta e ofender o disposto no art. 37, XXI da Constituição Federal, o qual preceitua que “o processo de licitação pública [...] somente permitirá as exigências de qualificação técnica e econômica indispensáveis à garantia do cumprimento das obrigações”. Deve-se examinar, diante do caso concreto, se o objeto da contratação demanda a exigência de todos os requisitos de habilitação apresentados neste modelo, levando-se em consideração o vulto, a complexidade e a essencialidade do objeto a ser adquirido e os riscos decorrentes do seu não fornecimento em função de eventual incapacidade econômica da contratada em suportar adversidades contratuais, excluindo-se o que se entender excessivo. </w:t>
      </w:r>
    </w:p>
    <w:p>
      <w:r>
        <w:rPr>
          <w:rFonts w:ascii="Liberation Serif" w:hAnsi="Liberation Serif" w:eastAsia="Segoe UI"/>
          <w:i/>
          <w:iCs/>
          <w:color w:val="000000"/>
          <w:sz w:val="24"/>
          <w:lang w:val="en-US" w:eastAsia="en-US" w:bidi="en-US"/>
        </w:rPr>
        <w:t>Em dispensa eletrônica dividida em itens, as exigências de habilitação podem adequar-se a essa divisibilidade, sendo possível, em um mesmo aviso, a exigência de requisitos de habilitação mais amplos somente para alguns itens. Para tanto, basta acrescentar uma ressalva ao final na exigência pertinente, tal como “(exigência relativa somente aos itens ...., ...., .....)”.</w:t>
      </w:r>
    </w:p>
    <w:p>
      <w:r>
        <w:rPr>
          <w:rFonts w:ascii="Liberation Serif" w:hAnsi="Liberation Serif" w:eastAsia="Segoe UI"/>
          <w:b/>
          <w:bCs/>
          <w:i/>
          <w:iCs/>
          <w:color w:val="000000"/>
          <w:sz w:val="24"/>
          <w:lang w:val="en-US" w:eastAsia="en-US" w:bidi="en-US"/>
        </w:rPr>
        <w:t>Nota Explicativa 2:</w:t>
      </w:r>
      <w:r>
        <w:rPr>
          <w:rFonts w:ascii="Liberation Serif" w:hAnsi="Liberation Serif" w:eastAsia="Segoe UI"/>
          <w:i/>
          <w:iCs/>
          <w:color w:val="000000"/>
          <w:sz w:val="24"/>
          <w:lang w:val="en-US" w:eastAsia="en-US" w:bidi="en-US"/>
        </w:rPr>
        <w:t xml:space="preserve"> Deve-se atentar para o fato de que, conforme o art. 20 da Instrução Normativa Seges/ME n.º 67/2021, </w:t>
      </w:r>
      <w:r>
        <w:rPr>
          <w:rFonts w:ascii="Liberation Serif" w:hAnsi="Liberation Serif" w:eastAsia="Segoe UI"/>
          <w:b/>
          <w:bCs/>
          <w:i/>
          <w:iCs/>
          <w:color w:val="000000"/>
          <w:sz w:val="24"/>
          <w:lang w:val="en-US" w:eastAsia="en-US" w:bidi="en-US"/>
        </w:rPr>
        <w:t>a)</w:t>
      </w:r>
      <w:r>
        <w:rPr>
          <w:rFonts w:ascii="Liberation Serif" w:hAnsi="Liberation Serif" w:eastAsia="Segoe UI"/>
          <w:i/>
          <w:iCs/>
          <w:color w:val="000000"/>
          <w:sz w:val="24"/>
          <w:lang w:val="en-US" w:eastAsia="en-US" w:bidi="en-US"/>
        </w:rPr>
        <w:t xml:space="preserve"> no caso de contratações para entrega imediata, considerada aquela com prazo de entrega de até 30 (trinta) dias da ordem de fornecimento; </w:t>
      </w:r>
      <w:r>
        <w:rPr>
          <w:rFonts w:ascii="Liberation Serif" w:hAnsi="Liberation Serif" w:eastAsia="Segoe UI"/>
          <w:b/>
          <w:bCs/>
          <w:i/>
          <w:iCs/>
          <w:color w:val="000000"/>
          <w:sz w:val="24"/>
          <w:lang w:val="en-US" w:eastAsia="en-US" w:bidi="en-US"/>
        </w:rPr>
        <w:t>b)</w:t>
      </w:r>
      <w:r>
        <w:rPr>
          <w:rFonts w:ascii="Liberation Serif" w:hAnsi="Liberation Serif" w:eastAsia="Segoe UI"/>
          <w:i/>
          <w:iCs/>
          <w:color w:val="000000"/>
          <w:sz w:val="24"/>
          <w:lang w:val="en-US" w:eastAsia="en-US" w:bidi="en-US"/>
        </w:rPr>
        <w:t xml:space="preserve"> nas contratações com valores inferiores a 1/4 (um quarto) do limite para dispensa de licitação para compras em geral; e </w:t>
      </w:r>
      <w:r>
        <w:rPr>
          <w:rFonts w:ascii="Liberation Serif" w:hAnsi="Liberation Serif" w:eastAsia="Segoe UI"/>
          <w:b/>
          <w:bCs/>
          <w:i/>
          <w:iCs/>
          <w:color w:val="000000"/>
          <w:sz w:val="24"/>
          <w:lang w:val="en-US" w:eastAsia="en-US" w:bidi="en-US"/>
        </w:rPr>
        <w:t>c)</w:t>
      </w:r>
      <w:r>
        <w:rPr>
          <w:rFonts w:ascii="Liberation Serif" w:hAnsi="Liberation Serif" w:eastAsia="Segoe UI"/>
          <w:i/>
          <w:iCs/>
          <w:color w:val="000000"/>
          <w:sz w:val="24"/>
          <w:lang w:val="en-US" w:eastAsia="en-US" w:bidi="en-US"/>
        </w:rPr>
        <w:t xml:space="preserve"> nas contratações de produto para pesquisa e desenvolvimento de que trata a alínea “c” do inciso IV do art. 75 da Lei nº14.133, de 2021, somente será exigida das pessoas jurídicas a comprovação da regularidade fiscal federal, social e trabalhista e, das pessoas físicas, a quitação com a Fazenda Federal. </w:t>
      </w:r>
    </w:p>
    <w:p>
      <w:r>
        <w:rPr>
          <w:rFonts w:ascii="Liberation Serif" w:hAnsi="Liberation Serif" w:eastAsia="Segoe UI"/>
          <w:i/>
          <w:iCs/>
          <w:color w:val="000000"/>
          <w:sz w:val="24"/>
          <w:lang w:val="en-US" w:eastAsia="en-US" w:bidi="en-US"/>
        </w:rPr>
        <w:t xml:space="preserve">Nas situações acima, as exigências de habilitação previstas neste Aviso de Contratação Direta deverão ser adequadas às previsões normativas mencionadas. </w:t>
      </w:r>
    </w:p>
  </w:comment>
  <w:comment w:id="17"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r>
        <w:rPr>
          <w:rFonts w:ascii="Liberation Serif" w:hAnsi="Liberation Serif" w:eastAsia="Segoe UI"/>
          <w:i/>
          <w:iCs/>
          <w:color w:val="000000"/>
          <w:sz w:val="24"/>
          <w:lang w:val="en-US" w:eastAsia="en-US" w:bidi="en-US"/>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18" w:author="Autor" w:date="0-00-00T00:00:00Z" w:initials="A">
    <w:p>
      <w:r>
        <w:rPr>
          <w:rFonts w:ascii="Liberation Serif" w:hAnsi="Liberation Serif" w:eastAsia="Segoe UI"/>
          <w:b/>
          <w:bCs/>
          <w:i/>
          <w:iCs/>
          <w:sz w:val="24"/>
          <w:lang w:val="en-US" w:eastAsia="en-US" w:bidi="en-US"/>
        </w:rPr>
        <w:t xml:space="preserve">Nota Explicativa: </w:t>
      </w:r>
      <w:r>
        <w:rPr>
          <w:rFonts w:ascii="Liberation Serif" w:hAnsi="Liberation Serif" w:eastAsia="Segoe UI"/>
          <w:i/>
          <w:iCs/>
          <w:color w:val="000000"/>
          <w:sz w:val="24"/>
          <w:lang w:val="en-US" w:eastAsia="en-US" w:bidi="en-US"/>
        </w:rPr>
        <w:t>A apresentação do Certificado de Condição de Microempreendedor Individual – CCMEI supre as exigências de inscrição nos cadastros fiscais, na medida em que essas informações constam no próprio Certificado.</w:t>
      </w:r>
    </w:p>
  </w:comment>
  <w:comment w:id="19"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O artigo 193 do CTN preceitua que a prova da quitação de todos os tributos devidos dar-se-á no âmbito da Fazenda Pública </w:t>
      </w:r>
      <w:r>
        <w:rPr>
          <w:rFonts w:ascii="Liberation Serif" w:hAnsi="Liberation Serif" w:eastAsia="Segoe UI"/>
          <w:b/>
          <w:bCs/>
          <w:i/>
          <w:iCs/>
          <w:color w:val="000000"/>
          <w:sz w:val="24"/>
          <w:lang w:val="en-US" w:eastAsia="en-US" w:bidi="en-US"/>
        </w:rPr>
        <w:t>interessada</w:t>
      </w:r>
      <w:r>
        <w:rPr>
          <w:rFonts w:ascii="Liberation Serif" w:hAnsi="Liberation Serif" w:eastAsia="Segoe UI"/>
          <w:i/>
          <w:iCs/>
          <w:color w:val="000000"/>
          <w:sz w:val="24"/>
          <w:lang w:val="en-US" w:eastAsia="en-US" w:bidi="en-US"/>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20" w:author="Autor" w:date="0-00-00T00:00:00Z" w:initials="A">
    <w:p>
      <w:r>
        <w:rPr>
          <w:rFonts w:ascii="Liberation Serif" w:hAnsi="Liberation Serif" w:eastAsia="Segoe UI"/>
          <w:b/>
          <w:bCs/>
          <w:color w:val="000000"/>
          <w:sz w:val="24"/>
          <w:lang w:val="en-US" w:eastAsia="en-US" w:bidi="en-US"/>
        </w:rPr>
        <w:t xml:space="preserve">Nota Explicativa: </w:t>
      </w:r>
      <w:r>
        <w:rPr>
          <w:rFonts w:ascii="Liberation Serif" w:hAnsi="Liberation Serif" w:eastAsia="Segoe UI"/>
          <w:color w:val="000000"/>
          <w:sz w:val="24"/>
          <w:lang w:val="en-US" w:eastAsia="en-US" w:bidi="en-US"/>
        </w:rPr>
        <w:t>Incluir este subitem nas situações em que o Termo de Referência tiver considerado a avaliação prévia do local de execução do serviço imprescindível para o conhecimento pleno das condições e peculiaridades do objeto a ser contratado, nos termos dos arts. 63, §§ 2º e 3º, da Lei nº 14.133/21. </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Liberation Sans">
    <w:altName w:val="Arial"/>
    <w:charset w:val="00"/>
    <w:family w:val="swiss"/>
    <w:pitch w:val="variable"/>
  </w:font>
  <w:font w:name="Calibri Light">
    <w:charset w:val="00"/>
    <w:family w:val="swiss"/>
    <w:pitch w:val="variable"/>
  </w:font>
  <w:font w:name="Helvetica">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sz w:val="12"/>
        <w:szCs w:val="12"/>
      </w:rPr>
    </w:pPr>
    <w:r>
      <w:rPr>
        <w:sz w:val="12"/>
        <w:szCs w:val="12"/>
      </w:rPr>
    </w:r>
  </w:p>
  <w:p>
    <w:pPr>
      <w:pStyle w:val="Normal"/>
      <w:tabs>
        <w:tab w:val="clear" w:pos="708"/>
        <w:tab w:val="center" w:pos="4550" w:leader="none"/>
        <w:tab w:val="left" w:pos="5818" w:leader="none"/>
      </w:tabs>
      <w:ind w:right="260" w:hanging="0"/>
      <w:jc w:val="right"/>
      <w:rPr>
        <w:color w:val="222A35" w:themeColor="text2" w:themeShade="80"/>
        <w:sz w:val="18"/>
        <w:szCs w:val="18"/>
      </w:rPr>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rPr>
        <w:sz w:val="18"/>
        <w:szCs w:val="18"/>
        <w:color w:val="323E4F"/>
      </w:rPr>
      <w:instrText xml:space="preserve"> PAGE </w:instrText>
    </w:r>
    <w:r>
      <w:rPr>
        <w:sz w:val="18"/>
        <w:szCs w:val="18"/>
        <w:color w:val="323E4F"/>
      </w:rPr>
      <w:fldChar w:fldCharType="separate"/>
    </w:r>
    <w:r>
      <w:rPr>
        <w:sz w:val="18"/>
        <w:szCs w:val="18"/>
        <w:color w:val="323E4F"/>
      </w:rPr>
      <w:t>16</w:t>
    </w:r>
    <w:r>
      <w:rPr>
        <w:sz w:val="18"/>
        <w:szCs w:val="18"/>
        <w:color w:val="323E4F"/>
      </w:rPr>
      <w:fldChar w:fldCharType="end"/>
    </w:r>
    <w:r>
      <w:rPr>
        <w:color w:val="323E4F" w:themeColor="text2" w:themeShade="bf"/>
        <w:sz w:val="18"/>
        <w:szCs w:val="18"/>
      </w:rPr>
      <w:t xml:space="preserve"> | </w:t>
    </w:r>
    <w:r>
      <w:rPr>
        <w:color w:val="323E4F" w:themeColor="text2" w:themeShade="bf"/>
        <w:sz w:val="18"/>
        <w:szCs w:val="18"/>
      </w:rPr>
      <w:fldChar w:fldCharType="begin"/>
    </w:r>
    <w:r>
      <w:rPr>
        <w:sz w:val="18"/>
        <w:szCs w:val="18"/>
        <w:color w:val="323E4F"/>
      </w:rPr>
      <w:instrText xml:space="preserve"> NUMPAGES \* ARABIC </w:instrText>
    </w:r>
    <w:r>
      <w:rPr>
        <w:sz w:val="18"/>
        <w:szCs w:val="18"/>
        <w:color w:val="323E4F"/>
      </w:rPr>
      <w:fldChar w:fldCharType="separate"/>
    </w:r>
    <w:r>
      <w:rPr>
        <w:sz w:val="18"/>
        <w:szCs w:val="18"/>
        <w:color w:val="323E4F"/>
      </w:rPr>
      <w:t>16</w:t>
    </w:r>
    <w:r>
      <w:rPr>
        <w:sz w:val="18"/>
        <w:szCs w:val="18"/>
        <w:color w:val="323E4F"/>
      </w:rPr>
      <w:fldChar w:fldCharType="end"/>
    </w:r>
  </w:p>
  <w:p>
    <w:pPr>
      <w:pStyle w:val="Rodap"/>
      <w:rPr>
        <w:sz w:val="12"/>
        <w:szCs w:val="12"/>
      </w:rPr>
    </w:pPr>
    <w:r>
      <w:rPr>
        <w:sz w:val="12"/>
        <w:szCs w:val="12"/>
      </w:rPr>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novembro/2022</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novembro/2022)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p>
    <w:pPr>
      <w:pStyle w:val="Cabealho"/>
      <w:rPr/>
    </w:pPr>
    <w:r>
      <w:rPr/>
    </w:r>
  </w:p>
  <w:p>
    <w:pPr>
      <w:pStyle w:val="Cabealho"/>
      <w:rPr/>
    </w:pPr>
    <w:r>
      <w:rPr/>
    </w:r>
  </w:p>
  <w:p>
    <w:pPr>
      <w:pStyle w:val="Normal"/>
      <w:jc w:val="right"/>
      <w:rPr>
        <w:rFonts w:cs="Arial"/>
        <w:b/>
        <w:b/>
        <w:bCs/>
        <w:color w:val="5B5B5F"/>
        <w:sz w:val="28"/>
        <w:szCs w:val="28"/>
      </w:rPr>
    </w:pPr>
    <w:r>
      <w:rPr/>
      <w:t xml:space="preserve">AVISO DE CONTRATAÇÃO DIRETA Nº </w:t>
    </w:r>
    <w:r>
      <w:rPr>
        <w:rFonts w:cs="Arial"/>
        <w:bCs/>
        <w:color w:val="5B5B5F"/>
        <w:sz w:val="28"/>
        <w:szCs w:val="28"/>
      </w:rPr>
      <w:t>00</w:t>
    </w:r>
    <w:r>
      <w:rPr>
        <w:rFonts w:cs="Arial"/>
        <w:bCs/>
        <w:color w:val="5B5B5F"/>
        <w:sz w:val="28"/>
        <w:szCs w:val="28"/>
      </w:rPr>
      <w:t>007</w:t>
    </w:r>
    <w:r>
      <w:rPr>
        <w:rFonts w:cs="Arial"/>
        <w:bCs/>
        <w:color w:val="5B5B5F"/>
        <w:sz w:val="28"/>
        <w:szCs w:val="28"/>
      </w:rPr>
      <w:t>/202</w:t>
    </w:r>
    <w:r>
      <w:rPr>
        <w:rFonts w:cs="Arial"/>
        <w:bCs/>
        <w:color w:val="5B5B5F"/>
        <w:sz w:val="28"/>
        <w:szCs w:val="28"/>
      </w:rPr>
      <w:t>3</w:t>
    </w:r>
  </w:p>
  <w:p>
    <w:pPr>
      <w:pStyle w:val="Cabealho"/>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
          <wp:simplePos x="0" y="0"/>
          <wp:positionH relativeFrom="column">
            <wp:posOffset>-1080135</wp:posOffset>
          </wp:positionH>
          <wp:positionV relativeFrom="paragraph">
            <wp:posOffset>635</wp:posOffset>
          </wp:positionV>
          <wp:extent cx="7560310" cy="10692765"/>
          <wp:effectExtent l="0" t="0" r="0" b="0"/>
          <wp:wrapNone/>
          <wp:docPr id="1"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6031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4"/>
      <w:numFmt w:val="decimal"/>
      <w:lvlText w:val="%1"/>
      <w:lvlJc w:val="left"/>
      <w:pPr>
        <w:tabs>
          <w:tab w:val="num" w:pos="0"/>
        </w:tabs>
        <w:ind w:left="435" w:hanging="435"/>
      </w:pPr>
      <w:rPr/>
    </w:lvl>
    <w:lvl w:ilvl="1">
      <w:start w:val="4"/>
      <w:numFmt w:val="decimal"/>
      <w:lvlText w:val="%1.%2"/>
      <w:lvlJc w:val="left"/>
      <w:pPr>
        <w:tabs>
          <w:tab w:val="num" w:pos="0"/>
        </w:tabs>
        <w:ind w:left="1002" w:hanging="435"/>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3">
    <w:lvl w:ilvl="0">
      <w:start w:val="1"/>
      <w:numFmt w:val="decimal"/>
      <w:lvlText w:val="%1."/>
      <w:lvlJc w:val="left"/>
      <w:pPr>
        <w:tabs>
          <w:tab w:val="num" w:pos="0"/>
        </w:tabs>
        <w:ind w:left="502" w:hanging="360"/>
      </w:pPr>
      <w:rPr>
        <w:dstrike w:val="false"/>
        <w:strike w:val="false"/>
        <w:i w:val="false"/>
        <w:b/>
      </w:rPr>
    </w:lvl>
    <w:lvl w:ilvl="1">
      <w:start w:val="1"/>
      <w:numFmt w:val="decimal"/>
      <w:lvlText w:val="%1.%2."/>
      <w:lvlJc w:val="left"/>
      <w:pPr>
        <w:tabs>
          <w:tab w:val="num" w:pos="0"/>
        </w:tabs>
        <w:ind w:left="858" w:hanging="432"/>
      </w:pPr>
      <w:rPr>
        <w:dstrike w:val="false"/>
        <w:strike w:val="false"/>
        <w:b w:val="false"/>
      </w:rPr>
    </w:lvl>
    <w:lvl w:ilvl="2">
      <w:start w:val="1"/>
      <w:numFmt w:val="decimal"/>
      <w:lvlText w:val="%1.%2.%3."/>
      <w:lvlJc w:val="left"/>
      <w:pPr>
        <w:tabs>
          <w:tab w:val="num" w:pos="0"/>
        </w:tabs>
        <w:ind w:left="1224" w:hanging="504"/>
      </w:pPr>
      <w:rPr>
        <w:dstrike w:val="false"/>
        <w:strike w:val="false"/>
        <w:i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4053"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lowerLetter"/>
      <w:lvlText w:val="%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decimal"/>
      <w:lvlText w:val="%1"/>
      <w:lvlJc w:val="left"/>
      <w:pPr>
        <w:tabs>
          <w:tab w:val="num" w:pos="0"/>
        </w:tabs>
        <w:ind w:left="360" w:hanging="360"/>
      </w:pPr>
      <w:rPr>
        <w:i w:val="false"/>
        <w:b w:val="false"/>
        <w:iCs w:val="false"/>
        <w:bCs/>
        <w:rFonts w:eastAsia="WenQuanYi Micro Hei"/>
        <w:color w:val="auto"/>
      </w:rPr>
    </w:lvl>
    <w:lvl w:ilvl="1">
      <w:start w:val="1"/>
      <w:numFmt w:val="decimal"/>
      <w:lvlText w:val="%1.%2"/>
      <w:lvlJc w:val="left"/>
      <w:pPr>
        <w:tabs>
          <w:tab w:val="num" w:pos="0"/>
        </w:tabs>
        <w:ind w:left="1145" w:hanging="360"/>
      </w:pPr>
      <w:rPr>
        <w:i w:val="false"/>
        <w:b w:val="false"/>
        <w:iCs w:val="false"/>
        <w:bCs/>
        <w:rFonts w:ascii="Arial" w:hAnsi="Arial" w:eastAsia="WenQuanYi Micro Hei" w:cs="Arial"/>
        <w:color w:val="auto"/>
      </w:rPr>
    </w:lvl>
    <w:lvl w:ilvl="2">
      <w:start w:val="1"/>
      <w:numFmt w:val="decimal"/>
      <w:lvlText w:val="%1.%2.%3"/>
      <w:lvlJc w:val="left"/>
      <w:pPr>
        <w:tabs>
          <w:tab w:val="num" w:pos="0"/>
        </w:tabs>
        <w:ind w:left="2290" w:hanging="720"/>
      </w:pPr>
      <w:rPr>
        <w:dstrike w:val="false"/>
        <w:strike w:val="false"/>
        <w:sz w:val="20"/>
        <w:i w:val="false"/>
        <w:u w:val="none"/>
        <w:b w:val="false"/>
        <w:effect w:val="none"/>
        <w:szCs w:val="20"/>
        <w:bCs/>
        <w:rFonts w:ascii="Arial" w:hAnsi="Arial" w:eastAsia="WenQuanYi Micro Hei" w:cs="Arial"/>
        <w:color w:val="000000"/>
      </w:rPr>
    </w:lvl>
    <w:lvl w:ilvl="3">
      <w:start w:val="1"/>
      <w:numFmt w:val="decimal"/>
      <w:lvlText w:val="%1.%2.%3.%4"/>
      <w:lvlJc w:val="left"/>
      <w:pPr>
        <w:tabs>
          <w:tab w:val="num" w:pos="0"/>
        </w:tabs>
        <w:ind w:left="3075" w:hanging="720"/>
      </w:pPr>
      <w:rPr>
        <w:i w:val="false"/>
        <w:b w:val="false"/>
        <w:rFonts w:eastAsia="WenQuanYi Micro Hei"/>
        <w:color w:val="000000"/>
      </w:rPr>
    </w:lvl>
    <w:lvl w:ilvl="4">
      <w:start w:val="1"/>
      <w:numFmt w:val="decimal"/>
      <w:lvlText w:val="%1.%2.%3.%4.%5"/>
      <w:lvlJc w:val="left"/>
      <w:pPr>
        <w:tabs>
          <w:tab w:val="num" w:pos="0"/>
        </w:tabs>
        <w:ind w:left="4220" w:hanging="1080"/>
      </w:pPr>
      <w:rPr>
        <w:i w:val="false"/>
        <w:b w:val="false"/>
        <w:rFonts w:eastAsia="WenQuanYi Micro Hei"/>
        <w:color w:val="000000"/>
      </w:rPr>
    </w:lvl>
    <w:lvl w:ilvl="5">
      <w:start w:val="1"/>
      <w:numFmt w:val="decimal"/>
      <w:lvlText w:val="%1.%2.%3.%4.%5.%6"/>
      <w:lvlJc w:val="left"/>
      <w:pPr>
        <w:tabs>
          <w:tab w:val="num" w:pos="0"/>
        </w:tabs>
        <w:ind w:left="5005" w:hanging="1080"/>
      </w:pPr>
      <w:rPr>
        <w:i w:val="false"/>
        <w:b/>
        <w:rFonts w:eastAsia="WenQuanYi Micro Hei"/>
        <w:color w:val="000000"/>
      </w:rPr>
    </w:lvl>
    <w:lvl w:ilvl="6">
      <w:start w:val="1"/>
      <w:numFmt w:val="decimal"/>
      <w:lvlText w:val="%1.%2.%3.%4.%5.%6.%7"/>
      <w:lvlJc w:val="left"/>
      <w:pPr>
        <w:tabs>
          <w:tab w:val="num" w:pos="0"/>
        </w:tabs>
        <w:ind w:left="6150" w:hanging="1440"/>
      </w:pPr>
      <w:rPr>
        <w:i w:val="false"/>
        <w:b/>
        <w:rFonts w:eastAsia="WenQuanYi Micro Hei"/>
        <w:color w:val="000000"/>
      </w:rPr>
    </w:lvl>
    <w:lvl w:ilvl="7">
      <w:start w:val="1"/>
      <w:numFmt w:val="decimal"/>
      <w:lvlText w:val="%1.%2.%3.%4.%5.%6.%7.%8"/>
      <w:lvlJc w:val="left"/>
      <w:pPr>
        <w:tabs>
          <w:tab w:val="num" w:pos="0"/>
        </w:tabs>
        <w:ind w:left="6935" w:hanging="1440"/>
      </w:pPr>
      <w:rPr>
        <w:i w:val="false"/>
        <w:b/>
        <w:rFonts w:eastAsia="WenQuanYi Micro Hei"/>
        <w:color w:val="000000"/>
      </w:rPr>
    </w:lvl>
    <w:lvl w:ilvl="8">
      <w:start w:val="1"/>
      <w:numFmt w:val="decimal"/>
      <w:lvlText w:val="%1.%2.%3.%4.%5.%6.%7.%8.%9"/>
      <w:lvlJc w:val="left"/>
      <w:pPr>
        <w:tabs>
          <w:tab w:val="num" w:pos="0"/>
        </w:tabs>
        <w:ind w:left="8080" w:hanging="1800"/>
      </w:pPr>
      <w:rPr>
        <w:i w:val="false"/>
        <w:b/>
        <w:rFonts w:eastAsia="WenQuanYi Micro Hei"/>
        <w:color w:val="000000"/>
      </w:rPr>
    </w:lvl>
  </w:abstractNum>
  <w:abstractNum w:abstractNumId="7">
    <w:lvl w:ilvl="0">
      <w:start w:val="1"/>
      <w:numFmt w:val="decimal"/>
      <w:lvlText w:val="%1."/>
      <w:lvlJc w:val="left"/>
      <w:pPr>
        <w:tabs>
          <w:tab w:val="num" w:pos="0"/>
        </w:tabs>
        <w:ind w:left="1865" w:hanging="360"/>
      </w:pPr>
      <w:rPr/>
    </w:lvl>
    <w:lvl w:ilvl="1">
      <w:start w:val="1"/>
      <w:numFmt w:val="lowerLetter"/>
      <w:lvlText w:val="%2."/>
      <w:lvlJc w:val="left"/>
      <w:pPr>
        <w:tabs>
          <w:tab w:val="num" w:pos="0"/>
        </w:tabs>
        <w:ind w:left="2585" w:hanging="360"/>
      </w:pPr>
      <w:rPr/>
    </w:lvl>
    <w:lvl w:ilvl="2">
      <w:start w:val="1"/>
      <w:numFmt w:val="lowerRoman"/>
      <w:lvlText w:val="%3."/>
      <w:lvlJc w:val="right"/>
      <w:pPr>
        <w:tabs>
          <w:tab w:val="num" w:pos="0"/>
        </w:tabs>
        <w:ind w:left="3305" w:hanging="180"/>
      </w:pPr>
      <w:rPr/>
    </w:lvl>
    <w:lvl w:ilvl="3">
      <w:start w:val="1"/>
      <w:numFmt w:val="decimal"/>
      <w:lvlText w:val="%4."/>
      <w:lvlJc w:val="left"/>
      <w:pPr>
        <w:tabs>
          <w:tab w:val="num" w:pos="0"/>
        </w:tabs>
        <w:ind w:left="4025" w:hanging="360"/>
      </w:pPr>
      <w:rPr/>
    </w:lvl>
    <w:lvl w:ilvl="4">
      <w:start w:val="1"/>
      <w:numFmt w:val="lowerLetter"/>
      <w:lvlText w:val="%5."/>
      <w:lvlJc w:val="left"/>
      <w:pPr>
        <w:tabs>
          <w:tab w:val="num" w:pos="0"/>
        </w:tabs>
        <w:ind w:left="4745" w:hanging="360"/>
      </w:pPr>
      <w:rPr/>
    </w:lvl>
    <w:lvl w:ilvl="5">
      <w:start w:val="1"/>
      <w:numFmt w:val="lowerRoman"/>
      <w:lvlText w:val="%6."/>
      <w:lvlJc w:val="right"/>
      <w:pPr>
        <w:tabs>
          <w:tab w:val="num" w:pos="0"/>
        </w:tabs>
        <w:ind w:left="5465" w:hanging="180"/>
      </w:pPr>
      <w:rPr/>
    </w:lvl>
    <w:lvl w:ilvl="6">
      <w:start w:val="1"/>
      <w:numFmt w:val="decimal"/>
      <w:lvlText w:val="%7."/>
      <w:lvlJc w:val="left"/>
      <w:pPr>
        <w:tabs>
          <w:tab w:val="num" w:pos="0"/>
        </w:tabs>
        <w:ind w:left="6185" w:hanging="360"/>
      </w:pPr>
      <w:rPr/>
    </w:lvl>
    <w:lvl w:ilvl="7">
      <w:start w:val="1"/>
      <w:numFmt w:val="lowerLetter"/>
      <w:lvlText w:val="%8."/>
      <w:lvlJc w:val="left"/>
      <w:pPr>
        <w:tabs>
          <w:tab w:val="num" w:pos="0"/>
        </w:tabs>
        <w:ind w:left="6905" w:hanging="360"/>
      </w:pPr>
      <w:rPr/>
    </w:lvl>
    <w:lvl w:ilvl="8">
      <w:start w:val="1"/>
      <w:numFmt w:val="lowerRoman"/>
      <w:lvlText w:val="%9."/>
      <w:lvlJc w:val="right"/>
      <w:pPr>
        <w:tabs>
          <w:tab w:val="num" w:pos="0"/>
        </w:tabs>
        <w:ind w:left="7625"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eastAsia="pt-BR" w:val="pt-BR" w:bidi="ar-SA"/>
    </w:rPr>
  </w:style>
  <w:style w:type="paragraph" w:styleId="Ttulo1">
    <w:name w:val="Heading 1"/>
    <w:basedOn w:val="PADRO"/>
    <w:next w:val="Normal"/>
    <w:link w:val="Ttulo1Char"/>
    <w:uiPriority w:val="9"/>
    <w:qFormat/>
    <w:rsid w:val="00781aff"/>
    <w:pPr>
      <w:keepNext w:val="false"/>
      <w:widowControl/>
      <w:numPr>
        <w:ilvl w:val="0"/>
        <w:numId w:val="1"/>
      </w:numPr>
      <w:shd w:val="clear" w:color="auto" w:fill="auto"/>
      <w:spacing w:before="120" w:after="120"/>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781aff"/>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c074da"/>
    <w:rPr>
      <w:rFonts w:ascii="Arial" w:hAnsi="Arial" w:eastAsia="" w:cs="Times New Roman" w:eastAsiaTheme="majorEastAsia"/>
      <w:b w:val="false"/>
      <w:bCs/>
      <w:color w:val="000000"/>
      <w:sz w:val="20"/>
      <w:szCs w:val="20"/>
      <w:lang w:eastAsia="pt-BR"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c074da"/>
    <w:rPr>
      <w:sz w:val="16"/>
      <w:szCs w:val="16"/>
    </w:rPr>
  </w:style>
  <w:style w:type="character" w:styleId="TextodecomentrioChar" w:customStyle="1">
    <w:name w:val="Texto de comentário Char"/>
    <w:basedOn w:val="DefaultParagraphFont"/>
    <w:link w:val="Annotationtex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LinkdaInternet">
    <w:name w:val="Hyperlink"/>
    <w:basedOn w:val="DefaultParagraphFont"/>
    <w:uiPriority w:val="99"/>
    <w:unhideWhenUsed/>
    <w:rsid w:val="00c074da"/>
    <w:rPr>
      <w:color w:val="0563C1" w:themeColor="hyperlink"/>
      <w:u w:val="single"/>
    </w:rPr>
  </w:style>
  <w:style w:type="character" w:styleId="Nivel4Char" w:customStyle="1">
    <w:name w:val="Nivel 4 Char"/>
    <w:basedOn w:val="DefaultParagraphFont"/>
    <w:link w:val="Nivel4"/>
    <w:qFormat/>
    <w:rsid w:val="00c074da"/>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Linkdainternetvisitado">
    <w:name w:val="FollowedHyperlink"/>
    <w:basedOn w:val="DefaultParagraphFont"/>
    <w:uiPriority w:val="99"/>
    <w:semiHidden/>
    <w:unhideWhenUsed/>
    <w:rsid w:val="00a47c33"/>
    <w:rPr>
      <w:color w:val="954F72" w:themeColor="followedHyperlink"/>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val="404040" w:themeColor="text1" w:themeTint="bf"/>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val="538135" w:themeColor="accent6" w:themeShade="bf"/>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Vnculodendice">
    <w:name w:val="Vínculo de índice"/>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rsid w:val="00c074da"/>
    <w:pPr>
      <w:spacing w:lineRule="auto" w:line="276" w:before="0" w:after="140"/>
    </w:pPr>
    <w:rPr/>
  </w:style>
  <w:style w:type="paragraph" w:styleId="Lista">
    <w:name w:val="List"/>
    <w:basedOn w:val="Corpodotexto"/>
    <w:rsid w:val="00c074da"/>
    <w:pPr/>
    <w:rPr>
      <w:rFonts w:cs="Free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rsid w:val="00c074da"/>
    <w:pPr>
      <w:suppressLineNumbers/>
    </w:pPr>
    <w:rPr>
      <w:rFonts w:cs="FreeSans"/>
    </w:rPr>
  </w:style>
  <w:style w:type="paragraph" w:styleId="Ttulododocumento">
    <w:name w:val="Title"/>
    <w:basedOn w:val="Normal"/>
    <w:next w:val="Corpodotexto"/>
    <w:link w:val="TtuloChar"/>
    <w:qFormat/>
    <w:rsid w:val="00c074da"/>
    <w:pPr>
      <w:keepNext w:val="true"/>
      <w:spacing w:before="240" w:after="120"/>
    </w:pPr>
    <w:rPr>
      <w:rFonts w:ascii="Liberation Sans" w:hAnsi="Liberation Sans" w:eastAsia="Noto Sans CJK SC" w:cs="FreeSans"/>
      <w:sz w:val="28"/>
      <w:szCs w:val="28"/>
    </w:rPr>
  </w:style>
  <w:style w:type="paragraph" w:styleId="Caption">
    <w:name w:val="caption"/>
    <w:basedOn w:val="Normal"/>
    <w:qFormat/>
    <w:rsid w:val="00c074da"/>
    <w:pPr>
      <w:suppressLineNumbers/>
      <w:spacing w:before="120" w:after="120"/>
    </w:pPr>
    <w:rPr>
      <w:rFonts w:cs="FreeSans"/>
      <w:i/>
      <w:iCs/>
      <w:sz w:val="24"/>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c074da"/>
    <w:pPr>
      <w:numPr>
        <w:ilvl w:val="0"/>
        <w:numId w:val="0"/>
      </w:numPr>
      <w:spacing w:before="480" w:after="120"/>
      <w:ind w:right="-15" w:hanging="0"/>
    </w:pPr>
    <w:rPr>
      <w:rFonts w:cs="Times New Roman"/>
      <w:b w:val="false"/>
      <w:bCs/>
      <w:color w:val="000000"/>
      <w:szCs w:val="20"/>
    </w:rPr>
  </w:style>
  <w:style w:type="paragraph" w:styleId="PADRO" w:customStyle="1">
    <w:name w:val="PADRÃO"/>
    <w:qFormat/>
    <w:rsid w:val="00c074da"/>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eastAsia="zh-CN" w:bidi="hi-IN" w:val="pt-BR"/>
    </w:rPr>
  </w:style>
  <w:style w:type="paragraph" w:styleId="ListParagraph">
    <w:name w:val="List Paragraph"/>
    <w:basedOn w:val="Normal"/>
    <w:uiPriority w:val="34"/>
    <w:qFormat/>
    <w:rsid w:val="00c074da"/>
    <w:pPr>
      <w:spacing w:before="0" w:after="0"/>
      <w:ind w:left="720" w:hanging="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Ttulo1"/>
    <w:qFormat/>
    <w:rsid w:val="00c074da"/>
    <w:pPr>
      <w:numPr>
        <w:ilvl w:val="0"/>
        <w:numId w:val="0"/>
      </w:numPr>
      <w:spacing w:before="480" w:after="120"/>
      <w:ind w:left="644" w:hanging="0"/>
    </w:pPr>
    <w:rPr>
      <w:rFonts w:cs="Times New Roman"/>
      <w:b w:val="false"/>
      <w:color w:val="000000"/>
      <w:szCs w:val="20"/>
    </w:rPr>
  </w:style>
  <w:style w:type="paragraph" w:styleId="Nivel2" w:customStyle="1">
    <w:name w:val="Nivel 2"/>
    <w:qFormat/>
    <w:rsid w:val="00c074da"/>
    <w:pPr>
      <w:widowControl/>
      <w:numPr>
        <w:ilvl w:val="0"/>
        <w:numId w:val="3"/>
      </w:numPr>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eastAsia="pt-BR" w:val="pt-BR" w:bidi="ar-SA"/>
    </w:rPr>
  </w:style>
  <w:style w:type="paragraph" w:styleId="Nivel11" w:customStyle="1">
    <w:name w:val="Nivel 1"/>
    <w:basedOn w:val="Nivel2"/>
    <w:next w:val="Nivel2"/>
    <w:qFormat/>
    <w:rsid w:val="00c074da"/>
    <w:pPr/>
    <w:rPr>
      <w:rFonts w:cs="Arial"/>
      <w:b/>
    </w:rPr>
  </w:style>
  <w:style w:type="paragraph" w:styleId="Nivel3" w:customStyle="1">
    <w:name w:val="Nivel 3"/>
    <w:basedOn w:val="Nivel2"/>
    <w:qFormat/>
    <w:rsid w:val="00c074da"/>
    <w:pPr/>
    <w:rPr>
      <w:rFonts w:cs="Arial"/>
      <w:color w:val="000000"/>
    </w:rPr>
  </w:style>
  <w:style w:type="paragraph" w:styleId="Nivel4" w:customStyle="1">
    <w:name w:val="Nivel 4"/>
    <w:basedOn w:val="Nivel3"/>
    <w:link w:val="Nivel4Char"/>
    <w:qFormat/>
    <w:rsid w:val="00c074da"/>
    <w:pPr/>
    <w:rPr>
      <w:color w:val="auto"/>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
    <w:name w:val="Header"/>
    <w:basedOn w:val="Normal"/>
    <w:link w:val="CabealhoChar"/>
    <w:uiPriority w:val="99"/>
    <w:unhideWhenUsed/>
    <w:rsid w:val="00c074da"/>
    <w:pPr>
      <w:tabs>
        <w:tab w:val="clear" w:pos="708"/>
        <w:tab w:val="center" w:pos="4252" w:leader="none"/>
        <w:tab w:val="right" w:pos="8504" w:leader="none"/>
      </w:tabs>
    </w:pPr>
    <w:rPr/>
  </w:style>
  <w:style w:type="paragraph" w:styleId="Rodap">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Ttulo1"/>
    <w:next w:val="Normal"/>
    <w:qFormat/>
    <w:rsid w:val="00c074da"/>
    <w:pPr>
      <w:numPr>
        <w:ilvl w:val="0"/>
        <w:numId w:val="0"/>
      </w:numPr>
      <w:tabs>
        <w:tab w:val="clear" w:pos="708"/>
        <w:tab w:val="left" w:pos="360" w:leader="none"/>
        <w:tab w:val="left" w:pos="567" w:leader="none"/>
      </w:tabs>
      <w:ind w:firstLine="567"/>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eastAsia="pt-BR" w:val="pt-BR" w:bidi="ar-SA"/>
    </w:rPr>
  </w:style>
  <w:style w:type="paragraph" w:styleId="Ttulodondicealfabtico">
    <w:name w:val="Index Heading"/>
    <w:basedOn w:val="Ttulo"/>
    <w:pPr/>
    <w:rPr/>
  </w:style>
  <w:style w:type="paragraph" w:styleId="Ttulodosumrio">
    <w:name w:val="TOC Heading"/>
    <w:basedOn w:val="Ttulo1"/>
    <w:next w:val="Normal"/>
    <w:uiPriority w:val="39"/>
    <w:unhideWhenUsed/>
    <w:qFormat/>
    <w:rsid w:val="00781aff"/>
    <w:pPr>
      <w:keepNext w:val="true"/>
      <w:keepLines/>
      <w:numPr>
        <w:ilvl w:val="0"/>
        <w:numId w:val="0"/>
      </w:numPr>
      <w:suppressAutoHyphens w:val="false"/>
      <w:spacing w:lineRule="auto" w:line="259" w:before="240" w:after="0"/>
      <w:ind w:firstLine="567"/>
      <w:jc w:val="left"/>
      <w:textAlignment w:val="auto"/>
      <w:outlineLvl w:val="9"/>
    </w:pPr>
    <w:rPr>
      <w:rFonts w:ascii="Calibri Light" w:hAnsi="Calibri Light" w:eastAsia="" w:cs="Times New Roman" w:asciiTheme="majorHAnsi" w:cstheme="majorBidi" w:eastAsiaTheme="majorEastAsia" w:hAnsiTheme="majorHAnsi"/>
      <w:b w:val="false"/>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before="0" w:after="100"/>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omments.xml.rels><?xml version="1.0" encoding="UTF-8"?>
<Relationships xmlns="http://schemas.openxmlformats.org/package/2006/relationships"><Relationship Id="rId1" Type="http://schemas.openxmlformats.org/officeDocument/2006/relationships/hyperlink" Target="https://www.gov.br/compras/pt-br/acesso-a-informacao/manuais/dispensa-eletronica/ManualNovoDispensaEletrnica28.01.2022.pdf" TargetMode="External"/><Relationship Id="rId2" Type="http://schemas.openxmlformats.org/officeDocument/2006/relationships/hyperlink" Target="mailto:cgu.modeloscontratacao@agu.gov.br" TargetMode="External"/>
</Relationship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s://www3.comprasnet.gov.br/sicaf-web/index.jsf" TargetMode="External"/><Relationship Id="rId9" Type="http://schemas.openxmlformats.org/officeDocument/2006/relationships/hyperlink" Target="https://portaldatransparencia.gov.br/sancoes/consulta?cadastro=1%2C2" TargetMode="External"/><Relationship Id="rId10" Type="http://schemas.openxmlformats.org/officeDocument/2006/relationships/hyperlink" Target="https://portaldatransparencia.gov.br/sancoes/consulta?cadastro=1%2C2"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_ato2011-2014/2013/lei/l12846.htm" TargetMode="External"/><Relationship Id="rId13" Type="http://schemas.openxmlformats.org/officeDocument/2006/relationships/hyperlink" Target="https://www.gov.br/empresas-e-negocios/pt-br/empreendedor" TargetMode="External"/><Relationship Id="rId14" Type="http://schemas.openxmlformats.org/officeDocument/2006/relationships/hyperlink" Target="https://www.planalto.gov.br/ccivil_03/leis/lcp/lcp123.htm"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comments" Target="comments.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Relationship Id="rId23"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Application>LibreOffice/7.4.6.2$Windows_X86_64 LibreOffice_project/5b1f5509c2decdade7fda905e3e1429a67acd63d</Application>
  <AppVersion>15.0000</AppVersion>
  <Pages>16</Pages>
  <Words>5708</Words>
  <Characters>32651</Characters>
  <CharactersWithSpaces>37950</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2022-11-01T20:02:00Z</dcterms:created>
  <dc:creator/>
  <dc:description/>
  <dc:language>pt-BR</dc:language>
  <cp:lastModifiedBy/>
  <dcterms:modified xsi:type="dcterms:W3CDTF">2023-07-05T14:27:24Z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