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5BCE3" w14:textId="77777777" w:rsidR="00B01AE2" w:rsidRPr="007E40DB" w:rsidRDefault="00B01AE2" w:rsidP="00B01AE2">
      <w:pPr>
        <w:pStyle w:val="Notaexplicativ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0"/>
        <w:ind w:firstLine="709"/>
        <w:jc w:val="center"/>
        <w:rPr>
          <w:rFonts w:cs="Arial"/>
          <w:b/>
          <w:bCs/>
          <w:i w:val="0"/>
          <w:iCs w:val="0"/>
        </w:rPr>
      </w:pPr>
      <w:r w:rsidRPr="3968FE8E">
        <w:rPr>
          <w:rFonts w:cs="Arial"/>
          <w:b/>
          <w:bCs/>
          <w:i w:val="0"/>
          <w:iCs w:val="0"/>
        </w:rPr>
        <w:t>Lei nº 14.133, de 1º de abril de 2021</w:t>
      </w:r>
    </w:p>
    <w:p w14:paraId="0C3C485B" w14:textId="77777777" w:rsidR="00B01AE2" w:rsidRDefault="00B01AE2" w:rsidP="00B01AE2">
      <w:pPr>
        <w:pStyle w:val="Notaexplicativ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0"/>
        <w:ind w:firstLine="709"/>
        <w:jc w:val="center"/>
        <w:rPr>
          <w:rFonts w:cs="Arial"/>
          <w:b/>
          <w:bCs/>
          <w:i w:val="0"/>
          <w:iCs w:val="0"/>
        </w:rPr>
      </w:pPr>
      <w:r>
        <w:rPr>
          <w:noProof/>
          <w:lang w:eastAsia="pt-BR"/>
        </w:rPr>
        <w:drawing>
          <wp:inline distT="0" distB="0" distL="0" distR="0" wp14:anchorId="752F5515" wp14:editId="33E0087B">
            <wp:extent cx="738000" cy="8064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B724E" w14:textId="77777777" w:rsidR="00B24726" w:rsidRDefault="00B24726" w:rsidP="00B01AE2">
      <w:pPr>
        <w:pStyle w:val="Notaexplicativ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0"/>
        <w:ind w:firstLine="709"/>
        <w:jc w:val="center"/>
        <w:rPr>
          <w:rFonts w:cs="Arial"/>
          <w:b/>
          <w:bCs/>
          <w:i w:val="0"/>
          <w:iCs w:val="0"/>
        </w:rPr>
      </w:pPr>
    </w:p>
    <w:p w14:paraId="7FB07025" w14:textId="004B55E9" w:rsidR="00B01AE2" w:rsidRPr="007E40DB" w:rsidRDefault="00B24726" w:rsidP="00B01AE2">
      <w:pPr>
        <w:pStyle w:val="Notaexplicativ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0"/>
        <w:ind w:firstLine="709"/>
        <w:jc w:val="center"/>
        <w:rPr>
          <w:rFonts w:cs="Arial"/>
          <w:b/>
          <w:bCs/>
          <w:i w:val="0"/>
          <w:iCs w:val="0"/>
        </w:rPr>
      </w:pPr>
      <w:r>
        <w:rPr>
          <w:rFonts w:cs="Arial"/>
          <w:b/>
          <w:bCs/>
          <w:i w:val="0"/>
          <w:iCs w:val="0"/>
        </w:rPr>
        <w:t>CONTRATAÇÃO DIRETA EMERGENCIAL</w:t>
      </w:r>
    </w:p>
    <w:p w14:paraId="653BCEB5" w14:textId="77777777" w:rsidR="00B24726" w:rsidRDefault="00B24726" w:rsidP="00E01CC3">
      <w:pPr>
        <w:pStyle w:val="NormalWeb"/>
        <w:jc w:val="center"/>
        <w:rPr>
          <w:rStyle w:val="Forte"/>
        </w:rPr>
      </w:pPr>
    </w:p>
    <w:p w14:paraId="7D7412AF" w14:textId="5AFADEA2" w:rsidR="00E01CC3" w:rsidRDefault="00E01CC3" w:rsidP="00E01CC3">
      <w:pPr>
        <w:pStyle w:val="NormalWeb"/>
        <w:jc w:val="center"/>
        <w:rPr>
          <w:rStyle w:val="Forte"/>
        </w:rPr>
      </w:pPr>
      <w:r>
        <w:rPr>
          <w:rStyle w:val="Forte"/>
        </w:rPr>
        <w:t>Justificativa para Dispensa de Licitação Emergencial</w:t>
      </w:r>
    </w:p>
    <w:p w14:paraId="61B455F3" w14:textId="77777777" w:rsidR="00E01CC3" w:rsidRDefault="00E01CC3" w:rsidP="00E01CC3">
      <w:pPr>
        <w:pStyle w:val="NormalWeb"/>
        <w:jc w:val="center"/>
      </w:pPr>
    </w:p>
    <w:p w14:paraId="68FDBB28" w14:textId="77777777" w:rsidR="00E01CC3" w:rsidRDefault="00E01CC3" w:rsidP="00E01CC3">
      <w:pPr>
        <w:pStyle w:val="NormalWeb"/>
      </w:pPr>
      <w:r>
        <w:rPr>
          <w:rStyle w:val="Forte"/>
        </w:rPr>
        <w:t>1. Contextualização e Descrição do Fato</w:t>
      </w:r>
    </w:p>
    <w:p w14:paraId="6901E9D6" w14:textId="747CDBA8" w:rsidR="00E01CC3" w:rsidRDefault="00E01CC3" w:rsidP="00276A0F">
      <w:pPr>
        <w:pStyle w:val="NormalWeb"/>
        <w:jc w:val="both"/>
      </w:pPr>
      <w:r>
        <w:t>O transformador de energia do Edifício Sede da Delegacia da Receita Federal do Brasil em Vitória (DRF/VIT) foi danificado, conforme atestado por empresa independente contratada para verificar as condições do equipamento. Tal dano resultou na interrupção parcial dos serviços essenciais, mais especificamente o funcionamento do sistema condicionador de ar central do Ed</w:t>
      </w:r>
      <w:r w:rsidR="009659CE">
        <w:t>ifício</w:t>
      </w:r>
      <w:r>
        <w:t>, comprometendo a continuidade das atividades administrativas e operacionais desempenhadas pela DRF/VIT, as quais possuem natureza estratégica e impactam diretamente o funcionamento de sistemas públicos e a prestação de serviços à sociedade</w:t>
      </w:r>
      <w:r w:rsidR="009B7156">
        <w:t xml:space="preserve">, inclusive do </w:t>
      </w:r>
      <w:r w:rsidR="005B6E48">
        <w:t xml:space="preserve">Centro de Atendimento ao Contribuinte (CAC </w:t>
      </w:r>
      <w:r w:rsidR="009B7156">
        <w:t>Vitória</w:t>
      </w:r>
      <w:r w:rsidR="005B6E48">
        <w:t>-ES)</w:t>
      </w:r>
      <w:r>
        <w:t>.</w:t>
      </w:r>
    </w:p>
    <w:p w14:paraId="09749DB3" w14:textId="046A42C8" w:rsidR="00E01CC3" w:rsidRDefault="00E01CC3" w:rsidP="00276A0F">
      <w:pPr>
        <w:pStyle w:val="NormalWeb"/>
        <w:jc w:val="both"/>
      </w:pPr>
      <w:r>
        <w:t>A situação apresenta risco iminente de prejuízos institucionais e sociais, caso não sejam adotadas medidas imediatas para o reparo ou substituição do transformador.</w:t>
      </w:r>
    </w:p>
    <w:p w14:paraId="67134199" w14:textId="77777777" w:rsidR="0072641C" w:rsidRDefault="0072641C" w:rsidP="00E01CC3">
      <w:pPr>
        <w:pStyle w:val="NormalWeb"/>
        <w:rPr>
          <w:rStyle w:val="Forte"/>
        </w:rPr>
      </w:pPr>
    </w:p>
    <w:p w14:paraId="59D27F2B" w14:textId="3AC9B436" w:rsidR="00E01CC3" w:rsidRDefault="00E01CC3" w:rsidP="00E01CC3">
      <w:pPr>
        <w:pStyle w:val="NormalWeb"/>
      </w:pPr>
      <w:r>
        <w:rPr>
          <w:rStyle w:val="Forte"/>
        </w:rPr>
        <w:t>2. Fundamentação Legal</w:t>
      </w:r>
    </w:p>
    <w:p w14:paraId="7B6575BA" w14:textId="77777777" w:rsidR="00E01CC3" w:rsidRDefault="00E01CC3" w:rsidP="00276A0F">
      <w:pPr>
        <w:pStyle w:val="NormalWeb"/>
        <w:jc w:val="both"/>
      </w:pPr>
      <w:r>
        <w:t xml:space="preserve">A Lei 14.133/2021, em seu art. 75, inciso VIII, autoriza a contratação direta por dispensa de licitação em situações de emergência ou calamidade que demandem soluções imediatas, desde que configurada a necessidade de evitar prejuízos ou </w:t>
      </w:r>
      <w:r w:rsidRPr="00E01CC3">
        <w:rPr>
          <w:b/>
          <w:bCs/>
        </w:rPr>
        <w:t>paralisação de atividades essenciais</w:t>
      </w:r>
      <w:r>
        <w:t>:</w:t>
      </w:r>
    </w:p>
    <w:p w14:paraId="7E6249FE" w14:textId="77777777" w:rsidR="00E01CC3" w:rsidRDefault="00E01CC3" w:rsidP="00276A0F">
      <w:pPr>
        <w:pStyle w:val="NormalWeb"/>
        <w:jc w:val="both"/>
      </w:pPr>
      <w:r>
        <w:rPr>
          <w:rStyle w:val="Forte"/>
        </w:rPr>
        <w:t>“Art. 75. É dispensável a licitação: [...] VIII - para contratações que tenham por objeto bens, serviços e insumos necessários à execução de solução destinada a mitigar consequências de situação de emergência ou de calamidade que comprometa a segurança de pessoas, obras, prestação de serviços, equipamentos e outros bens, públicos ou particulares.”</w:t>
      </w:r>
    </w:p>
    <w:p w14:paraId="1BBD84FE" w14:textId="77777777" w:rsidR="00E01CC3" w:rsidRDefault="00E01CC3" w:rsidP="00276A0F">
      <w:pPr>
        <w:pStyle w:val="NormalWeb"/>
        <w:jc w:val="both"/>
      </w:pPr>
      <w:r>
        <w:t>Adicionalmente, o art. 72 da mesma lei ressalta a importância de as contratações emergenciais limitarem-se ao atendimento da situação excepcional, evitando contratações desnecessárias ou excessivas:</w:t>
      </w:r>
    </w:p>
    <w:p w14:paraId="50A3D785" w14:textId="77777777" w:rsidR="00E01CC3" w:rsidRDefault="00E01CC3" w:rsidP="00276A0F">
      <w:pPr>
        <w:pStyle w:val="NormalWeb"/>
        <w:jc w:val="both"/>
      </w:pPr>
      <w:r>
        <w:rPr>
          <w:rStyle w:val="Forte"/>
        </w:rPr>
        <w:t xml:space="preserve">“Art. 72. Nos casos de emergência ou calamidade, a contratação será apenas a necessária para atender à situação de emergência ou calamidade e pelo prazo </w:t>
      </w:r>
      <w:r>
        <w:rPr>
          <w:rStyle w:val="Forte"/>
        </w:rPr>
        <w:lastRenderedPageBreak/>
        <w:t>máximo de 1 (um) ano, prorrogável apenas se persistirem as razões da emergência ou da calamidade.”</w:t>
      </w:r>
    </w:p>
    <w:p w14:paraId="35312E4B" w14:textId="77777777" w:rsidR="0072641C" w:rsidRDefault="0072641C" w:rsidP="00E01CC3">
      <w:pPr>
        <w:pStyle w:val="NormalWeb"/>
        <w:rPr>
          <w:rStyle w:val="Forte"/>
        </w:rPr>
      </w:pPr>
    </w:p>
    <w:p w14:paraId="388FDB97" w14:textId="6EDD2714" w:rsidR="00E01CC3" w:rsidRDefault="00E01CC3" w:rsidP="00E01CC3">
      <w:pPr>
        <w:pStyle w:val="NormalWeb"/>
      </w:pPr>
      <w:r>
        <w:rPr>
          <w:rStyle w:val="Forte"/>
        </w:rPr>
        <w:t>3. Justificativa da Necessidade de Dispensa</w:t>
      </w:r>
    </w:p>
    <w:p w14:paraId="01E7F445" w14:textId="7B6460DF" w:rsidR="00E01CC3" w:rsidRDefault="00E01CC3" w:rsidP="00276A0F">
      <w:pPr>
        <w:pStyle w:val="NormalWeb"/>
        <w:jc w:val="both"/>
      </w:pPr>
      <w:r>
        <w:t>A substituição ou o reparo do transformador é essencial para restabelecer a energia elétrica, prevenindo maiores danos ao funcionamento do edifício e garantindo a continuidade das atividades críticas desenvolvidas pela DRF/VIT. A realização de um processo licitatório completo demandaria prazo incompatível com a urgência da solução, o que comprometeria ainda mais a eficiência da administração pública.</w:t>
      </w:r>
    </w:p>
    <w:p w14:paraId="3A92A853" w14:textId="77777777" w:rsidR="00E01CC3" w:rsidRDefault="00E01CC3" w:rsidP="00276A0F">
      <w:pPr>
        <w:pStyle w:val="NormalWeb"/>
        <w:jc w:val="both"/>
      </w:pPr>
      <w:r>
        <w:t>É importante destacar que a emergência aqui configurada não resulta de falta de planejamento, mas de situação imprevisível e excepcional.</w:t>
      </w:r>
    </w:p>
    <w:p w14:paraId="366FDA62" w14:textId="77777777" w:rsidR="00D95EE2" w:rsidRDefault="00D95EE2" w:rsidP="00E01CC3">
      <w:pPr>
        <w:pStyle w:val="NormalWeb"/>
      </w:pPr>
    </w:p>
    <w:p w14:paraId="00BD07B4" w14:textId="77777777" w:rsidR="0072641C" w:rsidRDefault="0072641C" w:rsidP="00E01CC3">
      <w:pPr>
        <w:pStyle w:val="NormalWeb"/>
      </w:pPr>
    </w:p>
    <w:p w14:paraId="4797E944" w14:textId="77777777" w:rsidR="00D95EE2" w:rsidRDefault="00D95EE2" w:rsidP="00D95EE2">
      <w:pPr>
        <w:pStyle w:val="NormalWeb"/>
      </w:pPr>
      <w:r>
        <w:rPr>
          <w:rStyle w:val="Forte"/>
        </w:rPr>
        <w:t>4. Justificativa para Emissão de Parecer Jurídico Após a Contratação</w:t>
      </w:r>
    </w:p>
    <w:p w14:paraId="29DCAAAC" w14:textId="6273F1C9" w:rsidR="00D95EE2" w:rsidRDefault="00D95EE2" w:rsidP="00276A0F">
      <w:pPr>
        <w:pStyle w:val="NormalWeb"/>
        <w:jc w:val="both"/>
      </w:pPr>
      <w:r>
        <w:t>Dada a urgência da situação e os impactos iminentes da paralisação dos serviços essenciais, optou-se por priorizar a solução imediata do problema, com a contratação emergencial previamente fundamentada e registrada nos autos do processo administrativo. O envio para emissão de parecer jurídico ocorrerá após a conclusão do procedimento de contratação, com vistas à sua convalidação, conforme previsto no art. 63 da Lei 14.133/2021, que admite a correção de eventuais falhas formais:</w:t>
      </w:r>
    </w:p>
    <w:p w14:paraId="118C6194" w14:textId="77777777" w:rsidR="00D95EE2" w:rsidRDefault="00D95EE2" w:rsidP="00276A0F">
      <w:pPr>
        <w:pStyle w:val="NormalWeb"/>
        <w:jc w:val="both"/>
      </w:pPr>
      <w:r>
        <w:rPr>
          <w:rStyle w:val="Forte"/>
        </w:rPr>
        <w:t>“Art. 63. Os atos da administração pública deverão ser convalidados quando apresentarem defeitos sanáveis, desde que não resulte prejuízo para a administração ou para terceiros e sejam respeitados os princípios da legalidade, da proporcionalidade, da razãoável duração do processo e do interesse público.”</w:t>
      </w:r>
    </w:p>
    <w:p w14:paraId="51881D1E" w14:textId="12F7195E" w:rsidR="00D95EE2" w:rsidRDefault="00D95EE2" w:rsidP="00276A0F">
      <w:pPr>
        <w:pStyle w:val="NormalWeb"/>
        <w:jc w:val="both"/>
      </w:pPr>
      <w:r>
        <w:t xml:space="preserve">Tal medida visa garantir maior celeridade à solução do problema, sem prejuízo à análise da legalidade da contratação, que será devidamente avaliada </w:t>
      </w:r>
      <w:r w:rsidR="0072641C">
        <w:t>pela Procuradoria da Fazenda Nacional.</w:t>
      </w:r>
    </w:p>
    <w:p w14:paraId="6DD1E422" w14:textId="77777777" w:rsidR="00D95EE2" w:rsidRDefault="00D95EE2" w:rsidP="00276A0F">
      <w:pPr>
        <w:pStyle w:val="NormalWeb"/>
        <w:jc w:val="both"/>
      </w:pPr>
      <w:r>
        <w:t>Precedentes do Tribunal de Contas da União reconhecem a validade de tal procedimento em situações de emergência, desde que demonstrada a motivação e observados os princípios da eficiência e transparência:</w:t>
      </w:r>
    </w:p>
    <w:p w14:paraId="2829DD32" w14:textId="77777777" w:rsidR="00D95EE2" w:rsidRDefault="00D95EE2" w:rsidP="00276A0F">
      <w:pPr>
        <w:pStyle w:val="NormalWeb"/>
        <w:numPr>
          <w:ilvl w:val="0"/>
          <w:numId w:val="2"/>
        </w:numPr>
        <w:jc w:val="both"/>
      </w:pPr>
      <w:r>
        <w:rPr>
          <w:rStyle w:val="Forte"/>
        </w:rPr>
        <w:t>TCU – Acórdão 2.642/2020 – Plenário</w:t>
      </w:r>
      <w:r>
        <w:t>: Ressaltou-se que atos administrativos podem ser convalidados para preservar o interesse público e a continuidade do serviço.</w:t>
      </w:r>
    </w:p>
    <w:p w14:paraId="00FC7DF4" w14:textId="77777777" w:rsidR="00D95EE2" w:rsidRDefault="00D95EE2" w:rsidP="00E01CC3">
      <w:pPr>
        <w:pStyle w:val="NormalWeb"/>
      </w:pPr>
    </w:p>
    <w:p w14:paraId="53EE55F0" w14:textId="77777777" w:rsidR="0072641C" w:rsidRDefault="0072641C" w:rsidP="00E01CC3">
      <w:pPr>
        <w:pStyle w:val="NormalWeb"/>
      </w:pPr>
    </w:p>
    <w:p w14:paraId="275046E8" w14:textId="661672D4" w:rsidR="00E01CC3" w:rsidRDefault="0072641C" w:rsidP="00E01CC3">
      <w:pPr>
        <w:pStyle w:val="NormalWeb"/>
      </w:pPr>
      <w:r>
        <w:rPr>
          <w:rStyle w:val="Forte"/>
        </w:rPr>
        <w:lastRenderedPageBreak/>
        <w:t>5</w:t>
      </w:r>
      <w:r w:rsidR="00E01CC3">
        <w:rPr>
          <w:rStyle w:val="Forte"/>
        </w:rPr>
        <w:t>. Jurisprudências Aplicáveis</w:t>
      </w:r>
    </w:p>
    <w:p w14:paraId="4DBCF917" w14:textId="77777777" w:rsidR="00E01CC3" w:rsidRDefault="00E01CC3" w:rsidP="00E01CC3">
      <w:pPr>
        <w:pStyle w:val="NormalWeb"/>
      </w:pPr>
      <w:r>
        <w:t>A seguir, são citados precedentes que reforçam a aplicação do art. 75, inciso VIII da Lei 14.133/2021:</w:t>
      </w:r>
    </w:p>
    <w:p w14:paraId="65ACB3C8" w14:textId="77777777" w:rsidR="00E01CC3" w:rsidRDefault="00E01CC3" w:rsidP="00276A0F">
      <w:pPr>
        <w:pStyle w:val="NormalWeb"/>
        <w:numPr>
          <w:ilvl w:val="0"/>
          <w:numId w:val="1"/>
        </w:numPr>
        <w:jc w:val="both"/>
      </w:pPr>
      <w:r>
        <w:rPr>
          <w:rStyle w:val="Forte"/>
        </w:rPr>
        <w:t>TCU – Acórdão 2757/2019 – Plenário</w:t>
      </w:r>
      <w:r>
        <w:t>: O Tribunal de Contas da União reconheceu que a contratação direta por dispensa de licitação é cabível em situações emergenciais, desde que devidamente justificada e fundamentada em razões técnicas e administrativas.</w:t>
      </w:r>
    </w:p>
    <w:p w14:paraId="2D79E3FD" w14:textId="77777777" w:rsidR="00E01CC3" w:rsidRDefault="00E01CC3" w:rsidP="00276A0F">
      <w:pPr>
        <w:pStyle w:val="NormalWeb"/>
        <w:numPr>
          <w:ilvl w:val="0"/>
          <w:numId w:val="1"/>
        </w:numPr>
        <w:jc w:val="both"/>
      </w:pPr>
      <w:r>
        <w:rPr>
          <w:rStyle w:val="Forte"/>
        </w:rPr>
        <w:t>TCU – Acórdão 1.015/2021 – Plenário</w:t>
      </w:r>
      <w:r>
        <w:t>: Ressaltou-se a importância de comprovação da urgência e da relação direta entre a contratação emergencial e o atendimento da situação de emergência.</w:t>
      </w:r>
    </w:p>
    <w:p w14:paraId="382C1CB4" w14:textId="77777777" w:rsidR="00E01CC3" w:rsidRDefault="00E01CC3" w:rsidP="00276A0F">
      <w:pPr>
        <w:pStyle w:val="NormalWeb"/>
        <w:numPr>
          <w:ilvl w:val="0"/>
          <w:numId w:val="1"/>
        </w:numPr>
        <w:jc w:val="both"/>
      </w:pPr>
      <w:r>
        <w:rPr>
          <w:rStyle w:val="Forte"/>
        </w:rPr>
        <w:t>STJ – RMS 34.410/DF</w:t>
      </w:r>
      <w:r>
        <w:t>: Enfatizou que a urgência deve ser caracterizada por risco real e iminente ao funcionamento da administração pública ou à segurança de pessoas ou bens.</w:t>
      </w:r>
    </w:p>
    <w:p w14:paraId="653AE963" w14:textId="77777777" w:rsidR="00E01CC3" w:rsidRDefault="00E01CC3" w:rsidP="00E01CC3">
      <w:pPr>
        <w:pStyle w:val="NormalWeb"/>
        <w:ind w:left="720"/>
        <w:rPr>
          <w:rStyle w:val="Forte"/>
        </w:rPr>
      </w:pPr>
    </w:p>
    <w:p w14:paraId="6362B303" w14:textId="77777777" w:rsidR="00E01CC3" w:rsidRDefault="00E01CC3" w:rsidP="00E01CC3">
      <w:pPr>
        <w:pStyle w:val="NormalWeb"/>
        <w:ind w:left="720"/>
        <w:rPr>
          <w:rStyle w:val="Forte"/>
        </w:rPr>
      </w:pPr>
    </w:p>
    <w:p w14:paraId="60FFA4FF" w14:textId="77777777" w:rsidR="0072641C" w:rsidRDefault="0072641C" w:rsidP="00E01CC3">
      <w:pPr>
        <w:pStyle w:val="NormalWeb"/>
        <w:ind w:left="720"/>
        <w:rPr>
          <w:rStyle w:val="Forte"/>
        </w:rPr>
      </w:pPr>
    </w:p>
    <w:p w14:paraId="1FCE5416" w14:textId="77777777" w:rsidR="00E01CC3" w:rsidRDefault="00E01CC3" w:rsidP="00E01CC3">
      <w:pPr>
        <w:pStyle w:val="NormalWeb"/>
        <w:rPr>
          <w:rStyle w:val="Forte"/>
        </w:rPr>
      </w:pPr>
    </w:p>
    <w:p w14:paraId="5CE6F823" w14:textId="6680131A" w:rsidR="00E01CC3" w:rsidRDefault="0072641C" w:rsidP="00E01CC3">
      <w:pPr>
        <w:pStyle w:val="NormalWeb"/>
        <w:rPr>
          <w:rStyle w:val="Forte"/>
        </w:rPr>
      </w:pPr>
      <w:r>
        <w:rPr>
          <w:rStyle w:val="Forte"/>
        </w:rPr>
        <w:t>6</w:t>
      </w:r>
      <w:r w:rsidR="00E01CC3">
        <w:rPr>
          <w:rStyle w:val="Forte"/>
        </w:rPr>
        <w:t>. Solução Proposta</w:t>
      </w:r>
    </w:p>
    <w:p w14:paraId="4FF1081D" w14:textId="77777777" w:rsidR="00E01CC3" w:rsidRDefault="00E01CC3" w:rsidP="00276A0F">
      <w:pPr>
        <w:pStyle w:val="NormalWeb"/>
        <w:jc w:val="both"/>
      </w:pPr>
      <w:r>
        <w:t>Em pesquisa com fornecedores, o reparo do transformador danificado demandaria prazo superior a 90 dias enquanto a compra de um novo poderia ter a entrega efetuada em até 30 dias.</w:t>
      </w:r>
    </w:p>
    <w:p w14:paraId="6CD123BD" w14:textId="77777777" w:rsidR="00E01CC3" w:rsidRDefault="00E01CC3" w:rsidP="00276A0F">
      <w:pPr>
        <w:pStyle w:val="NormalWeb"/>
        <w:jc w:val="both"/>
      </w:pPr>
      <w:r>
        <w:t>No período de espera da entrega do novo transformador, foi levantada a hipótese de alugar um transformador, acelerando o retorno ao normal das atividades desempenhadas no Ed. Sede, inclusive do atendimento ao contribuinte.</w:t>
      </w:r>
    </w:p>
    <w:p w14:paraId="1C2EF170" w14:textId="45DF00CC" w:rsidR="00E01CC3" w:rsidRDefault="00E01CC3" w:rsidP="00276A0F">
      <w:pPr>
        <w:pStyle w:val="NormalWeb"/>
        <w:jc w:val="both"/>
        <w:rPr>
          <w:rStyle w:val="Forte"/>
          <w:b w:val="0"/>
          <w:bCs w:val="0"/>
        </w:rPr>
      </w:pPr>
      <w:r w:rsidRPr="00E01CC3">
        <w:rPr>
          <w:rStyle w:val="Forte"/>
          <w:b w:val="0"/>
          <w:bCs w:val="0"/>
        </w:rPr>
        <w:t>Dessa forma</w:t>
      </w:r>
      <w:r>
        <w:rPr>
          <w:rStyle w:val="Forte"/>
          <w:b w:val="0"/>
          <w:bCs w:val="0"/>
        </w:rPr>
        <w:t>, a proposta é de três procedimentos emergenciais que integram a solução</w:t>
      </w:r>
      <w:r w:rsidR="00905A93">
        <w:rPr>
          <w:rStyle w:val="Forte"/>
          <w:b w:val="0"/>
          <w:bCs w:val="0"/>
        </w:rPr>
        <w:t xml:space="preserve"> como um todo</w:t>
      </w:r>
      <w:r>
        <w:rPr>
          <w:rStyle w:val="Forte"/>
          <w:b w:val="0"/>
          <w:bCs w:val="0"/>
        </w:rPr>
        <w:t>:</w:t>
      </w:r>
    </w:p>
    <w:p w14:paraId="25BE2240" w14:textId="2920E5EC" w:rsidR="00E01CC3" w:rsidRDefault="00E01CC3" w:rsidP="00276A0F">
      <w:pPr>
        <w:pStyle w:val="NormalWeb"/>
        <w:jc w:val="both"/>
        <w:rPr>
          <w:rStyle w:val="Forte"/>
          <w:b w:val="0"/>
          <w:bCs w:val="0"/>
        </w:rPr>
      </w:pPr>
      <w:r>
        <w:rPr>
          <w:rStyle w:val="Forte"/>
          <w:b w:val="0"/>
          <w:bCs w:val="0"/>
        </w:rPr>
        <w:t>- Aquisiç</w:t>
      </w:r>
      <w:r w:rsidR="00905A93">
        <w:rPr>
          <w:rStyle w:val="Forte"/>
          <w:b w:val="0"/>
          <w:bCs w:val="0"/>
        </w:rPr>
        <w:t>ã</w:t>
      </w:r>
      <w:r>
        <w:rPr>
          <w:rStyle w:val="Forte"/>
          <w:b w:val="0"/>
          <w:bCs w:val="0"/>
        </w:rPr>
        <w:t xml:space="preserve">o de um novo </w:t>
      </w:r>
      <w:r w:rsidR="00905A93">
        <w:rPr>
          <w:rStyle w:val="Forte"/>
          <w:b w:val="0"/>
          <w:bCs w:val="0"/>
        </w:rPr>
        <w:t>t</w:t>
      </w:r>
      <w:r>
        <w:rPr>
          <w:rStyle w:val="Forte"/>
          <w:b w:val="0"/>
          <w:bCs w:val="0"/>
        </w:rPr>
        <w:t>ransformador</w:t>
      </w:r>
      <w:r w:rsidR="00B019BC">
        <w:rPr>
          <w:rStyle w:val="Forte"/>
          <w:b w:val="0"/>
          <w:bCs w:val="0"/>
        </w:rPr>
        <w:t xml:space="preserve"> </w:t>
      </w:r>
    </w:p>
    <w:p w14:paraId="3C30BA15" w14:textId="5B62DA80" w:rsidR="00E01CC3" w:rsidRDefault="00E01CC3" w:rsidP="00276A0F">
      <w:pPr>
        <w:pStyle w:val="NormalWeb"/>
        <w:jc w:val="both"/>
        <w:rPr>
          <w:rStyle w:val="Forte"/>
          <w:b w:val="0"/>
          <w:bCs w:val="0"/>
        </w:rPr>
      </w:pPr>
      <w:r>
        <w:rPr>
          <w:rStyle w:val="Forte"/>
          <w:b w:val="0"/>
          <w:bCs w:val="0"/>
        </w:rPr>
        <w:t xml:space="preserve">- Aluguel de um transformador por período necessário </w:t>
      </w:r>
      <w:r w:rsidR="0010646D">
        <w:rPr>
          <w:rStyle w:val="Forte"/>
          <w:b w:val="0"/>
          <w:bCs w:val="0"/>
        </w:rPr>
        <w:t>à</w:t>
      </w:r>
      <w:r>
        <w:rPr>
          <w:rStyle w:val="Forte"/>
          <w:b w:val="0"/>
          <w:bCs w:val="0"/>
        </w:rPr>
        <w:t xml:space="preserve"> entrega e instalação do novo</w:t>
      </w:r>
      <w:r w:rsidR="00905A93">
        <w:rPr>
          <w:rStyle w:val="Forte"/>
          <w:b w:val="0"/>
          <w:bCs w:val="0"/>
        </w:rPr>
        <w:t xml:space="preserve"> transformador.</w:t>
      </w:r>
      <w:r w:rsidR="00957D88">
        <w:rPr>
          <w:rStyle w:val="Forte"/>
          <w:b w:val="0"/>
          <w:bCs w:val="0"/>
        </w:rPr>
        <w:t xml:space="preserve"> </w:t>
      </w:r>
    </w:p>
    <w:p w14:paraId="62D457E8" w14:textId="72425D43" w:rsidR="00E01CC3" w:rsidRPr="00E01CC3" w:rsidRDefault="00E01CC3" w:rsidP="00276A0F">
      <w:pPr>
        <w:pStyle w:val="NormalWeb"/>
        <w:jc w:val="both"/>
        <w:rPr>
          <w:rStyle w:val="Forte"/>
          <w:b w:val="0"/>
          <w:bCs w:val="0"/>
        </w:rPr>
      </w:pPr>
      <w:r>
        <w:rPr>
          <w:rStyle w:val="Forte"/>
          <w:b w:val="0"/>
          <w:bCs w:val="0"/>
        </w:rPr>
        <w:t xml:space="preserve">- Serviço de </w:t>
      </w:r>
      <w:r w:rsidR="00905A93">
        <w:rPr>
          <w:rStyle w:val="Forte"/>
          <w:b w:val="0"/>
          <w:bCs w:val="0"/>
        </w:rPr>
        <w:t>r</w:t>
      </w:r>
      <w:r>
        <w:rPr>
          <w:rStyle w:val="Forte"/>
          <w:b w:val="0"/>
          <w:bCs w:val="0"/>
        </w:rPr>
        <w:t xml:space="preserve">emoção e instalação do transformador danificado, do </w:t>
      </w:r>
      <w:r w:rsidR="00905A93">
        <w:rPr>
          <w:rStyle w:val="Forte"/>
          <w:b w:val="0"/>
          <w:bCs w:val="0"/>
        </w:rPr>
        <w:t xml:space="preserve">transformador </w:t>
      </w:r>
      <w:r>
        <w:rPr>
          <w:rStyle w:val="Forte"/>
          <w:b w:val="0"/>
          <w:bCs w:val="0"/>
        </w:rPr>
        <w:t>alugado e do novo</w:t>
      </w:r>
      <w:r w:rsidR="00905A93">
        <w:rPr>
          <w:rStyle w:val="Forte"/>
          <w:b w:val="0"/>
          <w:bCs w:val="0"/>
        </w:rPr>
        <w:t xml:space="preserve"> transformador</w:t>
      </w:r>
      <w:r>
        <w:rPr>
          <w:rStyle w:val="Forte"/>
          <w:b w:val="0"/>
          <w:bCs w:val="0"/>
        </w:rPr>
        <w:t>.</w:t>
      </w:r>
    </w:p>
    <w:p w14:paraId="53F6A763" w14:textId="77777777" w:rsidR="00E01CC3" w:rsidRDefault="00E01CC3" w:rsidP="00E01CC3">
      <w:pPr>
        <w:pStyle w:val="NormalWeb"/>
        <w:rPr>
          <w:rStyle w:val="Forte"/>
        </w:rPr>
      </w:pPr>
    </w:p>
    <w:p w14:paraId="0A5C6926" w14:textId="77777777" w:rsidR="0072641C" w:rsidRDefault="0072641C" w:rsidP="00E01CC3">
      <w:pPr>
        <w:pStyle w:val="NormalWeb"/>
        <w:rPr>
          <w:rStyle w:val="Forte"/>
        </w:rPr>
      </w:pPr>
    </w:p>
    <w:p w14:paraId="6E8169B5" w14:textId="77777777" w:rsidR="0072641C" w:rsidRDefault="0072641C" w:rsidP="00E01CC3">
      <w:pPr>
        <w:pStyle w:val="NormalWeb"/>
        <w:rPr>
          <w:rStyle w:val="Forte"/>
        </w:rPr>
      </w:pPr>
    </w:p>
    <w:p w14:paraId="0F55FD49" w14:textId="243977E1" w:rsidR="00E01CC3" w:rsidRDefault="0072641C" w:rsidP="00E01CC3">
      <w:pPr>
        <w:pStyle w:val="NormalWeb"/>
      </w:pPr>
      <w:r>
        <w:rPr>
          <w:rStyle w:val="Forte"/>
        </w:rPr>
        <w:lastRenderedPageBreak/>
        <w:t>7</w:t>
      </w:r>
      <w:r w:rsidR="00E01CC3">
        <w:rPr>
          <w:rStyle w:val="Forte"/>
        </w:rPr>
        <w:t>. Conclusão</w:t>
      </w:r>
    </w:p>
    <w:p w14:paraId="70E28F77" w14:textId="5169B17F" w:rsidR="00E01CC3" w:rsidRDefault="00E01CC3" w:rsidP="00276A0F">
      <w:pPr>
        <w:pStyle w:val="NormalWeb"/>
        <w:jc w:val="both"/>
      </w:pPr>
      <w:r>
        <w:t xml:space="preserve">Considerando os fundamentos apresentados, conclui-se que a contratação direta para </w:t>
      </w:r>
      <w:r w:rsidR="00905A93">
        <w:t>os três passos da solução</w:t>
      </w:r>
      <w:r>
        <w:t xml:space="preserve"> é medida necessária e urgente, devendo ser realizada com estrita observância aos princípios da economicidade, eficiência e transparência.</w:t>
      </w:r>
    </w:p>
    <w:p w14:paraId="3EA6C00B" w14:textId="77777777" w:rsidR="00E01CC3" w:rsidRDefault="00E01CC3" w:rsidP="00276A0F">
      <w:pPr>
        <w:pStyle w:val="NormalWeb"/>
        <w:jc w:val="both"/>
      </w:pPr>
      <w:r>
        <w:t>Este documento será anexado ao processo administrativo para registrar a motivação da dispensa e assegurar a conformidade com os requisitos legais.</w:t>
      </w:r>
    </w:p>
    <w:p w14:paraId="3759B604" w14:textId="77777777" w:rsidR="00905A93" w:rsidRDefault="00905A93" w:rsidP="00E01CC3">
      <w:pPr>
        <w:pStyle w:val="NormalWeb"/>
      </w:pPr>
    </w:p>
    <w:p w14:paraId="653485F2" w14:textId="4EA32DCF" w:rsidR="00905A93" w:rsidRDefault="00905A93" w:rsidP="00E01CC3">
      <w:pPr>
        <w:pStyle w:val="NormalWeb"/>
      </w:pPr>
      <w:r>
        <w:t>Vitória, 19 de dezembro de 2024</w:t>
      </w:r>
    </w:p>
    <w:p w14:paraId="49A50165" w14:textId="77777777" w:rsidR="00905A93" w:rsidRDefault="00905A93" w:rsidP="00E01CC3">
      <w:pPr>
        <w:pStyle w:val="NormalWeb"/>
      </w:pPr>
    </w:p>
    <w:p w14:paraId="01AAA94D" w14:textId="3001DB49" w:rsidR="00905A93" w:rsidRPr="00905A93" w:rsidRDefault="00905A93" w:rsidP="00905A93">
      <w:pPr>
        <w:pStyle w:val="NormalWeb"/>
        <w:jc w:val="center"/>
        <w:rPr>
          <w:b/>
          <w:bCs/>
          <w:i/>
          <w:iCs/>
          <w:u w:val="single"/>
        </w:rPr>
      </w:pPr>
      <w:r w:rsidRPr="00905A93">
        <w:rPr>
          <w:b/>
          <w:bCs/>
          <w:i/>
          <w:iCs/>
          <w:u w:val="single"/>
        </w:rPr>
        <w:t>Assinado Digitalmente</w:t>
      </w:r>
    </w:p>
    <w:p w14:paraId="474A1F7A" w14:textId="5A336B5D" w:rsidR="00905A93" w:rsidRDefault="00905A93" w:rsidP="00905A93">
      <w:pPr>
        <w:pStyle w:val="NormalWeb"/>
        <w:jc w:val="center"/>
      </w:pPr>
      <w:r>
        <w:t>Romulo Possatto Lucas</w:t>
      </w:r>
    </w:p>
    <w:p w14:paraId="15C81035" w14:textId="1247D960" w:rsidR="00905A93" w:rsidRDefault="00905A93" w:rsidP="00905A93">
      <w:pPr>
        <w:pStyle w:val="NormalWeb"/>
        <w:jc w:val="center"/>
      </w:pPr>
      <w:r>
        <w:t>EQLIC / SEPOL / DRF/VIT</w:t>
      </w:r>
    </w:p>
    <w:p w14:paraId="57C04FCC" w14:textId="77777777" w:rsidR="005A5EEC" w:rsidRDefault="005A5EEC" w:rsidP="00905A93">
      <w:pPr>
        <w:pStyle w:val="NormalWeb"/>
        <w:jc w:val="center"/>
      </w:pPr>
    </w:p>
    <w:p w14:paraId="429D96E6" w14:textId="77777777" w:rsidR="005A5EEC" w:rsidRDefault="005A5EEC" w:rsidP="005A5EEC">
      <w:pPr>
        <w:pStyle w:val="NormalWeb"/>
      </w:pPr>
    </w:p>
    <w:p w14:paraId="403DBE84" w14:textId="2EDF2BBC" w:rsidR="005A5EEC" w:rsidRDefault="005A5EEC" w:rsidP="005A5EEC">
      <w:pPr>
        <w:pStyle w:val="NormalWeb"/>
      </w:pPr>
      <w:r>
        <w:t>De Acordo,</w:t>
      </w:r>
    </w:p>
    <w:p w14:paraId="192CFB52" w14:textId="7FE4220C" w:rsidR="007A02F9" w:rsidRPr="007A02F9" w:rsidRDefault="007A02F9" w:rsidP="007A02F9">
      <w:pPr>
        <w:pStyle w:val="NormalWeb"/>
        <w:jc w:val="center"/>
        <w:rPr>
          <w:b/>
          <w:bCs/>
          <w:i/>
          <w:iCs/>
          <w:u w:val="single"/>
        </w:rPr>
      </w:pPr>
      <w:r w:rsidRPr="007A02F9">
        <w:rPr>
          <w:b/>
          <w:bCs/>
          <w:i/>
          <w:iCs/>
          <w:u w:val="single"/>
        </w:rPr>
        <w:t>Assinado Digitalmente</w:t>
      </w:r>
    </w:p>
    <w:p w14:paraId="6F4CC16F" w14:textId="32A650F5" w:rsidR="005A5EEC" w:rsidRDefault="005A5EEC" w:rsidP="00905A93">
      <w:pPr>
        <w:pStyle w:val="NormalWeb"/>
        <w:jc w:val="center"/>
      </w:pPr>
      <w:r>
        <w:t>Mauro de Brito Sousa</w:t>
      </w:r>
    </w:p>
    <w:p w14:paraId="1652C336" w14:textId="7ED0E49C" w:rsidR="005A5EEC" w:rsidRDefault="005A5EEC" w:rsidP="00905A93">
      <w:pPr>
        <w:pStyle w:val="NormalWeb"/>
        <w:jc w:val="center"/>
      </w:pPr>
      <w:r>
        <w:t>Chefe do SEPOL/DRF/VIT</w:t>
      </w:r>
    </w:p>
    <w:p w14:paraId="3EBD65DB" w14:textId="77777777" w:rsidR="00340775" w:rsidRDefault="00340775"/>
    <w:sectPr w:rsidR="003407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A1A08"/>
    <w:multiLevelType w:val="multilevel"/>
    <w:tmpl w:val="C97C4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C80590"/>
    <w:multiLevelType w:val="multilevel"/>
    <w:tmpl w:val="1D00F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9186762">
    <w:abstractNumId w:val="0"/>
  </w:num>
  <w:num w:numId="2" w16cid:durableId="1956599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CC3"/>
    <w:rsid w:val="0010646D"/>
    <w:rsid w:val="00276A0F"/>
    <w:rsid w:val="00340775"/>
    <w:rsid w:val="004832B3"/>
    <w:rsid w:val="004F1603"/>
    <w:rsid w:val="0052423C"/>
    <w:rsid w:val="005A5EEC"/>
    <w:rsid w:val="005B6E48"/>
    <w:rsid w:val="0072641C"/>
    <w:rsid w:val="007A02F9"/>
    <w:rsid w:val="008F2F20"/>
    <w:rsid w:val="00905A93"/>
    <w:rsid w:val="00957D88"/>
    <w:rsid w:val="009659CE"/>
    <w:rsid w:val="009A59F7"/>
    <w:rsid w:val="009B7156"/>
    <w:rsid w:val="00B019BC"/>
    <w:rsid w:val="00B01AE2"/>
    <w:rsid w:val="00B24726"/>
    <w:rsid w:val="00B359F8"/>
    <w:rsid w:val="00B96EEC"/>
    <w:rsid w:val="00D95EE2"/>
    <w:rsid w:val="00E01CC3"/>
    <w:rsid w:val="00EF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7939"/>
  <w15:chartTrackingRefBased/>
  <w15:docId w15:val="{7FC36773-B189-46DC-9954-B1CEEE65E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1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01CC3"/>
    <w:rPr>
      <w:b/>
      <w:bCs/>
    </w:rPr>
  </w:style>
  <w:style w:type="paragraph" w:customStyle="1" w:styleId="Notaexplicativa">
    <w:name w:val="Nota explicativa"/>
    <w:basedOn w:val="Citao"/>
    <w:link w:val="NotaexplicativaChar"/>
    <w:rsid w:val="00B01AE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kern w:val="0"/>
      <w:sz w:val="20"/>
      <w:szCs w:val="20"/>
      <w14:ligatures w14:val="none"/>
    </w:rPr>
  </w:style>
  <w:style w:type="character" w:customStyle="1" w:styleId="NotaexplicativaChar">
    <w:name w:val="Nota explicativa Char"/>
    <w:basedOn w:val="Fontepargpadro"/>
    <w:link w:val="Notaexplicativa"/>
    <w:rsid w:val="00B01AE2"/>
    <w:rPr>
      <w:rFonts w:ascii="Arial" w:eastAsia="Calibri" w:hAnsi="Arial" w:cs="Tahoma"/>
      <w:i/>
      <w:iCs/>
      <w:color w:val="000000"/>
      <w:kern w:val="0"/>
      <w:sz w:val="20"/>
      <w:szCs w:val="20"/>
      <w:shd w:val="clear" w:color="auto" w:fill="FFFFCC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B01AE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1AE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DAE40C6C0930B428D6B0F675BDF4601" ma:contentTypeVersion="18" ma:contentTypeDescription="Crie um novo documento." ma:contentTypeScope="" ma:versionID="c71816a0347ecfb73a543013071dc6a9">
  <xsd:schema xmlns:xsd="http://www.w3.org/2001/XMLSchema" xmlns:xs="http://www.w3.org/2001/XMLSchema" xmlns:p="http://schemas.microsoft.com/office/2006/metadata/properties" xmlns:ns2="2fed2ae6-814b-4479-bc10-0d532e09db95" xmlns:ns3="2d46cdad-2cad-42aa-a222-cc3e3ec8af17" xmlns:ns4="1c343fe7-d293-48f8-95a0-508e3568d6db" targetNamespace="http://schemas.microsoft.com/office/2006/metadata/properties" ma:root="true" ma:fieldsID="20652e64e850dbed1044ebc81d7fec8e" ns2:_="" ns3:_="" ns4:_="">
    <xsd:import namespace="2fed2ae6-814b-4479-bc10-0d532e09db95"/>
    <xsd:import namespace="2d46cdad-2cad-42aa-a222-cc3e3ec8af17"/>
    <xsd:import namespace="1c343fe7-d293-48f8-95a0-508e3568d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d2ae6-814b-4479-bc10-0d532e09db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Marcações de imagem" ma:readOnly="false" ma:fieldId="{5cf76f15-5ced-4ddc-b409-7134ff3c332f}" ma:taxonomyMulti="true" ma:sspId="bbb0a7e8-13cc-4f9e-86a5-04ec5dc485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46cdad-2cad-42aa-a222-cc3e3ec8af1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43fe7-d293-48f8-95a0-508e3568d6db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a1503de4-ad58-4174-8d8e-1f4ed1e7f0b3}" ma:internalName="TaxCatchAll" ma:showField="CatchAllData" ma:web="2d46cdad-2cad-42aa-a222-cc3e3ec8a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343fe7-d293-48f8-95a0-508e3568d6db" xsi:nil="true"/>
    <lcf76f155ced4ddcb4097134ff3c332f xmlns="2fed2ae6-814b-4479-bc10-0d532e09db9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052C9B-D1CD-488B-AA77-D66AD4A43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ed2ae6-814b-4479-bc10-0d532e09db95"/>
    <ds:schemaRef ds:uri="2d46cdad-2cad-42aa-a222-cc3e3ec8af17"/>
    <ds:schemaRef ds:uri="1c343fe7-d293-48f8-95a0-508e3568d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0D54E1-359A-4411-B71F-F157BF695C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39CF26-BAB4-45EE-A8F3-4F5198382781}">
  <ds:schemaRefs>
    <ds:schemaRef ds:uri="http://schemas.microsoft.com/office/2006/metadata/properties"/>
    <ds:schemaRef ds:uri="http://schemas.microsoft.com/office/infopath/2007/PartnerControls"/>
    <ds:schemaRef ds:uri="1c343fe7-d293-48f8-95a0-508e3568d6db"/>
    <ds:schemaRef ds:uri="2fed2ae6-814b-4479-bc10-0d532e09db95"/>
  </ds:schemaRefs>
</ds:datastoreItem>
</file>

<file path=docMetadata/LabelInfo.xml><?xml version="1.0" encoding="utf-8"?>
<clbl:labelList xmlns:clbl="http://schemas.microsoft.com/office/2020/mipLabelMetadata">
  <clbl:label id="{6f49aa43-822a-4c20-9670-db7700bf1eb0}" enabled="0" method="" siteId="{6f49aa43-822a-4c20-9670-db7700bf1eb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973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Receita Federal do Brasil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Romulo Possatto Lucas</dc:creator>
  <cp:keywords/>
  <dc:description/>
  <cp:lastModifiedBy>Romulo Possatto Lucas</cp:lastModifiedBy>
  <cp:revision>18</cp:revision>
  <dcterms:created xsi:type="dcterms:W3CDTF">2024-12-20T02:00:00Z</dcterms:created>
  <dcterms:modified xsi:type="dcterms:W3CDTF">2024-12-20T11:28:00Z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0x0101006DAE40C6C0930B428D6B0F675BDF4601</vt:lpwstr>
  </property>
  <property fmtid="{D5CDD505-2E9C-101B-9397-08002B2CF9AE}" pid="3" name="MediaServiceImageTags">
    <vt:lpwstr/>
  </property>
</Properties>
</file>