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theme/theme1.xml" ContentType="application/vnd.openxmlformats-officedocument.theme+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center"/>
        <w:rPr/>
      </w:pPr>
      <w:r>
        <w:rPr>
          <w:rFonts w:cs="Arial"/>
          <w:b/>
          <w:bCs/>
          <w:i/>
          <w:iCs/>
          <w:color w:val="000000" w:themeColor="text1"/>
          <w:szCs w:val="20"/>
        </w:rPr>
        <w:t>MARINHA DO BRASIL</w:t>
      </w:r>
    </w:p>
    <w:p>
      <w:pPr>
        <w:pStyle w:val="Normal"/>
        <w:spacing w:lineRule="auto" w:line="276"/>
        <w:jc w:val="center"/>
        <w:rPr/>
      </w:pPr>
      <w:r>
        <w:rPr>
          <w:rFonts w:cs="Arial"/>
          <w:b/>
          <w:bCs/>
          <w:i/>
          <w:iCs/>
          <w:color w:val="000000" w:themeColor="text1"/>
          <w:szCs w:val="20"/>
        </w:rPr>
        <w:t>CENTRO DE INTENDÊNCIA DA MARINHA EM RIO GRANDE</w:t>
      </w:r>
    </w:p>
    <w:p>
      <w:pPr>
        <w:pStyle w:val="Normal"/>
        <w:spacing w:lineRule="auto" w:line="276"/>
        <w:jc w:val="center"/>
        <w:rPr/>
      </w:pPr>
      <w:r>
        <w:rPr>
          <w:rFonts w:cs="Arial"/>
          <w:b/>
          <w:bCs/>
          <w:i/>
          <w:iCs/>
          <w:color w:val="000000" w:themeColor="text1"/>
          <w:szCs w:val="20"/>
        </w:rPr>
        <w:t>GRUPAMENTO DE FUZILEIROS NAVAIS DO RIO GRANDE</w:t>
      </w:r>
    </w:p>
    <w:p>
      <w:pPr>
        <w:pStyle w:val="Normal"/>
        <w:spacing w:lineRule="auto" w:line="276"/>
        <w:jc w:val="center"/>
        <w:rPr/>
      </w:pPr>
      <w:r>
        <w:rPr>
          <w:rFonts w:cs="Arial"/>
          <w:b/>
          <w:bCs/>
          <w:i/>
          <w:iCs/>
          <w:color w:val="000000" w:themeColor="text1"/>
          <w:szCs w:val="20"/>
        </w:rPr>
        <w:t>AVISO DE DISPENSA ELETRÔNICA No 3004</w:t>
      </w:r>
      <w:r>
        <w:rPr>
          <w:rFonts w:cs="Arial"/>
          <w:b/>
          <w:bCs/>
          <w:i/>
          <w:iCs/>
          <w:color w:val="000000" w:themeColor="text1"/>
          <w:szCs w:val="20"/>
        </w:rPr>
        <w:t>9</w:t>
      </w:r>
      <w:r>
        <w:rPr>
          <w:rFonts w:cs="Arial"/>
          <w:b/>
          <w:bCs/>
          <w:i/>
          <w:iCs/>
          <w:color w:val="000000" w:themeColor="text1"/>
          <w:szCs w:val="20"/>
        </w:rPr>
        <w:t>/2022</w:t>
      </w:r>
    </w:p>
    <w:p>
      <w:pPr>
        <w:pStyle w:val="Normal"/>
        <w:rPr>
          <w:rFonts w:cs="Arial"/>
        </w:rPr>
      </w:pPr>
      <w:r>
        <w:rPr>
          <w:rFonts w:cs="Arial"/>
        </w:rPr>
      </w:r>
    </w:p>
    <w:p>
      <w:pPr>
        <w:pStyle w:val="Normal"/>
        <w:snapToGrid w:val="false"/>
        <w:spacing w:lineRule="auto" w:line="276" w:before="0" w:after="120"/>
        <w:ind w:right="-30" w:firstLine="540"/>
        <w:jc w:val="both"/>
        <w:rPr/>
      </w:pPr>
      <w:r>
        <w:rPr>
          <w:rFonts w:cs="Arial"/>
          <w:color w:val="000000" w:themeColor="text1"/>
          <w:szCs w:val="20"/>
        </w:rPr>
        <w:t xml:space="preserve">Torna-se público que o centro de intendência da marinha em rio grande, realizará Dispensa Eletrônica, </w:t>
      </w:r>
      <w:r>
        <w:rPr>
          <w:rFonts w:cs="Arial"/>
          <w:bCs/>
          <w:color w:val="000000" w:themeColor="text1"/>
          <w:szCs w:val="20"/>
        </w:rPr>
        <w:t>com critério de julgamento</w:t>
      </w:r>
      <w:r>
        <w:rPr>
          <w:rFonts w:cs="Arial"/>
          <w:b/>
          <w:bCs/>
          <w:color w:val="000000" w:themeColor="text1"/>
          <w:szCs w:val="20"/>
        </w:rPr>
        <w:t xml:space="preserve"> </w:t>
      </w:r>
      <w:r>
        <w:rPr>
          <w:rFonts w:cs="Arial"/>
          <w:i/>
          <w:color w:val="000000"/>
          <w:szCs w:val="20"/>
        </w:rPr>
        <w:t>menor preço</w:t>
      </w:r>
      <w:r>
        <w:rPr>
          <w:rFonts w:cs="Arial"/>
          <w:b/>
          <w:bCs/>
          <w:i/>
          <w:color w:val="000000"/>
          <w:szCs w:val="20"/>
        </w:rPr>
        <w:t>,</w:t>
      </w:r>
      <w:r>
        <w:rPr>
          <w:rFonts w:cs="Arial"/>
          <w:b/>
          <w:bCs/>
          <w:i/>
          <w:color w:val="FF0000"/>
          <w:szCs w:val="20"/>
        </w:rPr>
        <w:t xml:space="preserve"> </w:t>
      </w:r>
      <w:r>
        <w:rPr>
          <w:rFonts w:cs="Arial"/>
          <w:color w:val="000000" w:themeColor="text1"/>
          <w:szCs w:val="20"/>
        </w:rPr>
        <w:t>na hipótese do art. 75</w:t>
      </w:r>
      <w:r>
        <w:rPr>
          <w:rFonts w:cs="Arial"/>
          <w:i/>
          <w:iCs/>
          <w:color w:val="000000" w:themeColor="text1"/>
          <w:szCs w:val="20"/>
        </w:rPr>
        <w:t xml:space="preserve">, </w:t>
      </w:r>
      <w:r>
        <w:rPr>
          <w:rFonts w:cs="Arial"/>
          <w:i/>
          <w:iCs/>
          <w:color w:val="000000"/>
          <w:szCs w:val="20"/>
        </w:rPr>
        <w:t xml:space="preserve">inciso </w:t>
      </w:r>
      <w:r>
        <w:rPr>
          <w:rFonts w:cs="Arial"/>
          <w:b/>
          <w:i/>
          <w:iCs/>
          <w:color w:val="000000"/>
          <w:szCs w:val="20"/>
        </w:rPr>
        <w:t>II</w:t>
      </w:r>
      <w:r>
        <w:rPr>
          <w:rFonts w:cs="Arial"/>
          <w:i/>
          <w:iCs/>
          <w:color w:val="000000"/>
          <w:szCs w:val="20"/>
        </w:rPr>
        <w:t>,</w:t>
      </w:r>
      <w:r>
        <w:rPr>
          <w:rFonts w:cs="Arial"/>
          <w:color w:val="FF0000"/>
          <w:szCs w:val="20"/>
        </w:rPr>
        <w:t xml:space="preserve"> </w:t>
      </w:r>
      <w:r>
        <w:rPr>
          <w:rFonts w:cs="Arial"/>
          <w:bCs/>
          <w:szCs w:val="20"/>
        </w:rPr>
        <w:t>nos termos da Lei nº 14.133, de 1º de abril de 2021, da Instrução Normativa SEGES/ME nº 67/2021 e demais legislação aplicável</w:t>
      </w:r>
      <w:r>
        <w:rPr>
          <w:rFonts w:cs="Arial"/>
          <w:color w:val="000000"/>
          <w:szCs w:val="20"/>
        </w:rPr>
        <w:t>.</w:t>
      </w:r>
    </w:p>
    <w:p>
      <w:pPr>
        <w:pStyle w:val="Normal"/>
        <w:spacing w:lineRule="auto" w:line="276"/>
        <w:jc w:val="both"/>
        <w:rPr>
          <w:rFonts w:cs="Arial"/>
          <w:color w:val="000000" w:themeColor="text1"/>
          <w:szCs w:val="20"/>
        </w:rPr>
      </w:pPr>
      <w:r>
        <w:rPr>
          <w:rFonts w:cs="Arial"/>
          <w:color w:val="000000" w:themeColor="text1"/>
          <w:szCs w:val="20"/>
        </w:rPr>
      </w:r>
    </w:p>
    <w:p>
      <w:pPr>
        <w:pStyle w:val="Normal"/>
        <w:spacing w:lineRule="auto" w:line="276"/>
        <w:jc w:val="both"/>
        <w:rPr/>
      </w:pPr>
      <w:r>
        <w:rPr>
          <w:rFonts w:cs="Arial"/>
          <w:color w:val="000000" w:themeColor="text1"/>
          <w:szCs w:val="20"/>
        </w:rPr>
        <w:t xml:space="preserve">Data da sessão: </w:t>
      </w:r>
    </w:p>
    <w:p>
      <w:pPr>
        <w:pStyle w:val="Normal"/>
        <w:rPr/>
      </w:pPr>
      <w:r>
        <w:rPr>
          <w:rFonts w:cs="Arial"/>
          <w:color w:val="000000" w:themeColor="text1"/>
          <w:szCs w:val="20"/>
        </w:rPr>
        <w:t>Horário da Fase de Lances: 8:00 às 17:00hs</w:t>
      </w:r>
    </w:p>
    <w:p>
      <w:pPr>
        <w:pStyle w:val="PADRO"/>
        <w:keepNext w:val="false"/>
        <w:widowControl/>
        <w:shd w:val="clear" w:color="auto" w:fill="auto"/>
        <w:spacing w:before="120" w:after="120"/>
        <w:ind w:left="360" w:hanging="0"/>
        <w:rPr>
          <w:rFonts w:ascii="Arial" w:hAnsi="Arial" w:cs="Arial"/>
          <w:b/>
          <w:b/>
        </w:rPr>
      </w:pPr>
      <w:r>
        <w:rPr>
          <w:rFonts w:cs="Arial" w:ascii="Arial" w:hAnsi="Arial"/>
          <w:b/>
        </w:rPr>
      </w:r>
    </w:p>
    <w:p>
      <w:pPr>
        <w:pStyle w:val="PADRO"/>
        <w:keepNext w:val="false"/>
        <w:widowControl/>
        <w:numPr>
          <w:ilvl w:val="0"/>
          <w:numId w:val="1"/>
        </w:numPr>
        <w:shd w:val="clear" w:color="auto" w:fill="auto"/>
        <w:spacing w:before="120" w:after="120"/>
        <w:rPr/>
      </w:pPr>
      <w:r>
        <w:rPr>
          <w:rFonts w:cs="Arial" w:ascii="Arial" w:hAnsi="Arial"/>
          <w:b/>
        </w:rPr>
        <w:t>OBJETO DA CONTRATAÇÃO DIRETA</w:t>
      </w:r>
      <w:bookmarkStart w:id="0" w:name="_GoBack"/>
      <w:bookmarkEnd w:id="0"/>
    </w:p>
    <w:p>
      <w:pPr>
        <w:pStyle w:val="PADRO"/>
        <w:keepNext w:val="false"/>
        <w:widowControl/>
        <w:numPr>
          <w:ilvl w:val="1"/>
          <w:numId w:val="1"/>
        </w:numPr>
        <w:shd w:val="clear" w:color="auto" w:fill="auto"/>
        <w:spacing w:before="120" w:after="120"/>
        <w:rPr/>
      </w:pPr>
      <w:r>
        <w:rPr>
          <w:rFonts w:cs="Arial" w:ascii="Arial" w:hAnsi="Arial"/>
          <w:i/>
          <w:iCs/>
          <w:color w:val="000000"/>
          <w:szCs w:val="20"/>
        </w:rPr>
        <w:t xml:space="preserve"> </w:t>
      </w:r>
      <w:r>
        <w:rPr>
          <w:rFonts w:cs="Arial" w:ascii="Arial" w:hAnsi="Arial"/>
          <w:i/>
          <w:iCs/>
          <w:color w:val="000000"/>
          <w:szCs w:val="20"/>
        </w:rPr>
        <w:t>Aquisição de material elétrico com aplicação no Grupamento de Fuzileiros Navais do Rio Grande</w:t>
      </w:r>
    </w:p>
    <w:tbl>
      <w:tblPr>
        <w:tblW w:w="8395" w:type="dxa"/>
        <w:jc w:val="left"/>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noVBand="1" w:val="04a0" w:noHBand="0" w:lastColumn="0" w:firstColumn="1" w:lastRow="0" w:firstRow="1"/>
      </w:tblPr>
      <w:tblGrid>
        <w:gridCol w:w="653"/>
        <w:gridCol w:w="2478"/>
        <w:gridCol w:w="888"/>
        <w:gridCol w:w="1092"/>
        <w:gridCol w:w="830"/>
        <w:gridCol w:w="2453"/>
      </w:tblGrid>
      <w:tr>
        <w:trPr/>
        <w:tc>
          <w:tcPr>
            <w:tcW w:w="6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jc w:val="center"/>
              <w:rPr>
                <w:rFonts w:cs="Arial"/>
                <w:b/>
                <w:b/>
                <w:bCs/>
                <w:color w:val="000000"/>
                <w:sz w:val="14"/>
                <w:szCs w:val="14"/>
              </w:rPr>
            </w:pPr>
            <w:r>
              <w:rPr>
                <w:rFonts w:cs="Arial"/>
                <w:b/>
                <w:bCs/>
                <w:color w:val="000000"/>
                <w:sz w:val="14"/>
                <w:szCs w:val="14"/>
              </w:rPr>
              <w:t>ITEM</w:t>
            </w:r>
          </w:p>
          <w:p>
            <w:pPr>
              <w:pStyle w:val="Normal"/>
              <w:widowControl w:val="false"/>
              <w:suppressAutoHyphens w:val="true"/>
              <w:jc w:val="center"/>
              <w:rPr>
                <w:rFonts w:cs="Arial"/>
                <w:b/>
                <w:b/>
                <w:color w:val="000000"/>
                <w:sz w:val="14"/>
                <w:szCs w:val="14"/>
              </w:rPr>
            </w:pPr>
            <w:r>
              <w:rPr>
                <w:rFonts w:cs="Arial"/>
                <w:b/>
                <w:color w:val="000000"/>
                <w:sz w:val="14"/>
                <w:szCs w:val="14"/>
              </w:rPr>
            </w:r>
          </w:p>
        </w:tc>
        <w:tc>
          <w:tcPr>
            <w:tcW w:w="2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center"/>
              <w:rPr>
                <w:rFonts w:cs="Arial"/>
                <w:b/>
                <w:b/>
                <w:bCs/>
                <w:color w:val="000000"/>
                <w:sz w:val="14"/>
                <w:szCs w:val="14"/>
              </w:rPr>
            </w:pPr>
            <w:r>
              <w:rPr>
                <w:rFonts w:cs="Arial"/>
                <w:b/>
                <w:bCs/>
                <w:color w:val="000000"/>
                <w:sz w:val="14"/>
                <w:szCs w:val="14"/>
              </w:rPr>
              <w:t>DESCRIÇÃO/</w:t>
            </w:r>
          </w:p>
          <w:p>
            <w:pPr>
              <w:pStyle w:val="Normal"/>
              <w:widowControl w:val="false"/>
              <w:suppressAutoHyphens w:val="true"/>
              <w:jc w:val="center"/>
              <w:rPr>
                <w:rFonts w:cs="Arial"/>
                <w:color w:val="000000"/>
                <w:sz w:val="14"/>
                <w:szCs w:val="14"/>
              </w:rPr>
            </w:pPr>
            <w:r>
              <w:rPr>
                <w:rFonts w:cs="Arial"/>
                <w:b/>
                <w:bCs/>
                <w:color w:val="000000"/>
                <w:sz w:val="14"/>
                <w:szCs w:val="14"/>
              </w:rPr>
              <w:t>ESPECIFICAÇÃO</w:t>
            </w:r>
          </w:p>
        </w:tc>
        <w:tc>
          <w:tcPr>
            <w:tcW w:w="88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jc w:val="center"/>
              <w:rPr>
                <w:rFonts w:cs="Arial"/>
                <w:b/>
                <w:b/>
                <w:bCs/>
                <w:color w:val="000000"/>
                <w:sz w:val="14"/>
                <w:szCs w:val="14"/>
              </w:rPr>
            </w:pPr>
            <w:r>
              <w:rPr>
                <w:rFonts w:cs="Arial"/>
                <w:b/>
                <w:bCs/>
                <w:color w:val="000000"/>
                <w:sz w:val="14"/>
                <w:szCs w:val="14"/>
              </w:rPr>
              <w:t>CATSER/</w:t>
            </w:r>
          </w:p>
          <w:p>
            <w:pPr>
              <w:pStyle w:val="Normal"/>
              <w:widowControl w:val="false"/>
              <w:suppressAutoHyphens w:val="true"/>
              <w:jc w:val="center"/>
              <w:rPr>
                <w:rFonts w:cs="Arial"/>
                <w:b/>
                <w:b/>
                <w:bCs/>
                <w:color w:val="000000"/>
                <w:sz w:val="14"/>
                <w:szCs w:val="14"/>
              </w:rPr>
            </w:pPr>
            <w:r>
              <w:rPr>
                <w:rFonts w:cs="Arial"/>
                <w:b/>
                <w:bCs/>
                <w:color w:val="000000"/>
                <w:sz w:val="14"/>
                <w:szCs w:val="14"/>
              </w:rPr>
              <w:t>CATMAT</w:t>
            </w:r>
          </w:p>
        </w:tc>
        <w:tc>
          <w:tcPr>
            <w:tcW w:w="10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jc w:val="center"/>
              <w:rPr>
                <w:rFonts w:cs="Arial"/>
                <w:color w:val="000000"/>
                <w:sz w:val="14"/>
                <w:szCs w:val="14"/>
              </w:rPr>
            </w:pPr>
            <w:r>
              <w:rPr>
                <w:rFonts w:cs="Arial"/>
                <w:b/>
                <w:bCs/>
                <w:color w:val="000000"/>
                <w:sz w:val="14"/>
                <w:szCs w:val="14"/>
              </w:rPr>
              <w:t>UNIDADE DE MEDIDA</w:t>
            </w:r>
          </w:p>
        </w:tc>
        <w:tc>
          <w:tcPr>
            <w:tcW w:w="8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jc w:val="center"/>
              <w:rPr>
                <w:rFonts w:cs="Arial"/>
                <w:color w:val="000000"/>
                <w:sz w:val="14"/>
                <w:szCs w:val="14"/>
              </w:rPr>
            </w:pPr>
            <w:r>
              <w:rPr>
                <w:rFonts w:cs="Arial"/>
                <w:b/>
                <w:bCs/>
                <w:color w:val="000000"/>
                <w:sz w:val="14"/>
                <w:szCs w:val="14"/>
              </w:rPr>
              <w:t>QUANT.</w:t>
            </w:r>
          </w:p>
        </w:tc>
        <w:tc>
          <w:tcPr>
            <w:tcW w:w="24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jc w:val="center"/>
              <w:rPr>
                <w:rFonts w:cs="Arial"/>
                <w:b/>
                <w:b/>
                <w:bCs/>
                <w:color w:val="000000"/>
                <w:sz w:val="14"/>
                <w:szCs w:val="14"/>
              </w:rPr>
            </w:pPr>
            <w:r>
              <w:rPr>
                <w:rFonts w:cs="Arial"/>
                <w:b/>
                <w:bCs/>
                <w:color w:val="000000"/>
                <w:sz w:val="14"/>
                <w:szCs w:val="14"/>
              </w:rPr>
              <w:t>PREÇO ESTIMADO</w:t>
            </w:r>
          </w:p>
        </w:tc>
      </w:tr>
      <w:tr>
        <w:trPr/>
        <w:tc>
          <w:tcPr>
            <w:tcW w:w="6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rFonts w:cs="Arial"/>
                <w:b/>
                <w:color w:val="000000"/>
                <w:sz w:val="16"/>
                <w:szCs w:val="16"/>
              </w:rPr>
              <w:t>1</w:t>
            </w:r>
          </w:p>
        </w:tc>
        <w:tc>
          <w:tcPr>
            <w:tcW w:w="2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rFonts w:cs="Arial"/>
                <w:color w:val="000000"/>
                <w:sz w:val="16"/>
                <w:szCs w:val="16"/>
              </w:rPr>
              <w:t>FIO FE-100 (ROLO 100m) STE</w:t>
            </w:r>
          </w:p>
        </w:tc>
        <w:tc>
          <w:tcPr>
            <w:tcW w:w="88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rFonts w:cs="Arial"/>
                <w:color w:val="000000"/>
                <w:sz w:val="16"/>
                <w:szCs w:val="16"/>
              </w:rPr>
              <w:t>243629</w:t>
            </w:r>
          </w:p>
        </w:tc>
        <w:tc>
          <w:tcPr>
            <w:tcW w:w="10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rFonts w:cs="Arial"/>
                <w:color w:val="000000"/>
                <w:sz w:val="16"/>
                <w:szCs w:val="16"/>
              </w:rPr>
              <w:t>RL</w:t>
            </w:r>
          </w:p>
        </w:tc>
        <w:tc>
          <w:tcPr>
            <w:tcW w:w="8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rFonts w:cs="Arial"/>
                <w:color w:val="000000"/>
                <w:sz w:val="16"/>
                <w:szCs w:val="16"/>
              </w:rPr>
              <w:t>3</w:t>
            </w:r>
          </w:p>
        </w:tc>
        <w:tc>
          <w:tcPr>
            <w:tcW w:w="24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bookmarkStart w:id="1" w:name="__DdeLink__2993_3119340354"/>
            <w:r>
              <w:rPr>
                <w:rFonts w:cs="Arial"/>
                <w:color w:val="000000"/>
                <w:sz w:val="16"/>
                <w:szCs w:val="16"/>
              </w:rPr>
              <w:t>R$</w:t>
            </w:r>
            <w:bookmarkEnd w:id="1"/>
            <w:r>
              <w:rPr>
                <w:rFonts w:cs="Arial"/>
                <w:color w:val="000000"/>
                <w:sz w:val="16"/>
                <w:szCs w:val="16"/>
              </w:rPr>
              <w:t xml:space="preserve"> </w:t>
            </w:r>
            <w:r>
              <w:rPr>
                <w:rFonts w:cs="Arial"/>
                <w:color w:val="000000"/>
                <w:sz w:val="16"/>
                <w:szCs w:val="16"/>
              </w:rPr>
              <w:t>853,20</w:t>
            </w:r>
          </w:p>
        </w:tc>
      </w:tr>
    </w:tbl>
    <w:p>
      <w:pPr>
        <w:pStyle w:val="PADRO"/>
        <w:keepNext w:val="false"/>
        <w:widowControl/>
        <w:numPr>
          <w:ilvl w:val="2"/>
          <w:numId w:val="1"/>
        </w:numPr>
        <w:shd w:val="clear" w:color="auto" w:fill="auto"/>
        <w:spacing w:before="120" w:after="120"/>
        <w:rPr/>
      </w:pPr>
      <w:r>
        <w:rPr>
          <w:rFonts w:cs="Arial" w:ascii="Arial" w:hAnsi="Arial"/>
          <w:szCs w:val="20"/>
        </w:rPr>
        <w:t>Havendo mais de item ou lote faculta-se ao fornecedor a participação em quantos forem de seu interesse. Entretanto, optando-se por participar de um lote, deve o fornecedor enviar proposta para todos os itens que o compõem.</w:t>
      </w:r>
    </w:p>
    <w:p>
      <w:pPr>
        <w:pStyle w:val="PADRO"/>
        <w:keepNext w:val="false"/>
        <w:widowControl/>
        <w:numPr>
          <w:ilvl w:val="1"/>
          <w:numId w:val="1"/>
        </w:numPr>
        <w:shd w:val="clear" w:color="auto" w:fill="auto"/>
        <w:spacing w:before="120" w:after="120"/>
        <w:rPr/>
      </w:pPr>
      <w:r>
        <w:rPr>
          <w:rFonts w:cs="Arial" w:ascii="Arial" w:hAnsi="Arial"/>
          <w:szCs w:val="20"/>
        </w:rPr>
        <w:t>O critério de julgamento adotado será o</w:t>
      </w:r>
      <w:r>
        <w:rPr>
          <w:rFonts w:cs="Arial" w:ascii="Arial" w:hAnsi="Arial"/>
          <w:i/>
          <w:iCs/>
          <w:szCs w:val="20"/>
        </w:rPr>
        <w:t xml:space="preserve"> </w:t>
      </w:r>
      <w:r>
        <w:rPr>
          <w:rFonts w:cs="Arial" w:ascii="Arial" w:hAnsi="Arial"/>
          <w:i/>
          <w:iCs/>
          <w:color w:val="000000"/>
          <w:szCs w:val="20"/>
        </w:rPr>
        <w:t>menor preço,</w:t>
      </w:r>
      <w:r>
        <w:rPr>
          <w:rFonts w:cs="Arial" w:ascii="Arial" w:hAnsi="Arial"/>
          <w:color w:val="000000"/>
          <w:szCs w:val="20"/>
        </w:rPr>
        <w:t xml:space="preserve"> o</w:t>
      </w:r>
      <w:r>
        <w:rPr>
          <w:rFonts w:cs="Arial" w:ascii="Arial" w:hAnsi="Arial"/>
          <w:szCs w:val="20"/>
        </w:rPr>
        <w:t>bservadas as exigências contidas neste Aviso de Contratação Direta e seus Anexos quanto às especificações do objeto.</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PARTICIPAÇÃO NA DISPENSA ELETRÔNICA.</w:t>
      </w:r>
    </w:p>
    <w:p>
      <w:pPr>
        <w:pStyle w:val="Normal"/>
        <w:numPr>
          <w:ilvl w:val="1"/>
          <w:numId w:val="1"/>
        </w:numPr>
        <w:snapToGrid w:val="false"/>
        <w:spacing w:lineRule="auto" w:line="276" w:before="120" w:after="120"/>
        <w:ind w:left="425" w:hanging="0"/>
        <w:jc w:val="both"/>
        <w:rPr/>
      </w:pPr>
      <w:r>
        <w:rPr>
          <w:rFonts w:cs="Arial"/>
          <w:szCs w:val="20"/>
        </w:rPr>
        <w:t xml:space="preserve">A participação na presente dispensa eletrônica se dará mediante </w:t>
      </w:r>
      <w:r>
        <w:rPr>
          <w:rFonts w:cs="Arial"/>
          <w:bCs/>
          <w:szCs w:val="20"/>
        </w:rPr>
        <w:t>Sistema de Dispensa Eletrônica</w:t>
      </w:r>
      <w:r>
        <w:rPr>
          <w:rFonts w:cs="Arial"/>
          <w:szCs w:val="20"/>
        </w:rPr>
        <w:t xml:space="preserve"> integrante do Sistema de Compras do Governo Federal – Comprasnet 4.0, disponível no </w:t>
      </w:r>
      <w:r>
        <w:rPr>
          <w:rFonts w:cs="Arial"/>
          <w:bCs/>
          <w:szCs w:val="20"/>
        </w:rPr>
        <w:t>endereço eletrônico https://www.gov.br/compras/pt-br/.</w:t>
      </w:r>
    </w:p>
    <w:p>
      <w:pPr>
        <w:pStyle w:val="Normal"/>
        <w:numPr>
          <w:ilvl w:val="2"/>
          <w:numId w:val="1"/>
        </w:numPr>
        <w:snapToGrid w:val="false"/>
        <w:spacing w:lineRule="auto" w:line="276" w:before="120" w:after="120"/>
        <w:jc w:val="both"/>
        <w:rPr>
          <w:rFonts w:cs="Arial"/>
          <w:szCs w:val="20"/>
        </w:rPr>
      </w:pPr>
      <w:r>
        <w:rPr>
          <w:rFonts w:cs="Arial"/>
          <w:szCs w:val="20"/>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themeColor="text1"/>
          <w:szCs w:val="20"/>
        </w:rPr>
        <w:t>Não poderão participar desta dispensa os fornecedores: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não atendam às condições deste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se enquadrem nas seguintes vedações: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color w:val="000000"/>
          <w:szCs w:val="20"/>
        </w:rPr>
        <w:t xml:space="preserve">empresas controladoras, controladas ou coligadas, nos termos da </w:t>
      </w:r>
      <w:hyperlink r:id="rId2">
        <w:r>
          <w:rPr>
            <w:rStyle w:val="LinkdaInternet"/>
            <w:rFonts w:eastAsia="Calibri" w:cs="Arial"/>
            <w:szCs w:val="20"/>
          </w:rPr>
          <w:t>Lei nº 6.404, de 15 de dezembro de 1976</w:t>
        </w:r>
      </w:hyperlink>
      <w:r>
        <w:rPr>
          <w:rFonts w:cs="Arial"/>
          <w:color w:val="000000"/>
          <w:szCs w:val="20"/>
        </w:rPr>
        <w:t>, concorrendo entre si;</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Equiparam-se aos autores do projeto as empresas integrantes do mesmo grupo econômico;</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pPr>
        <w:pStyle w:val="Normal"/>
        <w:numPr>
          <w:ilvl w:val="2"/>
          <w:numId w:val="1"/>
        </w:numPr>
        <w:spacing w:lineRule="auto" w:line="276" w:before="120" w:after="120"/>
        <w:jc w:val="both"/>
        <w:rPr/>
      </w:pPr>
      <w:r>
        <w:rPr/>
        <w:t xml:space="preserve"> </w:t>
      </w:r>
      <w:r>
        <w:rPr/>
        <w:t>Será permitida a participação de cooperativas, desde que apresentem demonstrativo de atuação em regime cooperado, com repartição de receitas e despesas entre os cooperados e atendam ao art. 16 da Lei nº 14.133/21.</w:t>
      </w:r>
    </w:p>
    <w:p>
      <w:pPr>
        <w:pStyle w:val="PADRO"/>
        <w:keepNext w:val="false"/>
        <w:widowControl/>
        <w:numPr>
          <w:ilvl w:val="0"/>
          <w:numId w:val="1"/>
        </w:numPr>
        <w:shd w:val="clear" w:color="auto" w:fill="auto"/>
        <w:spacing w:before="120" w:after="120"/>
        <w:rPr/>
      </w:pPr>
      <w:r>
        <w:rPr>
          <w:rFonts w:cs="Arial" w:ascii="Arial" w:hAnsi="Arial"/>
          <w:b/>
        </w:rPr>
        <w:t>INGRESSO NA DISPENSA ELETRÔNICA E CADASTRAMENTO DA PROPOSTA INICIAL</w:t>
      </w:r>
    </w:p>
    <w:p>
      <w:pPr>
        <w:pStyle w:val="Normal"/>
        <w:numPr>
          <w:ilvl w:val="1"/>
          <w:numId w:val="1"/>
        </w:numPr>
        <w:snapToGrid w:val="false"/>
        <w:spacing w:lineRule="auto" w:line="276" w:before="120" w:after="120"/>
        <w:ind w:left="425" w:hanging="0"/>
        <w:jc w:val="both"/>
        <w:rPr>
          <w:rFonts w:cs="Arial"/>
        </w:rPr>
      </w:pPr>
      <w:r>
        <w:rPr>
          <w:rFonts w:cs="Arial"/>
          <w:color w:val="000000" w:themeColor="text1"/>
          <w:szCs w:val="20"/>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Cs w:val="20"/>
        </w:rPr>
      </w:pPr>
      <w:r>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rFonts w:cs="Arial"/>
          <w:szCs w:val="20"/>
        </w:rPr>
      </w:pPr>
      <w:r>
        <w:rPr>
          <w:rFonts w:cs="Arial"/>
          <w:szCs w:val="20"/>
        </w:rPr>
        <w:t xml:space="preserve">Todas as especificações do </w:t>
      </w:r>
      <w:r>
        <w:rPr>
          <w:rFonts w:cs="Arial"/>
          <w:color w:val="000000" w:themeColor="text1"/>
          <w:szCs w:val="20"/>
        </w:rPr>
        <w:t>objeto</w:t>
      </w:r>
      <w:r>
        <w:rPr>
          <w:rFonts w:cs="Arial"/>
          <w:szCs w:val="20"/>
        </w:rPr>
        <w:t xml:space="preserve"> contidas na proposta, em especial o preço, vinculam a Contratada.</w:t>
      </w:r>
    </w:p>
    <w:p>
      <w:pPr>
        <w:pStyle w:val="Normal"/>
        <w:numPr>
          <w:ilvl w:val="1"/>
          <w:numId w:val="1"/>
        </w:numPr>
        <w:spacing w:lineRule="auto" w:line="276"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Cs w:val="20"/>
        </w:rPr>
      </w:pPr>
      <w:r>
        <w:rPr>
          <w:rFonts w:cs="Arial"/>
          <w:szCs w:val="20"/>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pPr>
      <w:r>
        <w:rPr>
          <w:rFonts w:cs="Arial"/>
          <w:szCs w:val="20"/>
        </w:rPr>
        <w:t xml:space="preserve">A apresentação das propostas implica obrigatoriedade do cumprimento das disposições nelas contidas, em conformidade com o que dispõe o </w:t>
      </w:r>
      <w:r>
        <w:rPr>
          <w:rFonts w:cs="Arial"/>
          <w:i/>
          <w:color w:val="000000"/>
          <w:szCs w:val="20"/>
        </w:rPr>
        <w:t>Aviso de Dispensa Eletrônica</w:t>
      </w:r>
      <w:r>
        <w:rPr>
          <w:rFonts w:cs="Arial"/>
          <w:color w:val="000000"/>
          <w:szCs w:val="20"/>
        </w:rPr>
        <w:t>, assumindo o proponente o compromisso de executar os serviços nos se</w:t>
      </w:r>
      <w:r>
        <w:rPr>
          <w:rFonts w:cs="Arial"/>
          <w:szCs w:val="20"/>
        </w:rPr>
        <w:t>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cs="Arial"/>
          <w:color w:val="000000" w:themeColor="text1"/>
          <w:szCs w:val="20"/>
        </w:rPr>
      </w:pPr>
      <w:r>
        <w:rPr>
          <w:rFonts w:cs="Arial"/>
          <w:szCs w:val="20"/>
        </w:rPr>
        <w:t xml:space="preserve">Uma vez enviada a proposta no sistema, os fornecedores </w:t>
      </w:r>
      <w:r>
        <w:rPr>
          <w:rFonts w:cs="Arial"/>
          <w:b/>
          <w:bCs/>
          <w:szCs w:val="20"/>
        </w:rPr>
        <w:t>NÃO</w:t>
      </w:r>
      <w:r>
        <w:rPr>
          <w:rFonts w:cs="Arial"/>
          <w:szCs w:val="20"/>
        </w:rPr>
        <w:t xml:space="preserve"> poderão retirá-la, substituí-la ou modificá-la</w:t>
      </w:r>
      <w:r>
        <w:rPr>
          <w:rFonts w:cs="Arial"/>
          <w:color w:val="000000"/>
          <w:szCs w:val="20"/>
        </w:rPr>
        <w:t>;</w:t>
      </w:r>
    </w:p>
    <w:p>
      <w:pPr>
        <w:pStyle w:val="Normal"/>
        <w:numPr>
          <w:ilvl w:val="1"/>
          <w:numId w:val="1"/>
        </w:numPr>
        <w:spacing w:lineRule="auto" w:line="276" w:before="120" w:after="120"/>
        <w:ind w:left="425" w:hanging="0"/>
        <w:jc w:val="both"/>
        <w:rPr/>
      </w:pPr>
      <w:r>
        <w:rPr>
          <w:rFonts w:cs="Arial"/>
          <w:color w:val="000000"/>
          <w:szCs w:val="20"/>
        </w:rPr>
        <w:t xml:space="preserve">No cadastramento da proposta inicial, o fornecedor deverá, também, assinalar “sim” ou “não” em campo </w:t>
      </w:r>
      <w:r>
        <w:rPr>
          <w:rFonts w:cs="Arial"/>
          <w:szCs w:val="20"/>
        </w:rPr>
        <w:t>próprio</w:t>
      </w:r>
      <w:r>
        <w:rPr>
          <w:rFonts w:cs="Arial"/>
          <w:color w:val="000000"/>
          <w:szCs w:val="20"/>
        </w:rPr>
        <w:t xml:space="preserve"> do sistema eletrônico, às seguintes declarações:</w:t>
      </w:r>
      <w:r>
        <w:rPr>
          <w:rFonts w:eastAsia="Zurich BT" w:cs="Arial"/>
          <w:color w:val="000000"/>
          <w:szCs w:val="20"/>
        </w:rPr>
        <w:t xml:space="preserve"> </w:t>
      </w:r>
    </w:p>
    <w:p>
      <w:pPr>
        <w:pStyle w:val="ListParagraph"/>
        <w:numPr>
          <w:ilvl w:val="0"/>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que </w:t>
      </w:r>
      <w:r>
        <w:rPr>
          <w:rFonts w:cs="Arial"/>
          <w:color w:val="000000"/>
          <w:szCs w:val="20"/>
        </w:rPr>
        <w:t>cumpre</w:t>
      </w:r>
      <w:r>
        <w:rPr>
          <w:rFonts w:cs="Arial"/>
          <w:color w:val="000000" w:themeColor="text1"/>
          <w:szCs w:val="20"/>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pPr>
      <w:r>
        <w:rPr>
          <w:rFonts w:cs="Arial"/>
          <w:color w:val="000000" w:themeColor="text1"/>
          <w:szCs w:val="20"/>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jc w:val="both"/>
        <w:rPr>
          <w:rFonts w:cs="Arial"/>
          <w:i/>
          <w:i/>
          <w:color w:val="FF0000"/>
          <w:szCs w:val="20"/>
        </w:rPr>
      </w:pPr>
      <w:r>
        <w:rPr>
          <w:rFonts w:cs="Arial"/>
          <w:i/>
          <w:color w:val="000000"/>
          <w:szCs w:val="20"/>
        </w:rPr>
        <w:t>Fica facultado ao fornecedor, ao cadastrar sua proposta inicial, a parametrização de valor final mínimo, com o registro do seu lance final aceitável (menor preço ou maior desconto, conforme o caso).</w:t>
      </w:r>
    </w:p>
    <w:p>
      <w:pPr>
        <w:pStyle w:val="Normal"/>
        <w:numPr>
          <w:ilvl w:val="2"/>
          <w:numId w:val="1"/>
        </w:numPr>
        <w:spacing w:lineRule="auto" w:line="276" w:before="120" w:after="120"/>
        <w:jc w:val="both"/>
        <w:rPr>
          <w:rFonts w:cs="Arial"/>
          <w:i/>
          <w:i/>
          <w:color w:val="FF0000"/>
          <w:szCs w:val="20"/>
        </w:rPr>
      </w:pPr>
      <w:r>
        <w:rPr>
          <w:rFonts w:cs="Arial"/>
          <w:i/>
          <w:color w:val="000000"/>
          <w:szCs w:val="20"/>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cs="Arial"/>
          <w:i/>
          <w:i/>
          <w:color w:val="FF0000"/>
          <w:szCs w:val="20"/>
        </w:rPr>
      </w:pPr>
      <w:r>
        <w:rPr>
          <w:rFonts w:cs="Arial"/>
          <w:i/>
          <w:color w:val="000000"/>
          <w:szCs w:val="20"/>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cs="Arial"/>
          <w:i/>
          <w:i/>
          <w:color w:val="FF0000"/>
          <w:szCs w:val="20"/>
        </w:rPr>
      </w:pPr>
      <w:r>
        <w:rPr>
          <w:rFonts w:cs="Arial"/>
          <w:i/>
          <w:color w:val="000000"/>
          <w:szCs w:val="20"/>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rFonts w:cs="Arial"/>
          <w:i/>
          <w:i/>
          <w:color w:val="FF0000"/>
          <w:szCs w:val="20"/>
        </w:rPr>
      </w:pPr>
      <w:r>
        <w:rPr>
          <w:rFonts w:cs="Arial"/>
          <w:i/>
          <w:color w:val="00000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PADRO"/>
        <w:keepNext w:val="false"/>
        <w:widowControl/>
        <w:numPr>
          <w:ilvl w:val="0"/>
          <w:numId w:val="1"/>
        </w:numPr>
        <w:shd w:val="clear" w:color="auto" w:fill="auto"/>
        <w:spacing w:before="120" w:after="120"/>
        <w:rPr/>
      </w:pPr>
      <w:r>
        <w:rPr>
          <w:rFonts w:cs="Arial" w:ascii="Arial" w:hAnsi="Arial"/>
          <w:b/>
        </w:rPr>
        <w:t>FASE DE LANCES</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A partir das 8:00h da data estabelecida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color w:val="000000"/>
        </w:rPr>
      </w:pPr>
      <w:r>
        <w:rPr>
          <w:rFonts w:cs="Arial"/>
          <w:i/>
          <w:iCs/>
          <w:color w:val="000000"/>
          <w:szCs w:val="20"/>
        </w:rPr>
        <w:t>O lance deverá ser ofertado pelo valor unitário do item.</w:t>
      </w:r>
    </w:p>
    <w:p>
      <w:pPr>
        <w:pStyle w:val="ListParagraph"/>
        <w:numPr>
          <w:ilvl w:val="1"/>
          <w:numId w:val="1"/>
        </w:numPr>
        <w:spacing w:lineRule="auto" w:line="276" w:before="120" w:after="120"/>
        <w:contextualSpacing/>
        <w:jc w:val="both"/>
        <w:rPr/>
      </w:pPr>
      <w:r>
        <w:rPr>
          <w:rFonts w:cs="Arial"/>
          <w:color w:val="000000" w:themeColor="text1"/>
          <w:szCs w:val="20"/>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
          <w:iCs/>
          <w:szCs w:val="20"/>
        </w:rPr>
        <w:t xml:space="preserve"> </w:t>
      </w:r>
      <w:r>
        <w:rPr>
          <w:rFonts w:cs="Arial"/>
          <w:i/>
          <w:iCs/>
          <w:color w:val="000000" w:themeColor="text1"/>
          <w:szCs w:val="20"/>
          <w:lang w:eastAsia="en-US"/>
        </w:rPr>
        <w:t>R$ 0,01.</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JULGAMENTO DAS PROPOSTAS DE PREÇO</w:t>
      </w:r>
    </w:p>
    <w:p>
      <w:pPr>
        <w:pStyle w:val="ListParagraph"/>
        <w:numPr>
          <w:ilvl w:val="1"/>
          <w:numId w:val="1"/>
        </w:numPr>
        <w:spacing w:lineRule="auto" w:line="276" w:before="120" w:after="120"/>
        <w:contextualSpacing/>
        <w:jc w:val="both"/>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rPr>
      </w:pPr>
      <w:r>
        <w:rPr>
          <w:rFonts w:cs="Arial"/>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rPr>
      </w:pPr>
      <w:r>
        <w:rPr>
          <w:rFonts w:cs="Arial"/>
          <w:color w:val="000000"/>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rPr>
      </w:pPr>
      <w:r>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rPr>
      </w:pPr>
      <w:r>
        <w:rPr>
          <w:rFonts w:cs="Arial"/>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cs="Arial"/>
        </w:rPr>
      </w:pPr>
      <w:r>
        <w:rPr>
          <w:rFonts w:cs="Arial"/>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 15</w:t>
      </w:r>
      <w:r>
        <w:rPr>
          <w:rFonts w:cs="Arial"/>
          <w:color w:val="FF0000"/>
          <w:szCs w:val="20"/>
        </w:rPr>
        <w:t xml:space="preserve"> </w:t>
      </w:r>
      <w:r>
        <w:rPr>
          <w:rFonts w:cs="Arial"/>
          <w:color w:val="000000"/>
          <w:szCs w:val="20"/>
        </w:rPr>
        <w:t>(quinze)</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pPr>
        <w:pStyle w:val="ListParagraph"/>
        <w:numPr>
          <w:ilvl w:val="1"/>
          <w:numId w:val="1"/>
        </w:numPr>
        <w:spacing w:lineRule="auto" w:line="276" w:before="120" w:after="120"/>
        <w:contextualSpacing/>
        <w:jc w:val="both"/>
        <w:rPr/>
      </w:pPr>
      <w:r>
        <w:rPr>
          <w:rFonts w:cs="Arial"/>
          <w:color w:val="000000" w:themeColor="text1"/>
          <w:szCs w:val="20"/>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contiver vícios insanáveis</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não tiverem sua exequibilidade demonstrada, quando exigido pela Administração</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i/>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i/>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pPr>
      <w:r>
        <w:rPr>
          <w:rFonts w:cs="Arial"/>
          <w:color w:val="000000" w:themeColor="text1"/>
          <w:szCs w:val="20"/>
          <w:lang w:eastAsia="en-US"/>
        </w:rPr>
        <w:t xml:space="preserve">Erros no preenchimento da planilha não constituem motivo para a desclassificação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Encerrada a análise quanto à aceitação da proposta, se iniciará a fase de habilitação, observado o disposto neste Aviso de Contratação Direta. </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HABILITAÇÃO</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a) SICAF;  </w:t>
      </w:r>
    </w:p>
    <w:p>
      <w:pPr>
        <w:pStyle w:val="ListParagraph"/>
        <w:spacing w:lineRule="auto" w:line="276" w:before="120" w:after="120"/>
        <w:ind w:left="1134" w:hanging="0"/>
        <w:contextualSpacing/>
        <w:jc w:val="both"/>
        <w:rPr/>
      </w:pPr>
      <w:r>
        <w:rPr>
          <w:rFonts w:cs="Arial"/>
          <w:szCs w:val="20"/>
          <w:lang w:eastAsia="ar-SA"/>
        </w:rPr>
        <w:t>b) Cadastro Nacional de Empresas Inidôneas e Suspensas - CEIS, mantido pela Controladoria-Geral da União (</w:t>
      </w:r>
      <w:hyperlink r:id="rId3">
        <w:r>
          <w:rPr>
            <w:rStyle w:val="LinkdaInternet"/>
            <w:rFonts w:eastAsia="Calibri" w:cs="Arial"/>
            <w:lang w:eastAsia="ar-SA"/>
          </w:rPr>
          <w:t>www.portaldatransparencia.gov.br/ceis</w:t>
        </w:r>
      </w:hyperlink>
      <w:r>
        <w:rPr>
          <w:rFonts w:cs="Arial"/>
          <w:szCs w:val="20"/>
          <w:lang w:eastAsia="ar-SA"/>
        </w:rPr>
        <w:t xml:space="preserve">);  </w:t>
      </w:r>
    </w:p>
    <w:p>
      <w:pPr>
        <w:pStyle w:val="ListParagraph"/>
        <w:spacing w:lineRule="auto" w:line="276" w:before="120" w:after="120"/>
        <w:ind w:left="1134" w:hanging="0"/>
        <w:contextualSpacing/>
        <w:jc w:val="both"/>
        <w:rPr/>
      </w:pPr>
      <w:r>
        <w:rPr>
          <w:rFonts w:cs="Arial"/>
          <w:szCs w:val="20"/>
          <w:lang w:eastAsia="ar-SA"/>
        </w:rPr>
        <w:t>c) Cadastro Nacional de Condenações Cíveis por Atos de Improbidade Administrativa, mantido pelo Conselho Nacional de Justiça (</w:t>
      </w:r>
      <w:hyperlink r:id="rId4">
        <w:r>
          <w:rPr>
            <w:rStyle w:val="LinkdaInternet"/>
            <w:rFonts w:eastAsia="Calibri" w:cs="Arial"/>
            <w:lang w:eastAsia="ar-SA"/>
          </w:rPr>
          <w:t>www.cnj.jus.br/improbidade_adm/consultar_requerido.php</w:t>
        </w:r>
      </w:hyperlink>
      <w:r>
        <w:rPr>
          <w:rFonts w:cs="Arial"/>
          <w:szCs w:val="20"/>
          <w:lang w:eastAsia="ar-SA"/>
        </w:rPr>
        <w:t xml:space="preserve">).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cs="Arial"/>
          <w:b/>
          <w:b/>
          <w:szCs w:val="20"/>
        </w:rPr>
      </w:pPr>
      <w:r>
        <w:rPr>
          <w:rFonts w:cs="Arial"/>
          <w:szCs w:val="20"/>
          <w:lang w:eastAsia="ar-SA"/>
        </w:rPr>
        <w:t xml:space="preserve">Para a consulta de </w:t>
      </w:r>
      <w:r>
        <w:rPr>
          <w:rFonts w:cs="Arial"/>
          <w:color w:val="000000" w:themeColor="text1"/>
          <w:szCs w:val="20"/>
        </w:rPr>
        <w:t>fornecedores</w:t>
      </w:r>
      <w:r>
        <w:rPr>
          <w:rFonts w:cs="Arial"/>
          <w:szCs w:val="20"/>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szCs w:val="20"/>
        </w:rPr>
      </w:pPr>
      <w:r>
        <w:rPr>
          <w:rFonts w:cs="Arial"/>
          <w:color w:val="000000" w:themeColor="text1"/>
          <w:szCs w:val="20"/>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szCs w:val="20"/>
        </w:rPr>
      </w:pPr>
      <w:r>
        <w:rPr>
          <w:rFonts w:cs="Arial"/>
          <w:color w:val="000000" w:themeColor="text1"/>
          <w:szCs w:val="20"/>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cs="Arial"/>
          <w:szCs w:val="20"/>
        </w:rPr>
      </w:pPr>
      <w:r>
        <w:rPr>
          <w:rFonts w:cs="Arial"/>
          <w:color w:val="000000" w:themeColor="text1"/>
          <w:szCs w:val="20"/>
        </w:rPr>
        <w:t xml:space="preserve">Caso atendidas as condições de participação, </w:t>
      </w:r>
      <w:r>
        <w:rPr>
          <w:rFonts w:cs="Arial"/>
          <w:szCs w:val="20"/>
        </w:rPr>
        <w:t>a habilitação dos fornecedores será verificada por meio do SICAF, nos documentos por ele abrangidos</w:t>
      </w:r>
      <w:r>
        <w:rPr>
          <w:rFonts w:cs="Arial"/>
          <w:color w:val="000000" w:themeColor="text1"/>
          <w:szCs w:val="20"/>
        </w:rPr>
        <w:t>.</w:t>
      </w:r>
    </w:p>
    <w:p>
      <w:pPr>
        <w:pStyle w:val="ListParagraph"/>
        <w:numPr>
          <w:ilvl w:val="2"/>
          <w:numId w:val="1"/>
        </w:numPr>
        <w:spacing w:lineRule="auto" w:line="276" w:before="120" w:after="120"/>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cs="Arial"/>
          <w:color w:val="000000" w:themeColor="text1"/>
          <w:szCs w:val="20"/>
        </w:rPr>
      </w:pPr>
      <w:r>
        <w:rPr>
          <w:rFonts w:cs="Arial"/>
          <w:color w:val="000000" w:themeColor="text1"/>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color w:val="000000" w:themeColor="text1"/>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cs="Arial"/>
          <w:b/>
          <w:b/>
          <w:bCs/>
          <w:szCs w:val="20"/>
        </w:rPr>
      </w:pPr>
      <w:r>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pPr>
      <w:r>
        <w:rPr>
          <w:rFonts w:cs="Arial"/>
          <w:bCs/>
          <w:szCs w:val="20"/>
        </w:rPr>
        <w:t xml:space="preserve">Havendo </w:t>
      </w:r>
      <w:r>
        <w:rPr>
          <w:rFonts w:cs="Arial"/>
          <w:iCs/>
          <w:lang w:eastAsia="en-US"/>
        </w:rPr>
        <w:t>necessidade</w:t>
      </w:r>
      <w:r>
        <w:rPr>
          <w:rFonts w:cs="Arial"/>
          <w:bCs/>
          <w:szCs w:val="20"/>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lang w:eastAsia="en-U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lang w:eastAsia="en-US"/>
        </w:rPr>
      </w:pPr>
      <w:r>
        <w:rPr>
          <w:rFonts w:cs="Arial"/>
          <w:iCs/>
          <w:lang w:eastAsia="en-US"/>
        </w:rPr>
        <w:t>Constatado o atendimento às exigências de habilitação, o fornecedor será habilitado</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CONTRATAÇÃO</w:t>
      </w:r>
    </w:p>
    <w:p>
      <w:pPr>
        <w:pStyle w:val="Normal"/>
        <w:numPr>
          <w:ilvl w:val="1"/>
          <w:numId w:val="1"/>
        </w:numPr>
        <w:spacing w:lineRule="auto" w:line="276" w:before="63" w:after="63"/>
        <w:ind w:left="425" w:hanging="0"/>
        <w:jc w:val="both"/>
        <w:rPr/>
      </w:pPr>
      <w:r>
        <w:rPr>
          <w:rFonts w:eastAsia="Arial" w:cs="Arial"/>
          <w:color w:val="000000"/>
          <w:szCs w:val="20"/>
        </w:rPr>
        <w:t>Após a homologação e adjudicação, caso se conclua pela contratação, será firmado Termo de Contrato ou emitido instrumento equivalente.</w:t>
      </w:r>
    </w:p>
    <w:p>
      <w:pPr>
        <w:pStyle w:val="Normal"/>
        <w:numPr>
          <w:ilvl w:val="1"/>
          <w:numId w:val="1"/>
        </w:numPr>
        <w:spacing w:lineRule="auto" w:line="276" w:before="63" w:after="63"/>
        <w:ind w:left="425" w:hanging="0"/>
        <w:jc w:val="both"/>
        <w:rPr/>
      </w:pPr>
      <w:r>
        <w:rPr>
          <w:rFonts w:eastAsia="Arial" w:cs="Arial"/>
          <w:color w:val="000000"/>
          <w:szCs w:val="20"/>
        </w:rPr>
        <w:t xml:space="preserve">O adjudicatário terá o prazo de 3 (três) dias úteis, contados a partir da data de sua convocação, para aceitar instrumento equivalente, conforme Nota de Empenho/Ordem de compra, sob pena de decair do direito à contratação, sem prejuízo das sanções previstas neste Aviso de Contratação Direta. </w:t>
      </w:r>
    </w:p>
    <w:p>
      <w:pPr>
        <w:pStyle w:val="Normal"/>
        <w:numPr>
          <w:ilvl w:val="2"/>
          <w:numId w:val="1"/>
        </w:numPr>
        <w:spacing w:lineRule="auto" w:line="276" w:before="63" w:after="63"/>
        <w:jc w:val="both"/>
        <w:rPr/>
      </w:pPr>
      <w:r>
        <w:rPr>
          <w:rFonts w:eastAsia="Arial" w:cs="Arial"/>
          <w:color w:val="000000"/>
          <w:szCs w:val="20"/>
        </w:rPr>
        <w:t xml:space="preserve">O prazo previsto para assinatura do contrato ou aceitação da nota de empenho ou instrumento equivalente poderá ser prorrogado </w:t>
      </w:r>
      <w:r>
        <w:rPr>
          <w:rFonts w:cs="Times New Roman"/>
          <w:bCs/>
        </w:rPr>
        <w:t>1 (uma) vez</w:t>
      </w:r>
      <w:r>
        <w:rPr>
          <w:rFonts w:eastAsia="Arial" w:cs="Arial"/>
          <w:szCs w:val="20"/>
        </w:rPr>
        <w:t xml:space="preserve">, </w:t>
      </w:r>
      <w:r>
        <w:rPr>
          <w:rFonts w:eastAsia="Arial" w:cs="Arial"/>
          <w:color w:val="000000"/>
          <w:szCs w:val="20"/>
        </w:rPr>
        <w:t>por igual período, por solicitação justificada do adjudicatário e aceita pela Administração.</w:t>
      </w:r>
    </w:p>
    <w:p>
      <w:pPr>
        <w:pStyle w:val="Normal"/>
        <w:numPr>
          <w:ilvl w:val="1"/>
          <w:numId w:val="1"/>
        </w:numPr>
        <w:spacing w:lineRule="auto" w:line="276" w:before="63" w:after="63"/>
        <w:ind w:left="425" w:hanging="0"/>
        <w:jc w:val="both"/>
        <w:rPr/>
      </w:pPr>
      <w:r>
        <w:rPr>
          <w:rFonts w:eastAsia="Arial" w:cs="Arial"/>
          <w:i/>
          <w:color w:val="000000"/>
          <w:szCs w:val="20"/>
        </w:rPr>
        <w:t>O Aceite da Nota de Empenho ou do instrumento equivalente, emitida à empresa adjudicada, implica no reconhecimento de que:</w:t>
      </w:r>
    </w:p>
    <w:p>
      <w:pPr>
        <w:pStyle w:val="Normal"/>
        <w:numPr>
          <w:ilvl w:val="2"/>
          <w:numId w:val="1"/>
        </w:numPr>
        <w:spacing w:lineRule="auto" w:line="276" w:before="63" w:after="63"/>
        <w:jc w:val="both"/>
        <w:rPr/>
      </w:pPr>
      <w:r>
        <w:rPr>
          <w:rFonts w:eastAsia="Arial" w:cs="Arial"/>
          <w:i/>
          <w:color w:val="000000"/>
          <w:szCs w:val="20"/>
        </w:rPr>
        <w:t>referida Nota está substituindo o contrato, aplicando-se à relação de negócios ali estabelecida as disposições da Lei nº 14.133, de 2021;</w:t>
      </w:r>
    </w:p>
    <w:p>
      <w:pPr>
        <w:pStyle w:val="Normal"/>
        <w:numPr>
          <w:ilvl w:val="2"/>
          <w:numId w:val="1"/>
        </w:numPr>
        <w:spacing w:lineRule="auto" w:line="276" w:before="63" w:after="63"/>
        <w:jc w:val="both"/>
        <w:rPr/>
      </w:pPr>
      <w:r>
        <w:rPr>
          <w:rFonts w:eastAsia="Arial" w:cs="Arial"/>
          <w:i/>
          <w:color w:val="000000"/>
          <w:szCs w:val="20"/>
        </w:rPr>
        <w:t>a contratada se vincula à sua proposta e às previsões contidas no Aviso de Contratação Direta e seus anexos;</w:t>
      </w:r>
    </w:p>
    <w:p>
      <w:pPr>
        <w:pStyle w:val="Normal"/>
        <w:numPr>
          <w:ilvl w:val="2"/>
          <w:numId w:val="1"/>
        </w:numPr>
        <w:spacing w:lineRule="auto" w:line="276" w:before="63" w:after="63"/>
        <w:jc w:val="both"/>
        <w:rPr/>
      </w:pPr>
      <w:r>
        <w:rPr>
          <w:rFonts w:eastAsia="Arial" w:cs="Arial"/>
          <w:i/>
          <w:color w:val="000000"/>
          <w:szCs w:val="20"/>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63" w:after="63"/>
        <w:ind w:left="425" w:hanging="0"/>
        <w:jc w:val="both"/>
        <w:rPr/>
      </w:pPr>
      <w:r>
        <w:rPr>
          <w:rFonts w:eastAsia="Arial" w:cs="Arial"/>
          <w:color w:val="000000"/>
          <w:szCs w:val="20"/>
        </w:rPr>
        <w:t xml:space="preserve">O prazo de vigência da contratação é de 30 (trinta) dias. </w:t>
      </w:r>
    </w:p>
    <w:p>
      <w:pPr>
        <w:pStyle w:val="Normal"/>
        <w:numPr>
          <w:ilvl w:val="1"/>
          <w:numId w:val="1"/>
        </w:numPr>
        <w:spacing w:lineRule="auto" w:line="276" w:before="63" w:after="63"/>
        <w:ind w:left="425" w:hanging="0"/>
        <w:jc w:val="both"/>
        <w:rPr/>
      </w:pPr>
      <w:r>
        <w:rPr>
          <w:rFonts w:cs="Arial"/>
          <w:color w:val="000000"/>
          <w:szCs w:val="20"/>
        </w:rPr>
        <w:t>Na confecção da Nota de empenho será exigida a comprovação das condições de habilitação e contratação consignadas neste aviso, que deverão ser mantidas pelo fornecedor durante a vigência do contrato.</w:t>
      </w:r>
    </w:p>
    <w:p>
      <w:pPr>
        <w:pStyle w:val="PADRO"/>
        <w:keepNext w:val="false"/>
        <w:widowControl/>
        <w:numPr>
          <w:ilvl w:val="0"/>
          <w:numId w:val="1"/>
        </w:numPr>
        <w:shd w:val="clear" w:color="auto" w:fill="auto"/>
        <w:spacing w:before="120" w:after="120"/>
        <w:rPr/>
      </w:pPr>
      <w:r>
        <w:rPr>
          <w:rFonts w:cs="Arial" w:ascii="Arial" w:hAnsi="Arial"/>
          <w:b/>
        </w:rPr>
        <w:t>SANÇÕES</w:t>
      </w:r>
    </w:p>
    <w:p>
      <w:pPr>
        <w:pStyle w:val="Normal"/>
        <w:numPr>
          <w:ilvl w:val="1"/>
          <w:numId w:val="1"/>
        </w:numPr>
        <w:spacing w:lineRule="auto" w:line="276" w:before="63" w:after="63"/>
        <w:ind w:left="425" w:hanging="0"/>
        <w:jc w:val="both"/>
        <w:rPr/>
      </w:pPr>
      <w:r>
        <w:rPr>
          <w:rFonts w:cs="Arial"/>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63" w:after="63"/>
        <w:jc w:val="both"/>
        <w:rPr/>
      </w:pPr>
      <w:r>
        <w:rPr>
          <w:rFonts w:cs="Arial"/>
          <w:color w:val="000000"/>
          <w:szCs w:val="20"/>
        </w:rPr>
        <w:t>dar causa à inexecução parcial do contrato</w:t>
      </w:r>
      <w:r>
        <w:rPr>
          <w:rFonts w:cs="Arial"/>
        </w:rPr>
        <w:t>;</w:t>
      </w:r>
    </w:p>
    <w:p>
      <w:pPr>
        <w:pStyle w:val="Normal"/>
        <w:numPr>
          <w:ilvl w:val="2"/>
          <w:numId w:val="1"/>
        </w:numPr>
        <w:spacing w:lineRule="auto" w:line="276" w:before="63" w:after="63"/>
        <w:jc w:val="both"/>
        <w:rPr/>
      </w:pPr>
      <w:r>
        <w:rPr>
          <w:rFonts w:cs="Arial"/>
          <w:color w:val="000000"/>
          <w:szCs w:val="20"/>
        </w:rPr>
        <w:t>dar causa à inexecução parcial do contrato que cause grave dano à Administração, ao funcionamento dos serviços públicos ou ao interesse coletivo;</w:t>
      </w:r>
    </w:p>
    <w:p>
      <w:pPr>
        <w:pStyle w:val="Normal"/>
        <w:numPr>
          <w:ilvl w:val="2"/>
          <w:numId w:val="1"/>
        </w:numPr>
        <w:spacing w:lineRule="auto" w:line="276" w:before="63" w:after="63"/>
        <w:jc w:val="both"/>
        <w:rPr/>
      </w:pPr>
      <w:r>
        <w:rPr>
          <w:rFonts w:cs="Arial"/>
          <w:color w:val="000000"/>
          <w:szCs w:val="20"/>
        </w:rPr>
        <w:t>dar causa à inexecução total do contrato;</w:t>
      </w:r>
    </w:p>
    <w:p>
      <w:pPr>
        <w:pStyle w:val="Normal"/>
        <w:numPr>
          <w:ilvl w:val="2"/>
          <w:numId w:val="1"/>
        </w:numPr>
        <w:spacing w:lineRule="auto" w:line="276" w:before="63" w:after="63"/>
        <w:jc w:val="both"/>
        <w:rPr/>
      </w:pPr>
      <w:r>
        <w:rPr>
          <w:rFonts w:cs="Arial"/>
          <w:color w:val="000000"/>
          <w:szCs w:val="20"/>
        </w:rPr>
        <w:t>deixar de entregar a documentação exigida para o certame;</w:t>
      </w:r>
    </w:p>
    <w:p>
      <w:pPr>
        <w:pStyle w:val="Normal"/>
        <w:numPr>
          <w:ilvl w:val="2"/>
          <w:numId w:val="1"/>
        </w:numPr>
        <w:spacing w:lineRule="auto" w:line="276" w:before="63" w:after="63"/>
        <w:jc w:val="both"/>
        <w:rPr/>
      </w:pPr>
      <w:r>
        <w:rPr>
          <w:rFonts w:cs="Arial"/>
          <w:color w:val="000000"/>
          <w:szCs w:val="20"/>
        </w:rPr>
        <w:t>não manter a proposta, salvo em decorrência de fato superveniente devidamente justificado;</w:t>
      </w:r>
    </w:p>
    <w:p>
      <w:pPr>
        <w:pStyle w:val="Normal"/>
        <w:numPr>
          <w:ilvl w:val="2"/>
          <w:numId w:val="1"/>
        </w:numPr>
        <w:spacing w:lineRule="auto" w:line="276" w:before="63" w:after="63"/>
        <w:jc w:val="both"/>
        <w:rPr/>
      </w:pPr>
      <w:r>
        <w:rPr>
          <w:rFonts w:cs="Arial"/>
          <w:color w:val="000000"/>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63" w:after="63"/>
        <w:jc w:val="both"/>
        <w:rPr/>
      </w:pPr>
      <w:r>
        <w:rPr>
          <w:rFonts w:cs="Arial"/>
          <w:color w:val="000000"/>
          <w:szCs w:val="20"/>
        </w:rPr>
        <w:t>ensejar o retardamento da execução ou da entrega do objeto da licitação sem motivo justificado;</w:t>
      </w:r>
    </w:p>
    <w:p>
      <w:pPr>
        <w:pStyle w:val="Normal"/>
        <w:numPr>
          <w:ilvl w:val="2"/>
          <w:numId w:val="1"/>
        </w:numPr>
        <w:spacing w:lineRule="auto" w:line="276" w:before="63" w:after="63"/>
        <w:jc w:val="both"/>
        <w:rPr/>
      </w:pPr>
      <w:r>
        <w:rPr>
          <w:rFonts w:cs="Arial"/>
          <w:color w:val="000000"/>
          <w:szCs w:val="20"/>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63" w:after="63"/>
        <w:jc w:val="both"/>
        <w:rPr/>
      </w:pPr>
      <w:r>
        <w:rPr>
          <w:rFonts w:cs="Arial"/>
          <w:color w:val="000000"/>
          <w:szCs w:val="20"/>
        </w:rPr>
        <w:t>fraudar a dispensa eletrônica ou praticar ato fraudulento na execução do contrato;</w:t>
      </w:r>
    </w:p>
    <w:p>
      <w:pPr>
        <w:pStyle w:val="Normal"/>
        <w:numPr>
          <w:ilvl w:val="2"/>
          <w:numId w:val="1"/>
        </w:numPr>
        <w:spacing w:lineRule="auto" w:line="276" w:before="63" w:after="63"/>
        <w:jc w:val="both"/>
        <w:rPr/>
      </w:pPr>
      <w:r>
        <w:rPr>
          <w:rFonts w:cs="Arial"/>
          <w:color w:val="000000"/>
          <w:szCs w:val="20"/>
        </w:rPr>
        <w:t>comportar-se de modo inidôneo ou cometer fraude de qualquer natureza;</w:t>
      </w:r>
    </w:p>
    <w:p>
      <w:pPr>
        <w:pStyle w:val="ListParagraph"/>
        <w:numPr>
          <w:ilvl w:val="3"/>
          <w:numId w:val="1"/>
        </w:numPr>
        <w:spacing w:lineRule="auto" w:line="276" w:before="63" w:after="63"/>
        <w:contextualSpacing/>
        <w:jc w:val="both"/>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63" w:after="63"/>
        <w:jc w:val="both"/>
        <w:rPr/>
      </w:pPr>
      <w:r>
        <w:rPr>
          <w:rFonts w:cs="Arial"/>
          <w:color w:val="000000"/>
          <w:szCs w:val="20"/>
        </w:rPr>
        <w:t>praticar atos ilícitos com vistas a frustrar os objetivos deste certame.</w:t>
      </w:r>
    </w:p>
    <w:p>
      <w:pPr>
        <w:pStyle w:val="Normal"/>
        <w:numPr>
          <w:ilvl w:val="2"/>
          <w:numId w:val="1"/>
        </w:numPr>
        <w:spacing w:lineRule="auto" w:line="276" w:before="63" w:after="63"/>
        <w:jc w:val="both"/>
        <w:rPr/>
      </w:pPr>
      <w:r>
        <w:rPr>
          <w:rFonts w:cs="Arial"/>
          <w:color w:val="000000"/>
          <w:szCs w:val="20"/>
        </w:rPr>
        <w:t xml:space="preserve">praticar ato lesivo previsto no </w:t>
      </w:r>
      <w:r>
        <w:fldChar w:fldCharType="begin"/>
      </w:r>
      <w:r>
        <w:rPr>
          <w:rStyle w:val="ListLabel74"/>
        </w:rPr>
        <w:instrText> HYPERLINK "http://www.planalto.gov.br/ccivil_03/_Ato2011-2014/2013/Lei/L12846.htm" \l "art5"</w:instrText>
      </w:r>
      <w:r>
        <w:rPr>
          <w:rStyle w:val="ListLabel74"/>
        </w:rPr>
        <w:fldChar w:fldCharType="separate"/>
      </w:r>
      <w:r>
        <w:rPr>
          <w:rStyle w:val="ListLabel74"/>
          <w:color w:val="000000"/>
        </w:rPr>
        <w:t>art. 5º da Lei nº 12.846, de 1º de agosto de 2013.</w:t>
      </w:r>
      <w:r>
        <w:rPr>
          <w:rStyle w:val="ListLabel74"/>
        </w:rPr>
        <w:fldChar w:fldCharType="end"/>
      </w:r>
    </w:p>
    <w:p>
      <w:pPr>
        <w:pStyle w:val="Normal"/>
        <w:numPr>
          <w:ilvl w:val="1"/>
          <w:numId w:val="1"/>
        </w:numPr>
        <w:spacing w:lineRule="auto" w:line="276" w:before="63" w:after="63"/>
        <w:ind w:left="425" w:hanging="0"/>
        <w:jc w:val="both"/>
        <w:rPr/>
      </w:pPr>
      <w:r>
        <w:rPr>
          <w:rFonts w:cs="Arial"/>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63" w:after="63"/>
        <w:jc w:val="both"/>
        <w:rPr/>
      </w:pPr>
      <w:r>
        <w:rPr>
          <w:rFonts w:cs="Arial"/>
        </w:rPr>
        <w:t>Advertência pela falta do subitem 8.1.1 deste Aviso de Contratação Direta,</w:t>
      </w:r>
      <w:r>
        <w:rPr/>
        <w:t xml:space="preserve"> </w:t>
      </w:r>
      <w:r>
        <w:rPr>
          <w:rFonts w:cs="Arial"/>
        </w:rPr>
        <w:t>quando não se justificar a imposição de penalidade mais grave;</w:t>
      </w:r>
    </w:p>
    <w:p>
      <w:pPr>
        <w:pStyle w:val="Normal"/>
        <w:numPr>
          <w:ilvl w:val="2"/>
          <w:numId w:val="5"/>
        </w:numPr>
        <w:spacing w:lineRule="auto" w:line="276" w:before="63" w:after="63"/>
        <w:jc w:val="both"/>
        <w:rPr/>
      </w:pPr>
      <w:r>
        <w:rPr>
          <w:rFonts w:cs="Arial"/>
        </w:rPr>
        <w:t>Multa de 0,5</w:t>
      </w:r>
      <w:r>
        <w:rPr>
          <w:rFonts w:cs="Arial"/>
          <w:b w:val="false"/>
          <w:bCs w:val="false"/>
          <w:color w:val="000000"/>
        </w:rPr>
        <w:t>%</w:t>
      </w:r>
      <w:r>
        <w:rPr>
          <w:rFonts w:cs="Arial"/>
          <w:color w:val="FF0000"/>
        </w:rPr>
        <w:t xml:space="preserve"> </w:t>
      </w:r>
      <w:r>
        <w:rPr>
          <w:rFonts w:cs="Arial"/>
          <w:color w:val="000000"/>
        </w:rPr>
        <w:t>(cinco decimos por cento)</w:t>
      </w:r>
      <w:r>
        <w:rPr>
          <w:rFonts w:cs="Arial"/>
          <w:color w:val="FF0000"/>
        </w:rPr>
        <w:t xml:space="preserve"> </w:t>
      </w:r>
      <w:r>
        <w:rPr>
          <w:rFonts w:cs="Arial"/>
        </w:rPr>
        <w:t>sobre o valor estimado do(s) item(s) prejudicado(s) pela conduta do fornecedor, por qualquer das infrações dos subitens 8.1.1 a 8.1.12;</w:t>
      </w:r>
    </w:p>
    <w:p>
      <w:pPr>
        <w:pStyle w:val="Normal"/>
        <w:numPr>
          <w:ilvl w:val="2"/>
          <w:numId w:val="5"/>
        </w:numPr>
        <w:spacing w:lineRule="auto" w:line="276" w:before="63" w:after="63"/>
        <w:jc w:val="both"/>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pPr>
        <w:pStyle w:val="Normal"/>
        <w:numPr>
          <w:ilvl w:val="2"/>
          <w:numId w:val="5"/>
        </w:numPr>
        <w:spacing w:lineRule="auto" w:line="276" w:before="63" w:after="63"/>
        <w:jc w:val="both"/>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pPr>
        <w:pStyle w:val="Normal"/>
        <w:numPr>
          <w:ilvl w:val="1"/>
          <w:numId w:val="1"/>
        </w:numPr>
        <w:spacing w:lineRule="auto" w:line="276" w:before="120" w:after="120"/>
        <w:jc w:val="both"/>
        <w:rPr>
          <w:rFonts w:cs="Arial"/>
          <w:bCs/>
        </w:rPr>
      </w:pPr>
      <w:r>
        <w:rPr>
          <w:rFonts w:cs="Arial"/>
          <w:bCs/>
        </w:rPr>
        <w:t>Na aplicação das sanções serão considerados:</w:t>
      </w:r>
    </w:p>
    <w:p>
      <w:pPr>
        <w:pStyle w:val="Normal"/>
        <w:numPr>
          <w:ilvl w:val="2"/>
          <w:numId w:val="1"/>
        </w:numPr>
        <w:spacing w:lineRule="auto" w:line="276" w:before="120" w:after="120"/>
        <w:jc w:val="both"/>
        <w:rPr>
          <w:rFonts w:cs="Arial"/>
          <w:bCs/>
        </w:rPr>
      </w:pPr>
      <w:r>
        <w:rPr>
          <w:rFonts w:cs="Arial"/>
          <w:bCs/>
        </w:rPr>
        <w:t>a natureza e a gravidade da infração cometida;</w:t>
      </w:r>
    </w:p>
    <w:p>
      <w:pPr>
        <w:pStyle w:val="Normal"/>
        <w:numPr>
          <w:ilvl w:val="2"/>
          <w:numId w:val="1"/>
        </w:numPr>
        <w:spacing w:lineRule="auto" w:line="276" w:before="120" w:after="120"/>
        <w:jc w:val="both"/>
        <w:rPr>
          <w:rFonts w:cs="Arial"/>
          <w:bCs/>
        </w:rPr>
      </w:pPr>
      <w:r>
        <w:rPr>
          <w:rFonts w:cs="Arial"/>
          <w:bCs/>
        </w:rPr>
        <w:t>as peculiaridades do caso concreto;</w:t>
      </w:r>
    </w:p>
    <w:p>
      <w:pPr>
        <w:pStyle w:val="Normal"/>
        <w:numPr>
          <w:ilvl w:val="2"/>
          <w:numId w:val="1"/>
        </w:numPr>
        <w:spacing w:lineRule="auto" w:line="276" w:before="120" w:after="120"/>
        <w:jc w:val="both"/>
        <w:rPr>
          <w:rFonts w:cs="Arial"/>
          <w:bCs/>
        </w:rPr>
      </w:pPr>
      <w:r>
        <w:rPr>
          <w:rFonts w:cs="Arial"/>
          <w:bCs/>
        </w:rPr>
        <w:t>as circunstâncias agravantes ou atenuantes;</w:t>
      </w:r>
    </w:p>
    <w:p>
      <w:pPr>
        <w:pStyle w:val="Normal"/>
        <w:numPr>
          <w:ilvl w:val="2"/>
          <w:numId w:val="1"/>
        </w:numPr>
        <w:spacing w:lineRule="auto" w:line="276" w:before="120" w:after="120"/>
        <w:jc w:val="both"/>
        <w:rPr>
          <w:rFonts w:cs="Arial"/>
          <w:bCs/>
        </w:rPr>
      </w:pPr>
      <w:r>
        <w:rPr>
          <w:rFonts w:cs="Arial"/>
          <w:bCs/>
        </w:rPr>
        <w:t>os danos que dela provierem para a Administração Pública;</w:t>
      </w:r>
    </w:p>
    <w:p>
      <w:pPr>
        <w:pStyle w:val="Normal"/>
        <w:numPr>
          <w:ilvl w:val="2"/>
          <w:numId w:val="1"/>
        </w:numPr>
        <w:spacing w:lineRule="auto" w:line="276" w:before="120" w:after="120"/>
        <w:jc w:val="both"/>
        <w:rPr>
          <w:rFonts w:cs="Arial"/>
          <w:bCs/>
        </w:rPr>
      </w:pPr>
      <w:r>
        <w:rPr>
          <w:rFonts w:cs="Arial"/>
          <w:bCs/>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rPr>
      </w:pPr>
      <w:bookmarkStart w:id="2" w:name="art156%25252525252525252525C2%2525252525"/>
      <w:bookmarkStart w:id="3" w:name="art156%25252525252525252525C2%2525252525"/>
      <w:bookmarkStart w:id="4" w:name="art156%25252525252525252525C2%2525252525"/>
      <w:bookmarkEnd w:id="2"/>
      <w:bookmarkEnd w:id="3"/>
      <w:bookmarkEnd w:id="4"/>
      <w:r>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rPr>
      </w:pPr>
      <w:bookmarkStart w:id="5" w:name="art156%25252525252525252525C2%2525252525"/>
      <w:bookmarkEnd w:id="5"/>
      <w:r>
        <w:rPr>
          <w:rFonts w:cs="Arial"/>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rPr>
      </w:pPr>
      <w:r>
        <w:rPr>
          <w:rFonts w:cs="Arial"/>
        </w:rPr>
        <w:t>A penalidade de multa pode ser aplicada cumulativamente com as demais sanções.</w:t>
      </w:r>
    </w:p>
    <w:p>
      <w:pPr>
        <w:pStyle w:val="Normal"/>
        <w:numPr>
          <w:ilvl w:val="1"/>
          <w:numId w:val="1"/>
        </w:numPr>
        <w:spacing w:lineRule="auto" w:line="276" w:before="120" w:after="120"/>
        <w:ind w:left="425" w:hanging="0"/>
        <w:jc w:val="both"/>
        <w:rPr>
          <w:rFonts w:cs="Arial"/>
        </w:rPr>
      </w:pPr>
      <w:r>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rPr>
      </w:pPr>
      <w:r>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rPr>
      </w:pPr>
      <w:r>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rPr>
      </w:pPr>
      <w:r>
        <w:rPr>
          <w:rFonts w:cs="Ari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rPr>
      </w:pPr>
      <w:r>
        <w:rPr>
          <w:rFonts w:cs="Arial"/>
        </w:rPr>
        <w:t>As sanções por atos praticados no decorrer da contratação estão previstas nos anexos a este Aviso.</w:t>
      </w:r>
    </w:p>
    <w:p>
      <w:pPr>
        <w:pStyle w:val="PADRO"/>
        <w:keepNext w:val="false"/>
        <w:widowControl/>
        <w:numPr>
          <w:ilvl w:val="0"/>
          <w:numId w:val="1"/>
        </w:numPr>
        <w:shd w:val="clear" w:color="auto" w:fill="auto"/>
        <w:spacing w:before="120" w:after="120"/>
        <w:rPr/>
      </w:pPr>
      <w:r>
        <w:rPr>
          <w:rFonts w:cs="Arial" w:ascii="Arial" w:hAnsi="Arial"/>
          <w:b/>
        </w:rPr>
        <w:t>DAS DISPOSIÇÕES GERAIS</w:t>
      </w:r>
    </w:p>
    <w:p>
      <w:pPr>
        <w:pStyle w:val="Normal"/>
        <w:numPr>
          <w:ilvl w:val="1"/>
          <w:numId w:val="1"/>
        </w:numPr>
        <w:snapToGrid w:val="false"/>
        <w:spacing w:lineRule="auto" w:line="276" w:before="0" w:after="0"/>
        <w:ind w:left="425" w:hanging="0"/>
        <w:jc w:val="both"/>
        <w:rPr/>
      </w:pPr>
      <w:r>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63" w:after="63"/>
        <w:ind w:left="425" w:hanging="0"/>
        <w:jc w:val="both"/>
        <w:rPr/>
      </w:pPr>
      <w:r>
        <w:rPr>
          <w:rFonts w:cs="Arial"/>
          <w:color w:val="000000"/>
          <w:szCs w:val="20"/>
        </w:rPr>
        <w:t>No caso de todos os fornecedores restarem desclassificados ou inabilitados (procedimento fracassado), a Administração poderá:</w:t>
      </w:r>
    </w:p>
    <w:p>
      <w:pPr>
        <w:pStyle w:val="Normal"/>
        <w:numPr>
          <w:ilvl w:val="2"/>
          <w:numId w:val="1"/>
        </w:numPr>
        <w:spacing w:lineRule="auto" w:line="276" w:before="63" w:after="63"/>
        <w:jc w:val="both"/>
        <w:rPr/>
      </w:pPr>
      <w:r>
        <w:rPr>
          <w:rFonts w:cs="Arial"/>
          <w:color w:val="000000"/>
          <w:szCs w:val="20"/>
        </w:rPr>
        <w:t>republicar o presente aviso com uma nova data;</w:t>
      </w:r>
    </w:p>
    <w:p>
      <w:pPr>
        <w:pStyle w:val="Normal"/>
        <w:numPr>
          <w:ilvl w:val="2"/>
          <w:numId w:val="1"/>
        </w:numPr>
        <w:spacing w:lineRule="auto" w:line="276" w:before="0" w:after="0"/>
        <w:jc w:val="both"/>
        <w:rPr/>
      </w:pPr>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6" w:after="6"/>
        <w:jc w:val="both"/>
        <w:rPr/>
      </w:pPr>
      <w:r>
        <w:rPr>
          <w:rFonts w:cs="Arial"/>
          <w:color w:val="000000"/>
          <w:szCs w:val="20"/>
        </w:rPr>
        <w:t>No caso do subitem anterior, a contratação será operacionalizada fora deste procedimento.</w:t>
      </w:r>
    </w:p>
    <w:p>
      <w:pPr>
        <w:pStyle w:val="Normal"/>
        <w:numPr>
          <w:ilvl w:val="2"/>
          <w:numId w:val="1"/>
        </w:numPr>
        <w:spacing w:lineRule="auto" w:line="276" w:before="6" w:after="6"/>
        <w:jc w:val="both"/>
        <w:rPr/>
      </w:pPr>
      <w:r>
        <w:rPr>
          <w:rFonts w:cs="Arial"/>
          <w:color w:val="000000"/>
          <w:szCs w:val="20"/>
        </w:rPr>
        <w:t>fixar prazo para que possa haver adequação das propostas ou da documentação de habilitação, conforme o caso.</w:t>
      </w:r>
    </w:p>
    <w:p>
      <w:pPr>
        <w:pStyle w:val="Normal"/>
        <w:numPr>
          <w:ilvl w:val="1"/>
          <w:numId w:val="1"/>
        </w:numPr>
        <w:spacing w:lineRule="auto" w:line="276" w:before="6" w:after="6"/>
        <w:ind w:left="425" w:hanging="0"/>
        <w:jc w:val="both"/>
        <w:rPr/>
      </w:pPr>
      <w:r>
        <w:rPr>
          <w:rFonts w:cs="Arial"/>
          <w:color w:val="000000"/>
          <w:szCs w:val="20"/>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63" w:after="63"/>
        <w:ind w:left="425" w:hanging="0"/>
        <w:jc w:val="both"/>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63" w:after="63"/>
        <w:ind w:left="425" w:hanging="0"/>
        <w:jc w:val="both"/>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63" w:after="63"/>
        <w:ind w:left="425" w:hanging="0"/>
        <w:jc w:val="both"/>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63" w:after="63"/>
        <w:ind w:left="425" w:hanging="0"/>
        <w:jc w:val="both"/>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63" w:after="63"/>
        <w:ind w:left="425" w:hanging="0"/>
        <w:jc w:val="both"/>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63" w:after="63"/>
        <w:ind w:left="425" w:hanging="0"/>
        <w:jc w:val="both"/>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63" w:after="63"/>
        <w:ind w:left="425" w:hanging="0"/>
        <w:jc w:val="both"/>
        <w:rPr/>
      </w:pPr>
      <w:r>
        <w:rPr>
          <w:rFonts w:cs="Arial"/>
          <w:color w:val="000000"/>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63" w:after="63"/>
        <w:ind w:left="425" w:hanging="0"/>
        <w:jc w:val="both"/>
        <w:rPr/>
      </w:pPr>
      <w:r>
        <w:rPr>
          <w:rFonts w:cs="Arial"/>
          <w:color w:val="000000"/>
          <w:szCs w:val="20"/>
        </w:rPr>
        <w:t>Da sessão pública será divulgada Ata no sistema eletrônico.</w:t>
      </w:r>
    </w:p>
    <w:p>
      <w:pPr>
        <w:pStyle w:val="Normal"/>
        <w:numPr>
          <w:ilvl w:val="1"/>
          <w:numId w:val="1"/>
        </w:numPr>
        <w:spacing w:lineRule="auto" w:line="276" w:before="63" w:after="63"/>
        <w:ind w:left="425" w:hanging="0"/>
        <w:jc w:val="both"/>
        <w:rPr/>
      </w:pPr>
      <w:r>
        <w:rPr>
          <w:rFonts w:cs="Arial"/>
          <w:color w:val="000000"/>
          <w:szCs w:val="20"/>
        </w:rPr>
        <w:t>Integram este Aviso de Contratação Direta, para todos os fins e efeitos, os seguintes anexos:</w:t>
      </w:r>
    </w:p>
    <w:p>
      <w:pPr>
        <w:pStyle w:val="Normal"/>
        <w:numPr>
          <w:ilvl w:val="2"/>
          <w:numId w:val="1"/>
        </w:numPr>
        <w:spacing w:lineRule="auto" w:line="276" w:before="63" w:after="63"/>
        <w:jc w:val="both"/>
        <w:rPr/>
      </w:pPr>
      <w:r>
        <w:rPr>
          <w:rFonts w:cs="Arial"/>
          <w:color w:val="000000"/>
          <w:szCs w:val="20"/>
        </w:rPr>
        <w:t>ANEXO I – Documentação exigida para Habilitação</w:t>
      </w:r>
    </w:p>
    <w:p>
      <w:pPr>
        <w:pStyle w:val="Normal"/>
        <w:spacing w:lineRule="auto" w:line="276" w:before="120" w:after="120"/>
        <w:jc w:val="both"/>
        <w:rPr>
          <w:rFonts w:cs="Arial"/>
          <w:i/>
          <w:i/>
          <w:iCs/>
          <w:color w:val="FF0000"/>
          <w:szCs w:val="20"/>
        </w:rPr>
      </w:pPr>
      <w:r>
        <w:rPr>
          <w:rFonts w:cs="Arial"/>
          <w:i/>
          <w:iCs/>
          <w:color w:val="FF0000"/>
          <w:szCs w:val="20"/>
        </w:rPr>
      </w:r>
    </w:p>
    <w:p>
      <w:pPr>
        <w:pStyle w:val="Normal"/>
        <w:spacing w:lineRule="auto" w:line="276" w:before="120" w:after="120"/>
        <w:jc w:val="both"/>
        <w:rPr/>
      </w:pPr>
      <w:r>
        <w:rPr/>
        <w:tab/>
        <w:tab/>
        <w:tab/>
        <w:tab/>
        <w:t>Rio Grande - RS , 2</w:t>
      </w:r>
      <w:r>
        <w:rPr/>
        <w:t>5</w:t>
      </w:r>
      <w:r>
        <w:rPr/>
        <w:t xml:space="preserve"> de maio de 2022</w:t>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0"/>
        <w:ind w:left="360" w:right="-15" w:hanging="0"/>
        <w:jc w:val="center"/>
        <w:rPr/>
      </w:pPr>
      <w:r>
        <w:rPr>
          <w:rFonts w:cs="Arial"/>
          <w:b/>
          <w:bCs/>
          <w:iCs/>
          <w:color w:val="000000"/>
          <w:szCs w:val="20"/>
        </w:rPr>
        <w:t>Brunno Fanara de Souza</w:t>
      </w:r>
    </w:p>
    <w:p>
      <w:pPr>
        <w:pStyle w:val="Normal"/>
        <w:spacing w:lineRule="auto" w:line="276" w:before="0" w:after="120"/>
        <w:ind w:left="360" w:right="-15" w:hanging="0"/>
        <w:jc w:val="center"/>
        <w:rPr/>
      </w:pPr>
      <w:r>
        <w:rPr>
          <w:rFonts w:cs="Arial"/>
          <w:b/>
          <w:bCs/>
          <w:iCs/>
          <w:color w:val="000000"/>
          <w:szCs w:val="20"/>
        </w:rPr>
        <w:t>Ordenador de Despesas</w:t>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pPr>
      <w:r>
        <w:rPr>
          <w:rFonts w:cs="Arial"/>
          <w:b/>
          <w:bCs/>
          <w:lang w:eastAsia="en-US"/>
        </w:rPr>
        <w:t>ANEXO I – DOCUMENTAÇÃO EXIGIDA PARA HABILITAÇÃO</w:t>
      </w:r>
    </w:p>
    <w:p>
      <w:pPr>
        <w:pStyle w:val="Normal"/>
        <w:rPr>
          <w:rFonts w:cs="Arial"/>
          <w:lang w:eastAsia="en-US"/>
        </w:rPr>
      </w:pPr>
      <w:r>
        <w:rPr>
          <w:rFonts w:cs="Arial"/>
          <w:lang w:eastAsia="en-US"/>
        </w:rPr>
      </w:r>
    </w:p>
    <w:p>
      <w:pPr>
        <w:pStyle w:val="PADRO"/>
        <w:keepNext w:val="false"/>
        <w:widowControl/>
        <w:numPr>
          <w:ilvl w:val="0"/>
          <w:numId w:val="3"/>
        </w:numPr>
        <w:shd w:val="clear" w:fill="FFFFFF"/>
        <w:spacing w:before="120" w:after="120"/>
        <w:rPr/>
      </w:pPr>
      <w:r>
        <w:rPr>
          <w:rFonts w:cs="Arial" w:ascii="Arial" w:hAnsi="Arial"/>
          <w:b/>
          <w:bCs/>
          <w:color w:val="000000"/>
          <w:szCs w:val="20"/>
        </w:rPr>
        <w:t xml:space="preserve"> </w:t>
      </w:r>
      <w:r>
        <w:rPr>
          <w:rFonts w:cs="Arial" w:ascii="Arial" w:hAnsi="Arial"/>
          <w:b/>
          <w:bCs/>
          <w:color w:val="000000"/>
          <w:szCs w:val="20"/>
        </w:rPr>
        <w:t>Regularidade fiscal, social e trabalhista:</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szCs w:val="20"/>
          <w:lang w:eastAsia="en-US"/>
        </w:rPr>
        <w:t>prova de inscrição no Cadastro Nacional de Pessoas Jurídicas ou no Cadastro de Pessoas Físicas, conforme o caso;</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left" w:pos="1440" w:leader="none"/>
        </w:tabs>
        <w:snapToGrid w:val="false"/>
        <w:spacing w:lineRule="auto" w:line="276" w:before="120" w:after="120"/>
        <w:jc w:val="both"/>
        <w:rPr>
          <w:rFonts w:cs="Arial"/>
          <w:color w:val="000000"/>
          <w:szCs w:val="20"/>
        </w:rPr>
      </w:pPr>
      <w:r>
        <w:rPr>
          <w:rFonts w:cs="Arial"/>
          <w:color w:val="000000"/>
          <w:szCs w:val="20"/>
          <w:lang w:eastAsia="en-US"/>
        </w:rPr>
        <w:t>prova de regularidade com o Fundo de Garantia do Tempo de Serviço (FGTS);</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left" w:pos="1440" w:leader="none"/>
        </w:tabs>
        <w:snapToGrid w:val="false"/>
        <w:spacing w:lineRule="auto" w:line="276" w:before="120" w:after="120"/>
        <w:jc w:val="both"/>
        <w:rPr/>
      </w:pPr>
      <w:r>
        <w:rPr>
          <w:rFonts w:cs="Arial"/>
          <w:bCs/>
          <w:szCs w:val="20"/>
        </w:rPr>
        <w:t xml:space="preserve">prova de </w:t>
      </w:r>
      <w:r>
        <w:rPr>
          <w:rFonts w:cs="Arial"/>
          <w:color w:val="000000"/>
          <w:szCs w:val="20"/>
        </w:rPr>
        <w:t xml:space="preserve">inscrição no cadastro de contribuintes </w:t>
      </w:r>
      <w:r>
        <w:rPr>
          <w:rFonts w:cs="Arial"/>
          <w:i/>
          <w:iCs/>
          <w:color w:val="000000"/>
          <w:szCs w:val="20"/>
        </w:rPr>
        <w:t>estadual</w:t>
      </w:r>
      <w:r>
        <w:rPr>
          <w:rFonts w:cs="Arial"/>
          <w:color w:val="000000"/>
          <w:szCs w:val="20"/>
        </w:rPr>
        <w:t>, relativo ao domicílio ou sede do fornecedor, pertinente ao seu ramo de atividade e compatível com o objeto contratual</w:t>
      </w:r>
      <w:r>
        <w:rPr>
          <w:rFonts w:cs="Arial"/>
          <w:bCs/>
          <w:szCs w:val="20"/>
        </w:rPr>
        <w:t xml:space="preserve">; </w:t>
      </w:r>
    </w:p>
    <w:p>
      <w:pPr>
        <w:pStyle w:val="Normal"/>
        <w:numPr>
          <w:ilvl w:val="1"/>
          <w:numId w:val="3"/>
        </w:numPr>
        <w:tabs>
          <w:tab w:val="left" w:pos="1440" w:leader="none"/>
        </w:tabs>
        <w:snapToGrid w:val="false"/>
        <w:spacing w:lineRule="auto" w:line="276" w:before="120" w:after="120"/>
        <w:jc w:val="both"/>
        <w:rPr/>
      </w:pPr>
      <w:r>
        <w:rPr>
          <w:rFonts w:cs="Arial"/>
          <w:szCs w:val="20"/>
        </w:rPr>
        <w:t xml:space="preserve">prova de regularidade com a Fazenda </w:t>
      </w:r>
      <w:r>
        <w:rPr>
          <w:rFonts w:cs="Arial"/>
          <w:i/>
          <w:iCs/>
          <w:color w:val="000000"/>
          <w:szCs w:val="20"/>
        </w:rPr>
        <w:t xml:space="preserve">Estadual </w:t>
      </w:r>
      <w:r>
        <w:rPr>
          <w:rFonts w:cs="Arial"/>
          <w:color w:val="000000"/>
          <w:szCs w:val="20"/>
        </w:rPr>
        <w:t>do do</w:t>
      </w:r>
      <w:r>
        <w:rPr>
          <w:rFonts w:cs="Arial"/>
          <w:szCs w:val="20"/>
        </w:rPr>
        <w:t xml:space="preserve">micílio ou sede do fornecedor, relativa à atividade em cujo exercício contrata ou concorre; </w:t>
      </w:r>
    </w:p>
    <w:p>
      <w:pPr>
        <w:pStyle w:val="Normal"/>
        <w:numPr>
          <w:ilvl w:val="1"/>
          <w:numId w:val="3"/>
        </w:numPr>
        <w:tabs>
          <w:tab w:val="left" w:pos="1440" w:leader="none"/>
        </w:tabs>
        <w:snapToGrid w:val="false"/>
        <w:spacing w:lineRule="auto" w:line="276" w:before="120" w:after="120"/>
        <w:jc w:val="both"/>
        <w:rPr/>
      </w:pPr>
      <w:r>
        <w:rPr>
          <w:rFonts w:cs="Arial"/>
          <w:szCs w:val="20"/>
        </w:rPr>
        <w:t xml:space="preserve">caso o fornecedor seja considerado isento dos tributos </w:t>
      </w:r>
      <w:r>
        <w:rPr>
          <w:rFonts w:cs="Arial"/>
          <w:i/>
          <w:color w:val="000000"/>
          <w:szCs w:val="20"/>
        </w:rPr>
        <w:t>estaduais</w:t>
      </w:r>
      <w:r>
        <w:rPr>
          <w:rFonts w:cs="Arial"/>
          <w:color w:val="FF0000"/>
          <w:szCs w:val="20"/>
        </w:rPr>
        <w:t xml:space="preserve"> </w:t>
      </w:r>
      <w:r>
        <w:rPr>
          <w:rFonts w:cs="Arial"/>
          <w:szCs w:val="20"/>
        </w:rPr>
        <w:t xml:space="preserve">relacionados ao objeto contratual, deverá comprovar tal condição mediante a apresentação de declaração da Fazenda respectiva do seu domicílio ou sede, ou outra equivalente, na forma da lei; </w:t>
      </w:r>
    </w:p>
    <w:p>
      <w:pPr>
        <w:pStyle w:val="PADRO"/>
        <w:keepNext w:val="false"/>
        <w:widowControl/>
        <w:numPr>
          <w:ilvl w:val="0"/>
          <w:numId w:val="0"/>
        </w:numPr>
        <w:shd w:val="clear" w:fill="FFFFFF"/>
        <w:spacing w:before="120" w:after="120"/>
        <w:ind w:left="2421" w:hanging="0"/>
        <w:rPr/>
      </w:pPr>
      <w:r>
        <w:rPr/>
      </w:r>
    </w:p>
    <w:sectPr>
      <w:footerReference w:type="default" r:id="rId5"/>
      <w:type w:val="nextPage"/>
      <w:pgSz w:w="11906" w:h="16838"/>
      <w:pgMar w:left="1701" w:right="1701" w:header="0" w:top="1417"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b/>
        <w:rFonts w:ascii="Arial" w:hAnsi="Arial"/>
      </w:rPr>
    </w:lvl>
    <w:lvl w:ilvl="1">
      <w:start w:val="1"/>
      <w:numFmt w:val="decimal"/>
      <w:lvlText w:val="%1.%2."/>
      <w:lvlJc w:val="left"/>
      <w:pPr>
        <w:ind w:left="792" w:hanging="432"/>
      </w:pPr>
      <w:rPr>
        <w:i w:val="false"/>
        <w:b/>
        <w:iCs/>
      </w:rPr>
    </w:lvl>
    <w:lvl w:ilvl="2">
      <w:start w:val="1"/>
      <w:numFmt w:val="decimal"/>
      <w:lvlText w:val="%1.%2.%3."/>
      <w:lvlJc w:val="left"/>
      <w:pPr>
        <w:ind w:left="1224" w:hanging="504"/>
      </w:pPr>
      <w:rPr>
        <w:i w:val="false"/>
        <w:b/>
        <w:iCs/>
        <w:rFonts w:cs="Arial"/>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b/>
      </w:rPr>
    </w:lvl>
    <w:lvl w:ilvl="2">
      <w:start w:val="1"/>
      <w:numFmt w:val="decimal"/>
      <w:lvlText w:val="%1.%2.%3"/>
      <w:lvlJc w:val="left"/>
      <w:pPr>
        <w:ind w:left="1854" w:hanging="720"/>
      </w:pPr>
      <w:rPr>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decimal"/>
      <w:lvlText w:val="%1.%2.%3."/>
      <w:lvlJc w:val="left"/>
      <w:pPr>
        <w:ind w:left="1224" w:hanging="504"/>
      </w:pPr>
      <w:rPr>
        <w:i w:val="false"/>
        <w:b w:val="false"/>
        <w:iCs/>
        <w:rFonts w:cs="Arial"/>
        <w:color w:val="auto"/>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lowerLetter"/>
      <w:lvlText w:val="%3)"/>
      <w:lvlJc w:val="left"/>
      <w:pPr>
        <w:ind w:left="1224" w:hanging="504"/>
      </w:pPr>
      <w:rPr>
        <w:i w:val="false"/>
        <w:b w:val="false"/>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ListLabel1">
    <w:name w:val="ListLabel 1"/>
    <w:qFormat/>
    <w:rPr>
      <w:rFonts w:ascii="Arial" w:hAnsi="Arial"/>
      <w:b/>
    </w:rPr>
  </w:style>
  <w:style w:type="character" w:styleId="ListLabel2">
    <w:name w:val="ListLabel 2"/>
    <w:qFormat/>
    <w:rPr>
      <w:rFonts w:ascii="Arial" w:hAnsi="Arial"/>
      <w:b/>
      <w:i w:val="false"/>
      <w:iCs/>
    </w:rPr>
  </w:style>
  <w:style w:type="character" w:styleId="ListLabel3">
    <w:name w:val="ListLabel 3"/>
    <w:qFormat/>
    <w:rPr>
      <w:rFonts w:ascii="Arial" w:hAnsi="Arial" w:cs="Arial"/>
      <w:b/>
      <w:i w:val="false"/>
      <w:iCs/>
      <w:color w:val="auto"/>
    </w:rPr>
  </w:style>
  <w:style w:type="character" w:styleId="ListLabel4">
    <w:name w:val="ListLabel 4"/>
    <w:qFormat/>
    <w:rPr>
      <w:rFonts w:cs="Arial"/>
    </w:rPr>
  </w:style>
  <w:style w:type="character" w:styleId="ListLabel5">
    <w:name w:val="ListLabel 5"/>
    <w:qFormat/>
    <w:rPr>
      <w:color w:val="auto"/>
    </w:rPr>
  </w:style>
  <w:style w:type="character" w:styleId="ListLabel6">
    <w:name w:val="ListLabel 6"/>
    <w:qFormat/>
    <w:rPr>
      <w:color w:val="auto"/>
    </w:rPr>
  </w:style>
  <w:style w:type="character" w:styleId="ListLabel7">
    <w:name w:val="ListLabel 7"/>
    <w:qFormat/>
    <w:rPr>
      <w:color w:val="auto"/>
    </w:rPr>
  </w:style>
  <w:style w:type="character" w:styleId="ListLabel8">
    <w:name w:val="ListLabel 8"/>
    <w:qFormat/>
    <w:rPr>
      <w:color w:val="auto"/>
    </w:rPr>
  </w:style>
  <w:style w:type="character" w:styleId="ListLabel9">
    <w:name w:val="ListLabel 9"/>
    <w:qFormat/>
    <w:rPr>
      <w:color w:val="auto"/>
    </w:rPr>
  </w:style>
  <w:style w:type="character" w:styleId="ListLabel10">
    <w:name w:val="ListLabel 10"/>
    <w:qFormat/>
    <w:rPr>
      <w:color w:val="auto"/>
    </w:rPr>
  </w:style>
  <w:style w:type="character" w:styleId="ListLabel11">
    <w:name w:val="ListLabel 11"/>
    <w:qFormat/>
    <w:rPr>
      <w:color w:val="auto"/>
    </w:rPr>
  </w:style>
  <w:style w:type="character" w:styleId="ListLabel12">
    <w:name w:val="ListLabel 12"/>
    <w:qFormat/>
    <w:rPr>
      <w:color w:val="auto"/>
    </w:rPr>
  </w:style>
  <w:style w:type="character" w:styleId="ListLabel13">
    <w:name w:val="ListLabel 13"/>
    <w:qFormat/>
    <w:rPr>
      <w:color w:val="auto"/>
    </w:rPr>
  </w:style>
  <w:style w:type="character" w:styleId="ListLabel14">
    <w:name w:val="ListLabel 14"/>
    <w:qFormat/>
    <w:rPr>
      <w:b/>
    </w:rPr>
  </w:style>
  <w:style w:type="character" w:styleId="ListLabel15">
    <w:name w:val="ListLabel 15"/>
    <w:qFormat/>
    <w:rPr>
      <w:b w:val="false"/>
      <w:i w:val="false"/>
      <w:iCs/>
    </w:rPr>
  </w:style>
  <w:style w:type="character" w:styleId="ListLabel16">
    <w:name w:val="ListLabel 16"/>
    <w:qFormat/>
    <w:rPr>
      <w:rFonts w:cs="Arial"/>
      <w:b w:val="false"/>
      <w:i w:val="false"/>
      <w:iCs/>
      <w:color w:val="auto"/>
    </w:rPr>
  </w:style>
  <w:style w:type="character" w:styleId="ListLabel17">
    <w:name w:val="ListLabel 17"/>
    <w:qFormat/>
    <w:rPr>
      <w:i w:val="false"/>
      <w:color w:val="000000"/>
    </w:rPr>
  </w:style>
  <w:style w:type="character" w:styleId="ListLabel18">
    <w:name w:val="ListLabel 18"/>
    <w:qFormat/>
    <w:rPr>
      <w:i w:val="false"/>
      <w:color w:val="000000"/>
    </w:rPr>
  </w:style>
  <w:style w:type="character" w:styleId="ListLabel19">
    <w:name w:val="ListLabel 19"/>
    <w:qFormat/>
    <w:rPr>
      <w:i w:val="false"/>
      <w:color w:val="000000"/>
    </w:rPr>
  </w:style>
  <w:style w:type="character" w:styleId="ListLabel20">
    <w:name w:val="ListLabel 20"/>
    <w:qFormat/>
    <w:rPr>
      <w:i w:val="false"/>
      <w:color w:val="000000"/>
    </w:rPr>
  </w:style>
  <w:style w:type="character" w:styleId="ListLabel21">
    <w:name w:val="ListLabel 21"/>
    <w:qFormat/>
    <w:rPr>
      <w:i w:val="false"/>
      <w:color w:val="000000"/>
    </w:rPr>
  </w:style>
  <w:style w:type="character" w:styleId="ListLabel22">
    <w:name w:val="ListLabel 22"/>
    <w:qFormat/>
    <w:rPr>
      <w:i w:val="false"/>
      <w:color w:val="000000"/>
    </w:rPr>
  </w:style>
  <w:style w:type="character" w:styleId="ListLabel23">
    <w:name w:val="ListLabel 23"/>
    <w:qFormat/>
    <w:rPr>
      <w:i w:val="false"/>
      <w:color w:val="000000"/>
    </w:rPr>
  </w:style>
  <w:style w:type="character" w:styleId="ListLabel24">
    <w:name w:val="ListLabel 24"/>
    <w:qFormat/>
    <w:rPr>
      <w:i w:val="false"/>
      <w:color w:val="000000"/>
    </w:rPr>
  </w:style>
  <w:style w:type="character" w:styleId="ListLabel25">
    <w:name w:val="ListLabel 25"/>
    <w:qFormat/>
    <w:rPr>
      <w:i w:val="false"/>
      <w:color w:val="000000"/>
    </w:rPr>
  </w:style>
  <w:style w:type="character" w:styleId="ListLabel26">
    <w:name w:val="ListLabel 26"/>
    <w:qFormat/>
    <w:rPr>
      <w:b/>
    </w:rPr>
  </w:style>
  <w:style w:type="character" w:styleId="ListLabel27">
    <w:name w:val="ListLabel 27"/>
    <w:qFormat/>
    <w:rPr>
      <w:b w:val="false"/>
      <w:i w:val="false"/>
      <w:iCs/>
    </w:rPr>
  </w:style>
  <w:style w:type="character" w:styleId="ListLabel28">
    <w:name w:val="ListLabel 28"/>
    <w:qFormat/>
    <w:rPr>
      <w:rFonts w:cs="Arial"/>
      <w:b w:val="false"/>
      <w:i w:val="false"/>
      <w:iCs/>
      <w:color w:val="auto"/>
    </w:rPr>
  </w:style>
  <w:style w:type="character" w:styleId="ListLabel29">
    <w:name w:val="ListLabel 29"/>
    <w:qFormat/>
    <w:rPr>
      <w:b/>
    </w:rPr>
  </w:style>
  <w:style w:type="character" w:styleId="ListLabel30">
    <w:name w:val="ListLabel 30"/>
    <w:qFormat/>
    <w:rPr>
      <w:b w:val="false"/>
      <w:i w:val="false"/>
      <w:iCs/>
    </w:rPr>
  </w:style>
  <w:style w:type="character" w:styleId="ListLabel31">
    <w:name w:val="ListLabel 31"/>
    <w:qFormat/>
    <w:rPr>
      <w:rFonts w:cs="Arial"/>
      <w:b w:val="false"/>
      <w:i w:val="false"/>
      <w:iCs/>
      <w:color w:val="auto"/>
    </w:rPr>
  </w:style>
  <w:style w:type="character" w:styleId="ListLabel32">
    <w:name w:val="ListLabel 32"/>
    <w:qFormat/>
    <w:rPr>
      <w:b/>
    </w:rPr>
  </w:style>
  <w:style w:type="character" w:styleId="ListLabel33">
    <w:name w:val="ListLabel 33"/>
    <w:qFormat/>
    <w:rPr>
      <w:b w:val="false"/>
      <w:i w:val="false"/>
      <w:iCs/>
    </w:rPr>
  </w:style>
  <w:style w:type="character" w:styleId="ListLabel34">
    <w:name w:val="ListLabel 34"/>
    <w:qFormat/>
    <w:rPr>
      <w:rFonts w:cs="Arial"/>
      <w:b w:val="false"/>
      <w:i w:val="false"/>
      <w:iCs/>
      <w:color w:val="auto"/>
    </w:rPr>
  </w:style>
  <w:style w:type="character" w:styleId="ListLabel35">
    <w:name w:val="ListLabel 35"/>
    <w:qFormat/>
    <w:rPr>
      <w:b/>
    </w:rPr>
  </w:style>
  <w:style w:type="character" w:styleId="ListLabel36">
    <w:name w:val="ListLabel 36"/>
    <w:qFormat/>
    <w:rPr>
      <w:b w:val="false"/>
      <w:i w:val="false"/>
      <w:iCs/>
    </w:rPr>
  </w:style>
  <w:style w:type="character" w:styleId="ListLabel37">
    <w:name w:val="ListLabel 37"/>
    <w:qFormat/>
    <w:rPr>
      <w:rFonts w:cs="Arial"/>
      <w:b w:val="false"/>
      <w:i w:val="false"/>
      <w:iCs/>
      <w:color w:val="auto"/>
    </w:rPr>
  </w:style>
  <w:style w:type="character" w:styleId="ListLabel38">
    <w:name w:val="ListLabel 38"/>
    <w:qFormat/>
    <w:rPr>
      <w:b/>
    </w:rPr>
  </w:style>
  <w:style w:type="character" w:styleId="ListLabel39">
    <w:name w:val="ListLabel 39"/>
    <w:qFormat/>
    <w:rPr>
      <w:b w:val="false"/>
      <w:i w:val="false"/>
      <w:iCs/>
    </w:rPr>
  </w:style>
  <w:style w:type="character" w:styleId="ListLabel40">
    <w:name w:val="ListLabel 40"/>
    <w:qFormat/>
    <w:rPr>
      <w:rFonts w:cs="Arial"/>
      <w:b w:val="false"/>
      <w:i w:val="false"/>
      <w:iCs/>
      <w:color w:val="auto"/>
    </w:rPr>
  </w:style>
  <w:style w:type="character" w:styleId="ListLabel41">
    <w:name w:val="ListLabel 41"/>
    <w:qFormat/>
    <w:rPr>
      <w:b/>
      <w:i w:val="false"/>
      <w:strike w:val="false"/>
      <w:dstrike w:val="false"/>
    </w:rPr>
  </w:style>
  <w:style w:type="character" w:styleId="ListLabel42">
    <w:name w:val="ListLabel 42"/>
    <w:qFormat/>
    <w:rPr>
      <w:b w:val="false"/>
      <w:strike w:val="false"/>
      <w:dstrike w:val="false"/>
    </w:rPr>
  </w:style>
  <w:style w:type="character" w:styleId="ListLabel43">
    <w:name w:val="ListLabel 43"/>
    <w:qFormat/>
    <w:rPr>
      <w:i w:val="false"/>
      <w:strike w:val="false"/>
      <w:dstrike w:val="false"/>
    </w:rPr>
  </w:style>
  <w:style w:type="character" w:styleId="ListLabel44">
    <w:name w:val="ListLabel 44"/>
    <w:qFormat/>
    <w:rPr>
      <w:b w:val="false"/>
    </w:rPr>
  </w:style>
  <w:style w:type="character" w:styleId="ListLabel45">
    <w:name w:val="ListLabel 45"/>
    <w:qFormat/>
    <w:rPr>
      <w:b w:val="false"/>
    </w:rPr>
  </w:style>
  <w:style w:type="character" w:styleId="ListLabel46">
    <w:name w:val="ListLabel 46"/>
    <w:qFormat/>
    <w:rPr>
      <w:b w:val="false"/>
    </w:rPr>
  </w:style>
  <w:style w:type="character" w:styleId="ListLabel47">
    <w:name w:val="ListLabel 47"/>
    <w:qFormat/>
    <w:rPr>
      <w:b w:val="false"/>
    </w:rPr>
  </w:style>
  <w:style w:type="character" w:styleId="ListLabel48">
    <w:name w:val="ListLabel 48"/>
    <w:qFormat/>
    <w:rPr>
      <w:rFonts w:ascii="Arial" w:hAnsi="Arial"/>
      <w:b/>
    </w:rPr>
  </w:style>
  <w:style w:type="character" w:styleId="ListLabel49">
    <w:name w:val="ListLabel 49"/>
    <w:qFormat/>
    <w:rPr>
      <w:rFonts w:ascii="Arial" w:hAnsi="Arial"/>
      <w:b/>
    </w:rPr>
  </w:style>
  <w:style w:type="character" w:styleId="ListLabel50">
    <w:name w:val="ListLabel 50"/>
    <w:qFormat/>
    <w:rPr>
      <w:b/>
    </w:rPr>
  </w:style>
  <w:style w:type="character" w:styleId="ListLabel51">
    <w:name w:val="ListLabel 51"/>
    <w:qFormat/>
    <w:rPr>
      <w:b w:val="false"/>
      <w:i w:val="false"/>
      <w:iCs/>
    </w:rPr>
  </w:style>
  <w:style w:type="character" w:styleId="ListLabel52">
    <w:name w:val="ListLabel 52"/>
    <w:qFormat/>
    <w:rPr>
      <w:rFonts w:cs="Arial"/>
      <w:b w:val="false"/>
      <w:i w:val="false"/>
      <w:iCs/>
      <w:color w:val="auto"/>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b/>
    </w:rPr>
  </w:style>
  <w:style w:type="character" w:styleId="ListLabel57">
    <w:name w:val="ListLabel 57"/>
    <w:qFormat/>
    <w:rPr>
      <w:b w:val="false"/>
      <w:i w:val="false"/>
      <w:iCs/>
    </w:rPr>
  </w:style>
  <w:style w:type="character" w:styleId="ListLabel58">
    <w:name w:val="ListLabel 58"/>
    <w:qFormat/>
    <w:rPr>
      <w:rFonts w:cs="Arial"/>
      <w:b w:val="false"/>
      <w:i w:val="false"/>
      <w:iCs/>
      <w:color w:val="auto"/>
    </w:rPr>
  </w:style>
  <w:style w:type="character" w:styleId="ListLabel59">
    <w:name w:val="ListLabel 59"/>
    <w:qFormat/>
    <w:rPr>
      <w:rFonts w:eastAsia="" w:cs="Arial"/>
      <w:b/>
    </w:rPr>
  </w:style>
  <w:style w:type="character" w:styleId="ListLabel60">
    <w:name w:val="ListLabel 60"/>
    <w:qFormat/>
    <w:rPr>
      <w:b w:val="false"/>
      <w:i w:val="false"/>
      <w:iCs/>
    </w:rPr>
  </w:style>
  <w:style w:type="character" w:styleId="ListLabel61">
    <w:name w:val="ListLabel 61"/>
    <w:qFormat/>
    <w:rPr>
      <w:b w:val="false"/>
      <w:i w:val="false"/>
      <w:iCs/>
      <w:color w:val="auto"/>
    </w:rPr>
  </w:style>
  <w:style w:type="character" w:styleId="ListLabel62">
    <w:name w:val="ListLabel 62"/>
    <w:qFormat/>
    <w:rPr>
      <w:b/>
    </w:rPr>
  </w:style>
  <w:style w:type="character" w:styleId="ListLabel63">
    <w:name w:val="ListLabel 63"/>
    <w:qFormat/>
    <w:rPr>
      <w:b w:val="false"/>
      <w:i w:val="false"/>
      <w:iCs/>
    </w:rPr>
  </w:style>
  <w:style w:type="character" w:styleId="ListLabel64">
    <w:name w:val="ListLabel 64"/>
    <w:qFormat/>
    <w:rPr>
      <w:rFonts w:cs="Arial"/>
      <w:b w:val="false"/>
      <w:i w:val="false"/>
      <w:iCs/>
      <w:color w:val="auto"/>
    </w:rPr>
  </w:style>
  <w:style w:type="character" w:styleId="ListLabel65">
    <w:name w:val="ListLabel 65"/>
    <w:qFormat/>
    <w:rPr>
      <w:b/>
    </w:rPr>
  </w:style>
  <w:style w:type="character" w:styleId="ListLabel66">
    <w:name w:val="ListLabel 66"/>
    <w:qFormat/>
    <w:rPr>
      <w:b w:val="false"/>
      <w:i w:val="false"/>
      <w:iCs/>
    </w:rPr>
  </w:style>
  <w:style w:type="character" w:styleId="ListLabel67">
    <w:name w:val="ListLabel 67"/>
    <w:qFormat/>
    <w:rPr>
      <w:rFonts w:cs="Arial"/>
      <w:b w:val="false"/>
      <w:i w:val="false"/>
      <w:iCs/>
      <w:color w:val="auto"/>
    </w:rPr>
  </w:style>
  <w:style w:type="character" w:styleId="ListLabel68">
    <w:name w:val="ListLabel 68"/>
    <w:qFormat/>
    <w:rPr>
      <w:b/>
    </w:rPr>
  </w:style>
  <w:style w:type="character" w:styleId="ListLabel69">
    <w:name w:val="ListLabel 69"/>
    <w:qFormat/>
    <w:rPr>
      <w:b w:val="false"/>
      <w:i w:val="false"/>
      <w:iCs/>
    </w:rPr>
  </w:style>
  <w:style w:type="character" w:styleId="ListLabel70">
    <w:name w:val="ListLabel 70"/>
    <w:qFormat/>
    <w:rPr>
      <w:b w:val="false"/>
      <w:i w:val="false"/>
      <w:iCs/>
      <w:color w:val="auto"/>
    </w:rPr>
  </w:style>
  <w:style w:type="character" w:styleId="ListLabel71">
    <w:name w:val="ListLabel 71"/>
    <w:qFormat/>
    <w:rPr>
      <w:rFonts w:cs="Arial"/>
    </w:rPr>
  </w:style>
  <w:style w:type="character" w:styleId="ListLabel72">
    <w:name w:val="ListLabel 72"/>
    <w:qFormat/>
    <w:rPr>
      <w:rFonts w:eastAsia="Calibri" w:cs="Arial"/>
      <w:szCs w:val="20"/>
    </w:rPr>
  </w:style>
  <w:style w:type="character" w:styleId="ListLabel73">
    <w:name w:val="ListLabel 73"/>
    <w:qFormat/>
    <w:rPr>
      <w:rFonts w:eastAsia="Calibri" w:cs="Arial"/>
      <w:lang w:eastAsia="ar-SA"/>
    </w:rPr>
  </w:style>
  <w:style w:type="character" w:styleId="ListLabel74">
    <w:name w:val="ListLabel 74"/>
    <w:qFormat/>
    <w:rPr>
      <w:color w:val="000000"/>
    </w:rPr>
  </w:style>
  <w:style w:type="character" w:styleId="ListLabel75">
    <w:name w:val="ListLabel 75"/>
    <w:qFormat/>
    <w:rPr>
      <w:rFonts w:ascii="Arial" w:hAnsi="Arial"/>
      <w:b/>
    </w:rPr>
  </w:style>
  <w:style w:type="character" w:styleId="ListLabel76">
    <w:name w:val="ListLabel 76"/>
    <w:qFormat/>
    <w:rPr>
      <w:b/>
      <w:i w:val="false"/>
      <w:iCs/>
    </w:rPr>
  </w:style>
  <w:style w:type="character" w:styleId="ListLabel77">
    <w:name w:val="ListLabel 77"/>
    <w:qFormat/>
    <w:rPr>
      <w:rFonts w:cs="Arial"/>
      <w:b/>
      <w:i w:val="false"/>
      <w:iCs/>
      <w:color w:val="auto"/>
    </w:rPr>
  </w:style>
  <w:style w:type="character" w:styleId="ListLabel78">
    <w:name w:val="ListLabel 78"/>
    <w:qFormat/>
    <w:rPr>
      <w:b/>
    </w:rPr>
  </w:style>
  <w:style w:type="character" w:styleId="ListLabel79">
    <w:name w:val="ListLabel 79"/>
    <w:qFormat/>
    <w:rPr>
      <w:b/>
    </w:rPr>
  </w:style>
  <w:style w:type="character" w:styleId="ListLabel80">
    <w:name w:val="ListLabel 80"/>
    <w:qFormat/>
    <w:rPr>
      <w:b/>
    </w:rPr>
  </w:style>
  <w:style w:type="character" w:styleId="ListLabel81">
    <w:name w:val="ListLabel 81"/>
    <w:qFormat/>
    <w:rPr>
      <w:b w:val="false"/>
      <w:i w:val="false"/>
      <w:iCs/>
    </w:rPr>
  </w:style>
  <w:style w:type="character" w:styleId="ListLabel82">
    <w:name w:val="ListLabel 82"/>
    <w:qFormat/>
    <w:rPr>
      <w:rFonts w:cs="Arial"/>
      <w:b w:val="false"/>
      <w:i w:val="false"/>
      <w:iCs/>
      <w:color w:val="auto"/>
    </w:rPr>
  </w:style>
  <w:style w:type="character" w:styleId="ListLabel83">
    <w:name w:val="ListLabel 83"/>
    <w:qFormat/>
    <w:rPr>
      <w:b/>
    </w:rPr>
  </w:style>
  <w:style w:type="character" w:styleId="ListLabel84">
    <w:name w:val="ListLabel 84"/>
    <w:qFormat/>
    <w:rPr>
      <w:b w:val="false"/>
      <w:i w:val="false"/>
      <w:iCs/>
    </w:rPr>
  </w:style>
  <w:style w:type="character" w:styleId="ListLabel85">
    <w:name w:val="ListLabel 85"/>
    <w:qFormat/>
    <w:rPr>
      <w:b w:val="false"/>
      <w:i w:val="false"/>
      <w:iCs/>
      <w:color w:val="auto"/>
    </w:rPr>
  </w:style>
  <w:style w:type="character" w:styleId="ListLabel86">
    <w:name w:val="ListLabel 86"/>
    <w:qFormat/>
    <w:rPr>
      <w:rFonts w:eastAsia="Calibri" w:cs="Arial"/>
      <w:szCs w:val="20"/>
    </w:rPr>
  </w:style>
  <w:style w:type="character" w:styleId="ListLabel87">
    <w:name w:val="ListLabel 87"/>
    <w:qFormat/>
    <w:rPr>
      <w:rFonts w:eastAsia="Calibri" w:cs="Arial"/>
      <w:lang w:eastAsia="ar-SA"/>
    </w:rPr>
  </w:style>
  <w:style w:type="character" w:styleId="ListLabel88">
    <w:name w:val="ListLabel 88"/>
    <w:qFormat/>
    <w:rPr>
      <w:color w:val="000000"/>
    </w:rPr>
  </w:style>
  <w:style w:type="character" w:styleId="ListLabel89">
    <w:name w:val="ListLabel 89"/>
    <w:qFormat/>
    <w:rPr>
      <w:rFonts w:ascii="Arial" w:hAnsi="Arial"/>
      <w:b/>
    </w:rPr>
  </w:style>
  <w:style w:type="character" w:styleId="ListLabel90">
    <w:name w:val="ListLabel 90"/>
    <w:qFormat/>
    <w:rPr>
      <w:b/>
      <w:i w:val="false"/>
      <w:iCs/>
    </w:rPr>
  </w:style>
  <w:style w:type="character" w:styleId="ListLabel91">
    <w:name w:val="ListLabel 91"/>
    <w:qFormat/>
    <w:rPr>
      <w:rFonts w:cs="Arial"/>
      <w:b/>
      <w:i w:val="false"/>
      <w:iCs/>
      <w:color w:val="auto"/>
    </w:rPr>
  </w:style>
  <w:style w:type="character" w:styleId="ListLabel92">
    <w:name w:val="ListLabel 92"/>
    <w:qFormat/>
    <w:rPr>
      <w:b/>
    </w:rPr>
  </w:style>
  <w:style w:type="character" w:styleId="ListLabel93">
    <w:name w:val="ListLabel 93"/>
    <w:qFormat/>
    <w:rPr>
      <w:b/>
    </w:rPr>
  </w:style>
  <w:style w:type="character" w:styleId="ListLabel94">
    <w:name w:val="ListLabel 94"/>
    <w:qFormat/>
    <w:rPr>
      <w:b/>
    </w:rPr>
  </w:style>
  <w:style w:type="character" w:styleId="ListLabel95">
    <w:name w:val="ListLabel 95"/>
    <w:qFormat/>
    <w:rPr>
      <w:b w:val="false"/>
      <w:i w:val="false"/>
      <w:iCs/>
    </w:rPr>
  </w:style>
  <w:style w:type="character" w:styleId="ListLabel96">
    <w:name w:val="ListLabel 96"/>
    <w:qFormat/>
    <w:rPr>
      <w:rFonts w:cs="Arial"/>
      <w:b w:val="false"/>
      <w:i w:val="false"/>
      <w:iCs/>
      <w:color w:val="auto"/>
    </w:rPr>
  </w:style>
  <w:style w:type="character" w:styleId="ListLabel97">
    <w:name w:val="ListLabel 97"/>
    <w:qFormat/>
    <w:rPr>
      <w:b/>
    </w:rPr>
  </w:style>
  <w:style w:type="character" w:styleId="ListLabel98">
    <w:name w:val="ListLabel 98"/>
    <w:qFormat/>
    <w:rPr>
      <w:b w:val="false"/>
      <w:i w:val="false"/>
      <w:iCs/>
    </w:rPr>
  </w:style>
  <w:style w:type="character" w:styleId="ListLabel99">
    <w:name w:val="ListLabel 99"/>
    <w:qFormat/>
    <w:rPr>
      <w:b w:val="false"/>
      <w:i w:val="false"/>
      <w:iCs/>
      <w:color w:val="auto"/>
    </w:rPr>
  </w:style>
  <w:style w:type="character" w:styleId="ListLabel100">
    <w:name w:val="ListLabel 100"/>
    <w:qFormat/>
    <w:rPr>
      <w:rFonts w:eastAsia="Calibri" w:cs="Arial"/>
      <w:szCs w:val="20"/>
    </w:rPr>
  </w:style>
  <w:style w:type="character" w:styleId="ListLabel101">
    <w:name w:val="ListLabel 101"/>
    <w:qFormat/>
    <w:rPr>
      <w:rFonts w:eastAsia="Calibri" w:cs="Arial"/>
      <w:lang w:eastAsia="ar-SA"/>
    </w:rPr>
  </w:style>
  <w:style w:type="character" w:styleId="ListLabel102">
    <w:name w:val="ListLabel 102"/>
    <w:qFormat/>
    <w:rPr>
      <w:color w:val="000000"/>
    </w:rPr>
  </w:style>
  <w:style w:type="character" w:styleId="ListLabel103">
    <w:name w:val="ListLabel 103"/>
    <w:qFormat/>
    <w:rPr>
      <w:rFonts w:ascii="Arial" w:hAnsi="Arial"/>
      <w:b/>
    </w:rPr>
  </w:style>
  <w:style w:type="character" w:styleId="ListLabel104">
    <w:name w:val="ListLabel 104"/>
    <w:qFormat/>
    <w:rPr>
      <w:b/>
      <w:i w:val="false"/>
      <w:iCs/>
    </w:rPr>
  </w:style>
  <w:style w:type="character" w:styleId="ListLabel105">
    <w:name w:val="ListLabel 105"/>
    <w:qFormat/>
    <w:rPr>
      <w:rFonts w:cs="Arial"/>
      <w:b/>
      <w:i w:val="false"/>
      <w:iCs/>
      <w:color w:val="auto"/>
    </w:rPr>
  </w:style>
  <w:style w:type="character" w:styleId="ListLabel106">
    <w:name w:val="ListLabel 106"/>
    <w:qFormat/>
    <w:rPr>
      <w:b/>
    </w:rPr>
  </w:style>
  <w:style w:type="character" w:styleId="ListLabel107">
    <w:name w:val="ListLabel 107"/>
    <w:qFormat/>
    <w:rPr>
      <w:b/>
    </w:rPr>
  </w:style>
  <w:style w:type="character" w:styleId="ListLabel108">
    <w:name w:val="ListLabel 108"/>
    <w:qFormat/>
    <w:rPr>
      <w:b/>
    </w:rPr>
  </w:style>
  <w:style w:type="character" w:styleId="ListLabel109">
    <w:name w:val="ListLabel 109"/>
    <w:qFormat/>
    <w:rPr>
      <w:b w:val="false"/>
      <w:i w:val="false"/>
      <w:iCs/>
    </w:rPr>
  </w:style>
  <w:style w:type="character" w:styleId="ListLabel110">
    <w:name w:val="ListLabel 110"/>
    <w:qFormat/>
    <w:rPr>
      <w:rFonts w:cs="Arial"/>
      <w:b w:val="false"/>
      <w:i w:val="false"/>
      <w:iCs/>
      <w:color w:val="auto"/>
    </w:rPr>
  </w:style>
  <w:style w:type="character" w:styleId="ListLabel111">
    <w:name w:val="ListLabel 111"/>
    <w:qFormat/>
    <w:rPr>
      <w:b/>
    </w:rPr>
  </w:style>
  <w:style w:type="character" w:styleId="ListLabel112">
    <w:name w:val="ListLabel 112"/>
    <w:qFormat/>
    <w:rPr>
      <w:b w:val="false"/>
      <w:i w:val="false"/>
      <w:iCs/>
    </w:rPr>
  </w:style>
  <w:style w:type="character" w:styleId="ListLabel113">
    <w:name w:val="ListLabel 113"/>
    <w:qFormat/>
    <w:rPr>
      <w:b w:val="false"/>
      <w:i w:val="false"/>
      <w:iCs/>
      <w:color w:val="auto"/>
    </w:rPr>
  </w:style>
  <w:style w:type="character" w:styleId="ListLabel114">
    <w:name w:val="ListLabel 114"/>
    <w:qFormat/>
    <w:rPr>
      <w:rFonts w:eastAsia="Calibri" w:cs="Arial"/>
      <w:szCs w:val="20"/>
    </w:rPr>
  </w:style>
  <w:style w:type="character" w:styleId="ListLabel115">
    <w:name w:val="ListLabel 115"/>
    <w:qFormat/>
    <w:rPr>
      <w:rFonts w:eastAsia="Calibri" w:cs="Arial"/>
      <w:lang w:eastAsia="ar-SA"/>
    </w:rPr>
  </w:style>
  <w:style w:type="character" w:styleId="ListLabel116">
    <w:name w:val="ListLabel 116"/>
    <w:qFormat/>
    <w:rPr>
      <w:color w:val="000000"/>
    </w:rPr>
  </w:style>
  <w:style w:type="character" w:styleId="ListLabel117">
    <w:name w:val="ListLabel 117"/>
    <w:qFormat/>
    <w:rPr>
      <w:rFonts w:ascii="Arial" w:hAnsi="Arial"/>
      <w:b/>
    </w:rPr>
  </w:style>
  <w:style w:type="character" w:styleId="ListLabel118">
    <w:name w:val="ListLabel 118"/>
    <w:qFormat/>
    <w:rPr>
      <w:b/>
      <w:i w:val="false"/>
      <w:iCs/>
    </w:rPr>
  </w:style>
  <w:style w:type="character" w:styleId="ListLabel119">
    <w:name w:val="ListLabel 119"/>
    <w:qFormat/>
    <w:rPr>
      <w:rFonts w:cs="Arial"/>
      <w:b/>
      <w:i w:val="false"/>
      <w:iCs/>
      <w:color w:val="auto"/>
    </w:rPr>
  </w:style>
  <w:style w:type="character" w:styleId="ListLabel120">
    <w:name w:val="ListLabel 120"/>
    <w:qFormat/>
    <w:rPr>
      <w:b/>
    </w:rPr>
  </w:style>
  <w:style w:type="character" w:styleId="ListLabel121">
    <w:name w:val="ListLabel 121"/>
    <w:qFormat/>
    <w:rPr>
      <w:b/>
    </w:rPr>
  </w:style>
  <w:style w:type="character" w:styleId="ListLabel122">
    <w:name w:val="ListLabel 122"/>
    <w:qFormat/>
    <w:rPr>
      <w:b/>
    </w:rPr>
  </w:style>
  <w:style w:type="character" w:styleId="ListLabel123">
    <w:name w:val="ListLabel 123"/>
    <w:qFormat/>
    <w:rPr>
      <w:b w:val="false"/>
      <w:i w:val="false"/>
      <w:iCs/>
    </w:rPr>
  </w:style>
  <w:style w:type="character" w:styleId="ListLabel124">
    <w:name w:val="ListLabel 124"/>
    <w:qFormat/>
    <w:rPr>
      <w:rFonts w:cs="Arial"/>
      <w:b w:val="false"/>
      <w:i w:val="false"/>
      <w:iCs/>
      <w:color w:val="auto"/>
    </w:rPr>
  </w:style>
  <w:style w:type="character" w:styleId="ListLabel125">
    <w:name w:val="ListLabel 125"/>
    <w:qFormat/>
    <w:rPr>
      <w:b/>
    </w:rPr>
  </w:style>
  <w:style w:type="character" w:styleId="ListLabel126">
    <w:name w:val="ListLabel 126"/>
    <w:qFormat/>
    <w:rPr>
      <w:b w:val="false"/>
      <w:i w:val="false"/>
      <w:iCs/>
    </w:rPr>
  </w:style>
  <w:style w:type="character" w:styleId="ListLabel127">
    <w:name w:val="ListLabel 127"/>
    <w:qFormat/>
    <w:rPr>
      <w:b w:val="false"/>
      <w:i w:val="false"/>
      <w:iCs/>
      <w:color w:val="auto"/>
    </w:rPr>
  </w:style>
  <w:style w:type="character" w:styleId="ListLabel128">
    <w:name w:val="ListLabel 128"/>
    <w:qFormat/>
    <w:rPr>
      <w:rFonts w:eastAsia="Calibri" w:cs="Arial"/>
      <w:szCs w:val="20"/>
    </w:rPr>
  </w:style>
  <w:style w:type="character" w:styleId="ListLabel129">
    <w:name w:val="ListLabel 129"/>
    <w:qFormat/>
    <w:rPr>
      <w:rFonts w:eastAsia="Calibri" w:cs="Arial"/>
      <w:lang w:eastAsia="ar-SA"/>
    </w:rPr>
  </w:style>
  <w:style w:type="character" w:styleId="ListLabel130">
    <w:name w:val="ListLabel 130"/>
    <w:qFormat/>
    <w:rPr>
      <w:color w:val="000000"/>
    </w:rPr>
  </w:style>
  <w:style w:type="character" w:styleId="ListLabel131">
    <w:name w:val="ListLabel 131"/>
    <w:qFormat/>
    <w:rPr>
      <w:rFonts w:ascii="Arial" w:hAnsi="Arial"/>
      <w:b/>
    </w:rPr>
  </w:style>
  <w:style w:type="character" w:styleId="ListLabel132">
    <w:name w:val="ListLabel 132"/>
    <w:qFormat/>
    <w:rPr>
      <w:b/>
      <w:i w:val="false"/>
      <w:iCs/>
    </w:rPr>
  </w:style>
  <w:style w:type="character" w:styleId="ListLabel133">
    <w:name w:val="ListLabel 133"/>
    <w:qFormat/>
    <w:rPr>
      <w:rFonts w:cs="Arial"/>
      <w:b/>
      <w:i w:val="false"/>
      <w:iCs/>
      <w:color w:val="auto"/>
    </w:rPr>
  </w:style>
  <w:style w:type="character" w:styleId="ListLabel134">
    <w:name w:val="ListLabel 134"/>
    <w:qFormat/>
    <w:rPr>
      <w:b/>
    </w:rPr>
  </w:style>
  <w:style w:type="character" w:styleId="ListLabel135">
    <w:name w:val="ListLabel 135"/>
    <w:qFormat/>
    <w:rPr>
      <w:b/>
    </w:rPr>
  </w:style>
  <w:style w:type="character" w:styleId="ListLabel136">
    <w:name w:val="ListLabel 136"/>
    <w:qFormat/>
    <w:rPr>
      <w:b/>
    </w:rPr>
  </w:style>
  <w:style w:type="character" w:styleId="ListLabel137">
    <w:name w:val="ListLabel 137"/>
    <w:qFormat/>
    <w:rPr>
      <w:b w:val="false"/>
      <w:i w:val="false"/>
      <w:iCs/>
    </w:rPr>
  </w:style>
  <w:style w:type="character" w:styleId="ListLabel138">
    <w:name w:val="ListLabel 138"/>
    <w:qFormat/>
    <w:rPr>
      <w:rFonts w:cs="Arial"/>
      <w:b w:val="false"/>
      <w:i w:val="false"/>
      <w:iCs/>
      <w:color w:val="auto"/>
    </w:rPr>
  </w:style>
  <w:style w:type="character" w:styleId="ListLabel139">
    <w:name w:val="ListLabel 139"/>
    <w:qFormat/>
    <w:rPr>
      <w:b/>
    </w:rPr>
  </w:style>
  <w:style w:type="character" w:styleId="ListLabel140">
    <w:name w:val="ListLabel 140"/>
    <w:qFormat/>
    <w:rPr>
      <w:b w:val="false"/>
      <w:i w:val="false"/>
      <w:iCs/>
    </w:rPr>
  </w:style>
  <w:style w:type="character" w:styleId="ListLabel141">
    <w:name w:val="ListLabel 141"/>
    <w:qFormat/>
    <w:rPr>
      <w:b w:val="false"/>
      <w:i w:val="false"/>
      <w:iCs/>
      <w:color w:val="auto"/>
    </w:rPr>
  </w:style>
  <w:style w:type="character" w:styleId="ListLabel142">
    <w:name w:val="ListLabel 142"/>
    <w:qFormat/>
    <w:rPr>
      <w:rFonts w:eastAsia="Calibri" w:cs="Arial"/>
      <w:szCs w:val="20"/>
    </w:rPr>
  </w:style>
  <w:style w:type="character" w:styleId="ListLabel143">
    <w:name w:val="ListLabel 143"/>
    <w:qFormat/>
    <w:rPr>
      <w:rFonts w:eastAsia="Calibri" w:cs="Arial"/>
      <w:lang w:eastAsia="ar-SA"/>
    </w:rPr>
  </w:style>
  <w:style w:type="character" w:styleId="ListLabel144">
    <w:name w:val="ListLabel 144"/>
    <w:qFormat/>
    <w:rPr>
      <w:color w:val="000000"/>
    </w:rPr>
  </w:style>
  <w:style w:type="character" w:styleId="ListLabel145">
    <w:name w:val="ListLabel 145"/>
    <w:qFormat/>
    <w:rPr>
      <w:rFonts w:ascii="Arial" w:hAnsi="Arial"/>
      <w:b/>
    </w:rPr>
  </w:style>
  <w:style w:type="character" w:styleId="ListLabel146">
    <w:name w:val="ListLabel 146"/>
    <w:qFormat/>
    <w:rPr>
      <w:b/>
      <w:i w:val="false"/>
      <w:iCs/>
    </w:rPr>
  </w:style>
  <w:style w:type="character" w:styleId="ListLabel147">
    <w:name w:val="ListLabel 147"/>
    <w:qFormat/>
    <w:rPr>
      <w:rFonts w:cs="Arial"/>
      <w:b/>
      <w:i w:val="false"/>
      <w:iCs/>
      <w:color w:val="auto"/>
    </w:rPr>
  </w:style>
  <w:style w:type="character" w:styleId="ListLabel148">
    <w:name w:val="ListLabel 148"/>
    <w:qFormat/>
    <w:rPr>
      <w:b/>
    </w:rPr>
  </w:style>
  <w:style w:type="character" w:styleId="ListLabel149">
    <w:name w:val="ListLabel 149"/>
    <w:qFormat/>
    <w:rPr>
      <w:b/>
    </w:rPr>
  </w:style>
  <w:style w:type="character" w:styleId="ListLabel150">
    <w:name w:val="ListLabel 150"/>
    <w:qFormat/>
    <w:rPr>
      <w:b/>
    </w:rPr>
  </w:style>
  <w:style w:type="character" w:styleId="ListLabel151">
    <w:name w:val="ListLabel 151"/>
    <w:qFormat/>
    <w:rPr>
      <w:b w:val="false"/>
      <w:i w:val="false"/>
      <w:iCs/>
    </w:rPr>
  </w:style>
  <w:style w:type="character" w:styleId="ListLabel152">
    <w:name w:val="ListLabel 152"/>
    <w:qFormat/>
    <w:rPr>
      <w:rFonts w:cs="Arial"/>
      <w:b w:val="false"/>
      <w:i w:val="false"/>
      <w:iCs/>
      <w:color w:val="auto"/>
    </w:rPr>
  </w:style>
  <w:style w:type="character" w:styleId="ListLabel153">
    <w:name w:val="ListLabel 153"/>
    <w:qFormat/>
    <w:rPr>
      <w:b/>
    </w:rPr>
  </w:style>
  <w:style w:type="character" w:styleId="ListLabel154">
    <w:name w:val="ListLabel 154"/>
    <w:qFormat/>
    <w:rPr>
      <w:b w:val="false"/>
      <w:i w:val="false"/>
      <w:iCs/>
    </w:rPr>
  </w:style>
  <w:style w:type="character" w:styleId="ListLabel155">
    <w:name w:val="ListLabel 155"/>
    <w:qFormat/>
    <w:rPr>
      <w:b w:val="false"/>
      <w:i w:val="false"/>
      <w:iCs/>
      <w:color w:val="auto"/>
    </w:rPr>
  </w:style>
  <w:style w:type="character" w:styleId="ListLabel156">
    <w:name w:val="ListLabel 156"/>
    <w:qFormat/>
    <w:rPr>
      <w:rFonts w:eastAsia="Calibri" w:cs="Arial"/>
      <w:szCs w:val="20"/>
    </w:rPr>
  </w:style>
  <w:style w:type="character" w:styleId="ListLabel157">
    <w:name w:val="ListLabel 157"/>
    <w:qFormat/>
    <w:rPr>
      <w:rFonts w:eastAsia="Calibri" w:cs="Arial"/>
      <w:lang w:eastAsia="ar-SA"/>
    </w:rPr>
  </w:style>
  <w:style w:type="character" w:styleId="ListLabel158">
    <w:name w:val="ListLabel 158"/>
    <w:qFormat/>
    <w:rPr>
      <w:color w:val="000000"/>
    </w:rPr>
  </w:style>
  <w:style w:type="character" w:styleId="ListLabel159">
    <w:name w:val="ListLabel 159"/>
    <w:qFormat/>
    <w:rPr>
      <w:rFonts w:ascii="Arial" w:hAnsi="Arial"/>
      <w:b/>
    </w:rPr>
  </w:style>
  <w:style w:type="character" w:styleId="ListLabel160">
    <w:name w:val="ListLabel 160"/>
    <w:qFormat/>
    <w:rPr>
      <w:b/>
      <w:i w:val="false"/>
      <w:iCs/>
    </w:rPr>
  </w:style>
  <w:style w:type="character" w:styleId="ListLabel161">
    <w:name w:val="ListLabel 161"/>
    <w:qFormat/>
    <w:rPr>
      <w:rFonts w:cs="Arial"/>
      <w:b/>
      <w:i w:val="false"/>
      <w:iCs/>
      <w:color w:val="auto"/>
    </w:rPr>
  </w:style>
  <w:style w:type="character" w:styleId="ListLabel162">
    <w:name w:val="ListLabel 162"/>
    <w:qFormat/>
    <w:rPr>
      <w:b/>
    </w:rPr>
  </w:style>
  <w:style w:type="character" w:styleId="ListLabel163">
    <w:name w:val="ListLabel 163"/>
    <w:qFormat/>
    <w:rPr>
      <w:b/>
    </w:rPr>
  </w:style>
  <w:style w:type="character" w:styleId="ListLabel164">
    <w:name w:val="ListLabel 164"/>
    <w:qFormat/>
    <w:rPr>
      <w:b/>
    </w:rPr>
  </w:style>
  <w:style w:type="character" w:styleId="ListLabel165">
    <w:name w:val="ListLabel 165"/>
    <w:qFormat/>
    <w:rPr>
      <w:b w:val="false"/>
      <w:i w:val="false"/>
      <w:iCs/>
    </w:rPr>
  </w:style>
  <w:style w:type="character" w:styleId="ListLabel166">
    <w:name w:val="ListLabel 166"/>
    <w:qFormat/>
    <w:rPr>
      <w:rFonts w:cs="Arial"/>
      <w:b w:val="false"/>
      <w:i w:val="false"/>
      <w:iCs/>
      <w:color w:val="auto"/>
    </w:rPr>
  </w:style>
  <w:style w:type="character" w:styleId="ListLabel167">
    <w:name w:val="ListLabel 167"/>
    <w:qFormat/>
    <w:rPr>
      <w:b/>
    </w:rPr>
  </w:style>
  <w:style w:type="character" w:styleId="ListLabel168">
    <w:name w:val="ListLabel 168"/>
    <w:qFormat/>
    <w:rPr>
      <w:b w:val="false"/>
      <w:i w:val="false"/>
      <w:iCs/>
    </w:rPr>
  </w:style>
  <w:style w:type="character" w:styleId="ListLabel169">
    <w:name w:val="ListLabel 169"/>
    <w:qFormat/>
    <w:rPr>
      <w:b w:val="false"/>
      <w:i w:val="false"/>
      <w:iCs/>
      <w:color w:val="auto"/>
    </w:rPr>
  </w:style>
  <w:style w:type="character" w:styleId="ListLabel170">
    <w:name w:val="ListLabel 170"/>
    <w:qFormat/>
    <w:rPr>
      <w:rFonts w:eastAsia="Calibri" w:cs="Arial"/>
      <w:szCs w:val="20"/>
    </w:rPr>
  </w:style>
  <w:style w:type="character" w:styleId="ListLabel171">
    <w:name w:val="ListLabel 171"/>
    <w:qFormat/>
    <w:rPr>
      <w:rFonts w:eastAsia="Calibri" w:cs="Arial"/>
      <w:lang w:eastAsia="ar-SA"/>
    </w:rPr>
  </w:style>
  <w:style w:type="character" w:styleId="ListLabel172">
    <w:name w:val="ListLabel 172"/>
    <w:qFormat/>
    <w:rPr>
      <w:color w:val="000000"/>
    </w:rPr>
  </w:style>
  <w:style w:type="character" w:styleId="ListLabel173">
    <w:name w:val="ListLabel 173"/>
    <w:qFormat/>
    <w:rPr>
      <w:rFonts w:ascii="Arial" w:hAnsi="Arial"/>
      <w:b/>
    </w:rPr>
  </w:style>
  <w:style w:type="character" w:styleId="ListLabel174">
    <w:name w:val="ListLabel 174"/>
    <w:qFormat/>
    <w:rPr>
      <w:b/>
      <w:i w:val="false"/>
      <w:iCs/>
    </w:rPr>
  </w:style>
  <w:style w:type="character" w:styleId="ListLabel175">
    <w:name w:val="ListLabel 175"/>
    <w:qFormat/>
    <w:rPr>
      <w:rFonts w:cs="Arial"/>
      <w:b/>
      <w:i w:val="false"/>
      <w:iCs/>
      <w:color w:val="auto"/>
    </w:rPr>
  </w:style>
  <w:style w:type="character" w:styleId="ListLabel176">
    <w:name w:val="ListLabel 176"/>
    <w:qFormat/>
    <w:rPr>
      <w:b/>
    </w:rPr>
  </w:style>
  <w:style w:type="character" w:styleId="ListLabel177">
    <w:name w:val="ListLabel 177"/>
    <w:qFormat/>
    <w:rPr>
      <w:b/>
    </w:rPr>
  </w:style>
  <w:style w:type="character" w:styleId="ListLabel178">
    <w:name w:val="ListLabel 178"/>
    <w:qFormat/>
    <w:rPr>
      <w:b/>
    </w:rPr>
  </w:style>
  <w:style w:type="character" w:styleId="ListLabel179">
    <w:name w:val="ListLabel 179"/>
    <w:qFormat/>
    <w:rPr>
      <w:b w:val="false"/>
      <w:i w:val="false"/>
      <w:iCs/>
    </w:rPr>
  </w:style>
  <w:style w:type="character" w:styleId="ListLabel180">
    <w:name w:val="ListLabel 180"/>
    <w:qFormat/>
    <w:rPr>
      <w:rFonts w:cs="Arial"/>
      <w:b w:val="false"/>
      <w:i w:val="false"/>
      <w:iCs/>
      <w:color w:val="auto"/>
    </w:rPr>
  </w:style>
  <w:style w:type="character" w:styleId="ListLabel181">
    <w:name w:val="ListLabel 181"/>
    <w:qFormat/>
    <w:rPr>
      <w:b/>
    </w:rPr>
  </w:style>
  <w:style w:type="character" w:styleId="ListLabel182">
    <w:name w:val="ListLabel 182"/>
    <w:qFormat/>
    <w:rPr>
      <w:b w:val="false"/>
      <w:i w:val="false"/>
      <w:iCs/>
    </w:rPr>
  </w:style>
  <w:style w:type="character" w:styleId="ListLabel183">
    <w:name w:val="ListLabel 183"/>
    <w:qFormat/>
    <w:rPr>
      <w:b w:val="false"/>
      <w:i w:val="false"/>
      <w:iCs/>
      <w:color w:val="auto"/>
    </w:rPr>
  </w:style>
  <w:style w:type="character" w:styleId="ListLabel184">
    <w:name w:val="ListLabel 184"/>
    <w:qFormat/>
    <w:rPr>
      <w:rFonts w:eastAsia="Calibri" w:cs="Arial"/>
      <w:szCs w:val="20"/>
    </w:rPr>
  </w:style>
  <w:style w:type="character" w:styleId="ListLabel185">
    <w:name w:val="ListLabel 185"/>
    <w:qFormat/>
    <w:rPr>
      <w:rFonts w:eastAsia="Calibri" w:cs="Arial"/>
      <w:lang w:eastAsia="ar-SA"/>
    </w:rPr>
  </w:style>
  <w:style w:type="character" w:styleId="ListLabel186">
    <w:name w:val="ListLabel 186"/>
    <w:qFormat/>
    <w:rPr>
      <w:color w:val="000000"/>
    </w:rPr>
  </w:style>
  <w:style w:type="character" w:styleId="ListLabel187">
    <w:name w:val="ListLabel 187"/>
    <w:qFormat/>
    <w:rPr>
      <w:rFonts w:ascii="Arial" w:hAnsi="Arial"/>
      <w:b/>
    </w:rPr>
  </w:style>
  <w:style w:type="character" w:styleId="ListLabel188">
    <w:name w:val="ListLabel 188"/>
    <w:qFormat/>
    <w:rPr>
      <w:b/>
      <w:i w:val="false"/>
      <w:iCs/>
    </w:rPr>
  </w:style>
  <w:style w:type="character" w:styleId="ListLabel189">
    <w:name w:val="ListLabel 189"/>
    <w:qFormat/>
    <w:rPr>
      <w:rFonts w:cs="Arial"/>
      <w:b/>
      <w:i w:val="false"/>
      <w:iCs/>
      <w:color w:val="auto"/>
    </w:rPr>
  </w:style>
  <w:style w:type="character" w:styleId="ListLabel190">
    <w:name w:val="ListLabel 190"/>
    <w:qFormat/>
    <w:rPr>
      <w:b/>
    </w:rPr>
  </w:style>
  <w:style w:type="character" w:styleId="ListLabel191">
    <w:name w:val="ListLabel 191"/>
    <w:qFormat/>
    <w:rPr>
      <w:b/>
    </w:rPr>
  </w:style>
  <w:style w:type="character" w:styleId="ListLabel192">
    <w:name w:val="ListLabel 192"/>
    <w:qFormat/>
    <w:rPr>
      <w:b/>
    </w:rPr>
  </w:style>
  <w:style w:type="character" w:styleId="ListLabel193">
    <w:name w:val="ListLabel 193"/>
    <w:qFormat/>
    <w:rPr>
      <w:b w:val="false"/>
      <w:i w:val="false"/>
      <w:iCs/>
    </w:rPr>
  </w:style>
  <w:style w:type="character" w:styleId="ListLabel194">
    <w:name w:val="ListLabel 194"/>
    <w:qFormat/>
    <w:rPr>
      <w:rFonts w:cs="Arial"/>
      <w:b w:val="false"/>
      <w:i w:val="false"/>
      <w:iCs/>
      <w:color w:val="auto"/>
    </w:rPr>
  </w:style>
  <w:style w:type="character" w:styleId="ListLabel195">
    <w:name w:val="ListLabel 195"/>
    <w:qFormat/>
    <w:rPr>
      <w:b/>
    </w:rPr>
  </w:style>
  <w:style w:type="character" w:styleId="ListLabel196">
    <w:name w:val="ListLabel 196"/>
    <w:qFormat/>
    <w:rPr>
      <w:b w:val="false"/>
      <w:i w:val="false"/>
      <w:iCs/>
    </w:rPr>
  </w:style>
  <w:style w:type="character" w:styleId="ListLabel197">
    <w:name w:val="ListLabel 197"/>
    <w:qFormat/>
    <w:rPr>
      <w:b w:val="false"/>
      <w:i w:val="false"/>
      <w:iCs/>
      <w:color w:val="auto"/>
    </w:rPr>
  </w:style>
  <w:style w:type="character" w:styleId="ListLabel198">
    <w:name w:val="ListLabel 198"/>
    <w:qFormat/>
    <w:rPr>
      <w:rFonts w:eastAsia="Calibri" w:cs="Arial"/>
      <w:szCs w:val="20"/>
    </w:rPr>
  </w:style>
  <w:style w:type="character" w:styleId="ListLabel199">
    <w:name w:val="ListLabel 199"/>
    <w:qFormat/>
    <w:rPr>
      <w:rFonts w:eastAsia="Calibri" w:cs="Arial"/>
      <w:lang w:eastAsia="ar-SA"/>
    </w:rPr>
  </w:style>
  <w:style w:type="character" w:styleId="ListLabel200">
    <w:name w:val="ListLabel 200"/>
    <w:qFormat/>
    <w:rPr>
      <w:color w:val="000000"/>
    </w:rPr>
  </w:style>
  <w:style w:type="character" w:styleId="ListLabel201">
    <w:name w:val="ListLabel 201"/>
    <w:qFormat/>
    <w:rPr>
      <w:rFonts w:ascii="Arial" w:hAnsi="Arial"/>
      <w:b/>
    </w:rPr>
  </w:style>
  <w:style w:type="character" w:styleId="ListLabel202">
    <w:name w:val="ListLabel 202"/>
    <w:qFormat/>
    <w:rPr>
      <w:b/>
      <w:i w:val="false"/>
      <w:iCs/>
    </w:rPr>
  </w:style>
  <w:style w:type="character" w:styleId="ListLabel203">
    <w:name w:val="ListLabel 203"/>
    <w:qFormat/>
    <w:rPr>
      <w:rFonts w:cs="Arial"/>
      <w:b/>
      <w:i w:val="false"/>
      <w:iCs/>
      <w:color w:val="auto"/>
    </w:rPr>
  </w:style>
  <w:style w:type="character" w:styleId="ListLabel204">
    <w:name w:val="ListLabel 204"/>
    <w:qFormat/>
    <w:rPr>
      <w:b/>
    </w:rPr>
  </w:style>
  <w:style w:type="character" w:styleId="ListLabel205">
    <w:name w:val="ListLabel 205"/>
    <w:qFormat/>
    <w:rPr>
      <w:b/>
    </w:rPr>
  </w:style>
  <w:style w:type="character" w:styleId="ListLabel206">
    <w:name w:val="ListLabel 206"/>
    <w:qFormat/>
    <w:rPr>
      <w:b/>
    </w:rPr>
  </w:style>
  <w:style w:type="character" w:styleId="ListLabel207">
    <w:name w:val="ListLabel 207"/>
    <w:qFormat/>
    <w:rPr>
      <w:b w:val="false"/>
      <w:i w:val="false"/>
      <w:iCs/>
    </w:rPr>
  </w:style>
  <w:style w:type="character" w:styleId="ListLabel208">
    <w:name w:val="ListLabel 208"/>
    <w:qFormat/>
    <w:rPr>
      <w:rFonts w:cs="Arial"/>
      <w:b w:val="false"/>
      <w:i w:val="false"/>
      <w:iCs/>
      <w:color w:val="auto"/>
    </w:rPr>
  </w:style>
  <w:style w:type="character" w:styleId="ListLabel209">
    <w:name w:val="ListLabel 209"/>
    <w:qFormat/>
    <w:rPr>
      <w:b/>
    </w:rPr>
  </w:style>
  <w:style w:type="character" w:styleId="ListLabel210">
    <w:name w:val="ListLabel 210"/>
    <w:qFormat/>
    <w:rPr>
      <w:b w:val="false"/>
      <w:i w:val="false"/>
      <w:iCs/>
    </w:rPr>
  </w:style>
  <w:style w:type="character" w:styleId="ListLabel211">
    <w:name w:val="ListLabel 211"/>
    <w:qFormat/>
    <w:rPr>
      <w:b w:val="false"/>
      <w:i w:val="false"/>
      <w:iCs/>
      <w:color w:val="auto"/>
    </w:rPr>
  </w:style>
  <w:style w:type="character" w:styleId="ListLabel212">
    <w:name w:val="ListLabel 212"/>
    <w:qFormat/>
    <w:rPr>
      <w:rFonts w:eastAsia="Calibri" w:cs="Arial"/>
      <w:szCs w:val="20"/>
    </w:rPr>
  </w:style>
  <w:style w:type="character" w:styleId="ListLabel213">
    <w:name w:val="ListLabel 213"/>
    <w:qFormat/>
    <w:rPr>
      <w:rFonts w:eastAsia="Calibri" w:cs="Arial"/>
      <w:lang w:eastAsia="ar-SA"/>
    </w:rPr>
  </w:style>
  <w:style w:type="character" w:styleId="ListLabel214">
    <w:name w:val="ListLabel 214"/>
    <w:qFormat/>
    <w:rPr>
      <w:color w:val="000000"/>
    </w:rPr>
  </w:style>
  <w:style w:type="paragraph" w:styleId="Ttulo">
    <w:name w:val="Título"/>
    <w:basedOn w:val="Normal"/>
    <w:next w:val="Corpodetexto"/>
    <w:qFormat/>
    <w:pPr>
      <w:keepNext w:val="true"/>
      <w:spacing w:before="240" w:after="120"/>
    </w:pPr>
    <w:rPr>
      <w:rFonts w:ascii="Liberation Sans" w:hAnsi="Liberation Sans" w:eastAsia="Noto Sans CJK SC" w:cs="Lohit Devanagari"/>
      <w:sz w:val="28"/>
      <w:szCs w:val="28"/>
    </w:rPr>
  </w:style>
  <w:style w:type="paragraph" w:styleId="Corpodetexto">
    <w:name w:val="Body Text"/>
    <w:basedOn w:val="Normal"/>
    <w:pPr>
      <w:spacing w:lineRule="auto" w:line="276" w:before="0" w:after="140"/>
    </w:pPr>
    <w:rPr/>
  </w:style>
  <w:style w:type="paragraph" w:styleId="Lista">
    <w:name w:val="List"/>
    <w:basedOn w:val="Corpode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auto"/>
    </w:rPr>
  </w:style>
  <w:style w:type="paragraph" w:styleId="Nivel5" w:customStyle="1">
    <w:name w:val="Nivel 5"/>
    <w:basedOn w:val="Nivel4"/>
    <w:qFormat/>
    <w:rsid w:val="002f5eff"/>
    <w:pPr>
      <w:tabs>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
    <w:name w:val="Header"/>
    <w:basedOn w:val="Normal"/>
    <w:link w:val="CabealhoChar"/>
    <w:uiPriority w:val="99"/>
    <w:unhideWhenUsed/>
    <w:rsid w:val="00805244"/>
    <w:pPr>
      <w:tabs>
        <w:tab w:val="center" w:pos="4252" w:leader="none"/>
        <w:tab w:val="right" w:pos="8504" w:leader="none"/>
      </w:tabs>
    </w:pPr>
    <w:rPr/>
  </w:style>
  <w:style w:type="paragraph" w:styleId="Rodap">
    <w:name w:val="Footer"/>
    <w:basedOn w:val="Normal"/>
    <w:link w:val="RodapChar"/>
    <w:uiPriority w:val="99"/>
    <w:unhideWhenUsed/>
    <w:rsid w:val="00805244"/>
    <w:pPr>
      <w:tabs>
        <w:tab w:val="center" w:pos="4252" w:leader="none"/>
        <w:tab w:val="right" w:pos="8504" w:leader="none"/>
      </w:tabs>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LEIS/L6404consol.htm" TargetMode="External"/><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Application>LibreOffice/6.0.7.3$Linux_X86_64 LibreOffice_project/00m0$Build-3</Application>
  <Pages>11</Pages>
  <Words>4694</Words>
  <Characters>26898</Characters>
  <CharactersWithSpaces>31257</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2021-08-05T16:35:00Z</dcterms:created>
  <dc:creator>Hugo Sales</dc:creator>
  <dc:description/>
  <dc:language>pt-BR</dc:language>
  <cp:lastModifiedBy/>
  <cp:lastPrinted>2022-03-16T10:01:29Z</cp:lastPrinted>
  <dcterms:modified xsi:type="dcterms:W3CDTF">2022-05-25T10:10:18Z</dcterms:modified>
  <cp:revision>45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