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pPr>
      <w:r>
        <w:rPr>
          <w:rFonts w:cs="Arial"/>
          <w:b/>
          <w:bCs/>
          <w:i/>
          <w:iCs/>
          <w:color w:val="000000" w:themeColor="text1"/>
          <w:szCs w:val="20"/>
        </w:rPr>
        <w:t>MARINHA DO BRASIL</w:t>
      </w:r>
    </w:p>
    <w:p>
      <w:pPr>
        <w:pStyle w:val="Normal"/>
        <w:spacing w:lineRule="auto" w:line="276"/>
        <w:jc w:val="center"/>
        <w:rPr/>
      </w:pPr>
      <w:r>
        <w:rPr>
          <w:rFonts w:cs="Arial"/>
          <w:b/>
          <w:bCs/>
          <w:i/>
          <w:iCs/>
          <w:color w:val="000000" w:themeColor="text1"/>
          <w:szCs w:val="20"/>
        </w:rPr>
        <w:t>CENTRO DE INTENDÊNCIA DA MARINHA EM RIO GRANDE</w:t>
      </w:r>
    </w:p>
    <w:p>
      <w:pPr>
        <w:pStyle w:val="Normal"/>
        <w:spacing w:lineRule="auto" w:line="276"/>
        <w:jc w:val="center"/>
        <w:rPr/>
      </w:pPr>
      <w:r>
        <w:rPr>
          <w:rFonts w:cs="Arial"/>
          <w:b/>
          <w:bCs/>
          <w:i/>
          <w:iCs/>
          <w:color w:val="000000" w:themeColor="text1"/>
          <w:szCs w:val="20"/>
        </w:rPr>
        <w:t>GRUPAMENTO DE FUZILEIROS NAVAIS DO RIO GRANDE</w:t>
      </w:r>
    </w:p>
    <w:p>
      <w:pPr>
        <w:pStyle w:val="Normal"/>
        <w:spacing w:lineRule="auto" w:line="276"/>
        <w:jc w:val="center"/>
        <w:rPr/>
      </w:pPr>
      <w:r>
        <w:rPr>
          <w:rFonts w:cs="Arial"/>
          <w:b/>
          <w:bCs/>
          <w:i/>
          <w:iCs/>
          <w:color w:val="000000" w:themeColor="text1"/>
          <w:szCs w:val="20"/>
        </w:rPr>
        <w:t>AVISO DE DISPENSA ELETRÔNICA No 300</w:t>
      </w:r>
      <w:r>
        <w:rPr>
          <w:rFonts w:cs="Arial"/>
          <w:b/>
          <w:bCs/>
          <w:i/>
          <w:iCs/>
          <w:color w:val="000000" w:themeColor="text1"/>
          <w:szCs w:val="20"/>
        </w:rPr>
        <w:t>60</w:t>
      </w:r>
      <w:r>
        <w:rPr>
          <w:rFonts w:cs="Arial"/>
          <w:b/>
          <w:bCs/>
          <w:i/>
          <w:iCs/>
          <w:color w:val="000000" w:themeColor="text1"/>
          <w:szCs w:val="20"/>
        </w:rPr>
        <w:t>/2022</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000000" w:themeColor="text1"/>
          <w:szCs w:val="20"/>
        </w:rPr>
        <w:t xml:space="preserve">Torna-se público que o centro de intendência da marinha em rio grande, realizará Dispensa Eletrônica, </w:t>
      </w:r>
      <w:r>
        <w:rPr>
          <w:rFonts w:cs="Arial"/>
          <w:bCs/>
          <w:color w:val="000000" w:themeColor="text1"/>
          <w:szCs w:val="20"/>
        </w:rPr>
        <w:t>com critério de julgamento</w:t>
      </w:r>
      <w:r>
        <w:rPr>
          <w:rFonts w:cs="Arial"/>
          <w:b/>
          <w:bCs/>
          <w:color w:val="000000" w:themeColor="text1"/>
          <w:szCs w:val="20"/>
        </w:rPr>
        <w:t xml:space="preserve"> </w:t>
      </w:r>
      <w:r>
        <w:rPr>
          <w:rFonts w:cs="Arial"/>
          <w:i/>
          <w:color w:val="000000"/>
          <w:szCs w:val="20"/>
        </w:rPr>
        <w:t>menor preço</w:t>
      </w:r>
      <w:r>
        <w:rPr>
          <w:rFonts w:cs="Arial"/>
          <w:b/>
          <w:bCs/>
          <w:i/>
          <w:color w:val="000000"/>
          <w:szCs w:val="20"/>
        </w:rPr>
        <w:t>,</w:t>
      </w:r>
      <w:r>
        <w:rPr>
          <w:rFonts w:cs="Arial"/>
          <w:b/>
          <w:bCs/>
          <w:i/>
          <w:color w:val="FF0000"/>
          <w:szCs w:val="20"/>
        </w:rPr>
        <w:t xml:space="preserve"> </w:t>
      </w:r>
      <w:r>
        <w:rPr>
          <w:rFonts w:cs="Arial"/>
          <w:color w:val="000000" w:themeColor="text1"/>
          <w:szCs w:val="20"/>
        </w:rPr>
        <w:t>na hipótese do art. 75</w:t>
      </w:r>
      <w:r>
        <w:rPr>
          <w:rFonts w:cs="Arial"/>
          <w:i/>
          <w:iCs/>
          <w:color w:val="000000" w:themeColor="text1"/>
          <w:szCs w:val="20"/>
        </w:rPr>
        <w:t xml:space="preserve">, </w:t>
      </w:r>
      <w:r>
        <w:rPr>
          <w:rFonts w:cs="Arial"/>
          <w:i/>
          <w:iCs/>
          <w:color w:val="000000"/>
          <w:szCs w:val="20"/>
        </w:rPr>
        <w:t xml:space="preserve">inciso </w:t>
      </w:r>
      <w:r>
        <w:rPr>
          <w:rFonts w:cs="Arial"/>
          <w:b/>
          <w:i/>
          <w:iCs/>
          <w:color w:val="000000"/>
          <w:szCs w:val="20"/>
        </w:rPr>
        <w:t>II</w:t>
      </w:r>
      <w:r>
        <w:rPr>
          <w:rFonts w:cs="Arial"/>
          <w:i/>
          <w:iCs/>
          <w:color w:val="000000"/>
          <w:szCs w:val="20"/>
        </w:rPr>
        <w:t>,</w:t>
      </w:r>
      <w:r>
        <w:rPr>
          <w:rFonts w:cs="Arial"/>
          <w:color w:val="FF0000"/>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 xml:space="preserve">Data da sessão: </w:t>
      </w:r>
    </w:p>
    <w:p>
      <w:pPr>
        <w:pStyle w:val="Normal"/>
        <w:rPr/>
      </w:pPr>
      <w:r>
        <w:rPr>
          <w:rFonts w:cs="Arial"/>
          <w:color w:val="000000" w:themeColor="text1"/>
          <w:szCs w:val="20"/>
        </w:rPr>
        <w:t>Horário da Fase de Lances: 8:00 às 17:00hs</w:t>
      </w:r>
    </w:p>
    <w:p>
      <w:pPr>
        <w:pStyle w:val="PADRO"/>
        <w:keepNext w:val="false"/>
        <w:widowControl/>
        <w:shd w:val="clear" w:color="auto" w:fill="auto"/>
        <w:spacing w:before="120" w:after="120"/>
        <w:ind w:left="360" w:hanging="0"/>
        <w:rPr>
          <w:rFonts w:ascii="Arial" w:hAnsi="Arial" w:cs="Arial"/>
          <w:b/>
          <w:b/>
        </w:rPr>
      </w:pPr>
      <w:r>
        <w:rPr>
          <w:rFonts w:cs="Arial" w:ascii="Arial" w:hAnsi="Arial"/>
          <w:b/>
        </w:rPr>
      </w:r>
    </w:p>
    <w:p>
      <w:pPr>
        <w:pStyle w:val="PADRO"/>
        <w:keepNext w:val="false"/>
        <w:widowControl/>
        <w:numPr>
          <w:ilvl w:val="0"/>
          <w:numId w:val="1"/>
        </w:numPr>
        <w:shd w:val="clear" w:color="auto" w:fill="auto"/>
        <w:spacing w:before="120" w:after="120"/>
        <w:rPr/>
      </w:pPr>
      <w:r>
        <w:rPr>
          <w:rFonts w:cs="Arial" w:ascii="Arial" w:hAnsi="Arial"/>
          <w:b/>
        </w:rPr>
        <w:t>OBJETO DA CONTRATAÇÃO DIRETA</w:t>
      </w:r>
      <w:bookmarkStart w:id="0" w:name="_GoBack"/>
      <w:bookmarkEnd w:id="0"/>
    </w:p>
    <w:p>
      <w:pPr>
        <w:pStyle w:val="PADRO"/>
        <w:keepNext w:val="false"/>
        <w:widowControl/>
        <w:numPr>
          <w:ilvl w:val="1"/>
          <w:numId w:val="1"/>
        </w:numPr>
        <w:shd w:val="clear" w:color="auto" w:fill="auto"/>
        <w:spacing w:before="120" w:after="120"/>
        <w:rPr/>
      </w:pPr>
      <w:r>
        <w:rPr>
          <w:rFonts w:cs="Arial" w:ascii="Arial" w:hAnsi="Arial"/>
          <w:i/>
          <w:iCs/>
          <w:color w:val="000000"/>
          <w:szCs w:val="20"/>
        </w:rPr>
        <w:t xml:space="preserve"> </w:t>
      </w:r>
      <w:r>
        <w:rPr>
          <w:rFonts w:cs="Arial" w:ascii="Arial" w:hAnsi="Arial"/>
          <w:i/>
          <w:iCs/>
          <w:color w:val="000000"/>
          <w:szCs w:val="20"/>
        </w:rPr>
        <w:t>Aquisição de material elétrico com aplicação no Grupamento de Fuzileiros Navais do Rio Grande</w:t>
      </w:r>
    </w:p>
    <w:tbl>
      <w:tblPr>
        <w:tblW w:w="8395" w:type="dxa"/>
        <w:jc w:val="left"/>
        <w:tblInd w:w="174" w:type="dxa"/>
        <w:tblLayout w:type="fixed"/>
        <w:tblCellMar>
          <w:top w:w="0" w:type="dxa"/>
          <w:left w:w="108" w:type="dxa"/>
          <w:bottom w:w="0" w:type="dxa"/>
          <w:right w:w="108" w:type="dxa"/>
        </w:tblCellMar>
        <w:tblLook w:val="04a0" w:noHBand="0" w:noVBand="1" w:firstColumn="1" w:lastRow="0" w:lastColumn="0" w:firstRow="1"/>
      </w:tblPr>
      <w:tblGrid>
        <w:gridCol w:w="653"/>
        <w:gridCol w:w="2478"/>
        <w:gridCol w:w="888"/>
        <w:gridCol w:w="1092"/>
        <w:gridCol w:w="830"/>
        <w:gridCol w:w="2453"/>
      </w:tblGrid>
      <w:tr>
        <w:trPr/>
        <w:tc>
          <w:tcPr>
            <w:tcW w:w="65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ITEM</w:t>
            </w:r>
          </w:p>
          <w:p>
            <w:pPr>
              <w:pStyle w:val="Normal"/>
              <w:widowControl w:val="false"/>
              <w:suppressAutoHyphens w:val="true"/>
              <w:jc w:val="center"/>
              <w:rPr>
                <w:rFonts w:cs="Arial"/>
                <w:b/>
                <w:b/>
                <w:color w:val="000000"/>
                <w:sz w:val="14"/>
                <w:szCs w:val="14"/>
              </w:rPr>
            </w:pPr>
            <w:r>
              <w:rPr>
                <w:rFonts w:cs="Arial"/>
                <w:b/>
                <w:color w:val="000000"/>
                <w:sz w:val="14"/>
                <w:szCs w:val="14"/>
              </w:rPr>
            </w:r>
          </w:p>
        </w:tc>
        <w:tc>
          <w:tcPr>
            <w:tcW w:w="24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center"/>
              <w:rPr>
                <w:rFonts w:cs="Arial"/>
                <w:b/>
                <w:b/>
                <w:bCs/>
                <w:color w:val="000000"/>
                <w:sz w:val="14"/>
                <w:szCs w:val="14"/>
              </w:rPr>
            </w:pPr>
            <w:r>
              <w:rPr>
                <w:rFonts w:cs="Arial"/>
                <w:b/>
                <w:bCs/>
                <w:color w:val="000000"/>
                <w:sz w:val="14"/>
                <w:szCs w:val="14"/>
              </w:rPr>
              <w:t>DESCRIÇÃO/</w:t>
            </w:r>
          </w:p>
          <w:p>
            <w:pPr>
              <w:pStyle w:val="Normal"/>
              <w:widowControl w:val="false"/>
              <w:suppressAutoHyphens w:val="true"/>
              <w:jc w:val="center"/>
              <w:rPr>
                <w:rFonts w:cs="Arial"/>
                <w:color w:val="000000"/>
                <w:sz w:val="14"/>
                <w:szCs w:val="14"/>
              </w:rPr>
            </w:pPr>
            <w:r>
              <w:rPr>
                <w:rFonts w:cs="Arial"/>
                <w:b/>
                <w:bCs/>
                <w:color w:val="000000"/>
                <w:sz w:val="14"/>
                <w:szCs w:val="14"/>
              </w:rPr>
              <w:t>ESPECIFICAÇÃO</w:t>
            </w:r>
          </w:p>
        </w:tc>
        <w:tc>
          <w:tcPr>
            <w:tcW w:w="88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CATSER/</w:t>
            </w:r>
          </w:p>
          <w:p>
            <w:pPr>
              <w:pStyle w:val="Normal"/>
              <w:widowControl w:val="false"/>
              <w:suppressAutoHyphens w:val="true"/>
              <w:jc w:val="center"/>
              <w:rPr>
                <w:rFonts w:cs="Arial"/>
                <w:b/>
                <w:b/>
                <w:bCs/>
                <w:color w:val="000000"/>
                <w:sz w:val="14"/>
                <w:szCs w:val="14"/>
              </w:rPr>
            </w:pPr>
            <w:r>
              <w:rPr>
                <w:rFonts w:cs="Arial"/>
                <w:b/>
                <w:bCs/>
                <w:color w:val="000000"/>
                <w:sz w:val="14"/>
                <w:szCs w:val="14"/>
              </w:rPr>
              <w:t>CATMAT</w:t>
            </w:r>
          </w:p>
        </w:tc>
        <w:tc>
          <w:tcPr>
            <w:tcW w:w="10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UNIDADE DE MEDIDA</w:t>
            </w:r>
          </w:p>
        </w:tc>
        <w:tc>
          <w:tcPr>
            <w:tcW w:w="83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QUANT.</w:t>
            </w:r>
          </w:p>
        </w:tc>
        <w:tc>
          <w:tcPr>
            <w:tcW w:w="245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PREÇO ESTIMADO</w:t>
            </w:r>
          </w:p>
        </w:tc>
      </w:tr>
      <w:tr>
        <w:trPr/>
        <w:tc>
          <w:tcPr>
            <w:tcW w:w="65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b/>
                <w:color w:val="000000"/>
                <w:sz w:val="16"/>
                <w:szCs w:val="16"/>
              </w:rPr>
              <w:t>1</w:t>
            </w:r>
          </w:p>
        </w:tc>
        <w:tc>
          <w:tcPr>
            <w:tcW w:w="24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color w:val="000000"/>
                <w:kern w:val="0"/>
                <w:sz w:val="16"/>
                <w:szCs w:val="16"/>
                <w:lang w:val="pt-BR" w:eastAsia="pt-BR" w:bidi="ar-SA"/>
              </w:rPr>
            </w:pPr>
            <w:r>
              <w:rPr>
                <w:rFonts w:eastAsia="Times New Roman" w:cs="Arial"/>
                <w:color w:val="000000"/>
                <w:kern w:val="0"/>
                <w:sz w:val="16"/>
                <w:szCs w:val="16"/>
                <w:lang w:val="pt-BR" w:eastAsia="pt-BR" w:bidi="ar-SA"/>
              </w:rPr>
              <w:t>VIDRO LISO LAMINADO 4mm 82x57</w:t>
            </w:r>
          </w:p>
        </w:tc>
        <w:tc>
          <w:tcPr>
            <w:tcW w:w="88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color w:val="000000"/>
                <w:kern w:val="0"/>
                <w:sz w:val="16"/>
                <w:szCs w:val="16"/>
                <w:lang w:val="pt-BR" w:eastAsia="pt-BR" w:bidi="ar-SA"/>
              </w:rPr>
            </w:pPr>
            <w:r>
              <w:rPr>
                <w:rFonts w:eastAsia="Times New Roman" w:cs="Arial"/>
                <w:color w:val="000000"/>
                <w:kern w:val="0"/>
                <w:sz w:val="16"/>
                <w:szCs w:val="16"/>
                <w:lang w:val="pt-BR" w:eastAsia="pt-BR" w:bidi="ar-SA"/>
              </w:rPr>
              <w:t>310953</w:t>
            </w:r>
          </w:p>
        </w:tc>
        <w:tc>
          <w:tcPr>
            <w:tcW w:w="10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sz w:val="16"/>
                <w:szCs w:val="16"/>
              </w:rPr>
            </w:pPr>
            <w:r>
              <w:rPr>
                <w:rFonts w:cs="Arial"/>
                <w:color w:val="000000"/>
                <w:sz w:val="16"/>
                <w:szCs w:val="16"/>
              </w:rPr>
              <w:t>UN</w:t>
            </w:r>
          </w:p>
        </w:tc>
        <w:tc>
          <w:tcPr>
            <w:tcW w:w="8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color w:val="000000"/>
                <w:kern w:val="0"/>
                <w:sz w:val="16"/>
                <w:szCs w:val="16"/>
                <w:lang w:val="pt-BR" w:eastAsia="pt-BR" w:bidi="ar-SA"/>
              </w:rPr>
            </w:pPr>
            <w:r>
              <w:rPr>
                <w:rFonts w:eastAsia="Times New Roman" w:cs="Arial"/>
                <w:color w:val="000000"/>
                <w:kern w:val="0"/>
                <w:sz w:val="16"/>
                <w:szCs w:val="16"/>
                <w:lang w:val="pt-BR" w:eastAsia="pt-BR" w:bidi="ar-SA"/>
              </w:rPr>
              <w:t>1</w:t>
            </w:r>
          </w:p>
        </w:tc>
        <w:tc>
          <w:tcPr>
            <w:tcW w:w="245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sz w:val="16"/>
                <w:szCs w:val="16"/>
              </w:rPr>
            </w:pPr>
            <w:bookmarkStart w:id="1" w:name="__DdeLink__2993_3119340354"/>
            <w:r>
              <w:rPr>
                <w:rFonts w:cs="Arial"/>
                <w:color w:val="000000"/>
                <w:sz w:val="16"/>
                <w:szCs w:val="16"/>
              </w:rPr>
              <w:t>R$</w:t>
            </w:r>
            <w:bookmarkEnd w:id="1"/>
            <w:r>
              <w:rPr>
                <w:rFonts w:cs="Arial"/>
                <w:color w:val="000000"/>
                <w:sz w:val="16"/>
                <w:szCs w:val="16"/>
              </w:rPr>
              <w:t xml:space="preserve"> </w:t>
            </w:r>
            <w:r>
              <w:rPr>
                <w:rFonts w:eastAsia="Times New Roman" w:cs="Arial"/>
                <w:color w:val="000000"/>
                <w:kern w:val="0"/>
                <w:sz w:val="16"/>
                <w:szCs w:val="16"/>
                <w:lang w:val="pt-BR" w:eastAsia="pt-BR" w:bidi="ar-SA"/>
              </w:rPr>
              <w:t>60,00</w:t>
            </w:r>
          </w:p>
        </w:tc>
      </w:tr>
      <w:tr>
        <w:trPr/>
        <w:tc>
          <w:tcPr>
            <w:tcW w:w="65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pPr>
            <w:r>
              <w:rPr/>
              <w:t>2</w:t>
            </w:r>
          </w:p>
        </w:tc>
        <w:tc>
          <w:tcPr>
            <w:tcW w:w="24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color w:val="000000"/>
                <w:kern w:val="0"/>
                <w:sz w:val="16"/>
                <w:szCs w:val="16"/>
                <w:lang w:val="pt-BR" w:eastAsia="pt-BR" w:bidi="ar-SA"/>
              </w:rPr>
            </w:pPr>
            <w:r>
              <w:rPr>
                <w:rFonts w:eastAsia="Times New Roman" w:cs="Arial"/>
                <w:color w:val="000000"/>
                <w:kern w:val="0"/>
                <w:sz w:val="16"/>
                <w:szCs w:val="16"/>
                <w:lang w:val="pt-BR" w:eastAsia="pt-BR" w:bidi="ar-SA"/>
              </w:rPr>
              <w:t>VIDRO LISO LAMINADO 4mm 90x46</w:t>
            </w:r>
          </w:p>
        </w:tc>
        <w:tc>
          <w:tcPr>
            <w:tcW w:w="88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color w:val="000000"/>
                <w:kern w:val="0"/>
                <w:sz w:val="16"/>
                <w:szCs w:val="16"/>
                <w:lang w:val="pt-BR" w:eastAsia="pt-BR" w:bidi="ar-SA"/>
              </w:rPr>
            </w:pPr>
            <w:r>
              <w:rPr>
                <w:rFonts w:eastAsia="Times New Roman" w:cs="Arial"/>
                <w:color w:val="000000"/>
                <w:kern w:val="0"/>
                <w:sz w:val="16"/>
                <w:szCs w:val="16"/>
                <w:lang w:val="pt-BR" w:eastAsia="pt-BR" w:bidi="ar-SA"/>
              </w:rPr>
              <w:t>310953</w:t>
            </w:r>
          </w:p>
        </w:tc>
        <w:tc>
          <w:tcPr>
            <w:tcW w:w="10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sz w:val="16"/>
                <w:szCs w:val="16"/>
              </w:rPr>
            </w:pPr>
            <w:r>
              <w:rPr>
                <w:sz w:val="16"/>
                <w:szCs w:val="16"/>
              </w:rPr>
              <w:t>UN</w:t>
            </w:r>
          </w:p>
        </w:tc>
        <w:tc>
          <w:tcPr>
            <w:tcW w:w="8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rFonts w:ascii="Arial" w:hAnsi="Arial" w:eastAsia="Times New Roman" w:cs="Tahoma"/>
                <w:color w:val="auto"/>
                <w:kern w:val="0"/>
                <w:sz w:val="16"/>
                <w:szCs w:val="16"/>
                <w:lang w:val="pt-BR" w:eastAsia="pt-BR" w:bidi="ar-SA"/>
              </w:rPr>
            </w:pPr>
            <w:r>
              <w:rPr>
                <w:rFonts w:eastAsia="Times New Roman" w:cs="Tahoma"/>
                <w:color w:val="auto"/>
                <w:kern w:val="0"/>
                <w:sz w:val="16"/>
                <w:szCs w:val="16"/>
                <w:lang w:val="pt-BR" w:eastAsia="pt-BR" w:bidi="ar-SA"/>
              </w:rPr>
              <w:t>1</w:t>
            </w:r>
          </w:p>
        </w:tc>
        <w:tc>
          <w:tcPr>
            <w:tcW w:w="245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color w:val="000000"/>
                <w:kern w:val="0"/>
                <w:sz w:val="16"/>
                <w:szCs w:val="16"/>
                <w:lang w:val="pt-BR" w:eastAsia="pt-BR" w:bidi="ar-SA"/>
              </w:rPr>
            </w:pPr>
            <w:r>
              <w:rPr>
                <w:rFonts w:eastAsia="Times New Roman" w:cs="Arial"/>
                <w:color w:val="000000"/>
                <w:kern w:val="0"/>
                <w:sz w:val="16"/>
                <w:szCs w:val="16"/>
                <w:lang w:val="pt-BR" w:eastAsia="pt-BR" w:bidi="ar-SA"/>
              </w:rPr>
              <w:t>R$ 55,00</w:t>
            </w:r>
          </w:p>
        </w:tc>
      </w:tr>
    </w:tbl>
    <w:p>
      <w:pPr>
        <w:pStyle w:val="PADRO"/>
        <w:keepNext w:val="false"/>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000000"/>
          <w:szCs w:val="20"/>
        </w:rPr>
        <w:t>menor preço,</w:t>
      </w:r>
      <w:r>
        <w:rPr>
          <w:rFonts w:cs="Arial" w:ascii="Arial" w:hAnsi="Arial"/>
          <w:color w:val="000000"/>
          <w:szCs w:val="20"/>
        </w:rPr>
        <w:t xml:space="preserve"> o</w:t>
      </w:r>
      <w:r>
        <w:rPr>
          <w:rFonts w:cs="Arial" w:ascii="Arial" w:hAnsi="Arial"/>
          <w:szCs w:val="20"/>
        </w:rPr>
        <w:t>bservadas as exigências contidas neste Aviso de Contratação Direta e seus Anexos quanto às especificações do objeto.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 xml:space="preserve">empresas controladoras, controladas ou coligadas, nos termos da </w:t>
      </w:r>
      <w:hyperlink r:id="rId2">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pPr>
      <w:r>
        <w:rPr/>
        <w:t xml:space="preserve"> </w:t>
      </w:r>
      <w:r>
        <w:rPr/>
        <w:t>Será permitida a participação de cooperativas, desde que apresentem demonstrativo de atuação em regime cooperado, com repartição de receitas e despesas entre os cooperados e atendam ao art. 16 da Lei nº 14.133/21.</w:t>
      </w:r>
    </w:p>
    <w:p>
      <w:pPr>
        <w:pStyle w:val="PADRO"/>
        <w:keepNext w:val="false"/>
        <w:widowControl/>
        <w:numPr>
          <w:ilvl w:val="0"/>
          <w:numId w:val="1"/>
        </w:numPr>
        <w:shd w:val="clear" w:color="auto" w:fill="auto"/>
        <w:spacing w:before="120" w:after="120"/>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color w:val="000000"/>
          <w:szCs w:val="20"/>
        </w:rPr>
        <w:t>Aviso de Dispensa Eletrônica</w:t>
      </w:r>
      <w:r>
        <w:rPr>
          <w:rFonts w:cs="Arial"/>
          <w:color w:val="000000"/>
          <w:szCs w:val="20"/>
        </w:rPr>
        <w:t>, assumindo o proponente o compromisso de executar os serviços nos se</w:t>
      </w:r>
      <w:r>
        <w:rPr>
          <w:rFonts w:cs="Arial"/>
          <w:szCs w:val="20"/>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color w:val="FF0000"/>
          <w:szCs w:val="20"/>
        </w:rPr>
      </w:pPr>
      <w:r>
        <w:rPr>
          <w:rFonts w:cs="Arial"/>
          <w:i/>
          <w:color w:val="000000"/>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color w:val="FF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false"/>
        <w:widowControl/>
        <w:numPr>
          <w:ilvl w:val="0"/>
          <w:numId w:val="1"/>
        </w:numPr>
        <w:shd w:val="clear" w:color="auto" w:fill="auto"/>
        <w:spacing w:before="120" w:after="120"/>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iCs/>
          <w:color w:val="000000"/>
          <w:szCs w:val="20"/>
        </w:rPr>
        <w:t>O lance deverá ser ofertado pelo valor unitário do item.</w:t>
      </w:r>
    </w:p>
    <w:p>
      <w:pPr>
        <w:pStyle w:val="ListParagraph"/>
        <w:numPr>
          <w:ilvl w:val="1"/>
          <w:numId w:val="1"/>
        </w:numPr>
        <w:spacing w:lineRule="auto" w:line="276" w:before="120" w:after="120"/>
        <w:contextualSpacing/>
        <w:jc w:val="both"/>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000000" w:themeColor="text1"/>
          <w:szCs w:val="20"/>
          <w:lang w:eastAsia="en-US"/>
        </w:rPr>
        <w:t>R$ 0,01.</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15</w:t>
      </w:r>
      <w:r>
        <w:rPr>
          <w:rFonts w:cs="Arial"/>
          <w:color w:val="FF0000"/>
          <w:szCs w:val="20"/>
        </w:rPr>
        <w:t xml:space="preserve"> </w:t>
      </w:r>
      <w:r>
        <w:rPr>
          <w:rFonts w:cs="Arial"/>
          <w:color w:val="000000"/>
          <w:szCs w:val="20"/>
        </w:rPr>
        <w:t>(quinze)</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Erros no preenchimento da planilha não constituem motivo para a desclassificação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3">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4">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63" w:after="63"/>
        <w:ind w:left="425" w:hanging="0"/>
        <w:jc w:val="both"/>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hanging="0"/>
        <w:jc w:val="both"/>
        <w:rPr/>
      </w:pPr>
      <w:r>
        <w:rPr>
          <w:rFonts w:eastAsia="Arial" w:cs="Arial"/>
          <w:color w:val="000000"/>
          <w:szCs w:val="20"/>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63" w:after="63"/>
        <w:ind w:left="425" w:hanging="0"/>
        <w:jc w:val="both"/>
        <w:rPr/>
      </w:pPr>
      <w:r>
        <w:rPr>
          <w:rFonts w:eastAsia="Arial" w:cs="Arial"/>
          <w:i/>
          <w:color w:val="000000"/>
          <w:szCs w:val="20"/>
        </w:rPr>
        <w:t>O Aceite da Nota de Empenho ou do instrumento equivalente, emitida à empresa adjudicada, implica no reconhecimento de que:</w:t>
      </w:r>
    </w:p>
    <w:p>
      <w:pPr>
        <w:pStyle w:val="Normal"/>
        <w:numPr>
          <w:ilvl w:val="2"/>
          <w:numId w:val="1"/>
        </w:numPr>
        <w:spacing w:lineRule="auto" w:line="276" w:before="63" w:after="63"/>
        <w:jc w:val="both"/>
        <w:rPr/>
      </w:pPr>
      <w:r>
        <w:rPr>
          <w:rFonts w:eastAsia="Arial" w:cs="Arial"/>
          <w:i/>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pPr>
      <w:r>
        <w:rPr>
          <w:rFonts w:eastAsia="Arial" w:cs="Arial"/>
          <w:i/>
          <w:color w:val="000000"/>
          <w:szCs w:val="20"/>
        </w:rPr>
        <w:t>a contratada se vincula à sua proposta e às previsões contidas no Aviso de Contratação Direta e seus anexos;</w:t>
      </w:r>
    </w:p>
    <w:p>
      <w:pPr>
        <w:pStyle w:val="Normal"/>
        <w:numPr>
          <w:ilvl w:val="2"/>
          <w:numId w:val="1"/>
        </w:numPr>
        <w:spacing w:lineRule="auto" w:line="276" w:before="63" w:after="63"/>
        <w:jc w:val="both"/>
        <w:rPr/>
      </w:pPr>
      <w:r>
        <w:rPr>
          <w:rFonts w:eastAsia="Arial" w:cs="Arial"/>
          <w:i/>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hanging="0"/>
        <w:jc w:val="both"/>
        <w:rPr/>
      </w:pPr>
      <w:r>
        <w:rPr>
          <w:rFonts w:eastAsia="Arial" w:cs="Arial"/>
          <w:color w:val="000000"/>
          <w:szCs w:val="20"/>
        </w:rPr>
        <w:t xml:space="preserve">O prazo de vigência da contratação é de 30 (trinta) dias. </w:t>
      </w:r>
    </w:p>
    <w:p>
      <w:pPr>
        <w:pStyle w:val="Normal"/>
        <w:numPr>
          <w:ilvl w:val="1"/>
          <w:numId w:val="1"/>
        </w:numPr>
        <w:spacing w:lineRule="auto" w:line="276" w:before="63" w:after="63"/>
        <w:ind w:left="425" w:hanging="0"/>
        <w:jc w:val="both"/>
        <w:rPr/>
      </w:pPr>
      <w:r>
        <w:rPr>
          <w:rFonts w:cs="Arial"/>
          <w:color w:val="000000"/>
          <w:szCs w:val="20"/>
        </w:rPr>
        <w:t>Na confecção da Nota de empenho será exigida a comprovação das condições de habilitação e contratação consignadas neste aviso, que deverão ser mantidas pelo fornecedor durante a vigência do contrato.</w:t>
      </w:r>
    </w:p>
    <w:p>
      <w:pPr>
        <w:pStyle w:val="PADRO"/>
        <w:keepNext w:val="false"/>
        <w:widowControl/>
        <w:numPr>
          <w:ilvl w:val="0"/>
          <w:numId w:val="1"/>
        </w:numPr>
        <w:shd w:val="clear" w:color="auto" w:fill="auto"/>
        <w:spacing w:before="120" w:after="120"/>
        <w:rPr/>
      </w:pPr>
      <w:r>
        <w:rPr>
          <w:rFonts w:cs="Arial" w:ascii="Arial" w:hAnsi="Arial"/>
          <w:b/>
        </w:rPr>
        <w:t>SANÇÕES</w:t>
      </w:r>
    </w:p>
    <w:p>
      <w:pPr>
        <w:pStyle w:val="Normal"/>
        <w:numPr>
          <w:ilvl w:val="1"/>
          <w:numId w:val="1"/>
        </w:numPr>
        <w:spacing w:lineRule="auto" w:line="276" w:before="63" w:after="63"/>
        <w:ind w:left="425" w:hanging="0"/>
        <w:jc w:val="both"/>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pPr>
      <w:r>
        <w:rPr>
          <w:rFonts w:cs="Arial"/>
          <w:color w:val="000000"/>
          <w:szCs w:val="20"/>
        </w:rPr>
        <w:t>dar causa à inexecução parcial do contrato</w:t>
      </w:r>
      <w:r>
        <w:rPr>
          <w:rFonts w:cs="Arial"/>
        </w:rPr>
        <w:t>;</w:t>
      </w:r>
    </w:p>
    <w:p>
      <w:pPr>
        <w:pStyle w:val="Normal"/>
        <w:numPr>
          <w:ilvl w:val="2"/>
          <w:numId w:val="1"/>
        </w:numPr>
        <w:spacing w:lineRule="auto" w:line="276" w:before="63" w:after="63"/>
        <w:jc w:val="both"/>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pPr>
      <w:r>
        <w:rPr>
          <w:rFonts w:cs="Arial"/>
          <w:color w:val="000000"/>
          <w:szCs w:val="20"/>
        </w:rPr>
        <w:t>dar causa à inexecução total do contrato;</w:t>
      </w:r>
    </w:p>
    <w:p>
      <w:pPr>
        <w:pStyle w:val="Normal"/>
        <w:numPr>
          <w:ilvl w:val="2"/>
          <w:numId w:val="1"/>
        </w:numPr>
        <w:spacing w:lineRule="auto" w:line="276" w:before="63" w:after="63"/>
        <w:jc w:val="both"/>
        <w:rPr/>
      </w:pPr>
      <w:r>
        <w:rPr>
          <w:rFonts w:cs="Arial"/>
          <w:color w:val="000000"/>
          <w:szCs w:val="20"/>
        </w:rPr>
        <w:t>deixar de entregar a documentação exigida para o certame;</w:t>
      </w:r>
    </w:p>
    <w:p>
      <w:pPr>
        <w:pStyle w:val="Normal"/>
        <w:numPr>
          <w:ilvl w:val="2"/>
          <w:numId w:val="1"/>
        </w:numPr>
        <w:spacing w:lineRule="auto" w:line="276" w:before="63" w:after="63"/>
        <w:jc w:val="both"/>
        <w:rPr/>
      </w:pPr>
      <w:r>
        <w:rPr>
          <w:rFonts w:cs="Arial"/>
          <w:color w:val="000000"/>
          <w:szCs w:val="20"/>
        </w:rPr>
        <w:t>não manter a proposta, salvo em decorrência de fato superveniente devidamente justificado;</w:t>
      </w:r>
    </w:p>
    <w:p>
      <w:pPr>
        <w:pStyle w:val="Normal"/>
        <w:numPr>
          <w:ilvl w:val="2"/>
          <w:numId w:val="1"/>
        </w:numPr>
        <w:spacing w:lineRule="auto" w:line="276" w:before="63" w:after="63"/>
        <w:jc w:val="both"/>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pPr>
      <w:r>
        <w:rPr>
          <w:rFonts w:cs="Arial"/>
          <w:color w:val="000000"/>
          <w:szCs w:val="20"/>
        </w:rPr>
        <w:t>ensejar o retardamento da execução ou da entrega do objeto da licitação sem motivo justificado;</w:t>
      </w:r>
    </w:p>
    <w:p>
      <w:pPr>
        <w:pStyle w:val="Normal"/>
        <w:numPr>
          <w:ilvl w:val="2"/>
          <w:numId w:val="1"/>
        </w:numPr>
        <w:spacing w:lineRule="auto" w:line="276" w:before="63" w:after="63"/>
        <w:jc w:val="both"/>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pPr>
      <w:r>
        <w:rPr>
          <w:rFonts w:cs="Arial"/>
          <w:color w:val="000000"/>
          <w:szCs w:val="20"/>
        </w:rPr>
        <w:t>fraudar a dispensa eletrônica ou praticar ato fraudulento na execução do contrato;</w:t>
      </w:r>
    </w:p>
    <w:p>
      <w:pPr>
        <w:pStyle w:val="Normal"/>
        <w:numPr>
          <w:ilvl w:val="2"/>
          <w:numId w:val="1"/>
        </w:numPr>
        <w:spacing w:lineRule="auto" w:line="276" w:before="63" w:after="63"/>
        <w:jc w:val="both"/>
        <w:rPr/>
      </w:pPr>
      <w:r>
        <w:rPr>
          <w:rFonts w:cs="Arial"/>
          <w:color w:val="000000"/>
          <w:szCs w:val="20"/>
        </w:rPr>
        <w:t>comportar-se de modo inidôneo ou cometer fraude de qualquer natureza;</w:t>
      </w:r>
    </w:p>
    <w:p>
      <w:pPr>
        <w:pStyle w:val="ListParagraph"/>
        <w:numPr>
          <w:ilvl w:val="3"/>
          <w:numId w:val="1"/>
        </w:numPr>
        <w:spacing w:lineRule="auto" w:line="276" w:before="63" w:after="63"/>
        <w:contextualSpacing/>
        <w:jc w:val="both"/>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pPr>
      <w:r>
        <w:rPr>
          <w:rFonts w:cs="Arial"/>
          <w:color w:val="000000"/>
          <w:szCs w:val="20"/>
        </w:rPr>
        <w:t>praticar atos ilícitos com vistas a frustrar os objetivos deste certame.</w:t>
      </w:r>
    </w:p>
    <w:p>
      <w:pPr>
        <w:pStyle w:val="Normal"/>
        <w:numPr>
          <w:ilvl w:val="2"/>
          <w:numId w:val="1"/>
        </w:numPr>
        <w:spacing w:lineRule="auto" w:line="276" w:before="63" w:after="63"/>
        <w:jc w:val="both"/>
        <w:rPr/>
      </w:pPr>
      <w:r>
        <w:rPr>
          <w:rFonts w:cs="Arial"/>
          <w:color w:val="000000"/>
          <w:szCs w:val="20"/>
        </w:rPr>
        <w:t xml:space="preserve">praticar ato lesivo previsto no </w:t>
      </w:r>
      <w:r>
        <w:fldChar w:fldCharType="begin"/>
      </w:r>
      <w:r>
        <w:rPr>
          <w:rStyle w:val="ListLabel74"/>
          <w:color w:val="000000"/>
        </w:rPr>
        <w:instrText> HYPERLINK "http://www.planalto.gov.br/ccivil_03/_Ato2011-2014/2013/Lei/L12846.htm" \l "art5"</w:instrText>
      </w:r>
      <w:r>
        <w:rPr>
          <w:rStyle w:val="ListLabel74"/>
          <w:color w:val="000000"/>
        </w:rPr>
        <w:fldChar w:fldCharType="separate"/>
      </w:r>
      <w:r>
        <w:rPr>
          <w:rStyle w:val="ListLabel74"/>
          <w:color w:val="000000"/>
        </w:rPr>
        <w:t>art. 5º da Lei nº 12.846, de 1º de agosto de 2013.</w:t>
      </w:r>
      <w:r>
        <w:rPr>
          <w:rStyle w:val="ListLabel74"/>
          <w:color w:val="000000"/>
        </w:rPr>
        <w:fldChar w:fldCharType="end"/>
      </w:r>
    </w:p>
    <w:p>
      <w:pPr>
        <w:pStyle w:val="Normal"/>
        <w:numPr>
          <w:ilvl w:val="1"/>
          <w:numId w:val="1"/>
        </w:numPr>
        <w:spacing w:lineRule="auto" w:line="276" w:before="63" w:after="63"/>
        <w:ind w:left="425" w:hanging="0"/>
        <w:jc w:val="both"/>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63" w:after="63"/>
        <w:jc w:val="both"/>
        <w:rPr/>
      </w:pPr>
      <w:r>
        <w:rPr>
          <w:rFonts w:cs="Arial"/>
        </w:rPr>
        <w:t>Multa de 0,5</w:t>
      </w:r>
      <w:r>
        <w:rPr>
          <w:rFonts w:cs="Arial"/>
          <w:b w:val="false"/>
          <w:bCs w:val="false"/>
          <w:color w:val="000000"/>
        </w:rPr>
        <w:t>%</w:t>
      </w:r>
      <w:r>
        <w:rPr>
          <w:rFonts w:cs="Arial"/>
          <w:color w:val="FF0000"/>
        </w:rPr>
        <w:t xml:space="preserve"> </w:t>
      </w:r>
      <w:r>
        <w:rPr>
          <w:rFonts w:cs="Arial"/>
          <w:color w:val="000000"/>
        </w:rPr>
        <w:t>(cinco decimos 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63" w:after="63"/>
        <w:jc w:val="both"/>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63" w:after="63"/>
        <w:jc w:val="both"/>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2" w:name="art156%25252525252525252525C2%2525252525"/>
      <w:bookmarkStart w:id="3" w:name="art156%25252525252525252525C2%2525252525"/>
      <w:bookmarkStart w:id="4" w:name="art156%25252525252525252525C2%2525252525"/>
      <w:bookmarkEnd w:id="2"/>
      <w:bookmarkEnd w:id="3"/>
      <w:bookmarkEnd w:id="4"/>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5" w:name="art156%25252525252525252525C2%2525252525"/>
      <w:bookmarkEnd w:id="5"/>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PADRO"/>
        <w:keepNext w:val="false"/>
        <w:widowControl/>
        <w:numPr>
          <w:ilvl w:val="0"/>
          <w:numId w:val="1"/>
        </w:numPr>
        <w:shd w:val="clear" w:color="auto" w:fill="auto"/>
        <w:spacing w:before="120" w:after="120"/>
        <w:rPr/>
      </w:pPr>
      <w:r>
        <w:rPr>
          <w:rFonts w:cs="Arial" w:ascii="Arial" w:hAnsi="Arial"/>
          <w:b/>
        </w:rPr>
        <w:t>DAS DISPOSIÇÕES GERAIS</w:t>
      </w:r>
    </w:p>
    <w:p>
      <w:pPr>
        <w:pStyle w:val="Normal"/>
        <w:numPr>
          <w:ilvl w:val="1"/>
          <w:numId w:val="1"/>
        </w:numPr>
        <w:snapToGrid w:val="false"/>
        <w:spacing w:lineRule="auto" w:line="276" w:before="0" w:after="0"/>
        <w:ind w:left="425" w:hanging="0"/>
        <w:jc w:val="both"/>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hanging="0"/>
        <w:jc w:val="both"/>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63" w:after="63"/>
        <w:jc w:val="both"/>
        <w:rPr/>
      </w:pPr>
      <w:r>
        <w:rPr>
          <w:rFonts w:cs="Arial"/>
          <w:color w:val="000000"/>
          <w:szCs w:val="20"/>
        </w:rPr>
        <w:t>republicar o presente aviso com uma nova data;</w:t>
      </w:r>
    </w:p>
    <w:p>
      <w:pPr>
        <w:pStyle w:val="Normal"/>
        <w:numPr>
          <w:ilvl w:val="2"/>
          <w:numId w:val="1"/>
        </w:numPr>
        <w:spacing w:lineRule="auto" w:line="276" w:before="0" w:after="0"/>
        <w:jc w:val="both"/>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pPr>
      <w:r>
        <w:rPr>
          <w:rFonts w:cs="Arial"/>
          <w:color w:val="000000"/>
          <w:szCs w:val="20"/>
        </w:rPr>
        <w:t>No caso do subitem anterior, a contratação será operacionalizada fora deste procedimento.</w:t>
      </w:r>
    </w:p>
    <w:p>
      <w:pPr>
        <w:pStyle w:val="Normal"/>
        <w:numPr>
          <w:ilvl w:val="2"/>
          <w:numId w:val="1"/>
        </w:numPr>
        <w:spacing w:lineRule="auto" w:line="276" w:before="6" w:after="6"/>
        <w:jc w:val="both"/>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6" w:after="6"/>
        <w:ind w:left="425" w:hanging="0"/>
        <w:jc w:val="both"/>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hanging="0"/>
        <w:jc w:val="both"/>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hanging="0"/>
        <w:jc w:val="both"/>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hanging="0"/>
        <w:jc w:val="both"/>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hanging="0"/>
        <w:jc w:val="both"/>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hanging="0"/>
        <w:jc w:val="both"/>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hanging="0"/>
        <w:jc w:val="both"/>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hanging="0"/>
        <w:jc w:val="both"/>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hanging="0"/>
        <w:jc w:val="both"/>
        <w:rPr/>
      </w:pPr>
      <w:r>
        <w:rPr>
          <w:rFonts w:cs="Arial"/>
          <w:color w:val="000000"/>
          <w:szCs w:val="20"/>
        </w:rPr>
        <w:t>Da sessão pública será divulgada Ata no sistema eletrônico.</w:t>
      </w:r>
    </w:p>
    <w:p>
      <w:pPr>
        <w:pStyle w:val="Normal"/>
        <w:numPr>
          <w:ilvl w:val="1"/>
          <w:numId w:val="1"/>
        </w:numPr>
        <w:spacing w:lineRule="auto" w:line="276" w:before="63" w:after="63"/>
        <w:ind w:left="425" w:hanging="0"/>
        <w:jc w:val="both"/>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63" w:after="63"/>
        <w:jc w:val="both"/>
        <w:rPr/>
      </w:pPr>
      <w:r>
        <w:rPr>
          <w:rFonts w:cs="Arial"/>
          <w:color w:val="000000"/>
          <w:szCs w:val="20"/>
        </w:rPr>
        <w:t>ANEXO I – Documentação exigida para Habilitação</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120" w:after="120"/>
        <w:jc w:val="both"/>
        <w:rPr/>
      </w:pPr>
      <w:r>
        <w:rPr/>
        <w:tab/>
        <w:tab/>
        <w:tab/>
        <w:tab/>
        <w:t xml:space="preserve">Rio Grande - RS , </w:t>
      </w:r>
      <w:r>
        <w:rPr>
          <w:rFonts w:eastAsia="Times New Roman" w:cs="Tahoma"/>
          <w:color w:val="auto"/>
          <w:kern w:val="0"/>
          <w:sz w:val="20"/>
          <w:szCs w:val="24"/>
          <w:lang w:val="pt-BR" w:eastAsia="pt-BR" w:bidi="ar-SA"/>
        </w:rPr>
        <w:t>14</w:t>
      </w:r>
      <w:r>
        <w:rPr/>
        <w:t xml:space="preserve"> de </w:t>
      </w:r>
      <w:r>
        <w:rPr>
          <w:rFonts w:eastAsia="Times New Roman" w:cs="Tahoma"/>
          <w:color w:val="auto"/>
          <w:kern w:val="0"/>
          <w:sz w:val="20"/>
          <w:szCs w:val="24"/>
          <w:lang w:val="pt-BR" w:eastAsia="pt-BR" w:bidi="ar-SA"/>
        </w:rPr>
        <w:t>junho</w:t>
      </w:r>
      <w:r>
        <w:rPr/>
        <w:t xml:space="preserve"> de 2022</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0"/>
        <w:ind w:left="360" w:right="-15" w:hanging="0"/>
        <w:jc w:val="center"/>
        <w:rPr/>
      </w:pPr>
      <w:r>
        <w:rPr>
          <w:rFonts w:cs="Arial"/>
          <w:b/>
          <w:bCs/>
          <w:iCs/>
          <w:color w:val="000000"/>
          <w:szCs w:val="20"/>
        </w:rPr>
        <w:t>Brunno Fanara de Souza</w:t>
      </w:r>
    </w:p>
    <w:p>
      <w:pPr>
        <w:pStyle w:val="Normal"/>
        <w:spacing w:lineRule="auto" w:line="276" w:before="0" w:after="120"/>
        <w:ind w:left="360" w:right="-15" w:hanging="0"/>
        <w:jc w:val="center"/>
        <w:rPr/>
      </w:pPr>
      <w:r>
        <w:rPr>
          <w:rFonts w:cs="Arial"/>
          <w:b/>
          <w:bCs/>
          <w:iCs/>
          <w:color w:val="000000"/>
          <w:szCs w:val="20"/>
        </w:rPr>
        <w:t>Ordenador de Despesas</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keepNext w:val="false"/>
        <w:widowControl/>
        <w:numPr>
          <w:ilvl w:val="0"/>
          <w:numId w:val="3"/>
        </w:numPr>
        <w:shd w:val="clear" w:fill="FFFFFF"/>
        <w:spacing w:before="120" w:after="1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08"/>
          <w:tab w:val="left" w:pos="1440" w:leader="none"/>
        </w:tabs>
        <w:snapToGrid w:val="false"/>
        <w:spacing w:lineRule="auto" w:line="276" w:before="120" w:after="120"/>
        <w:jc w:val="both"/>
        <w:rPr/>
      </w:pPr>
      <w:r>
        <w:rPr>
          <w:rFonts w:cs="Arial"/>
          <w:bCs/>
          <w:szCs w:val="20"/>
        </w:rPr>
        <w:t xml:space="preserve">prova de </w:t>
      </w:r>
      <w:r>
        <w:rPr>
          <w:rFonts w:cs="Arial"/>
          <w:color w:val="000000"/>
          <w:szCs w:val="20"/>
        </w:rPr>
        <w:t xml:space="preserve">inscrição no cadastro de contribuintes </w:t>
      </w:r>
      <w:r>
        <w:rPr>
          <w:rFonts w:cs="Arial"/>
          <w:i/>
          <w:iCs/>
          <w:color w:val="000000"/>
          <w:szCs w:val="20"/>
        </w:rPr>
        <w:t>estadual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clear" w:pos="708"/>
          <w:tab w:val="left" w:pos="1440" w:leader="none"/>
        </w:tabs>
        <w:snapToGrid w:val="false"/>
        <w:spacing w:lineRule="auto" w:line="276" w:before="120" w:after="120"/>
        <w:jc w:val="both"/>
        <w:rPr/>
      </w:pPr>
      <w:r>
        <w:rPr>
          <w:rFonts w:cs="Arial"/>
          <w:szCs w:val="20"/>
        </w:rPr>
        <w:t xml:space="preserve">prova de regularidade com a Fazenda </w:t>
      </w:r>
      <w:r>
        <w:rPr>
          <w:rFonts w:cs="Arial"/>
          <w:i/>
          <w:iCs/>
          <w:color w:val="000000"/>
          <w:szCs w:val="20"/>
        </w:rPr>
        <w:t xml:space="preserve">Estadual </w:t>
      </w:r>
      <w:r>
        <w:rPr>
          <w:rFonts w:cs="Arial"/>
          <w:color w:val="000000"/>
          <w:szCs w:val="20"/>
        </w:rPr>
        <w:t>do do</w:t>
      </w:r>
      <w:r>
        <w:rPr>
          <w:rFonts w:cs="Arial"/>
          <w:szCs w:val="20"/>
        </w:rPr>
        <w:t xml:space="preserve">micílio ou sede do fornecedor, relativa à atividade em cujo exercício contrata ou concorre; </w:t>
      </w:r>
    </w:p>
    <w:p>
      <w:pPr>
        <w:pStyle w:val="Normal"/>
        <w:numPr>
          <w:ilvl w:val="1"/>
          <w:numId w:val="3"/>
        </w:numPr>
        <w:tabs>
          <w:tab w:val="clear" w:pos="708"/>
          <w:tab w:val="left" w:pos="1440" w:leader="none"/>
        </w:tabs>
        <w:snapToGrid w:val="false"/>
        <w:spacing w:lineRule="auto" w:line="276" w:before="120" w:after="120"/>
        <w:jc w:val="both"/>
        <w:rPr/>
      </w:pPr>
      <w:r>
        <w:rPr>
          <w:rFonts w:cs="Arial"/>
          <w:szCs w:val="20"/>
        </w:rPr>
        <w:t xml:space="preserve">caso o fornecedor seja considerado isento dos tributos </w:t>
      </w:r>
      <w:r>
        <w:rPr>
          <w:rFonts w:cs="Arial"/>
          <w:i/>
          <w:color w:val="000000"/>
          <w:szCs w:val="20"/>
        </w:rPr>
        <w:t>estaduais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keepNext w:val="false"/>
        <w:widowControl/>
        <w:numPr>
          <w:ilvl w:val="0"/>
          <w:numId w:val="0"/>
        </w:numPr>
        <w:shd w:val="clear" w:fill="FFFFFF"/>
        <w:spacing w:before="120" w:after="120"/>
        <w:ind w:left="2421" w:hanging="0"/>
        <w:rPr/>
      </w:pPr>
      <w:r>
        <w:rPr/>
      </w:r>
    </w:p>
    <w:sectPr>
      <w:footerReference w:type="default" r:id="rId5"/>
      <w:type w:val="nextPage"/>
      <w:pgSz w:w="11906" w:h="16838"/>
      <w:pgMar w:left="1701" w:right="1701"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swiss"/>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2"/>
        <w:szCs w:val="12"/>
      </w:rPr>
    </w:pPr>
    <w:r>
      <w:rPr>
        <w:sz w:val="12"/>
        <w:szCs w:val="12"/>
      </w:rPr>
      <w:t>Câmara Nacional de Modelos de Licitações e Contratos – CNMLC/CGU/AGU</w:t>
    </w:r>
  </w:p>
  <w:p>
    <w:pPr>
      <w:pStyle w:val="Footer"/>
      <w:rPr>
        <w:sz w:val="12"/>
        <w:szCs w:val="12"/>
      </w:rPr>
    </w:pPr>
    <w:r>
      <w:rPr>
        <w:sz w:val="12"/>
        <w:szCs w:val="12"/>
      </w:rPr>
      <w:t>Aviso de Dispensa Eletrônica – Lei nº 14.133/21 e IN SEGES/ME nº 67/2021</w:t>
    </w:r>
  </w:p>
  <w:p>
    <w:pPr>
      <w:pStyle w:val="Footer"/>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Fonts w:ascii="Arial" w:hAnsi="Arial"/>
      </w:rPr>
    </w:lvl>
    <w:lvl w:ilvl="1">
      <w:start w:val="1"/>
      <w:numFmt w:val="decimal"/>
      <w:lvlText w:val="%1.%2."/>
      <w:lvlJc w:val="left"/>
      <w:pPr>
        <w:tabs>
          <w:tab w:val="num" w:pos="0"/>
        </w:tabs>
        <w:ind w:left="792" w:hanging="432"/>
      </w:pPr>
      <w:rPr>
        <w:i w:val="false"/>
        <w:b/>
        <w:iCs/>
      </w:rPr>
    </w:lvl>
    <w:lvl w:ilvl="2">
      <w:start w:val="1"/>
      <w:numFmt w:val="decimal"/>
      <w:lvlText w:val="%1.%2.%3."/>
      <w:lvlJc w:val="left"/>
      <w:pPr>
        <w:tabs>
          <w:tab w:val="num" w:pos="0"/>
        </w:tabs>
        <w:ind w:left="1224" w:hanging="504"/>
      </w:pPr>
      <w:rPr>
        <w:i w:val="false"/>
        <w:b/>
        <w:iCs/>
        <w:rFonts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qForma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InternetLink">
    <w:name w:val="Hyper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tulo">
    <w:name w:val="Título"/>
    <w:basedOn w:val="Normal"/>
    <w:next w:val="TextBody"/>
    <w:qFormat/>
    <w:pPr>
      <w:keepNext w:val="true"/>
      <w:spacing w:before="240" w:after="120"/>
    </w:pPr>
    <w:rPr>
      <w:rFonts w:ascii="Liberation Sans" w:hAnsi="Liberation Sans" w:eastAsia="Noto Sans CJK SC" w:cs="Lohit Devanagari"/>
      <w:sz w:val="28"/>
      <w:szCs w:val="28"/>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Heading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HeaderandFooter">
    <w:name w:val="Header and Footer"/>
    <w:basedOn w:val="Normal"/>
    <w:qFormat/>
    <w:pPr/>
    <w:rPr/>
  </w:style>
  <w:style w:type="paragraph" w:styleId="Header">
    <w:name w:val="Header"/>
    <w:basedOn w:val="Normal"/>
    <w:link w:val="CabealhoChar"/>
    <w:uiPriority w:val="99"/>
    <w:unhideWhenUsed/>
    <w:rsid w:val="00805244"/>
    <w:pPr>
      <w:tabs>
        <w:tab w:val="clear" w:pos="708"/>
        <w:tab w:val="center" w:pos="4252" w:leader="none"/>
        <w:tab w:val="right" w:pos="8504" w:leader="none"/>
      </w:tabs>
    </w:pPr>
    <w:rPr/>
  </w:style>
  <w:style w:type="paragraph" w:styleId="Footer">
    <w:name w:val="Footer"/>
    <w:basedOn w:val="Normal"/>
    <w:link w:val="RodapChar"/>
    <w:uiPriority w:val="99"/>
    <w:unhideWhenUsed/>
    <w:rsid w:val="00805244"/>
    <w:pPr>
      <w:tabs>
        <w:tab w:val="clear" w:pos="708"/>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Application>LibreOffice/7.0.6.2$Linux_X86_64 LibreOffice_project/144abb84a525d8e30c9dbbefa69cbbf2d8d4ae3b</Application>
  <AppVersion>15.0000</AppVersion>
  <DocSecurity>0</DocSecurity>
  <Pages>11</Pages>
  <Words>4705</Words>
  <Characters>26943</Characters>
  <CharactersWithSpaces>31307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2022-03-16T10:01:29Z</cp:lastPrinted>
  <dcterms:modified xsi:type="dcterms:W3CDTF">2022-06-14T13:31:42Z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