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rFonts w:ascii="Calibri" w:hAnsi="Calibri"/>
          <w:sz w:val="24"/>
          <w:szCs w:val="24"/>
        </w:rPr>
      </w:pPr>
      <w:r>
        <w:rPr>
          <w:rFonts w:cs="Arial" w:ascii="Calibri" w:hAnsi="Calibri"/>
          <w:b/>
          <w:bCs/>
          <w:i w:val="false"/>
          <w:iCs w:val="false"/>
          <w:color w:val="000000"/>
          <w:sz w:val="22"/>
          <w:szCs w:val="22"/>
        </w:rPr>
        <w:t>ESCOLA DE APRENDIZES MARINHEIROS DO CEARÁ</w:t>
      </w:r>
    </w:p>
    <w:p>
      <w:pPr>
        <w:pStyle w:val="Normal"/>
        <w:spacing w:lineRule="auto" w:line="240" w:before="0" w:after="0"/>
        <w:contextualSpacing/>
        <w:jc w:val="center"/>
        <w:rPr>
          <w:sz w:val="22"/>
          <w:szCs w:val="22"/>
        </w:rPr>
      </w:pPr>
      <w:r>
        <w:rPr>
          <w:rFonts w:cs="Arial" w:ascii="Calibri" w:hAnsi="Calibri"/>
          <w:b/>
          <w:bCs/>
          <w:i w:val="false"/>
          <w:iCs w:val="false"/>
          <w:color w:val="000000" w:themeColor="text1"/>
          <w:sz w:val="22"/>
          <w:szCs w:val="22"/>
        </w:rPr>
        <w:t>AVISO DE DISPENSA ELETRÔNICA Nº 0</w:t>
      </w:r>
      <w:r>
        <w:rPr>
          <w:rFonts w:cs="Arial" w:ascii="Calibri" w:hAnsi="Calibri"/>
          <w:b/>
          <w:bCs/>
          <w:i w:val="false"/>
          <w:iCs w:val="false"/>
          <w:color w:val="000000" w:themeColor="text1"/>
          <w:sz w:val="22"/>
          <w:szCs w:val="22"/>
        </w:rPr>
        <w:t>5</w:t>
      </w:r>
      <w:r>
        <w:rPr>
          <w:rFonts w:cs="Arial" w:ascii="Calibri" w:hAnsi="Calibri"/>
          <w:b/>
          <w:bCs/>
          <w:i w:val="false"/>
          <w:iCs w:val="false"/>
          <w:color w:val="000000" w:themeColor="text1"/>
          <w:sz w:val="22"/>
          <w:szCs w:val="22"/>
        </w:rPr>
        <w:t>/2022</w:t>
      </w:r>
    </w:p>
    <w:p>
      <w:pPr>
        <w:pStyle w:val="Normal"/>
        <w:spacing w:lineRule="auto" w:line="240" w:before="0" w:after="0"/>
        <w:ind w:right="-15" w:hanging="0"/>
        <w:contextualSpacing/>
        <w:jc w:val="center"/>
        <w:rPr>
          <w:sz w:val="22"/>
          <w:szCs w:val="22"/>
        </w:rPr>
      </w:pPr>
      <w:r>
        <w:rPr>
          <w:rFonts w:cs="Arial" w:ascii="Calibri" w:hAnsi="Calibri"/>
          <w:b/>
          <w:bCs/>
          <w:color w:val="000000" w:themeColor="text1"/>
          <w:sz w:val="22"/>
          <w:szCs w:val="22"/>
        </w:rPr>
        <w:t>(Processo Administrativo n.°63116.00</w:t>
      </w:r>
      <w:r>
        <w:rPr>
          <w:rFonts w:cs="Arial" w:ascii="Calibri" w:hAnsi="Calibri"/>
          <w:b/>
          <w:bCs/>
          <w:color w:val="000000" w:themeColor="text1"/>
          <w:sz w:val="22"/>
          <w:szCs w:val="22"/>
        </w:rPr>
        <w:t>3689/2022-61</w:t>
      </w:r>
      <w:r>
        <w:rPr>
          <w:rFonts w:cs="Arial" w:ascii="Calibri" w:hAnsi="Calibri"/>
          <w:b/>
          <w:bCs/>
          <w:color w:val="000000" w:themeColor="text1"/>
          <w:sz w:val="22"/>
          <w:szCs w:val="22"/>
        </w:rPr>
        <w:t>)</w:t>
      </w:r>
    </w:p>
    <w:p>
      <w:pPr>
        <w:pStyle w:val="Normal"/>
        <w:spacing w:lineRule="auto" w:line="240" w:before="0" w:after="0"/>
        <w:contextualSpacing/>
        <w:rPr>
          <w:rFonts w:ascii="Calibri" w:hAnsi="Calibri" w:cs="Arial"/>
          <w:sz w:val="22"/>
          <w:szCs w:val="22"/>
        </w:rPr>
      </w:pPr>
      <w:r>
        <w:rPr>
          <w:rFonts w:cs="Arial" w:ascii="Calibri" w:hAnsi="Calibri"/>
          <w:sz w:val="22"/>
          <w:szCs w:val="22"/>
        </w:rPr>
      </w:r>
    </w:p>
    <w:p>
      <w:pPr>
        <w:pStyle w:val="Normal"/>
        <w:snapToGrid w:val="false"/>
        <w:spacing w:lineRule="auto" w:line="240" w:before="0" w:after="0"/>
        <w:ind w:right="-30" w:firstLine="540"/>
        <w:contextualSpacing/>
        <w:jc w:val="both"/>
        <w:rPr>
          <w:rFonts w:ascii="Calibri" w:hAnsi="Calibri"/>
          <w:sz w:val="24"/>
          <w:szCs w:val="24"/>
        </w:rPr>
      </w:pPr>
      <w:r>
        <w:rPr>
          <w:rFonts w:cs="Arial" w:ascii="Calibri" w:hAnsi="Calibri"/>
          <w:i w:val="false"/>
          <w:iCs w:val="false"/>
          <w:color w:val="000000" w:themeColor="text1"/>
          <w:sz w:val="22"/>
          <w:szCs w:val="22"/>
        </w:rPr>
        <w:t xml:space="preserve">Torna-se público que </w:t>
      </w:r>
      <w:r>
        <w:rPr>
          <w:rFonts w:cs="Arial" w:ascii="Calibri" w:hAnsi="Calibri"/>
          <w:i w:val="false"/>
          <w:iCs w:val="false"/>
          <w:color w:val="000000"/>
          <w:sz w:val="22"/>
          <w:szCs w:val="22"/>
        </w:rPr>
        <w:t>a</w:t>
      </w:r>
      <w:r>
        <w:rPr>
          <w:rFonts w:eastAsia="Arial" w:cs="Arial" w:ascii="Calibri" w:hAnsi="Calibri"/>
          <w:i w:val="false"/>
          <w:iCs w:val="false"/>
          <w:color w:val="000000"/>
          <w:sz w:val="22"/>
          <w:szCs w:val="22"/>
        </w:rPr>
        <w:t xml:space="preserve"> </w:t>
      </w:r>
      <w:r>
        <w:rPr>
          <w:rFonts w:cs="Arial" w:ascii="Calibri" w:hAnsi="Calibri"/>
          <w:i w:val="false"/>
          <w:iCs w:val="false"/>
          <w:color w:val="000000"/>
          <w:sz w:val="22"/>
          <w:szCs w:val="22"/>
        </w:rPr>
        <w:t>Escola de Aprendizes-Marinheiros do Ceará</w:t>
      </w:r>
      <w:r>
        <w:rPr>
          <w:rFonts w:cs="Arial" w:ascii="Calibri" w:hAnsi="Calibri"/>
          <w:i w:val="false"/>
          <w:iCs w:val="false"/>
          <w:color w:val="000000" w:themeColor="text1"/>
          <w:sz w:val="22"/>
          <w:szCs w:val="22"/>
        </w:rPr>
        <w:t xml:space="preserve">, por meio </w:t>
      </w:r>
      <w:r>
        <w:rPr>
          <w:rFonts w:cs="Arial" w:ascii="Calibri" w:hAnsi="Calibri"/>
          <w:i w:val="false"/>
          <w:iCs w:val="false"/>
          <w:color w:val="000000"/>
          <w:sz w:val="22"/>
          <w:szCs w:val="22"/>
        </w:rPr>
        <w:t>da Divisão de Obtenção</w:t>
      </w:r>
      <w:r>
        <w:rPr>
          <w:rFonts w:cs="Arial" w:ascii="Calibri" w:hAnsi="Calibri"/>
          <w:i w:val="false"/>
          <w:iCs w:val="false"/>
          <w:color w:val="000000" w:themeColor="text1"/>
          <w:sz w:val="22"/>
          <w:szCs w:val="22"/>
        </w:rPr>
        <w:t xml:space="preserve">, realizará Dispensa Eletrônica, </w:t>
      </w:r>
      <w:r>
        <w:rPr>
          <w:rFonts w:cs="Arial" w:ascii="Calibri" w:hAnsi="Calibri"/>
          <w:bCs/>
          <w:i w:val="false"/>
          <w:iCs w:val="false"/>
          <w:color w:val="000000" w:themeColor="text1"/>
          <w:sz w:val="22"/>
          <w:szCs w:val="22"/>
        </w:rPr>
        <w:t>com critério de julgamento</w:t>
      </w:r>
      <w:r>
        <w:rPr>
          <w:rFonts w:cs="Arial" w:ascii="Calibri" w:hAnsi="Calibri"/>
          <w:b/>
          <w:bCs/>
          <w:i w:val="false"/>
          <w:iCs w:val="false"/>
          <w:color w:val="000000" w:themeColor="text1"/>
          <w:sz w:val="22"/>
          <w:szCs w:val="22"/>
        </w:rPr>
        <w:t xml:space="preserve"> </w:t>
      </w:r>
      <w:r>
        <w:rPr>
          <w:rFonts w:cs="Arial" w:ascii="Calibri" w:hAnsi="Calibri"/>
          <w:i w:val="false"/>
          <w:iCs w:val="false"/>
          <w:color w:val="000000"/>
          <w:sz w:val="22"/>
          <w:szCs w:val="22"/>
        </w:rPr>
        <w:t>menor preço</w:t>
      </w:r>
      <w:r>
        <w:rPr>
          <w:rFonts w:cs="Arial" w:ascii="Calibri" w:hAnsi="Calibri"/>
          <w:b/>
          <w:bCs/>
          <w:i w:val="false"/>
          <w:iCs w:val="false"/>
          <w:color w:val="000000"/>
          <w:sz w:val="22"/>
          <w:szCs w:val="22"/>
        </w:rPr>
        <w:t xml:space="preserve">, </w:t>
      </w:r>
      <w:r>
        <w:rPr>
          <w:rFonts w:cs="Arial" w:ascii="Calibri" w:hAnsi="Calibri"/>
          <w:i w:val="false"/>
          <w:iCs w:val="false"/>
          <w:color w:val="000000" w:themeColor="text1"/>
          <w:sz w:val="22"/>
          <w:szCs w:val="22"/>
        </w:rPr>
        <w:t xml:space="preserve">na hipótese do art. 75, </w:t>
      </w:r>
      <w:r>
        <w:rPr>
          <w:rFonts w:cs="Arial" w:ascii="Calibri" w:hAnsi="Calibri"/>
          <w:i w:val="false"/>
          <w:iCs w:val="false"/>
          <w:color w:val="000000"/>
          <w:sz w:val="22"/>
          <w:szCs w:val="22"/>
        </w:rPr>
        <w:t xml:space="preserve">inciso </w:t>
      </w:r>
      <w:r>
        <w:rPr>
          <w:rFonts w:cs="Arial" w:ascii="Calibri" w:hAnsi="Calibri"/>
          <w:b w:val="false"/>
          <w:bCs w:val="false"/>
          <w:i w:val="false"/>
          <w:iCs w:val="false"/>
          <w:color w:val="000000"/>
          <w:sz w:val="22"/>
          <w:szCs w:val="22"/>
        </w:rPr>
        <w:t>II</w:t>
      </w:r>
      <w:r>
        <w:rPr>
          <w:rFonts w:cs="Arial" w:ascii="Calibri" w:hAnsi="Calibri"/>
          <w:i w:val="false"/>
          <w:iCs w:val="false"/>
          <w:color w:val="000000"/>
          <w:sz w:val="22"/>
          <w:szCs w:val="22"/>
        </w:rPr>
        <w:t xml:space="preserve">, </w:t>
      </w:r>
      <w:r>
        <w:rPr>
          <w:rFonts w:cs="Arial" w:ascii="Calibri" w:hAnsi="Calibri"/>
          <w:bCs/>
          <w:i w:val="false"/>
          <w:iCs w:val="false"/>
          <w:color w:val="000000"/>
          <w:sz w:val="22"/>
          <w:szCs w:val="22"/>
        </w:rPr>
        <w:t>nos termos da Lei nº 14.133, de 1º de abril de 2021, da Instrução Normativa SEGES/ME nº 67/2021 e demais legislação aplicável</w:t>
      </w:r>
      <w:r>
        <w:rPr>
          <w:rFonts w:cs="Arial" w:ascii="Calibri" w:hAnsi="Calibri"/>
          <w:i w:val="false"/>
          <w:iCs w:val="false"/>
          <w:color w:val="000000"/>
          <w:sz w:val="22"/>
          <w:szCs w:val="22"/>
        </w:rPr>
        <w:t>.</w:t>
      </w:r>
    </w:p>
    <w:p>
      <w:pPr>
        <w:pStyle w:val="Normal"/>
        <w:spacing w:lineRule="auto" w:line="240" w:before="0" w:after="0"/>
        <w:contextualSpacing/>
        <w:jc w:val="both"/>
        <w:rPr>
          <w:rFonts w:ascii="Calibri" w:hAnsi="Calibri" w:cs="Arial"/>
          <w:i w:val="false"/>
          <w:i w:val="false"/>
          <w:iCs w:val="false"/>
          <w:color w:val="000000" w:themeColor="text1"/>
          <w:sz w:val="22"/>
          <w:szCs w:val="22"/>
        </w:rPr>
      </w:pPr>
      <w:r>
        <w:rPr>
          <w:rFonts w:cs="Arial" w:ascii="Calibri" w:hAnsi="Calibri"/>
          <w:i w:val="false"/>
          <w:iCs w:val="false"/>
          <w:color w:val="000000" w:themeColor="text1"/>
          <w:sz w:val="22"/>
          <w:szCs w:val="22"/>
        </w:rPr>
      </w:r>
    </w:p>
    <w:p>
      <w:pPr>
        <w:pStyle w:val="Normal"/>
        <w:spacing w:lineRule="auto" w:line="240" w:before="0" w:after="0"/>
        <w:contextualSpacing/>
        <w:jc w:val="both"/>
        <w:rPr>
          <w:sz w:val="22"/>
          <w:szCs w:val="22"/>
        </w:rPr>
      </w:pPr>
      <w:r>
        <w:rPr>
          <w:rFonts w:cs="Arial" w:ascii="Calibri" w:hAnsi="Calibri"/>
          <w:color w:val="000000" w:themeColor="text1"/>
          <w:sz w:val="22"/>
          <w:szCs w:val="22"/>
        </w:rPr>
        <w:t>Data da sessão:  0</w:t>
      </w:r>
      <w:r>
        <w:rPr>
          <w:rFonts w:cs="Arial" w:ascii="Calibri" w:hAnsi="Calibri"/>
          <w:color w:val="000000" w:themeColor="text1"/>
          <w:sz w:val="22"/>
          <w:szCs w:val="22"/>
        </w:rPr>
        <w:t>4</w:t>
      </w:r>
      <w:r>
        <w:rPr>
          <w:rFonts w:cs="Arial" w:ascii="Calibri" w:hAnsi="Calibri"/>
          <w:color w:val="000000" w:themeColor="text1"/>
          <w:sz w:val="22"/>
          <w:szCs w:val="22"/>
        </w:rPr>
        <w:t>/0</w:t>
      </w:r>
      <w:r>
        <w:rPr>
          <w:rFonts w:cs="Arial" w:ascii="Calibri" w:hAnsi="Calibri"/>
          <w:color w:val="000000" w:themeColor="text1"/>
          <w:sz w:val="22"/>
          <w:szCs w:val="22"/>
        </w:rPr>
        <w:t>7</w:t>
      </w:r>
      <w:r>
        <w:rPr>
          <w:rFonts w:cs="Arial" w:ascii="Calibri" w:hAnsi="Calibri"/>
          <w:color w:val="000000" w:themeColor="text1"/>
          <w:sz w:val="22"/>
          <w:szCs w:val="22"/>
        </w:rPr>
        <w:t>/2022</w:t>
      </w:r>
    </w:p>
    <w:p>
      <w:pPr>
        <w:pStyle w:val="Normal"/>
        <w:spacing w:lineRule="auto" w:line="240" w:before="0" w:after="0"/>
        <w:contextualSpacing/>
        <w:rPr>
          <w:sz w:val="22"/>
          <w:szCs w:val="22"/>
        </w:rPr>
      </w:pPr>
      <w:r>
        <w:rPr>
          <w:rFonts w:cs="Arial" w:ascii="Calibri" w:hAnsi="Calibri"/>
          <w:color w:val="000000" w:themeColor="text1"/>
          <w:sz w:val="22"/>
          <w:szCs w:val="22"/>
        </w:rPr>
        <w:t>Horário da Fase de Lances: 8:0</w:t>
      </w:r>
      <w:r>
        <w:rPr>
          <w:rFonts w:cs="Arial" w:ascii="Calibri" w:hAnsi="Calibri"/>
          <w:i w:val="false"/>
          <w:iCs w:val="false"/>
          <w:color w:val="000000" w:themeColor="text1"/>
          <w:sz w:val="22"/>
          <w:szCs w:val="22"/>
        </w:rPr>
        <w:t xml:space="preserve">0 às </w:t>
      </w:r>
      <w:r>
        <w:rPr>
          <w:rFonts w:cs="Arial" w:ascii="Calibri" w:hAnsi="Calibri"/>
          <w:i w:val="false"/>
          <w:iCs w:val="false"/>
          <w:color w:val="000000"/>
          <w:sz w:val="22"/>
          <w:szCs w:val="22"/>
        </w:rPr>
        <w:t>14:</w:t>
      </w:r>
      <w:r>
        <w:rPr>
          <w:rFonts w:cs="Arial" w:ascii="Calibri" w:hAnsi="Calibri"/>
          <w:i w:val="false"/>
          <w:iCs w:val="false"/>
          <w:color w:val="000000"/>
          <w:sz w:val="22"/>
          <w:szCs w:val="22"/>
        </w:rPr>
        <w:t>00</w:t>
      </w:r>
    </w:p>
    <w:p>
      <w:pPr>
        <w:pStyle w:val="PADRO"/>
        <w:keepNext w:val="false"/>
        <w:widowControl/>
        <w:shd w:val="clear" w:color="auto" w:fill="auto"/>
        <w:spacing w:lineRule="auto" w:line="240" w:before="0" w:after="0"/>
        <w:ind w:left="360" w:hanging="0"/>
        <w:contextualSpacing/>
        <w:rPr>
          <w:rFonts w:ascii="Calibri" w:hAnsi="Calibri" w:cs="Arial"/>
          <w:b/>
          <w:b/>
          <w:i w:val="false"/>
          <w:i w:val="false"/>
          <w:iCs w:val="false"/>
          <w:color w:val="000000"/>
          <w:sz w:val="22"/>
          <w:szCs w:val="22"/>
        </w:rPr>
      </w:pPr>
      <w:r>
        <w:rPr>
          <w:rFonts w:cs="Arial" w:ascii="Calibri" w:hAnsi="Calibri"/>
          <w:b/>
          <w:i w:val="false"/>
          <w:iCs w:val="false"/>
          <w:color w:val="000000"/>
          <w:sz w:val="22"/>
          <w:szCs w:val="22"/>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OBJETO DA CONTRATAÇÃO DIRETA</w:t>
      </w:r>
      <w:bookmarkStart w:id="0" w:name="_GoBack"/>
      <w:bookmarkEnd w:id="0"/>
    </w:p>
    <w:p>
      <w:pPr>
        <w:pStyle w:val="PADRO"/>
        <w:keepNext w:val="false"/>
        <w:widowControl/>
        <w:numPr>
          <w:ilvl w:val="1"/>
          <w:numId w:val="1"/>
        </w:numPr>
        <w:shd w:val="clear" w:color="auto" w:fill="auto"/>
        <w:spacing w:lineRule="auto" w:line="240" w:before="0" w:after="0"/>
        <w:contextualSpacing/>
        <w:rPr>
          <w:rFonts w:ascii="Calibri" w:hAnsi="Calibri"/>
          <w:color w:val="000000"/>
          <w:sz w:val="22"/>
          <w:szCs w:val="22"/>
        </w:rPr>
      </w:pPr>
      <w:r>
        <w:rPr>
          <w:rFonts w:cs="Arial" w:ascii="Calibri" w:hAnsi="Calibri"/>
          <w:i w:val="false"/>
          <w:iCs w:val="false"/>
          <w:color w:val="000000" w:themeColor="text1"/>
          <w:sz w:val="22"/>
          <w:szCs w:val="22"/>
        </w:rPr>
        <w:t xml:space="preserve">O objeto da presente dispensa é a escolha da proposta mais vantajosa para a </w:t>
      </w:r>
      <w:r>
        <w:rPr>
          <w:rFonts w:cs="Arial" w:ascii="Calibri" w:hAnsi="Calibri"/>
          <w:i w:val="false"/>
          <w:iCs w:val="false"/>
          <w:color w:val="000000"/>
          <w:sz w:val="22"/>
          <w:szCs w:val="22"/>
        </w:rPr>
        <w:t>contratação</w:t>
      </w:r>
      <w:r>
        <w:rPr>
          <w:rFonts w:cs="Arial" w:ascii="Calibri" w:hAnsi="Calibri"/>
          <w:i w:val="false"/>
          <w:iCs w:val="false"/>
          <w:color w:val="000000" w:themeColor="text1"/>
          <w:sz w:val="22"/>
          <w:szCs w:val="22"/>
        </w:rPr>
        <w:t xml:space="preserve"> por dispensa de licitação </w:t>
      </w:r>
      <w:r>
        <w:rPr>
          <w:rFonts w:cs="Arial" w:ascii="Calibri" w:hAnsi="Calibri"/>
          <w:i w:val="false"/>
          <w:iCs w:val="false"/>
          <w:color w:val="000000" w:themeColor="text1"/>
          <w:sz w:val="22"/>
          <w:szCs w:val="22"/>
        </w:rPr>
        <w:t>para</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aquisição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d</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e</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material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de consumo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para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instalação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de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câmeras</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no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perímetro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interno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da </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Organização</w:t>
      </w:r>
      <w:r>
        <w:rPr>
          <w:rFonts w:eastAsia="Times New Roman" w:cs="Times New Roman" w:ascii="Calibri" w:hAnsi="Calibri"/>
          <w:b w:val="false"/>
          <w:bCs w:val="false"/>
          <w:i w:val="false"/>
          <w:iCs w:val="false"/>
          <w:caps w:val="false"/>
          <w:smallCaps w:val="false"/>
          <w:strike w:val="false"/>
          <w:dstrike w:val="false"/>
          <w:outline w:val="false"/>
          <w:shadow w:val="false"/>
          <w:color w:val="000000"/>
          <w:spacing w:val="0"/>
          <w:kern w:val="2"/>
          <w:sz w:val="22"/>
          <w:szCs w:val="22"/>
          <w:u w:val="none"/>
          <w:em w:val="none"/>
          <w:lang w:val="pt-BR" w:eastAsia="pt-BR" w:bidi="hi-IN"/>
        </w:rPr>
        <w:t xml:space="preserve"> Militar</w:t>
      </w:r>
      <w:r>
        <w:rPr>
          <w:rFonts w:cs="Arial" w:ascii="Calibri" w:hAnsi="Calibri"/>
          <w:b/>
          <w:bCs/>
          <w:i w:val="false"/>
          <w:iCs w:val="false"/>
          <w:color w:val="000000" w:themeColor="text1"/>
          <w:sz w:val="22"/>
          <w:szCs w:val="22"/>
        </w:rPr>
        <w:t>,</w:t>
      </w:r>
      <w:r>
        <w:rPr>
          <w:rFonts w:cs="Arial" w:ascii="Calibri" w:hAnsi="Calibri"/>
          <w:i w:val="false"/>
          <w:iCs w:val="false"/>
          <w:color w:val="000000" w:themeColor="text1"/>
          <w:sz w:val="22"/>
          <w:szCs w:val="22"/>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lineRule="auto" w:line="240" w:before="0" w:after="0"/>
        <w:contextualSpacing/>
        <w:rPr>
          <w:rFonts w:ascii="Calibri" w:hAnsi="Calibri"/>
          <w:sz w:val="24"/>
          <w:szCs w:val="24"/>
        </w:rPr>
      </w:pPr>
      <w:r>
        <w:rPr>
          <w:rFonts w:cs="Arial" w:ascii="Calibri" w:hAnsi="Calibri"/>
          <w:i w:val="false"/>
          <w:iCs w:val="false"/>
          <w:color w:val="000000"/>
          <w:sz w:val="22"/>
          <w:szCs w:val="22"/>
        </w:rPr>
        <w:t>A contratação será dividida em itens</w:t>
      </w:r>
      <w:r>
        <w:rPr>
          <w:rFonts w:cs="Arial" w:ascii="Calibri" w:hAnsi="Calibri"/>
          <w:b/>
          <w:bCs/>
          <w:i w:val="false"/>
          <w:iCs w:val="false"/>
          <w:color w:val="000000"/>
          <w:sz w:val="22"/>
          <w:szCs w:val="22"/>
        </w:rPr>
        <w:t>,</w:t>
      </w:r>
      <w:r>
        <w:rPr>
          <w:rFonts w:cs="Arial" w:ascii="Calibri" w:hAnsi="Calibri"/>
          <w:i w:val="false"/>
          <w:iCs w:val="false"/>
          <w:color w:val="000000"/>
          <w:sz w:val="22"/>
          <w:szCs w:val="22"/>
        </w:rPr>
        <w:t xml:space="preserve"> conforme tabela constante abaixo.</w:t>
      </w:r>
    </w:p>
    <w:p>
      <w:pPr>
        <w:pStyle w:val="PADRO"/>
        <w:widowControl/>
        <w:numPr>
          <w:ilvl w:val="0"/>
          <w:numId w:val="0"/>
        </w:numPr>
        <w:shd w:val="clear" w:color="auto" w:fill="auto"/>
        <w:spacing w:lineRule="auto" w:line="240" w:before="0" w:after="0"/>
        <w:ind w:left="792" w:hanging="0"/>
        <w:contextualSpacing/>
        <w:rPr>
          <w:rFonts w:ascii="Calibri" w:hAnsi="Calibri" w:cs="Arial"/>
          <w:color w:val="FF0000"/>
          <w:sz w:val="22"/>
          <w:szCs w:val="22"/>
        </w:rPr>
      </w:pPr>
      <w:r>
        <w:rPr>
          <w:rFonts w:cs="Arial" w:ascii="Calibri" w:hAnsi="Calibri"/>
          <w:color w:val="FF0000"/>
          <w:sz w:val="22"/>
          <w:szCs w:val="22"/>
        </w:rPr>
      </w:r>
    </w:p>
    <w:tbl>
      <w:tblPr>
        <w:tblW w:w="9806" w:type="dxa"/>
        <w:jc w:val="left"/>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Look w:firstRow="1" w:noVBand="1" w:lastRow="0" w:firstColumn="1" w:lastColumn="0" w:noHBand="0" w:val="04a0"/>
      </w:tblPr>
      <w:tblGrid>
        <w:gridCol w:w="1204"/>
        <w:gridCol w:w="3103"/>
        <w:gridCol w:w="1358"/>
        <w:gridCol w:w="730"/>
        <w:gridCol w:w="1255"/>
        <w:gridCol w:w="986"/>
        <w:gridCol w:w="1170"/>
      </w:tblGrid>
      <w:tr>
        <w:trPr/>
        <w:tc>
          <w:tcPr>
            <w:tcW w:w="120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ITEM</w:t>
            </w:r>
          </w:p>
          <w:p>
            <w:pPr>
              <w:pStyle w:val="Normal"/>
              <w:widowControl w:val="false"/>
              <w:suppressAutoHyphens w:val="true"/>
              <w:spacing w:lineRule="auto" w:line="240" w:before="0" w:after="0"/>
              <w:contextualSpacing/>
              <w:jc w:val="center"/>
              <w:rPr>
                <w:rFonts w:ascii="Calibri" w:hAnsi="Calibri" w:cs="Arial"/>
                <w:b w:val="false"/>
                <w:b w:val="false"/>
                <w:bCs w:val="false"/>
                <w:color w:val="000000"/>
                <w:sz w:val="22"/>
                <w:szCs w:val="22"/>
              </w:rPr>
            </w:pPr>
            <w:r>
              <w:rPr>
                <w:rFonts w:cs="Arial" w:ascii="Calibri" w:hAnsi="Calibri"/>
                <w:b w:val="false"/>
                <w:bCs w:val="false"/>
                <w:color w:val="000000"/>
                <w:sz w:val="22"/>
                <w:szCs w:val="22"/>
              </w:rPr>
            </w:r>
          </w:p>
        </w:tc>
        <w:tc>
          <w:tcPr>
            <w:tcW w:w="3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DESCRIÇÃO/</w:t>
            </w:r>
          </w:p>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ESPECIFICAÇÃO</w:t>
            </w:r>
          </w:p>
        </w:tc>
        <w:tc>
          <w:tcPr>
            <w:tcW w:w="13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UNIDADE DE MEDIDA</w:t>
            </w:r>
          </w:p>
        </w:tc>
        <w:tc>
          <w:tcPr>
            <w:tcW w:w="7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QUANT.</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PREÇO ESTIMADO</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LOCAL DE EXECUÇÃO</w:t>
            </w:r>
          </w:p>
        </w:tc>
        <w:tc>
          <w:tcPr>
            <w:tcW w:w="11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cs="Arial" w:ascii="Calibri" w:hAnsi="Calibri"/>
                <w:b w:val="false"/>
                <w:bCs w:val="false"/>
                <w:color w:val="000000"/>
                <w:sz w:val="22"/>
                <w:szCs w:val="22"/>
              </w:rPr>
              <w:t xml:space="preserve">PRAZO DE </w:t>
            </w:r>
            <w:r>
              <w:rPr>
                <w:rFonts w:cs="Arial" w:ascii="Calibri" w:hAnsi="Calibri"/>
                <w:b w:val="false"/>
                <w:bCs w:val="false"/>
                <w:color w:val="000000"/>
                <w:sz w:val="22"/>
                <w:szCs w:val="22"/>
              </w:rPr>
              <w:t>ENTREGA</w:t>
            </w:r>
          </w:p>
        </w:tc>
      </w:tr>
      <w:tr>
        <w:trPr/>
        <w:tc>
          <w:tcPr>
            <w:tcW w:w="120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1</w:t>
            </w:r>
          </w:p>
        </w:tc>
        <w:tc>
          <w:tcPr>
            <w:tcW w:w="3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 xml:space="preserve">BOBINA CABO UTP 54 CAT 5 BLINDADO </w:t>
            </w:r>
            <w:r>
              <w:rPr>
                <w:rFonts w:ascii="Times New Roman" w:hAnsi="Times New Roman"/>
                <w:b w:val="false"/>
                <w:bCs w:val="false"/>
                <w:i w:val="false"/>
                <w:strike w:val="false"/>
                <w:dstrike w:val="false"/>
                <w:outline w:val="false"/>
                <w:shadow w:val="false"/>
                <w:sz w:val="22"/>
                <w:szCs w:val="22"/>
                <w:u w:val="none"/>
                <w:em w:val="none"/>
              </w:rPr>
              <w:t>1000 METROS</w:t>
            </w:r>
          </w:p>
        </w:tc>
        <w:tc>
          <w:tcPr>
            <w:tcW w:w="13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cs="Arial" w:ascii="Calibri" w:hAnsi="Calibri"/>
                <w:color w:val="000000"/>
                <w:sz w:val="22"/>
                <w:szCs w:val="22"/>
              </w:rPr>
              <w:t>UN</w:t>
            </w:r>
          </w:p>
        </w:tc>
        <w:tc>
          <w:tcPr>
            <w:tcW w:w="7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cs="Arial" w:ascii="Calibri" w:hAnsi="Calibri"/>
                <w:color w:val="000000"/>
                <w:sz w:val="22"/>
                <w:szCs w:val="22"/>
              </w:rPr>
              <w:t>0</w:t>
            </w:r>
            <w:r>
              <w:rPr>
                <w:rFonts w:cs="Arial" w:ascii="Calibri" w:hAnsi="Calibri"/>
                <w:color w:val="000000"/>
                <w:sz w:val="22"/>
                <w:szCs w:val="22"/>
              </w:rPr>
              <w:t>2</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cs="Arial" w:ascii="Calibri" w:hAnsi="Calibri"/>
                <w:color w:val="000000"/>
                <w:sz w:val="22"/>
                <w:szCs w:val="22"/>
              </w:rPr>
              <w:t xml:space="preserve">R$ </w:t>
            </w:r>
            <w:r>
              <w:rPr>
                <w:rFonts w:cs="Arial" w:ascii="Calibri" w:hAnsi="Calibri"/>
                <w:color w:val="000000"/>
                <w:sz w:val="22"/>
                <w:szCs w:val="22"/>
              </w:rPr>
              <w:t>4.650,00</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rFonts w:ascii="Calibri" w:hAnsi="Calibri"/>
                <w:sz w:val="24"/>
                <w:szCs w:val="24"/>
              </w:rPr>
            </w:pPr>
            <w:r>
              <w:rPr>
                <w:rFonts w:cs="Arial" w:ascii="Calibri" w:hAnsi="Calibri"/>
                <w:color w:val="000000"/>
                <w:sz w:val="22"/>
                <w:szCs w:val="22"/>
              </w:rPr>
              <w:t>EAMCE</w:t>
            </w:r>
          </w:p>
        </w:tc>
        <w:tc>
          <w:tcPr>
            <w:tcW w:w="11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rFonts w:ascii="Calibri" w:hAnsi="Calibri"/>
                <w:sz w:val="24"/>
                <w:szCs w:val="24"/>
              </w:rPr>
            </w:pPr>
            <w:r>
              <w:rPr>
                <w:rFonts w:cs="Arial" w:ascii="Calibri" w:hAnsi="Calibri"/>
                <w:color w:val="000000"/>
                <w:sz w:val="22"/>
                <w:szCs w:val="22"/>
              </w:rPr>
              <w:t>10 DIAS</w:t>
            </w:r>
          </w:p>
        </w:tc>
      </w:tr>
      <w:tr>
        <w:trPr/>
        <w:tc>
          <w:tcPr>
            <w:tcW w:w="120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cs="Arial" w:ascii="Calibri" w:hAnsi="Calibri"/>
                <w:b w:val="false"/>
                <w:bCs w:val="false"/>
                <w:color w:val="000000"/>
                <w:sz w:val="22"/>
                <w:szCs w:val="22"/>
              </w:rPr>
              <w:t>2</w:t>
            </w:r>
          </w:p>
        </w:tc>
        <w:tc>
          <w:tcPr>
            <w:tcW w:w="3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CONETOR RJ45</w:t>
            </w:r>
          </w:p>
        </w:tc>
        <w:tc>
          <w:tcPr>
            <w:tcW w:w="13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cs="Arial" w:ascii="Calibri" w:hAnsi="Calibri"/>
                <w:color w:val="000000"/>
                <w:sz w:val="22"/>
                <w:szCs w:val="22"/>
              </w:rPr>
              <w:t>UN</w:t>
            </w:r>
          </w:p>
        </w:tc>
        <w:tc>
          <w:tcPr>
            <w:tcW w:w="7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cs="Arial" w:ascii="Calibri" w:hAnsi="Calibri"/>
                <w:color w:val="000000"/>
                <w:sz w:val="22"/>
                <w:szCs w:val="22"/>
              </w:rPr>
              <w:t>100</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cs="Arial" w:ascii="Calibri" w:hAnsi="Calibri"/>
                <w:color w:val="000000"/>
                <w:sz w:val="22"/>
                <w:szCs w:val="22"/>
              </w:rPr>
              <w:t xml:space="preserve">R$ </w:t>
            </w:r>
            <w:r>
              <w:rPr>
                <w:rFonts w:cs="Arial" w:ascii="Calibri" w:hAnsi="Calibri"/>
                <w:color w:val="000000"/>
                <w:sz w:val="22"/>
                <w:szCs w:val="22"/>
              </w:rPr>
              <w:t>1,80</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cs="Arial" w:ascii="Calibri" w:hAnsi="Calibri"/>
                <w:color w:val="000000"/>
                <w:sz w:val="22"/>
                <w:szCs w:val="22"/>
              </w:rPr>
              <w:t>EAMCE</w:t>
            </w:r>
          </w:p>
        </w:tc>
        <w:tc>
          <w:tcPr>
            <w:tcW w:w="11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rFonts w:ascii="Calibri" w:hAnsi="Calibri"/>
                <w:sz w:val="24"/>
                <w:szCs w:val="24"/>
              </w:rPr>
            </w:pPr>
            <w:r>
              <w:rPr>
                <w:rFonts w:cs="Arial" w:ascii="Calibri" w:hAnsi="Calibri"/>
                <w:color w:val="000000"/>
                <w:sz w:val="22"/>
                <w:szCs w:val="22"/>
              </w:rPr>
              <w:t>10 DIAS</w:t>
            </w:r>
          </w:p>
        </w:tc>
      </w:tr>
      <w:tr>
        <w:trPr/>
        <w:tc>
          <w:tcPr>
            <w:tcW w:w="120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sz w:val="24"/>
                <w:szCs w:val="24"/>
              </w:rPr>
            </w:pPr>
            <w:r>
              <w:rPr>
                <w:rFonts w:ascii="Calibri" w:hAnsi="Calibri"/>
                <w:b w:val="false"/>
                <w:bCs w:val="false"/>
                <w:sz w:val="22"/>
                <w:szCs w:val="22"/>
              </w:rPr>
              <w:t>3</w:t>
            </w:r>
          </w:p>
        </w:tc>
        <w:tc>
          <w:tcPr>
            <w:tcW w:w="3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VIDEO BALUN</w:t>
            </w:r>
          </w:p>
        </w:tc>
        <w:tc>
          <w:tcPr>
            <w:tcW w:w="13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36</w:t>
            </w:r>
          </w:p>
        </w:tc>
        <w:tc>
          <w:tcPr>
            <w:tcW w:w="12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 xml:space="preserve">R$ </w:t>
            </w:r>
            <w:r>
              <w:rPr>
                <w:rFonts w:ascii="Calibri" w:hAnsi="Calibri"/>
                <w:sz w:val="22"/>
                <w:szCs w:val="22"/>
              </w:rPr>
              <w:t>38,33</w:t>
            </w:r>
          </w:p>
        </w:tc>
        <w:tc>
          <w:tcPr>
            <w:tcW w:w="98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rFonts w:ascii="Calibri" w:hAnsi="Calibri"/>
                <w:sz w:val="24"/>
                <w:szCs w:val="24"/>
              </w:rPr>
            </w:pPr>
            <w:r>
              <w:rPr>
                <w:rFonts w:ascii="Calibri" w:hAnsi="Calibri"/>
                <w:sz w:val="22"/>
                <w:szCs w:val="22"/>
              </w:rPr>
              <w:t>EAMCE</w:t>
            </w:r>
          </w:p>
        </w:tc>
        <w:tc>
          <w:tcPr>
            <w:tcW w:w="11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rFonts w:ascii="Calibri" w:hAnsi="Calibri"/>
                <w:sz w:val="24"/>
                <w:szCs w:val="24"/>
              </w:rPr>
            </w:pPr>
            <w:r>
              <w:rPr>
                <w:rFonts w:ascii="Calibri" w:hAnsi="Calibri"/>
                <w:sz w:val="22"/>
                <w:szCs w:val="22"/>
              </w:rPr>
              <w:t>10 DIAS</w:t>
            </w:r>
          </w:p>
        </w:tc>
      </w:tr>
      <w:tr>
        <w:trPr/>
        <w:tc>
          <w:tcPr>
            <w:tcW w:w="120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b w:val="false"/>
                <w:b w:val="false"/>
                <w:bCs w:val="false"/>
                <w:sz w:val="22"/>
                <w:szCs w:val="22"/>
              </w:rPr>
            </w:pPr>
            <w:r>
              <w:rPr>
                <w:b w:val="false"/>
                <w:bCs w:val="false"/>
                <w:sz w:val="22"/>
                <w:szCs w:val="22"/>
              </w:rPr>
              <w:t>4</w:t>
            </w:r>
          </w:p>
        </w:tc>
        <w:tc>
          <w:tcPr>
            <w:tcW w:w="310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 xml:space="preserve">BOBINA CABO EXTERNO 5E </w:t>
            </w:r>
            <w:r>
              <w:rPr>
                <w:rFonts w:ascii="Times New Roman" w:hAnsi="Times New Roman"/>
                <w:b w:val="false"/>
                <w:bCs w:val="false"/>
                <w:i w:val="false"/>
                <w:strike w:val="false"/>
                <w:dstrike w:val="false"/>
                <w:outline w:val="false"/>
                <w:shadow w:val="false"/>
                <w:sz w:val="22"/>
                <w:szCs w:val="22"/>
                <w:u w:val="none"/>
                <w:em w:val="none"/>
              </w:rPr>
              <w:t>300 METROS</w:t>
            </w:r>
          </w:p>
        </w:tc>
        <w:tc>
          <w:tcPr>
            <w:tcW w:w="135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01</w:t>
            </w:r>
          </w:p>
        </w:tc>
        <w:tc>
          <w:tcPr>
            <w:tcW w:w="125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sz w:val="22"/>
                <w:szCs w:val="22"/>
              </w:rPr>
              <w:t>R$ 970,00</w:t>
            </w:r>
          </w:p>
        </w:tc>
        <w:tc>
          <w:tcPr>
            <w:tcW w:w="98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EAMCE</w:t>
            </w:r>
          </w:p>
        </w:tc>
        <w:tc>
          <w:tcPr>
            <w:tcW w:w="117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10 DIAS</w:t>
            </w:r>
          </w:p>
        </w:tc>
      </w:tr>
      <w:tr>
        <w:trPr/>
        <w:tc>
          <w:tcPr>
            <w:tcW w:w="120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5</w:t>
            </w:r>
          </w:p>
        </w:tc>
        <w:tc>
          <w:tcPr>
            <w:tcW w:w="310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0"/>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CABO PP 2x2,5</w:t>
            </w:r>
          </w:p>
        </w:tc>
        <w:tc>
          <w:tcPr>
            <w:tcW w:w="135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100</w:t>
            </w:r>
          </w:p>
        </w:tc>
        <w:tc>
          <w:tcPr>
            <w:tcW w:w="125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sz w:val="22"/>
                <w:szCs w:val="22"/>
              </w:rPr>
              <w:t>R$ 9,23</w:t>
            </w:r>
          </w:p>
        </w:tc>
        <w:tc>
          <w:tcPr>
            <w:tcW w:w="98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EAMCE</w:t>
            </w:r>
          </w:p>
        </w:tc>
        <w:tc>
          <w:tcPr>
            <w:tcW w:w="117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10 DIAS</w:t>
            </w:r>
          </w:p>
        </w:tc>
      </w:tr>
      <w:tr>
        <w:trPr/>
        <w:tc>
          <w:tcPr>
            <w:tcW w:w="120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6</w:t>
            </w:r>
          </w:p>
        </w:tc>
        <w:tc>
          <w:tcPr>
            <w:tcW w:w="310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0"/>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ABRAÇADEIRA</w:t>
            </w:r>
            <w:r>
              <w:rPr>
                <w:rFonts w:ascii="Times New Roman" w:hAnsi="Times New Roman"/>
                <w:b w:val="false"/>
                <w:bCs w:val="false"/>
                <w:i w:val="false"/>
                <w:strike w:val="false"/>
                <w:dstrike w:val="false"/>
                <w:outline w:val="false"/>
                <w:shadow w:val="false"/>
                <w:sz w:val="22"/>
                <w:szCs w:val="22"/>
                <w:u w:val="none"/>
                <w:em w:val="none"/>
              </w:rPr>
              <w:t xml:space="preserve"> </w:t>
            </w:r>
            <w:r>
              <w:rPr>
                <w:rFonts w:ascii="Times New Roman" w:hAnsi="Times New Roman"/>
                <w:b w:val="false"/>
                <w:bCs w:val="false"/>
                <w:i w:val="false"/>
                <w:strike w:val="false"/>
                <w:dstrike w:val="false"/>
                <w:outline w:val="false"/>
                <w:shadow w:val="false"/>
                <w:sz w:val="22"/>
                <w:szCs w:val="22"/>
                <w:u w:val="none"/>
                <w:em w:val="none"/>
              </w:rPr>
              <w:t>PLÁSTICA</w:t>
            </w:r>
            <w:r>
              <w:rPr>
                <w:rFonts w:ascii="Times New Roman" w:hAnsi="Times New Roman"/>
                <w:b w:val="false"/>
                <w:bCs w:val="false"/>
                <w:i w:val="false"/>
                <w:strike w:val="false"/>
                <w:dstrike w:val="false"/>
                <w:outline w:val="false"/>
                <w:shadow w:val="false"/>
                <w:sz w:val="22"/>
                <w:szCs w:val="22"/>
                <w:u w:val="none"/>
                <w:em w:val="none"/>
              </w:rPr>
              <w:t xml:space="preserve"> 20cm 100UN</w:t>
            </w:r>
          </w:p>
        </w:tc>
        <w:tc>
          <w:tcPr>
            <w:tcW w:w="135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05</w:t>
            </w:r>
          </w:p>
        </w:tc>
        <w:tc>
          <w:tcPr>
            <w:tcW w:w="125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sz w:val="22"/>
                <w:szCs w:val="22"/>
              </w:rPr>
              <w:t>R$ 22,66</w:t>
            </w:r>
          </w:p>
        </w:tc>
        <w:tc>
          <w:tcPr>
            <w:tcW w:w="98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EAMCE</w:t>
            </w:r>
          </w:p>
        </w:tc>
        <w:tc>
          <w:tcPr>
            <w:tcW w:w="117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10 DIAS</w:t>
            </w:r>
          </w:p>
        </w:tc>
      </w:tr>
      <w:tr>
        <w:trPr/>
        <w:tc>
          <w:tcPr>
            <w:tcW w:w="120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7</w:t>
            </w:r>
          </w:p>
        </w:tc>
        <w:tc>
          <w:tcPr>
            <w:tcW w:w="310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0"/>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 xml:space="preserve">FITA ISOLANTE 20m ALTA </w:t>
            </w:r>
            <w:r>
              <w:rPr>
                <w:rFonts w:ascii="Times New Roman" w:hAnsi="Times New Roman"/>
                <w:b w:val="false"/>
                <w:bCs w:val="false"/>
                <w:i w:val="false"/>
                <w:strike w:val="false"/>
                <w:dstrike w:val="false"/>
                <w:outline w:val="false"/>
                <w:shadow w:val="false"/>
                <w:sz w:val="22"/>
                <w:szCs w:val="22"/>
                <w:u w:val="none"/>
                <w:em w:val="none"/>
              </w:rPr>
              <w:t>FUSÃO</w:t>
            </w:r>
          </w:p>
        </w:tc>
        <w:tc>
          <w:tcPr>
            <w:tcW w:w="135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08</w:t>
            </w:r>
          </w:p>
        </w:tc>
        <w:tc>
          <w:tcPr>
            <w:tcW w:w="125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sz w:val="22"/>
                <w:szCs w:val="22"/>
              </w:rPr>
              <w:t>R$ 8,83</w:t>
            </w:r>
          </w:p>
        </w:tc>
        <w:tc>
          <w:tcPr>
            <w:tcW w:w="98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EAMCE</w:t>
            </w:r>
          </w:p>
        </w:tc>
        <w:tc>
          <w:tcPr>
            <w:tcW w:w="117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10 DIAS</w:t>
            </w:r>
          </w:p>
        </w:tc>
      </w:tr>
      <w:tr>
        <w:trPr/>
        <w:tc>
          <w:tcPr>
            <w:tcW w:w="1204"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8</w:t>
            </w:r>
          </w:p>
        </w:tc>
        <w:tc>
          <w:tcPr>
            <w:tcW w:w="3103"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bidi w:val="0"/>
              <w:jc w:val="both"/>
              <w:rPr>
                <w:rFonts w:ascii="Times New Roman" w:hAnsi="Times New Roman"/>
                <w:b w:val="false"/>
                <w:b w:val="false"/>
                <w:bCs w:val="false"/>
                <w:i w:val="false"/>
                <w:i w:val="false"/>
                <w:strike w:val="false"/>
                <w:dstrike w:val="false"/>
                <w:outline w:val="false"/>
                <w:shadow w:val="false"/>
                <w:sz w:val="22"/>
                <w:szCs w:val="22"/>
                <w:u w:val="none"/>
                <w:em w:val="none"/>
              </w:rPr>
            </w:pPr>
            <w:r>
              <w:rPr>
                <w:rFonts w:ascii="Times New Roman" w:hAnsi="Times New Roman"/>
                <w:b w:val="false"/>
                <w:bCs w:val="false"/>
                <w:i w:val="false"/>
                <w:strike w:val="false"/>
                <w:dstrike w:val="false"/>
                <w:outline w:val="false"/>
                <w:shadow w:val="false"/>
                <w:sz w:val="22"/>
                <w:szCs w:val="22"/>
                <w:u w:val="none"/>
                <w:em w:val="none"/>
              </w:rPr>
              <w:t xml:space="preserve">CAIXA </w:t>
            </w:r>
            <w:r>
              <w:rPr>
                <w:rFonts w:ascii="Times New Roman" w:hAnsi="Times New Roman"/>
                <w:b w:val="false"/>
                <w:bCs w:val="false"/>
                <w:i w:val="false"/>
                <w:strike w:val="false"/>
                <w:dstrike w:val="false"/>
                <w:outline w:val="false"/>
                <w:shadow w:val="false"/>
                <w:sz w:val="22"/>
                <w:szCs w:val="22"/>
                <w:u w:val="none"/>
                <w:em w:val="none"/>
              </w:rPr>
              <w:t>HERMÉTICA</w:t>
            </w:r>
          </w:p>
        </w:tc>
        <w:tc>
          <w:tcPr>
            <w:tcW w:w="1358"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rFonts w:ascii="Calibri" w:hAnsi="Calibri"/>
                <w:sz w:val="22"/>
                <w:szCs w:val="22"/>
              </w:rPr>
              <w:t>UN</w:t>
            </w:r>
          </w:p>
        </w:tc>
        <w:tc>
          <w:tcPr>
            <w:tcW w:w="73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jc w:val="center"/>
              <w:rPr>
                <w:sz w:val="22"/>
                <w:szCs w:val="22"/>
              </w:rPr>
            </w:pPr>
            <w:r>
              <w:rPr>
                <w:sz w:val="22"/>
                <w:szCs w:val="22"/>
              </w:rPr>
              <w:t>02</w:t>
            </w:r>
          </w:p>
        </w:tc>
        <w:tc>
          <w:tcPr>
            <w:tcW w:w="125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sz w:val="22"/>
                <w:szCs w:val="22"/>
              </w:rPr>
              <w:t>R$ 30,16</w:t>
            </w:r>
          </w:p>
        </w:tc>
        <w:tc>
          <w:tcPr>
            <w:tcW w:w="98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EAMCE</w:t>
            </w:r>
          </w:p>
        </w:tc>
        <w:tc>
          <w:tcPr>
            <w:tcW w:w="1170"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40" w:before="0" w:after="0"/>
              <w:contextualSpacing/>
              <w:rPr>
                <w:sz w:val="22"/>
                <w:szCs w:val="22"/>
              </w:rPr>
            </w:pPr>
            <w:r>
              <w:rPr>
                <w:rFonts w:ascii="Calibri" w:hAnsi="Calibri"/>
                <w:sz w:val="22"/>
                <w:szCs w:val="22"/>
              </w:rPr>
              <w:t>10 DIAS</w:t>
            </w:r>
          </w:p>
        </w:tc>
      </w:tr>
    </w:tbl>
    <w:p>
      <w:pPr>
        <w:pStyle w:val="PADRO"/>
        <w:keepNext w:val="false"/>
        <w:widowControl/>
        <w:numPr>
          <w:ilvl w:val="0"/>
          <w:numId w:val="0"/>
        </w:numPr>
        <w:shd w:val="clear" w:color="auto" w:fill="auto"/>
        <w:spacing w:lineRule="auto" w:line="240" w:before="0" w:after="0"/>
        <w:ind w:left="1224" w:hanging="0"/>
        <w:contextualSpacing/>
        <w:rPr>
          <w:rFonts w:ascii="Calibri" w:hAnsi="Calibri" w:cs="Arial"/>
        </w:rPr>
      </w:pPr>
      <w:r>
        <w:rPr>
          <w:sz w:val="22"/>
          <w:szCs w:val="22"/>
        </w:rPr>
      </w:r>
    </w:p>
    <w:p>
      <w:pPr>
        <w:pStyle w:val="PADRO"/>
        <w:widowControl/>
        <w:numPr>
          <w:ilvl w:val="2"/>
          <w:numId w:val="1"/>
        </w:numPr>
        <w:shd w:val="clear" w:color="auto" w:fill="auto"/>
        <w:spacing w:lineRule="auto" w:line="240" w:before="0" w:after="0"/>
        <w:contextualSpacing/>
        <w:rPr>
          <w:rFonts w:ascii="Calibri" w:hAnsi="Calibri"/>
          <w:sz w:val="24"/>
          <w:szCs w:val="24"/>
        </w:rPr>
      </w:pPr>
      <w:r>
        <w:rPr>
          <w:rFonts w:cs="Arial" w:ascii="Calibri" w:hAnsi="Calibri"/>
          <w:sz w:val="22"/>
          <w:szCs w:val="22"/>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lineRule="auto" w:line="240" w:before="0" w:after="0"/>
        <w:contextualSpacing/>
        <w:rPr>
          <w:rFonts w:ascii="Calibri" w:hAnsi="Calibri"/>
          <w:sz w:val="24"/>
          <w:szCs w:val="24"/>
        </w:rPr>
      </w:pPr>
      <w:r>
        <w:rPr>
          <w:rFonts w:cs="Arial" w:ascii="Calibri" w:hAnsi="Calibri"/>
          <w:sz w:val="22"/>
          <w:szCs w:val="22"/>
        </w:rPr>
        <w:t>O critério de julgamento adotado será o</w:t>
      </w:r>
      <w:r>
        <w:rPr>
          <w:rFonts w:cs="Arial" w:ascii="Calibri" w:hAnsi="Calibri"/>
          <w:i w:val="false"/>
          <w:iCs w:val="false"/>
          <w:sz w:val="22"/>
          <w:szCs w:val="22"/>
        </w:rPr>
        <w:t xml:space="preserve"> </w:t>
      </w:r>
      <w:r>
        <w:rPr>
          <w:rFonts w:cs="Arial" w:ascii="Calibri" w:hAnsi="Calibri"/>
          <w:i w:val="false"/>
          <w:iCs w:val="false"/>
          <w:color w:val="000000"/>
          <w:sz w:val="22"/>
          <w:szCs w:val="22"/>
        </w:rPr>
        <w:t>menor preço,</w:t>
      </w:r>
      <w:r>
        <w:rPr>
          <w:rFonts w:cs="Arial" w:ascii="Calibri" w:hAnsi="Calibri"/>
          <w:color w:val="000000"/>
          <w:sz w:val="22"/>
          <w:szCs w:val="22"/>
        </w:rPr>
        <w:t xml:space="preserve"> o</w:t>
      </w:r>
      <w:r>
        <w:rPr>
          <w:rFonts w:cs="Arial" w:ascii="Calibri" w:hAnsi="Calibri"/>
          <w:sz w:val="22"/>
          <w:szCs w:val="22"/>
        </w:rPr>
        <w:t>bservadas as exigências contidas neste Aviso de Contratação Direta e seus Anexos quanto às especificações do objeto.</w:t>
      </w:r>
    </w:p>
    <w:p>
      <w:pPr>
        <w:pStyle w:val="PADRO"/>
        <w:widowControl/>
        <w:numPr>
          <w:ilvl w:val="0"/>
          <w:numId w:val="0"/>
        </w:numPr>
        <w:shd w:val="clear" w:color="auto" w:fill="auto"/>
        <w:spacing w:lineRule="auto" w:line="240" w:before="0" w:after="0"/>
        <w:ind w:left="792" w:hanging="0"/>
        <w:contextualSpacing/>
        <w:rPr>
          <w:rFonts w:ascii="Calibri" w:hAnsi="Calibri" w:cs="Arial"/>
          <w:b/>
          <w:b/>
          <w:bCs/>
        </w:rPr>
      </w:pPr>
      <w:r>
        <w:rPr>
          <w:sz w:val="22"/>
          <w:szCs w:val="22"/>
        </w:rPr>
      </w:r>
    </w:p>
    <w:p>
      <w:pPr>
        <w:pStyle w:val="PADRO"/>
        <w:widowControl/>
        <w:numPr>
          <w:ilvl w:val="0"/>
          <w:numId w:val="0"/>
        </w:numPr>
        <w:shd w:val="clear" w:color="auto" w:fill="auto"/>
        <w:spacing w:lineRule="auto" w:line="240" w:before="0" w:after="0"/>
        <w:ind w:left="792" w:hanging="0"/>
        <w:contextualSpacing/>
        <w:rPr>
          <w:rFonts w:ascii="Calibri" w:hAnsi="Calibri" w:cs="Arial"/>
          <w:sz w:val="22"/>
          <w:szCs w:val="22"/>
        </w:rPr>
      </w:pPr>
      <w:r>
        <w:rPr>
          <w:rFonts w:cs="Arial" w:ascii="Calibri" w:hAnsi="Calibri"/>
          <w:sz w:val="22"/>
          <w:szCs w:val="22"/>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PARTICIPAÇÃO NA DISPENSA ELETRÔNICA.</w:t>
      </w:r>
    </w:p>
    <w:p>
      <w:pPr>
        <w:pStyle w:val="Normal"/>
        <w:numPr>
          <w:ilvl w:val="1"/>
          <w:numId w:val="1"/>
        </w:numPr>
        <w:snapToGrid w:val="false"/>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A participação na presente dispensa eletrônica se dará mediante </w:t>
      </w:r>
      <w:r>
        <w:rPr>
          <w:rFonts w:cs="Arial" w:ascii="Calibri" w:hAnsi="Calibri"/>
          <w:bCs/>
          <w:sz w:val="22"/>
          <w:szCs w:val="22"/>
        </w:rPr>
        <w:t>Sistema de Dispensa Eletrônica</w:t>
      </w:r>
      <w:r>
        <w:rPr>
          <w:rFonts w:cs="Arial" w:ascii="Calibri" w:hAnsi="Calibri"/>
          <w:sz w:val="22"/>
          <w:szCs w:val="22"/>
        </w:rPr>
        <w:t xml:space="preserve"> integrante do Sistema de Compras do Governo Federal – Comprasnet 4.0, disponível no </w:t>
      </w:r>
      <w:r>
        <w:rPr>
          <w:rFonts w:cs="Arial" w:ascii="Calibri" w:hAnsi="Calibri"/>
          <w:bCs/>
          <w:sz w:val="22"/>
          <w:szCs w:val="22"/>
        </w:rPr>
        <w:t xml:space="preserve">endereço eletrônico </w:t>
      </w:r>
      <w:r>
        <w:rPr>
          <w:rFonts w:cs="Arial" w:ascii="Calibri" w:hAnsi="Calibri"/>
          <w:bCs/>
          <w:color w:val="000000"/>
          <w:sz w:val="22"/>
          <w:szCs w:val="22"/>
        </w:rPr>
        <w:t>www.gov.br/compras/pt-br.</w:t>
      </w:r>
    </w:p>
    <w:p>
      <w:pPr>
        <w:pStyle w:val="Normal"/>
        <w:numPr>
          <w:ilvl w:val="2"/>
          <w:numId w:val="1"/>
        </w:numPr>
        <w:snapToGrid w:val="false"/>
        <w:spacing w:lineRule="auto" w:line="240" w:before="0" w:after="0"/>
        <w:contextualSpacing/>
        <w:jc w:val="both"/>
        <w:rPr>
          <w:rFonts w:ascii="Calibri" w:hAnsi="Calibri"/>
          <w:sz w:val="24"/>
          <w:szCs w:val="24"/>
        </w:rPr>
      </w:pPr>
      <w:r>
        <w:rPr>
          <w:rFonts w:cs="Arial" w:ascii="Calibri" w:hAnsi="Calibri"/>
          <w:sz w:val="22"/>
          <w:szCs w:val="22"/>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40" w:before="0" w:after="0"/>
        <w:contextualSpacing/>
        <w:jc w:val="both"/>
        <w:rPr>
          <w:rFonts w:ascii="Calibri" w:hAnsi="Calibri"/>
          <w:sz w:val="24"/>
          <w:szCs w:val="24"/>
        </w:rPr>
      </w:pPr>
      <w:r>
        <w:rPr>
          <w:rFonts w:cs="Arial" w:ascii="Calibri" w:hAnsi="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themeColor="text1"/>
          <w:sz w:val="22"/>
          <w:szCs w:val="22"/>
        </w:rPr>
        <w:t>Não poderão participar desta dispensa os fornecedores: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não atendam às condições deste Aviso de Contratação Direta e seu(s) anexo(s);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estrangeiros que não tenham representação legal no Brasil com poderes expressos para receber citação e responder administrativa ou judicialmente;</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se enquadrem nas seguintes vedações:</w:t>
      </w:r>
    </w:p>
    <w:p>
      <w:pPr>
        <w:pStyle w:val="Normal"/>
        <w:numPr>
          <w:ilvl w:val="3"/>
          <w:numId w:val="4"/>
        </w:numPr>
        <w:spacing w:lineRule="auto" w:line="240" w:before="0" w:after="0"/>
        <w:contextualSpacing/>
        <w:jc w:val="both"/>
        <w:rPr>
          <w:rFonts w:ascii="Calibri" w:hAnsi="Calibri"/>
          <w:sz w:val="24"/>
          <w:szCs w:val="24"/>
        </w:rPr>
      </w:pPr>
      <w:r>
        <w:rPr>
          <w:rFonts w:cs="Arial" w:ascii="Calibri" w:hAnsi="Calibri"/>
          <w:color w:val="000000"/>
          <w:sz w:val="22"/>
          <w:szCs w:val="22"/>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40" w:before="0" w:after="0"/>
        <w:contextualSpacing/>
        <w:jc w:val="both"/>
        <w:rPr>
          <w:rFonts w:ascii="Calibri" w:hAnsi="Calibri"/>
          <w:sz w:val="24"/>
          <w:szCs w:val="24"/>
        </w:rPr>
      </w:pPr>
      <w:r>
        <w:rPr>
          <w:rFonts w:cs="Arial" w:ascii="Calibri" w:hAnsi="Calibri"/>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40" w:before="0" w:after="0"/>
        <w:contextualSpacing/>
        <w:jc w:val="both"/>
        <w:rPr>
          <w:rFonts w:ascii="Calibri" w:hAnsi="Calibri"/>
          <w:sz w:val="24"/>
          <w:szCs w:val="24"/>
        </w:rPr>
      </w:pPr>
      <w:r>
        <w:rPr>
          <w:rFonts w:cs="Arial" w:ascii="Calibri" w:hAnsi="Calibri"/>
          <w:color w:val="000000"/>
          <w:sz w:val="22"/>
          <w:szCs w:val="22"/>
        </w:rPr>
        <w:t>pessoa física ou jurídica que se encontre, ao tempo da contratação, impossibilitada de contratar em decorrência de sanção que lhe foi imposta;</w:t>
      </w:r>
    </w:p>
    <w:p>
      <w:pPr>
        <w:pStyle w:val="Normal"/>
        <w:numPr>
          <w:ilvl w:val="3"/>
          <w:numId w:val="4"/>
        </w:numPr>
        <w:spacing w:lineRule="auto" w:line="240" w:before="0" w:after="0"/>
        <w:contextualSpacing/>
        <w:jc w:val="both"/>
        <w:rPr>
          <w:rFonts w:ascii="Calibri" w:hAnsi="Calibri"/>
          <w:sz w:val="24"/>
          <w:szCs w:val="24"/>
        </w:rPr>
      </w:pPr>
      <w:r>
        <w:rPr>
          <w:rFonts w:cs="Arial" w:ascii="Calibri" w:hAnsi="Calibri"/>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40" w:before="0" w:after="0"/>
        <w:contextualSpacing/>
        <w:jc w:val="both"/>
        <w:rPr/>
      </w:pPr>
      <w:r>
        <w:rPr>
          <w:rFonts w:cs="Arial" w:ascii="Calibri" w:hAnsi="Calibri"/>
          <w:color w:val="000000"/>
          <w:sz w:val="22"/>
          <w:szCs w:val="22"/>
        </w:rPr>
        <w:t>empresas controladoras, controladas ou coligadas, nos termos da </w:t>
      </w:r>
      <w:hyperlink r:id="rId2">
        <w:r>
          <w:rPr>
            <w:rStyle w:val="LinkdaInternet"/>
            <w:rFonts w:eastAsia="Calibri" w:cs="Arial" w:ascii="Calibri" w:hAnsi="Calibri"/>
            <w:sz w:val="22"/>
            <w:szCs w:val="22"/>
          </w:rPr>
          <w:t>Lei nº 6.404, de 15 de dezembro de 1976</w:t>
        </w:r>
      </w:hyperlink>
      <w:r>
        <w:rPr>
          <w:rFonts w:cs="Arial" w:ascii="Calibri" w:hAnsi="Calibri"/>
          <w:color w:val="000000"/>
          <w:sz w:val="22"/>
          <w:szCs w:val="22"/>
        </w:rPr>
        <w:t>, concorrendo entre si;</w:t>
      </w:r>
    </w:p>
    <w:p>
      <w:pPr>
        <w:pStyle w:val="Normal"/>
        <w:numPr>
          <w:ilvl w:val="3"/>
          <w:numId w:val="4"/>
        </w:numPr>
        <w:spacing w:lineRule="auto" w:line="240" w:before="0" w:after="0"/>
        <w:contextualSpacing/>
        <w:jc w:val="both"/>
        <w:rPr>
          <w:rFonts w:ascii="Calibri" w:hAnsi="Calibri"/>
          <w:sz w:val="24"/>
          <w:szCs w:val="24"/>
        </w:rPr>
      </w:pPr>
      <w:r>
        <w:rPr>
          <w:rFonts w:cs="Arial" w:ascii="Calibri" w:hAnsi="Calibri"/>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40" w:before="0" w:after="0"/>
        <w:contextualSpacing/>
        <w:jc w:val="both"/>
        <w:rPr>
          <w:rFonts w:ascii="Calibri" w:hAnsi="Calibri"/>
          <w:sz w:val="24"/>
          <w:szCs w:val="24"/>
        </w:rPr>
      </w:pPr>
      <w:r>
        <w:rPr>
          <w:rFonts w:cs="Arial" w:ascii="Calibri" w:hAnsi="Calibri"/>
          <w:color w:val="000000"/>
          <w:sz w:val="22"/>
          <w:szCs w:val="22"/>
        </w:rPr>
        <w:t>Equiparam-se aos autores do projeto as empresas integrantes do mesmo grupo econômico;</w:t>
      </w:r>
    </w:p>
    <w:p>
      <w:pPr>
        <w:pStyle w:val="Normal"/>
        <w:numPr>
          <w:ilvl w:val="3"/>
          <w:numId w:val="1"/>
        </w:numPr>
        <w:spacing w:lineRule="auto" w:line="240" w:before="0" w:after="0"/>
        <w:contextualSpacing/>
        <w:jc w:val="both"/>
        <w:rPr>
          <w:rFonts w:ascii="Calibri" w:hAnsi="Calibri"/>
          <w:sz w:val="24"/>
          <w:szCs w:val="24"/>
        </w:rPr>
      </w:pPr>
      <w:r>
        <w:rPr>
          <w:rFonts w:cs="Arial" w:ascii="Calibri" w:hAnsi="Calibri"/>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organizações da Sociedade Civil de Interesse Público - OSCIP, atuando nessa condição (Acórdão nº 746/2014-TCU-Plenário); e</w:t>
      </w:r>
    </w:p>
    <w:p>
      <w:pPr>
        <w:pStyle w:val="Normal"/>
        <w:numPr>
          <w:ilvl w:val="0"/>
          <w:numId w:val="0"/>
        </w:numPr>
        <w:spacing w:lineRule="auto" w:line="240" w:before="0" w:after="0"/>
        <w:ind w:left="1224" w:hanging="0"/>
        <w:contextualSpacing/>
        <w:jc w:val="both"/>
        <w:rPr>
          <w:rFonts w:ascii="Calibri" w:hAnsi="Calibri" w:cs="Arial"/>
          <w:i w:val="false"/>
          <w:i w:val="false"/>
          <w:iCs w:val="false"/>
          <w:color w:val="FF0000"/>
          <w:sz w:val="22"/>
          <w:szCs w:val="22"/>
        </w:rPr>
      </w:pPr>
      <w:r>
        <w:rPr>
          <w:rFonts w:cs="Arial" w:ascii="Calibri" w:hAnsi="Calibri"/>
          <w:i w:val="false"/>
          <w:iCs w:val="false"/>
          <w:color w:val="FF0000"/>
          <w:sz w:val="22"/>
          <w:szCs w:val="22"/>
        </w:rPr>
      </w:r>
    </w:p>
    <w:p>
      <w:pPr>
        <w:pStyle w:val="Normal"/>
        <w:numPr>
          <w:ilvl w:val="0"/>
          <w:numId w:val="0"/>
        </w:numPr>
        <w:spacing w:lineRule="auto" w:line="240" w:before="0" w:after="0"/>
        <w:ind w:left="1224" w:hanging="0"/>
        <w:contextualSpacing/>
        <w:jc w:val="both"/>
        <w:rPr>
          <w:rFonts w:ascii="Calibri" w:hAnsi="Calibri" w:cs="Arial"/>
          <w:i/>
          <w:i/>
          <w:color w:val="FF0000"/>
          <w:sz w:val="22"/>
          <w:szCs w:val="22"/>
        </w:rPr>
      </w:pPr>
      <w:r>
        <w:rPr>
          <w:rFonts w:cs="Arial" w:ascii="Calibri" w:hAnsi="Calibri"/>
          <w:i/>
          <w:color w:val="FF0000"/>
          <w:sz w:val="22"/>
          <w:szCs w:val="22"/>
        </w:rPr>
      </w:r>
      <w:bookmarkStart w:id="1" w:name="_Hlk519667815"/>
      <w:bookmarkStart w:id="2" w:name="_Hlk519667815"/>
      <w:bookmarkEnd w:id="2"/>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INGRESSO NA DISPENSA ELETRÔNICA E CADASTRAMENTO DA PROPOSTA INICIAL</w:t>
      </w:r>
    </w:p>
    <w:p>
      <w:pPr>
        <w:pStyle w:val="Normal"/>
        <w:numPr>
          <w:ilvl w:val="1"/>
          <w:numId w:val="1"/>
        </w:numPr>
        <w:snapToGrid w:val="false"/>
        <w:spacing w:lineRule="auto" w:line="240" w:before="0" w:after="0"/>
        <w:ind w:left="425" w:hanging="0"/>
        <w:contextualSpacing/>
        <w:jc w:val="both"/>
        <w:rPr>
          <w:rFonts w:ascii="Calibri" w:hAnsi="Calibri"/>
          <w:sz w:val="24"/>
          <w:szCs w:val="24"/>
        </w:rPr>
      </w:pPr>
      <w:r>
        <w:rPr>
          <w:rFonts w:cs="Arial" w:ascii="Calibri" w:hAnsi="Calibri"/>
          <w:color w:val="000000" w:themeColor="text1"/>
          <w:sz w:val="22"/>
          <w:szCs w:val="22"/>
        </w:rPr>
        <w:t>O ingresso do fornecedor na disputa da dispensa eletrônica se dará com o cadastramento de sua proposta inicial, na forma deste item.</w:t>
      </w:r>
    </w:p>
    <w:p>
      <w:pPr>
        <w:pStyle w:val="Normal"/>
        <w:numPr>
          <w:ilvl w:val="1"/>
          <w:numId w:val="1"/>
        </w:numPr>
        <w:snapToGrid w:val="false"/>
        <w:spacing w:lineRule="auto" w:line="240" w:before="0" w:after="0"/>
        <w:ind w:left="425" w:hanging="0"/>
        <w:contextualSpacing/>
        <w:jc w:val="both"/>
        <w:rPr>
          <w:rFonts w:ascii="Calibri" w:hAnsi="Calibri"/>
          <w:sz w:val="24"/>
          <w:szCs w:val="24"/>
        </w:rPr>
      </w:pPr>
      <w:r>
        <w:rPr>
          <w:rFonts w:cs="Arial" w:ascii="Calibri" w:hAnsi="Calibr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Todas as especificações do </w:t>
      </w:r>
      <w:r>
        <w:rPr>
          <w:rFonts w:cs="Arial" w:ascii="Calibri" w:hAnsi="Calibri"/>
          <w:color w:val="000000" w:themeColor="text1"/>
          <w:sz w:val="22"/>
          <w:szCs w:val="22"/>
        </w:rPr>
        <w:t>objeto</w:t>
      </w:r>
      <w:r>
        <w:rPr>
          <w:rFonts w:cs="Arial" w:ascii="Calibri" w:hAnsi="Calibri"/>
          <w:sz w:val="22"/>
          <w:szCs w:val="22"/>
        </w:rPr>
        <w:t xml:space="preserve"> contidas na proposta, em especial o preço, vinculam a Contratada.</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Independentemente do percentual de tributo inserido na planilha, no pagamento serão retidos na fonte os percentuais estabelecidos na legislação vigente.</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A apresentação das propostas implica obrigatoriedade do cumprimento das disposições nelas contidas, em conformidade com o que dispõe  neste aviso de licitação,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Uma vez enviada a proposta no sistema, os fornecedores </w:t>
      </w:r>
      <w:r>
        <w:rPr>
          <w:rFonts w:cs="Arial" w:ascii="Calibri" w:hAnsi="Calibri"/>
          <w:b/>
          <w:bCs/>
          <w:sz w:val="22"/>
          <w:szCs w:val="22"/>
        </w:rPr>
        <w:t>NÃO</w:t>
      </w:r>
      <w:r>
        <w:rPr>
          <w:rFonts w:cs="Arial" w:ascii="Calibri" w:hAnsi="Calibri"/>
          <w:sz w:val="22"/>
          <w:szCs w:val="22"/>
        </w:rPr>
        <w:t xml:space="preserve"> poderão retirá-la, substituí-la ou modificá-la</w:t>
      </w:r>
      <w:r>
        <w:rPr>
          <w:rFonts w:cs="Arial" w:ascii="Calibri" w:hAnsi="Calibri"/>
          <w:color w:val="000000"/>
          <w:sz w:val="22"/>
          <w:szCs w:val="22"/>
        </w:rPr>
        <w:t>;</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 xml:space="preserve">No cadastramento da proposta inicial, o fornecedor deverá, também, assinalar “sim” ou “não” em campo </w:t>
      </w:r>
      <w:r>
        <w:rPr>
          <w:rFonts w:cs="Arial" w:ascii="Calibri" w:hAnsi="Calibri"/>
          <w:sz w:val="22"/>
          <w:szCs w:val="22"/>
        </w:rPr>
        <w:t>próprio</w:t>
      </w:r>
      <w:r>
        <w:rPr>
          <w:rFonts w:cs="Arial" w:ascii="Calibri" w:hAnsi="Calibri"/>
          <w:color w:val="000000"/>
          <w:sz w:val="22"/>
          <w:szCs w:val="22"/>
        </w:rPr>
        <w:t xml:space="preserve"> do sistema eletrônico, às seguintes declarações:</w:t>
      </w:r>
      <w:r>
        <w:rPr>
          <w:rFonts w:eastAsia="Zurich BT" w:cs="Arial" w:ascii="Calibri" w:hAnsi="Calibri"/>
          <w:color w:val="000000"/>
          <w:sz w:val="22"/>
          <w:szCs w:val="22"/>
        </w:rPr>
        <w:t xml:space="preserve"> </w:t>
      </w:r>
    </w:p>
    <w:p>
      <w:pPr>
        <w:pStyle w:val="ListParagraph"/>
        <w:numPr>
          <w:ilvl w:val="0"/>
          <w:numId w:val="2"/>
        </w:numPr>
        <w:tabs>
          <w:tab w:val="left" w:pos="1440" w:leader="none"/>
        </w:tabs>
        <w:snapToGrid w:val="false"/>
        <w:spacing w:lineRule="auto" w:line="240" w:before="0" w:after="0"/>
        <w:contextualSpacing/>
        <w:jc w:val="both"/>
        <w:rPr>
          <w:rFonts w:ascii="Calibri" w:hAnsi="Calibri" w:cs="Arial"/>
          <w:bCs/>
          <w:vanish/>
          <w:color w:val="000000"/>
          <w:sz w:val="22"/>
          <w:szCs w:val="22"/>
        </w:rPr>
      </w:pPr>
      <w:r>
        <w:rPr>
          <w:rFonts w:cs="Arial" w:ascii="Calibri" w:hAnsi="Calibri"/>
          <w:bCs/>
          <w:vanish/>
          <w:color w:val="000000"/>
          <w:sz w:val="22"/>
          <w:szCs w:val="22"/>
        </w:rPr>
      </w:r>
    </w:p>
    <w:p>
      <w:pPr>
        <w:pStyle w:val="ListParagraph"/>
        <w:numPr>
          <w:ilvl w:val="1"/>
          <w:numId w:val="2"/>
        </w:numPr>
        <w:tabs>
          <w:tab w:val="left" w:pos="1440" w:leader="none"/>
        </w:tabs>
        <w:snapToGrid w:val="false"/>
        <w:spacing w:lineRule="auto" w:line="240" w:before="0" w:after="0"/>
        <w:contextualSpacing/>
        <w:jc w:val="both"/>
        <w:rPr>
          <w:rFonts w:ascii="Calibri" w:hAnsi="Calibri" w:cs="Arial"/>
          <w:bCs/>
          <w:vanish/>
          <w:color w:val="000000"/>
          <w:sz w:val="22"/>
          <w:szCs w:val="22"/>
        </w:rPr>
      </w:pPr>
      <w:r>
        <w:rPr>
          <w:rFonts w:cs="Arial" w:ascii="Calibri" w:hAnsi="Calibri"/>
          <w:bCs/>
          <w:vanish/>
          <w:color w:val="000000"/>
          <w:sz w:val="22"/>
          <w:szCs w:val="22"/>
        </w:rPr>
      </w:r>
    </w:p>
    <w:p>
      <w:pPr>
        <w:pStyle w:val="ListParagraph"/>
        <w:numPr>
          <w:ilvl w:val="1"/>
          <w:numId w:val="2"/>
        </w:numPr>
        <w:tabs>
          <w:tab w:val="left" w:pos="1440" w:leader="none"/>
        </w:tabs>
        <w:snapToGrid w:val="false"/>
        <w:spacing w:lineRule="auto" w:line="240" w:before="0" w:after="0"/>
        <w:contextualSpacing/>
        <w:jc w:val="both"/>
        <w:rPr>
          <w:rFonts w:ascii="Calibri" w:hAnsi="Calibri" w:cs="Arial"/>
          <w:bCs/>
          <w:vanish/>
          <w:color w:val="000000"/>
          <w:sz w:val="22"/>
          <w:szCs w:val="22"/>
        </w:rPr>
      </w:pPr>
      <w:r>
        <w:rPr>
          <w:rFonts w:cs="Arial" w:ascii="Calibri" w:hAnsi="Calibri"/>
          <w:bCs/>
          <w:vanish/>
          <w:color w:val="000000"/>
          <w:sz w:val="22"/>
          <w:szCs w:val="22"/>
        </w:rPr>
      </w:r>
    </w:p>
    <w:p>
      <w:pPr>
        <w:pStyle w:val="ListParagraph"/>
        <w:numPr>
          <w:ilvl w:val="1"/>
          <w:numId w:val="2"/>
        </w:numPr>
        <w:tabs>
          <w:tab w:val="left" w:pos="1440" w:leader="none"/>
        </w:tabs>
        <w:snapToGrid w:val="false"/>
        <w:spacing w:lineRule="auto" w:line="240" w:before="0" w:after="0"/>
        <w:contextualSpacing/>
        <w:jc w:val="both"/>
        <w:rPr>
          <w:rFonts w:ascii="Calibri" w:hAnsi="Calibri" w:cs="Arial"/>
          <w:bCs/>
          <w:vanish/>
          <w:color w:val="000000"/>
          <w:sz w:val="22"/>
          <w:szCs w:val="22"/>
        </w:rPr>
      </w:pPr>
      <w:r>
        <w:rPr>
          <w:rFonts w:cs="Arial" w:ascii="Calibri" w:hAnsi="Calibri"/>
          <w:bCs/>
          <w:vanish/>
          <w:color w:val="000000"/>
          <w:sz w:val="22"/>
          <w:szCs w:val="22"/>
        </w:rPr>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inexistem fatos impeditivos para sua habilitação no certame, ciente da obrigatoriedade de declarar ocorrências posteriores;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 xml:space="preserve">que </w:t>
      </w:r>
      <w:r>
        <w:rPr>
          <w:rFonts w:cs="Arial" w:ascii="Calibri" w:hAnsi="Calibri"/>
          <w:color w:val="000000"/>
          <w:sz w:val="22"/>
          <w:szCs w:val="22"/>
        </w:rPr>
        <w:t>cumpre</w:t>
      </w:r>
      <w:r>
        <w:rPr>
          <w:rFonts w:cs="Arial" w:ascii="Calibri" w:hAnsi="Calibri"/>
          <w:color w:val="000000" w:themeColor="text1"/>
          <w:sz w:val="22"/>
          <w:szCs w:val="22"/>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está ciente e concorda com as condições contidas no Aviso de Contratação Direta e seus anexos;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assume a responsabilidade pelas transações que forem efetuadas no sistema, assumindo como firmes e verdadeiras;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cumpre as exigências de reserva de cargos para pessoa com deficiência e para reabilitado da Previdência Social, de que trata o art. 93 da Lei nº 8.213/91.</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0"/>
        </w:numPr>
        <w:spacing w:lineRule="auto" w:line="240" w:before="0" w:after="0"/>
        <w:ind w:left="792" w:hanging="0"/>
        <w:contextualSpacing/>
        <w:jc w:val="both"/>
        <w:rPr>
          <w:rFonts w:ascii="Calibri" w:hAnsi="Calibri" w:cs="Arial"/>
          <w:i/>
          <w:i/>
          <w:color w:val="000000" w:themeColor="text1"/>
          <w:sz w:val="22"/>
          <w:szCs w:val="22"/>
        </w:rPr>
      </w:pPr>
      <w:r>
        <w:rPr>
          <w:rFonts w:cs="Arial" w:ascii="Calibri" w:hAnsi="Calibri"/>
          <w:i/>
          <w:color w:val="000000" w:themeColor="text1"/>
          <w:sz w:val="22"/>
          <w:szCs w:val="22"/>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FASE DE LANCES</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2"/>
          <w:szCs w:val="22"/>
          <w:lang w:eastAsia="en-US"/>
        </w:rPr>
        <w:t>exclusivamente por meio do sistema eletrônico</w:t>
      </w:r>
      <w:r>
        <w:rPr>
          <w:rFonts w:cs="Arial" w:ascii="Calibri" w:hAnsi="Calibri"/>
          <w:sz w:val="22"/>
          <w:szCs w:val="22"/>
          <w:lang w:eastAsia="en-US"/>
        </w:rPr>
        <w:t xml:space="preserve">, </w:t>
      </w:r>
      <w:r>
        <w:rPr>
          <w:rFonts w:cs="Arial" w:ascii="Calibri" w:hAnsi="Calibri"/>
          <w:color w:val="000000" w:themeColor="text1"/>
          <w:sz w:val="22"/>
          <w:szCs w:val="22"/>
          <w:lang w:eastAsia="en-US"/>
        </w:rPr>
        <w:t>sendo encerrado no horário de finalização de lances também já previsto neste aviso.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i w:val="false"/>
          <w:iCs w:val="false"/>
          <w:color w:val="000000"/>
          <w:sz w:val="22"/>
          <w:szCs w:val="22"/>
        </w:rPr>
        <w:t>O lance deverá ser ofertado pelo unitário do item.</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O intervalo mínimo de diferença de valores ou percentuais entre os lances, que incidirá tanto em relação aos lances intermediários quanto em relação ao que cobrir a melhor oferta é de</w:t>
      </w:r>
      <w:r>
        <w:rPr>
          <w:rFonts w:cs="Arial" w:ascii="Calibri" w:hAnsi="Calibri"/>
          <w:i/>
          <w:iCs/>
          <w:sz w:val="22"/>
          <w:szCs w:val="22"/>
        </w:rPr>
        <w:t xml:space="preserve"> </w:t>
      </w:r>
      <w:r>
        <w:rPr>
          <w:rFonts w:cs="Arial" w:ascii="Calibri" w:hAnsi="Calibri"/>
          <w:i w:val="false"/>
          <w:iCs w:val="false"/>
          <w:sz w:val="22"/>
          <w:szCs w:val="22"/>
        </w:rPr>
        <w:t>0,</w:t>
      </w:r>
      <w:r>
        <w:rPr>
          <w:rFonts w:cs="Arial" w:ascii="Calibri" w:hAnsi="Calibri"/>
          <w:i w:val="false"/>
          <w:iCs w:val="false"/>
          <w:color w:val="000000"/>
          <w:sz w:val="22"/>
          <w:szCs w:val="22"/>
        </w:rPr>
        <w:t>01 (hum centavo).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Havendo lances iguais ao menor já ofertado, prevalecerá aquele que for recebido e registrado primeiro no sistema.</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Caso o fornecedor não apresente lances, concorrerá com o valor de sua proposta.</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pPr>
        <w:pStyle w:val="ListParagraph"/>
        <w:numPr>
          <w:ilvl w:val="0"/>
          <w:numId w:val="0"/>
        </w:numPr>
        <w:spacing w:lineRule="auto" w:line="240" w:before="0" w:after="0"/>
        <w:ind w:left="1944" w:hanging="0"/>
        <w:contextualSpacing/>
        <w:jc w:val="both"/>
        <w:rPr>
          <w:rFonts w:ascii="Calibri" w:hAnsi="Calibri" w:cs="Arial"/>
          <w:color w:val="000000" w:themeColor="text1"/>
          <w:sz w:val="22"/>
          <w:szCs w:val="22"/>
          <w:lang w:eastAsia="en-US"/>
        </w:rPr>
      </w:pPr>
      <w:r>
        <w:rPr>
          <w:rFonts w:cs="Arial" w:ascii="Calibri" w:hAnsi="Calibri"/>
          <w:color w:val="000000" w:themeColor="text1"/>
          <w:sz w:val="22"/>
          <w:szCs w:val="22"/>
          <w:lang w:eastAsia="en-US"/>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JULGAMENTO DAS PROPOSTAS DE PREÇO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sz w:val="22"/>
          <w:szCs w:val="22"/>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sz w:val="22"/>
          <w:szCs w:val="22"/>
        </w:rPr>
        <w:t>No caso de o preço da proposta vencedora estar acima do estimado pela Administração, poderá haver a negociação de condições mais vantajosas.</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Em qualquer caso, concluída a negociação, o resultado será registrado na ata do procedimento da dispensa eletrônica.</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sz w:val="22"/>
          <w:szCs w:val="22"/>
        </w:rPr>
        <w:t>Estando o preço compatível, será solicitado o envio da proposta e, se necessário, de documentos complementares, adequada ao último lance.</w:t>
      </w:r>
    </w:p>
    <w:p>
      <w:pPr>
        <w:pStyle w:val="Normal"/>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 xml:space="preserve">O prazo de validade </w:t>
      </w:r>
      <w:r>
        <w:rPr>
          <w:rFonts w:cs="Arial" w:ascii="Calibri" w:hAnsi="Calibri"/>
          <w:sz w:val="22"/>
          <w:szCs w:val="22"/>
        </w:rPr>
        <w:t>da</w:t>
      </w:r>
      <w:r>
        <w:rPr>
          <w:rFonts w:cs="Arial" w:ascii="Calibri" w:hAnsi="Calibri"/>
          <w:color w:val="000000" w:themeColor="text1"/>
          <w:sz w:val="22"/>
          <w:szCs w:val="22"/>
        </w:rPr>
        <w:t xml:space="preserve"> proposta não será inferior a 60</w:t>
      </w:r>
      <w:r>
        <w:rPr>
          <w:rFonts w:cs="Arial" w:ascii="Calibri" w:hAnsi="Calibri"/>
          <w:color w:val="FF0000"/>
          <w:sz w:val="22"/>
          <w:szCs w:val="22"/>
        </w:rPr>
        <w:t xml:space="preserve"> </w:t>
      </w:r>
      <w:r>
        <w:rPr>
          <w:rFonts w:cs="Arial" w:ascii="Calibri" w:hAnsi="Calibri"/>
          <w:color w:val="000000"/>
          <w:sz w:val="22"/>
          <w:szCs w:val="22"/>
        </w:rPr>
        <w:t>(sessenta)</w:t>
      </w:r>
      <w:r>
        <w:rPr>
          <w:rFonts w:cs="Arial" w:ascii="Calibri" w:hAnsi="Calibri"/>
          <w:color w:val="000000" w:themeColor="text1"/>
          <w:sz w:val="22"/>
          <w:szCs w:val="22"/>
        </w:rPr>
        <w:t xml:space="preserve"> dias</w:t>
      </w:r>
      <w:r>
        <w:rPr>
          <w:rFonts w:cs="Arial" w:ascii="Calibri" w:hAnsi="Calibri"/>
          <w:b/>
          <w:bCs/>
          <w:color w:val="000000" w:themeColor="text1"/>
          <w:sz w:val="22"/>
          <w:szCs w:val="22"/>
        </w:rPr>
        <w:t>,</w:t>
      </w:r>
      <w:r>
        <w:rPr>
          <w:rFonts w:cs="Arial" w:ascii="Calibri" w:hAnsi="Calibri"/>
          <w:color w:val="000000" w:themeColor="text1"/>
          <w:sz w:val="22"/>
          <w:szCs w:val="22"/>
        </w:rPr>
        <w:t xml:space="preserve"> a contar da data de sua apresentação.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 xml:space="preserve">Será desclassificada a proposta vencedora que: </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contiver vícios insanáveis</w:t>
      </w:r>
      <w:r>
        <w:rPr>
          <w:rFonts w:cs="Arial" w:ascii="Calibri" w:hAnsi="Calibri"/>
          <w:iCs/>
          <w:color w:val="000000" w:themeColor="text1"/>
          <w:sz w:val="22"/>
          <w:szCs w:val="22"/>
        </w:rPr>
        <w:t>;</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não obedecer às especificações técnicas pormenorizadas neste aviso ou em seus anexos</w:t>
      </w:r>
      <w:r>
        <w:rPr>
          <w:rFonts w:cs="Arial" w:ascii="Calibri" w:hAnsi="Calibri"/>
          <w:iCs/>
          <w:color w:val="000000" w:themeColor="text1"/>
          <w:sz w:val="22"/>
          <w:szCs w:val="22"/>
        </w:rPr>
        <w:t>;</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apresentar preços inexequíveis ou permanecerem acima do preço máximo definido para a contratação;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não tiverem sua exequibilidade demonstrada, quando exigido pela Administração</w:t>
      </w:r>
      <w:r>
        <w:rPr>
          <w:rFonts w:cs="Arial" w:ascii="Calibri" w:hAnsi="Calibri"/>
          <w:iCs/>
          <w:color w:val="000000" w:themeColor="text1"/>
          <w:sz w:val="22"/>
          <w:szCs w:val="22"/>
        </w:rPr>
        <w:t>;</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apresentar desconformidade com quaisquer outras exigências deste aviso ou seus anexos, desde que insanável.</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Quando</w:t>
      </w:r>
      <w:r>
        <w:rPr>
          <w:rFonts w:cs="Arial" w:ascii="Calibri" w:hAnsi="Calibri"/>
          <w:sz w:val="22"/>
          <w:szCs w:val="22"/>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40" w:before="0" w:after="0"/>
        <w:ind w:left="792" w:right="-15" w:hanging="432"/>
        <w:contextualSpacing/>
        <w:jc w:val="both"/>
        <w:rPr>
          <w:rFonts w:ascii="Calibri" w:hAnsi="Calibri"/>
          <w:sz w:val="24"/>
          <w:szCs w:val="24"/>
        </w:rPr>
      </w:pPr>
      <w:r>
        <w:rPr>
          <w:rFonts w:cs="Arial" w:ascii="Calibri" w:hAnsi="Calibri"/>
          <w:color w:val="000000" w:themeColor="text1"/>
          <w:sz w:val="22"/>
          <w:szCs w:val="22"/>
          <w:lang w:eastAsia="en-US"/>
        </w:rPr>
        <w:t xml:space="preserve">Se houver indícios de inexequibilidade da proposta de preço, ou em caso da necessidade de esclarecimentos </w:t>
      </w:r>
      <w:r>
        <w:rPr>
          <w:rFonts w:cs="Arial" w:ascii="Calibri" w:hAnsi="Calibri"/>
          <w:sz w:val="22"/>
          <w:szCs w:val="22"/>
        </w:rPr>
        <w:t>complementares</w:t>
      </w:r>
      <w:r>
        <w:rPr>
          <w:rFonts w:cs="Arial" w:ascii="Calibri" w:hAnsi="Calibri"/>
          <w:color w:val="000000" w:themeColor="text1"/>
          <w:sz w:val="22"/>
          <w:szCs w:val="22"/>
          <w:lang w:eastAsia="en-US"/>
        </w:rPr>
        <w:t xml:space="preserve">, poderão ser efetuadas diligências, para que a empresa comprove a exequibilidade da proposta.  </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 xml:space="preserve">Erros no preenchimento da planilha não constituem motivo para a desclassificação da proposta. A planilha </w:t>
      </w:r>
      <w:r>
        <w:rPr>
          <w:rFonts w:cs="Arial" w:ascii="Calibri" w:hAnsi="Calibri"/>
          <w:sz w:val="22"/>
          <w:szCs w:val="22"/>
        </w:rPr>
        <w:t>poderá</w:t>
      </w:r>
      <w:r>
        <w:rPr>
          <w:rFonts w:cs="Arial" w:ascii="Calibri" w:hAnsi="Calibri"/>
          <w:color w:val="000000" w:themeColor="text1"/>
          <w:sz w:val="22"/>
          <w:szCs w:val="22"/>
          <w:lang w:eastAsia="en-US"/>
        </w:rPr>
        <w:t xml:space="preserve"> ser ajustada pelo fornecedor, no prazo indicado pelo sistema, desde que não haja majoração do preço.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O ajuste de que trata este dispositivo se limita a sanar erros ou falhas que não alterem a substância das propostas;</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Havendo necessidade, a sessão será suspensa, informando-se no “chat” a nova data e horário para a sua continuidade.</w:t>
      </w:r>
    </w:p>
    <w:p>
      <w:pPr>
        <w:pStyle w:val="ListParagraph"/>
        <w:numPr>
          <w:ilvl w:val="1"/>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lang w:eastAsia="en-US"/>
        </w:rPr>
        <w:t>Encerrada a análise quanto à aceitação da proposta, se iniciará a fase de habilitação, observado o disposto neste Aviso de Contratação Direta.</w:t>
      </w:r>
    </w:p>
    <w:p>
      <w:pPr>
        <w:pStyle w:val="ListParagraph"/>
        <w:spacing w:lineRule="auto" w:line="240" w:before="0" w:after="0"/>
        <w:ind w:left="720" w:hanging="0"/>
        <w:contextualSpacing/>
        <w:jc w:val="both"/>
        <w:rPr>
          <w:rFonts w:ascii="Calibri" w:hAnsi="Calibri" w:cs="Arial"/>
          <w:color w:val="000000" w:themeColor="text1"/>
          <w:sz w:val="22"/>
          <w:szCs w:val="22"/>
          <w:lang w:eastAsia="en-US"/>
        </w:rPr>
      </w:pPr>
      <w:r>
        <w:rPr>
          <w:rFonts w:cs="Arial" w:ascii="Calibri" w:hAnsi="Calibri"/>
          <w:color w:val="000000" w:themeColor="text1"/>
          <w:sz w:val="22"/>
          <w:szCs w:val="22"/>
          <w:lang w:eastAsia="en-US"/>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HABILITAÇÃO</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sz w:val="22"/>
          <w:szCs w:val="22"/>
          <w:lang w:eastAsia="ar-SA"/>
        </w:rPr>
        <w:t xml:space="preserve">Os </w:t>
      </w:r>
      <w:r>
        <w:rPr>
          <w:rFonts w:cs="Arial" w:ascii="Calibri" w:hAnsi="Calibri"/>
          <w:color w:val="000000"/>
          <w:sz w:val="22"/>
          <w:szCs w:val="22"/>
        </w:rPr>
        <w:t>documentos</w:t>
      </w:r>
      <w:r>
        <w:rPr>
          <w:rFonts w:cs="Arial" w:ascii="Calibri" w:hAnsi="Calibri"/>
          <w:sz w:val="22"/>
          <w:szCs w:val="22"/>
          <w:lang w:eastAsia="ar-SA"/>
        </w:rPr>
        <w:t xml:space="preserve"> a serem exigidos para fins de habilitação constam do </w:t>
      </w:r>
      <w:r>
        <w:rPr>
          <w:rFonts w:cs="Arial" w:ascii="Calibri" w:hAnsi="Calibri"/>
          <w:b/>
          <w:sz w:val="22"/>
          <w:szCs w:val="22"/>
          <w:lang w:eastAsia="ar-SA"/>
        </w:rPr>
        <w:t xml:space="preserve">ANEXO I – DOCUMENTAÇÃO EXIGIDA PARA HABILITAÇÃO </w:t>
      </w:r>
      <w:r>
        <w:rPr>
          <w:rFonts w:cs="Arial" w:ascii="Calibri" w:hAnsi="Calibri"/>
          <w:sz w:val="22"/>
          <w:szCs w:val="22"/>
          <w:lang w:eastAsia="ar-SA"/>
        </w:rPr>
        <w:t>deste aviso e serão solicitados do fornecedor mais bem classificado da fase de lances.</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sz w:val="22"/>
          <w:szCs w:val="22"/>
          <w:lang w:eastAsia="ar-SA"/>
        </w:rPr>
        <w:t xml:space="preserve">Como </w:t>
      </w:r>
      <w:r>
        <w:rPr>
          <w:rFonts w:cs="Arial" w:ascii="Calibri" w:hAnsi="Calibri"/>
          <w:color w:val="000000"/>
          <w:sz w:val="22"/>
          <w:szCs w:val="22"/>
        </w:rPr>
        <w:t>condição</w:t>
      </w:r>
      <w:r>
        <w:rPr>
          <w:rFonts w:cs="Arial" w:ascii="Calibri" w:hAnsi="Calibr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40" w:before="0" w:after="0"/>
        <w:ind w:left="1134" w:hanging="0"/>
        <w:contextualSpacing/>
        <w:jc w:val="both"/>
        <w:rPr>
          <w:rFonts w:ascii="Calibri" w:hAnsi="Calibri"/>
          <w:sz w:val="24"/>
          <w:szCs w:val="24"/>
        </w:rPr>
      </w:pPr>
      <w:r>
        <w:rPr>
          <w:rFonts w:cs="Arial" w:ascii="Calibri" w:hAnsi="Calibri"/>
          <w:sz w:val="22"/>
          <w:szCs w:val="22"/>
          <w:lang w:eastAsia="ar-SA"/>
        </w:rPr>
        <w:t xml:space="preserve">a) SICAF;  </w:t>
      </w:r>
    </w:p>
    <w:p>
      <w:pPr>
        <w:pStyle w:val="ListParagraph"/>
        <w:spacing w:lineRule="auto" w:line="240" w:before="0" w:after="0"/>
        <w:ind w:left="1134" w:hanging="0"/>
        <w:contextualSpacing/>
        <w:jc w:val="both"/>
        <w:rPr/>
      </w:pPr>
      <w:r>
        <w:rPr>
          <w:rFonts w:cs="Arial" w:ascii="Calibri" w:hAnsi="Calibri"/>
          <w:sz w:val="22"/>
          <w:szCs w:val="22"/>
          <w:lang w:eastAsia="ar-SA"/>
        </w:rPr>
        <w:t>b) Cadastro Nacional de Empresas Inidôneas e Suspensas - CEIS, mantido pela Controladoria-Geral da União (</w:t>
      </w:r>
      <w:hyperlink r:id="rId3">
        <w:r>
          <w:rPr>
            <w:rStyle w:val="LinkdaInternet"/>
            <w:rFonts w:eastAsia="Calibri" w:cs="Arial" w:ascii="Calibri" w:hAnsi="Calibri"/>
            <w:sz w:val="22"/>
            <w:szCs w:val="22"/>
            <w:lang w:eastAsia="ar-SA"/>
          </w:rPr>
          <w:t>www.portaldatransparencia.gov.br/ceis</w:t>
        </w:r>
      </w:hyperlink>
      <w:r>
        <w:rPr>
          <w:rFonts w:cs="Arial" w:ascii="Calibri" w:hAnsi="Calibri"/>
          <w:sz w:val="22"/>
          <w:szCs w:val="22"/>
          <w:lang w:eastAsia="ar-SA"/>
        </w:rPr>
        <w:t xml:space="preserve">);  </w:t>
      </w:r>
    </w:p>
    <w:p>
      <w:pPr>
        <w:pStyle w:val="ListParagraph"/>
        <w:spacing w:lineRule="auto" w:line="240" w:before="0" w:after="0"/>
        <w:ind w:left="1134" w:hanging="0"/>
        <w:contextualSpacing/>
        <w:jc w:val="both"/>
        <w:rPr/>
      </w:pPr>
      <w:r>
        <w:rPr>
          <w:rFonts w:cs="Arial" w:ascii="Calibri" w:hAnsi="Calibri"/>
          <w:sz w:val="22"/>
          <w:szCs w:val="22"/>
          <w:lang w:eastAsia="ar-SA"/>
        </w:rPr>
        <w:t>c) Cadastro Nacional de Condenações Cíveis por Atos de Improbidade Administrativa, mantido pelo Conselho Nacional de Justiça (</w:t>
      </w:r>
      <w:hyperlink r:id="rId4">
        <w:r>
          <w:rPr>
            <w:rStyle w:val="LinkdaInternet"/>
            <w:rFonts w:eastAsia="Calibri" w:cs="Arial" w:ascii="Calibri" w:hAnsi="Calibri"/>
            <w:sz w:val="22"/>
            <w:szCs w:val="22"/>
            <w:lang w:eastAsia="ar-SA"/>
          </w:rPr>
          <w:t>www.cnj.jus.br/improbidade_adm/consultar_requerido.php</w:t>
        </w:r>
      </w:hyperlink>
      <w:r>
        <w:rPr>
          <w:rFonts w:cs="Arial" w:ascii="Calibri" w:hAnsi="Calibri"/>
          <w:sz w:val="22"/>
          <w:szCs w:val="22"/>
          <w:lang w:eastAsia="ar-SA"/>
        </w:rPr>
        <w:t xml:space="preserve">).  </w:t>
      </w:r>
    </w:p>
    <w:p>
      <w:pPr>
        <w:pStyle w:val="ListParagraph"/>
        <w:spacing w:lineRule="auto" w:line="240" w:before="0" w:after="0"/>
        <w:ind w:left="1134" w:hanging="0"/>
        <w:contextualSpacing/>
        <w:jc w:val="both"/>
        <w:rPr>
          <w:rFonts w:ascii="Calibri" w:hAnsi="Calibri"/>
          <w:sz w:val="24"/>
          <w:szCs w:val="24"/>
        </w:rPr>
      </w:pPr>
      <w:r>
        <w:rPr>
          <w:rFonts w:cs="Arial" w:ascii="Calibri" w:hAnsi="Calibri"/>
          <w:sz w:val="22"/>
          <w:szCs w:val="22"/>
          <w:lang w:eastAsia="ar-SA"/>
        </w:rPr>
        <w:t xml:space="preserve">d) Lista de Inidôneos mantida pelo Tribunal de Contas da União - TCU; </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sz w:val="22"/>
          <w:szCs w:val="22"/>
          <w:lang w:eastAsia="ar-SA"/>
        </w:rPr>
        <w:t xml:space="preserve">Para a consulta de </w:t>
      </w:r>
      <w:r>
        <w:rPr>
          <w:rFonts w:cs="Arial" w:ascii="Calibri" w:hAnsi="Calibri"/>
          <w:color w:val="000000" w:themeColor="text1"/>
          <w:sz w:val="22"/>
          <w:szCs w:val="22"/>
        </w:rPr>
        <w:t>fornecedores</w:t>
      </w:r>
      <w:r>
        <w:rPr>
          <w:rFonts w:cs="Arial" w:ascii="Calibri" w:hAnsi="Calibri"/>
          <w:sz w:val="22"/>
          <w:szCs w:val="22"/>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 xml:space="preserve">A consulta aos </w:t>
      </w:r>
      <w:r>
        <w:rPr>
          <w:rFonts w:cs="Arial" w:ascii="Calibri" w:hAnsi="Calibri"/>
          <w:sz w:val="22"/>
          <w:szCs w:val="22"/>
          <w:lang w:eastAsia="ar-SA"/>
        </w:rPr>
        <w:t>cadastros</w:t>
      </w:r>
      <w:r>
        <w:rPr>
          <w:rFonts w:cs="Arial" w:ascii="Calibri" w:hAnsi="Calibri"/>
          <w:color w:val="000000" w:themeColor="text1"/>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A tentativa de burla será verificada por meio dos vínculos societários, linhas de fornecimento similares, dentre outros.</w:t>
      </w:r>
    </w:p>
    <w:p>
      <w:pPr>
        <w:pStyle w:val="ListParagraph"/>
        <w:numPr>
          <w:ilvl w:val="4"/>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O fornecedor será convocado para manifestação previamente à sua desclassificação</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Constatada a existência de sanção, o fornecedor será reputado inabilitado, por falta de condição de participação.</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color w:val="000000" w:themeColor="text1"/>
          <w:sz w:val="22"/>
          <w:szCs w:val="22"/>
        </w:rPr>
        <w:t xml:space="preserve">Caso atendidas as condições de participação, </w:t>
      </w:r>
      <w:r>
        <w:rPr>
          <w:rFonts w:cs="Arial" w:ascii="Calibri" w:hAnsi="Calibri"/>
          <w:sz w:val="22"/>
          <w:szCs w:val="22"/>
        </w:rPr>
        <w:t>a habilitação dos fornecedores será verificada por meio do SICAF, nos documentos por ele abrangidos</w:t>
      </w:r>
      <w:r>
        <w:rPr>
          <w:rFonts w:cs="Arial" w:ascii="Calibri" w:hAnsi="Calibri"/>
          <w:color w:val="000000" w:themeColor="text1"/>
          <w:sz w:val="22"/>
          <w:szCs w:val="22"/>
        </w:rPr>
        <w:t>.</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color w:val="000000" w:themeColor="text1"/>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bCs/>
          <w:sz w:val="22"/>
          <w:szCs w:val="22"/>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i w:val="false"/>
          <w:iCs w:val="false"/>
          <w:color w:val="000000"/>
          <w:sz w:val="22"/>
          <w:szCs w:val="22"/>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i w:val="false"/>
          <w:iCs w:val="false"/>
          <w:color w:val="000000"/>
          <w:sz w:val="22"/>
          <w:szCs w:val="22"/>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bCs/>
          <w:sz w:val="22"/>
          <w:szCs w:val="22"/>
        </w:rPr>
        <w:t xml:space="preserve">Havendo </w:t>
      </w:r>
      <w:r>
        <w:rPr>
          <w:rFonts w:cs="Arial" w:ascii="Calibri" w:hAnsi="Calibri"/>
          <w:iCs/>
          <w:sz w:val="22"/>
          <w:szCs w:val="22"/>
          <w:lang w:eastAsia="en-US"/>
        </w:rPr>
        <w:t>necessidade</w:t>
      </w:r>
      <w:r>
        <w:rPr>
          <w:rFonts w:cs="Arial" w:ascii="Calibri" w:hAnsi="Calibri"/>
          <w:bCs/>
          <w:sz w:val="22"/>
          <w:szCs w:val="22"/>
        </w:rPr>
        <w:t xml:space="preserve"> de analisar minuciosamente os documentos exigidos, a sessão será suspensa, sendo informada a nova data e horário para a sua continuidade.</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color w:val="000000"/>
          <w:sz w:val="22"/>
          <w:szCs w:val="22"/>
        </w:rPr>
        <w:t xml:space="preserve">Será inabilitado o fornecedor que não comprovar sua habilitação, seja por não apresentar </w:t>
      </w:r>
      <w:r>
        <w:rPr>
          <w:rFonts w:cs="Arial" w:ascii="Calibri" w:hAnsi="Calibri"/>
          <w:iCs/>
          <w:sz w:val="22"/>
          <w:szCs w:val="22"/>
          <w:lang w:eastAsia="en-US"/>
        </w:rPr>
        <w:t>quaisquer</w:t>
      </w:r>
      <w:r>
        <w:rPr>
          <w:rFonts w:cs="Arial" w:ascii="Calibri" w:hAnsi="Calibri"/>
          <w:color w:val="000000"/>
          <w:sz w:val="22"/>
          <w:szCs w:val="22"/>
        </w:rPr>
        <w:t xml:space="preserve"> dos </w:t>
      </w:r>
      <w:r>
        <w:rPr>
          <w:rFonts w:cs="Arial" w:ascii="Calibri" w:hAnsi="Calibri"/>
          <w:bCs/>
          <w:sz w:val="22"/>
          <w:szCs w:val="22"/>
        </w:rPr>
        <w:t>documentos</w:t>
      </w:r>
      <w:r>
        <w:rPr>
          <w:rFonts w:cs="Arial" w:ascii="Calibri" w:hAnsi="Calibri"/>
          <w:color w:val="000000"/>
          <w:sz w:val="22"/>
          <w:szCs w:val="22"/>
        </w:rPr>
        <w:t xml:space="preserve"> exigidos, ou apresentá-los em desacordo com o estabelecido neste Aviso de Contratação Direta.</w:t>
      </w:r>
    </w:p>
    <w:p>
      <w:pPr>
        <w:pStyle w:val="ListParagraph"/>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40" w:before="0" w:after="0"/>
        <w:ind w:left="792" w:hanging="574"/>
        <w:contextualSpacing/>
        <w:jc w:val="both"/>
        <w:rPr>
          <w:rFonts w:ascii="Calibri" w:hAnsi="Calibri"/>
          <w:sz w:val="24"/>
          <w:szCs w:val="24"/>
        </w:rPr>
      </w:pPr>
      <w:r>
        <w:rPr>
          <w:rFonts w:cs="Arial" w:ascii="Calibri" w:hAnsi="Calibri"/>
          <w:iCs/>
          <w:sz w:val="22"/>
          <w:szCs w:val="22"/>
          <w:lang w:eastAsia="en-US"/>
        </w:rPr>
        <w:t>Constatado o atendimento às exigências de habilitação, o fornecedor será habilitado</w:t>
      </w:r>
    </w:p>
    <w:p>
      <w:pPr>
        <w:pStyle w:val="ListParagraph"/>
        <w:numPr>
          <w:ilvl w:val="0"/>
          <w:numId w:val="0"/>
        </w:numPr>
        <w:spacing w:lineRule="auto" w:line="240" w:before="0" w:after="0"/>
        <w:ind w:left="1010" w:hanging="0"/>
        <w:contextualSpacing/>
        <w:jc w:val="both"/>
        <w:rPr>
          <w:rFonts w:ascii="Calibri" w:hAnsi="Calibri" w:cs="Arial"/>
          <w:iCs/>
          <w:sz w:val="22"/>
          <w:szCs w:val="22"/>
          <w:lang w:eastAsia="en-US"/>
        </w:rPr>
      </w:pPr>
      <w:r>
        <w:rPr>
          <w:rFonts w:cs="Arial" w:ascii="Calibri" w:hAnsi="Calibri"/>
          <w:iCs/>
          <w:sz w:val="22"/>
          <w:szCs w:val="22"/>
          <w:lang w:eastAsia="en-US"/>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CONTRATAÇÃO</w:t>
      </w:r>
    </w:p>
    <w:p>
      <w:pPr>
        <w:pStyle w:val="Normal"/>
        <w:numPr>
          <w:ilvl w:val="1"/>
          <w:numId w:val="1"/>
        </w:numPr>
        <w:spacing w:lineRule="auto" w:line="240" w:before="0" w:after="0"/>
        <w:ind w:left="425" w:hanging="0"/>
        <w:contextualSpacing/>
        <w:jc w:val="both"/>
        <w:rPr>
          <w:rFonts w:ascii="Calibri" w:hAnsi="Calibri"/>
          <w:sz w:val="24"/>
          <w:szCs w:val="24"/>
        </w:rPr>
      </w:pPr>
      <w:r>
        <w:rPr>
          <w:rFonts w:eastAsia="Arial" w:cs="Arial" w:ascii="Calibri" w:hAnsi="Calibri"/>
          <w:color w:val="000000"/>
          <w:sz w:val="22"/>
          <w:szCs w:val="22"/>
        </w:rPr>
        <w:t>Após a homologação e adjudicação, caso se conclua pela contratação, será firmado Termo de Contrato ou emitido instrumento equivalente.</w:t>
      </w:r>
    </w:p>
    <w:p>
      <w:pPr>
        <w:pStyle w:val="Normal"/>
        <w:numPr>
          <w:ilvl w:val="1"/>
          <w:numId w:val="1"/>
        </w:numPr>
        <w:spacing w:lineRule="auto" w:line="240" w:before="0" w:after="0"/>
        <w:ind w:left="425" w:hanging="0"/>
        <w:contextualSpacing/>
        <w:jc w:val="both"/>
        <w:rPr>
          <w:rFonts w:ascii="Calibri" w:hAnsi="Calibri"/>
          <w:sz w:val="24"/>
          <w:szCs w:val="24"/>
        </w:rPr>
      </w:pPr>
      <w:r>
        <w:rPr>
          <w:rFonts w:eastAsia="Arial" w:cs="Arial" w:ascii="Calibri" w:hAnsi="Calibri"/>
          <w:color w:val="000000"/>
          <w:sz w:val="22"/>
          <w:szCs w:val="22"/>
        </w:rPr>
        <w:t>O adjudicatário terá o prazo de 5 (cinco) dias úteis, contados a partir da data de sua convocação, para assinar o Termo de Contrato ou aceitar instrumento equivalente, conforme o caso (Nota de Empenho/Carta Contrato/Autorização),</w:t>
      </w:r>
      <w:r>
        <w:rPr>
          <w:rFonts w:eastAsia="Arial" w:cs="Arial" w:ascii="Calibri" w:hAnsi="Calibri"/>
          <w:color w:val="FF0000"/>
          <w:sz w:val="22"/>
          <w:szCs w:val="22"/>
        </w:rPr>
        <w:t xml:space="preserve"> </w:t>
      </w:r>
      <w:r>
        <w:rPr>
          <w:rFonts w:eastAsia="Arial" w:cs="Arial" w:ascii="Calibri" w:hAnsi="Calibri"/>
          <w:color w:val="000000"/>
          <w:sz w:val="22"/>
          <w:szCs w:val="22"/>
        </w:rPr>
        <w:t xml:space="preserve">sob pena de decair do direito à contratação, sem prejuízo das sanções previstas neste Aviso de Contratação Direta. </w:t>
      </w:r>
    </w:p>
    <w:p>
      <w:pPr>
        <w:pStyle w:val="Normal"/>
        <w:numPr>
          <w:ilvl w:val="2"/>
          <w:numId w:val="1"/>
        </w:numPr>
        <w:spacing w:lineRule="auto" w:line="240" w:before="0" w:after="0"/>
        <w:contextualSpacing/>
        <w:jc w:val="both"/>
        <w:rPr>
          <w:rFonts w:ascii="Calibri" w:hAnsi="Calibri"/>
          <w:sz w:val="24"/>
          <w:szCs w:val="24"/>
        </w:rPr>
      </w:pPr>
      <w:r>
        <w:rPr>
          <w:rFonts w:eastAsia="Arial" w:cs="Arial" w:ascii="Calibri" w:hAnsi="Calibri"/>
          <w:i w:val="false"/>
          <w:iCs w:val="false"/>
          <w:color w:val="000000"/>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w:t>
      </w:r>
      <w:r>
        <w:rPr>
          <w:rFonts w:eastAsia="Arial" w:cs="Arial" w:ascii="Calibri" w:hAnsi="Calibri"/>
          <w:i w:val="false"/>
          <w:iCs w:val="false"/>
          <w:color w:val="FF0000"/>
          <w:sz w:val="22"/>
          <w:szCs w:val="22"/>
        </w:rPr>
        <w:t xml:space="preserve"> </w:t>
      </w:r>
    </w:p>
    <w:p>
      <w:pPr>
        <w:pStyle w:val="Normal"/>
        <w:numPr>
          <w:ilvl w:val="2"/>
          <w:numId w:val="1"/>
        </w:numPr>
        <w:spacing w:lineRule="auto" w:line="240" w:before="0" w:after="0"/>
        <w:contextualSpacing/>
        <w:jc w:val="both"/>
        <w:rPr>
          <w:rFonts w:ascii="Calibri" w:hAnsi="Calibri"/>
          <w:sz w:val="24"/>
          <w:szCs w:val="24"/>
        </w:rPr>
      </w:pPr>
      <w:r>
        <w:rPr>
          <w:rFonts w:eastAsia="Arial" w:cs="Arial" w:ascii="Calibri" w:hAnsi="Calibri"/>
          <w:color w:val="000000"/>
          <w:sz w:val="22"/>
          <w:szCs w:val="22"/>
        </w:rPr>
        <w:t xml:space="preserve">O prazo previsto para assinatura do contrato ou aceitação da nota de empenho ou instrumento equivalente poderá ser prorrogado </w:t>
      </w:r>
      <w:r>
        <w:rPr>
          <w:rFonts w:cs="Times New Roman" w:ascii="Calibri" w:hAnsi="Calibri"/>
          <w:bCs/>
          <w:sz w:val="22"/>
          <w:szCs w:val="22"/>
        </w:rPr>
        <w:t>1 (uma) vez</w:t>
      </w:r>
      <w:r>
        <w:rPr>
          <w:rFonts w:eastAsia="Arial" w:cs="Arial" w:ascii="Calibri" w:hAnsi="Calibri"/>
          <w:sz w:val="22"/>
          <w:szCs w:val="22"/>
        </w:rPr>
        <w:t xml:space="preserve">, </w:t>
      </w:r>
      <w:r>
        <w:rPr>
          <w:rFonts w:eastAsia="Arial" w:cs="Arial" w:ascii="Calibri" w:hAnsi="Calibri"/>
          <w:color w:val="000000"/>
          <w:sz w:val="22"/>
          <w:szCs w:val="22"/>
        </w:rPr>
        <w:t>por igual período, por solicitação justificada do adjudicatário e aceita pela Administração.</w:t>
      </w:r>
    </w:p>
    <w:p>
      <w:pPr>
        <w:pStyle w:val="Normal"/>
        <w:numPr>
          <w:ilvl w:val="1"/>
          <w:numId w:val="1"/>
        </w:numPr>
        <w:spacing w:lineRule="auto" w:line="240" w:before="0" w:after="0"/>
        <w:ind w:left="425" w:hanging="0"/>
        <w:contextualSpacing/>
        <w:jc w:val="both"/>
        <w:rPr>
          <w:rFonts w:ascii="Calibri" w:hAnsi="Calibri"/>
          <w:sz w:val="24"/>
          <w:szCs w:val="24"/>
        </w:rPr>
      </w:pPr>
      <w:r>
        <w:rPr>
          <w:rFonts w:eastAsia="Arial" w:cs="Arial" w:ascii="Calibri" w:hAnsi="Calibri"/>
          <w:i w:val="false"/>
          <w:iCs w:val="false"/>
          <w:color w:val="000000"/>
          <w:sz w:val="22"/>
          <w:szCs w:val="22"/>
        </w:rPr>
        <w:t>O Aceite da Nota de Empenho ou do instrumento equivalente, emitida à empresa adjudicada, implica no reconhecimento de que:</w:t>
      </w:r>
    </w:p>
    <w:p>
      <w:pPr>
        <w:pStyle w:val="Normal"/>
        <w:numPr>
          <w:ilvl w:val="2"/>
          <w:numId w:val="1"/>
        </w:numPr>
        <w:spacing w:lineRule="auto" w:line="240" w:before="0" w:after="0"/>
        <w:contextualSpacing/>
        <w:jc w:val="both"/>
        <w:rPr>
          <w:rFonts w:ascii="Calibri" w:hAnsi="Calibri"/>
          <w:sz w:val="24"/>
          <w:szCs w:val="24"/>
        </w:rPr>
      </w:pPr>
      <w:r>
        <w:rPr>
          <w:rFonts w:eastAsia="Arial" w:cs="Arial" w:ascii="Calibri" w:hAnsi="Calibri"/>
          <w:i w:val="false"/>
          <w:iCs w:val="false"/>
          <w:color w:val="000000"/>
          <w:sz w:val="22"/>
          <w:szCs w:val="22"/>
        </w:rPr>
        <w:t>referida Nota está substituindo o contrato, aplicando-se à relação de negócios ali estabelecida as disposições da Lei nº 14.133, de 2021;</w:t>
      </w:r>
    </w:p>
    <w:p>
      <w:pPr>
        <w:pStyle w:val="Normal"/>
        <w:numPr>
          <w:ilvl w:val="2"/>
          <w:numId w:val="1"/>
        </w:numPr>
        <w:spacing w:lineRule="auto" w:line="240" w:before="0" w:after="0"/>
        <w:contextualSpacing/>
        <w:jc w:val="both"/>
        <w:rPr>
          <w:rFonts w:ascii="Calibri" w:hAnsi="Calibri"/>
          <w:sz w:val="24"/>
          <w:szCs w:val="24"/>
        </w:rPr>
      </w:pPr>
      <w:r>
        <w:rPr>
          <w:rFonts w:eastAsia="Arial" w:cs="Arial" w:ascii="Calibri" w:hAnsi="Calibri"/>
          <w:i w:val="false"/>
          <w:iCs w:val="false"/>
          <w:color w:val="000000"/>
          <w:sz w:val="22"/>
          <w:szCs w:val="22"/>
        </w:rPr>
        <w:t>a contratada se vincula à sua proposta e às previsões contidas no Aviso de Contratação Direta e seus anexos;</w:t>
      </w:r>
    </w:p>
    <w:p>
      <w:pPr>
        <w:pStyle w:val="Normal"/>
        <w:numPr>
          <w:ilvl w:val="2"/>
          <w:numId w:val="1"/>
        </w:numPr>
        <w:spacing w:lineRule="auto" w:line="240" w:before="0" w:after="0"/>
        <w:contextualSpacing/>
        <w:jc w:val="both"/>
        <w:rPr>
          <w:rFonts w:ascii="Calibri" w:hAnsi="Calibri"/>
          <w:sz w:val="24"/>
          <w:szCs w:val="24"/>
        </w:rPr>
      </w:pPr>
      <w:r>
        <w:rPr>
          <w:rFonts w:eastAsia="Arial" w:cs="Arial" w:ascii="Calibri" w:hAnsi="Calibri"/>
          <w:i w:val="false"/>
          <w:iCs w:val="false"/>
          <w:color w:val="000000"/>
          <w:sz w:val="22"/>
          <w:szCs w:val="22"/>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40" w:before="0" w:after="0"/>
        <w:ind w:left="425" w:hanging="0"/>
        <w:contextualSpacing/>
        <w:jc w:val="both"/>
        <w:rPr>
          <w:rFonts w:ascii="Calibri" w:hAnsi="Calibri"/>
          <w:sz w:val="24"/>
          <w:szCs w:val="24"/>
        </w:rPr>
      </w:pPr>
      <w:r>
        <w:rPr>
          <w:rFonts w:eastAsia="Arial" w:cs="Arial" w:ascii="Calibri" w:hAnsi="Calibri"/>
          <w:color w:val="000000"/>
          <w:sz w:val="22"/>
          <w:szCs w:val="22"/>
        </w:rPr>
        <w:t>O prazo de vigência da contratação é de 12 (doze) meses</w:t>
      </w:r>
      <w:r>
        <w:rPr>
          <w:rFonts w:eastAsia="Arial" w:cs="Arial" w:ascii="Calibri" w:hAnsi="Calibri"/>
          <w:color w:val="FF0000"/>
          <w:sz w:val="22"/>
          <w:szCs w:val="22"/>
        </w:rPr>
        <w:t xml:space="preserve">, </w:t>
      </w:r>
      <w:r>
        <w:rPr>
          <w:rFonts w:eastAsia="Arial" w:cs="Arial" w:ascii="Calibri" w:hAnsi="Calibri"/>
          <w:color w:val="000000"/>
          <w:sz w:val="22"/>
          <w:szCs w:val="22"/>
        </w:rPr>
        <w:t xml:space="preserve">prorrogável conforme previsão nos anexos a este Aviso de Contratação Direta. </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40" w:before="0" w:after="0"/>
        <w:ind w:left="1217" w:hanging="0"/>
        <w:contextualSpacing/>
        <w:jc w:val="both"/>
        <w:rPr>
          <w:rFonts w:ascii="Calibri" w:hAnsi="Calibri" w:cs="Arial"/>
          <w:color w:val="000000"/>
          <w:sz w:val="22"/>
          <w:szCs w:val="22"/>
        </w:rPr>
      </w:pPr>
      <w:r>
        <w:rPr>
          <w:rFonts w:cs="Arial" w:ascii="Calibri" w:hAnsi="Calibri"/>
          <w:color w:val="000000"/>
          <w:sz w:val="22"/>
          <w:szCs w:val="22"/>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SANÇÕES</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Comete infração administrativa o fornecedor que cometer quaisquer das infrações previstas no art. 155 da Lei nº 14.133, de 2021, quais sejam: </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dar causa à inexecução parcial do contrato</w:t>
      </w:r>
      <w:r>
        <w:rPr>
          <w:rFonts w:cs="Arial" w:ascii="Calibri" w:hAnsi="Calibri"/>
          <w:sz w:val="22"/>
          <w:szCs w:val="22"/>
        </w:rPr>
        <w:t>;</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dar causa à inexecução parcial do contrato que cause grave dano à Administração, ao funcionamento dos serviços públicos ou ao interesse coletivo;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dar causa à inexecução total do contrato;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deixar de entregar a documentação exigida para o certame;</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não manter a proposta, salvo em decorrência de fato superveniente devidamente justificado;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não celebrar o contrato ou não entregar a documentação exigida para a contratação, quando convocado dentro do prazo de validade de sua proposta;</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 </w:t>
      </w:r>
      <w:r>
        <w:rPr>
          <w:rFonts w:cs="Arial" w:ascii="Calibri" w:hAnsi="Calibri"/>
          <w:color w:val="000000"/>
          <w:sz w:val="22"/>
          <w:szCs w:val="22"/>
        </w:rPr>
        <w:t>ensejar o retardamento da execução ou da entrega do objeto da licitação sem motivo justificado;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apresentar declaração ou documentação falsa exigida para o certame ou prestar declaração falsa durante a dispensa eletrônica ou a execução do contrato;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fraudar a dispensa eletrônica ou praticar ato fraudulento na execução do contrato;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 </w:t>
      </w:r>
      <w:r>
        <w:rPr>
          <w:rFonts w:cs="Arial" w:ascii="Calibri" w:hAnsi="Calibri"/>
          <w:color w:val="000000"/>
          <w:sz w:val="22"/>
          <w:szCs w:val="22"/>
        </w:rPr>
        <w:t>comportar-se de modo inidôneo ou cometer fraude de qualquer natureza;</w:t>
      </w:r>
    </w:p>
    <w:p>
      <w:pPr>
        <w:pStyle w:val="ListParagraph"/>
        <w:numPr>
          <w:ilvl w:val="3"/>
          <w:numId w:val="1"/>
        </w:numPr>
        <w:spacing w:lineRule="auto" w:line="240" w:before="0" w:after="0"/>
        <w:contextualSpacing/>
        <w:jc w:val="both"/>
        <w:rPr>
          <w:rFonts w:ascii="Calibri" w:hAnsi="Calibri"/>
          <w:sz w:val="24"/>
          <w:szCs w:val="24"/>
        </w:rPr>
      </w:pPr>
      <w:r>
        <w:rPr>
          <w:rFonts w:cs="Arial" w:ascii="Calibri" w:hAnsi="Calibr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 </w:t>
      </w:r>
      <w:r>
        <w:rPr>
          <w:rFonts w:cs="Arial" w:ascii="Calibri" w:hAnsi="Calibri"/>
          <w:color w:val="000000"/>
          <w:sz w:val="22"/>
          <w:szCs w:val="22"/>
        </w:rPr>
        <w:t>praticar atos ilícitos com vistas a frustrar os objetivos deste certame.</w:t>
      </w:r>
    </w:p>
    <w:p>
      <w:pPr>
        <w:pStyle w:val="Normal"/>
        <w:numPr>
          <w:ilvl w:val="2"/>
          <w:numId w:val="1"/>
        </w:numPr>
        <w:spacing w:lineRule="auto" w:line="240" w:before="0" w:after="0"/>
        <w:contextualSpacing/>
        <w:jc w:val="both"/>
        <w:rPr/>
      </w:pPr>
      <w:r>
        <w:rPr>
          <w:rFonts w:cs="Arial" w:ascii="Calibri" w:hAnsi="Calibri"/>
          <w:color w:val="000000"/>
          <w:sz w:val="22"/>
          <w:szCs w:val="22"/>
        </w:rPr>
        <w:t>praticar ato lesivo previsto no </w:t>
      </w:r>
      <w:r>
        <w:fldChar w:fldCharType="begin"/>
      </w:r>
      <w:r>
        <w:rPr>
          <w:rStyle w:val="ListLabel74"/>
          <w:sz w:val="22"/>
          <w:szCs w:val="22"/>
          <w:rFonts w:ascii="Calibri" w:hAnsi="Calibri"/>
        </w:rPr>
        <w:instrText> HYPERLINK "http://www.planalto.gov.br/ccivil_03/_Ato2011-2014/2013/Lei/L12846.htm" \l "art5"</w:instrText>
      </w:r>
      <w:r>
        <w:rPr>
          <w:rStyle w:val="ListLabel74"/>
          <w:sz w:val="22"/>
          <w:szCs w:val="22"/>
          <w:rFonts w:ascii="Calibri" w:hAnsi="Calibri"/>
        </w:rPr>
        <w:fldChar w:fldCharType="separate"/>
      </w:r>
      <w:r>
        <w:rPr>
          <w:rStyle w:val="ListLabel74"/>
          <w:rFonts w:ascii="Calibri" w:hAnsi="Calibri"/>
          <w:color w:val="000000"/>
          <w:sz w:val="22"/>
          <w:szCs w:val="22"/>
        </w:rPr>
        <w:t>art. 5º da Lei nº 12.846, de 1º de agosto de 2013.</w:t>
      </w:r>
      <w:r>
        <w:rPr>
          <w:rStyle w:val="ListLabel74"/>
          <w:sz w:val="22"/>
          <w:szCs w:val="22"/>
          <w:rFonts w:ascii="Calibri" w:hAnsi="Calibri"/>
        </w:rPr>
        <w:fldChar w:fldCharType="end"/>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40" w:before="0" w:after="0"/>
        <w:contextualSpacing/>
        <w:jc w:val="both"/>
        <w:rPr>
          <w:rFonts w:ascii="Calibri" w:hAnsi="Calibri"/>
          <w:sz w:val="24"/>
          <w:szCs w:val="24"/>
        </w:rPr>
      </w:pPr>
      <w:r>
        <w:rPr>
          <w:rFonts w:cs="Arial" w:ascii="Calibri" w:hAnsi="Calibri"/>
          <w:sz w:val="22"/>
          <w:szCs w:val="22"/>
        </w:rPr>
        <w:t>Advertência pela falta do subitem 8.1.1 deste Aviso de Contratação Direta,</w:t>
      </w:r>
      <w:r>
        <w:rPr>
          <w:rFonts w:ascii="Calibri" w:hAnsi="Calibri"/>
          <w:sz w:val="22"/>
          <w:szCs w:val="22"/>
        </w:rPr>
        <w:t xml:space="preserve"> </w:t>
      </w:r>
      <w:r>
        <w:rPr>
          <w:rFonts w:cs="Arial" w:ascii="Calibri" w:hAnsi="Calibri"/>
          <w:sz w:val="22"/>
          <w:szCs w:val="22"/>
        </w:rPr>
        <w:t>quando não se justificar a imposição de penalidade mais grave;</w:t>
      </w:r>
    </w:p>
    <w:p>
      <w:pPr>
        <w:pStyle w:val="Normal"/>
        <w:numPr>
          <w:ilvl w:val="2"/>
          <w:numId w:val="5"/>
        </w:numPr>
        <w:spacing w:lineRule="auto" w:line="240" w:before="0" w:after="0"/>
        <w:contextualSpacing/>
        <w:jc w:val="both"/>
        <w:rPr>
          <w:rFonts w:ascii="Calibri" w:hAnsi="Calibri"/>
          <w:sz w:val="24"/>
          <w:szCs w:val="24"/>
        </w:rPr>
      </w:pPr>
      <w:r>
        <w:rPr>
          <w:rFonts w:cs="Arial" w:ascii="Calibri" w:hAnsi="Calibri"/>
          <w:sz w:val="22"/>
          <w:szCs w:val="22"/>
        </w:rPr>
        <w:t>Multa</w:t>
      </w:r>
      <w:r>
        <w:rPr>
          <w:rFonts w:cs="Arial" w:ascii="Calibri" w:hAnsi="Calibri"/>
          <w:color w:val="000000"/>
          <w:sz w:val="22"/>
          <w:szCs w:val="22"/>
        </w:rPr>
        <w:t xml:space="preserve"> de 2% (dois por cento) sobre o valor estimado do(s) item(s) prejudicado(s) pela conduta do fornecedo</w:t>
      </w:r>
      <w:r>
        <w:rPr>
          <w:rFonts w:cs="Arial" w:ascii="Calibri" w:hAnsi="Calibri"/>
          <w:sz w:val="22"/>
          <w:szCs w:val="22"/>
        </w:rPr>
        <w:t>r, por qualquer das infrações dos subitens 8.1.1 a 8.1.12;</w:t>
      </w:r>
    </w:p>
    <w:p>
      <w:pPr>
        <w:pStyle w:val="Normal"/>
        <w:numPr>
          <w:ilvl w:val="2"/>
          <w:numId w:val="5"/>
        </w:numPr>
        <w:spacing w:lineRule="auto" w:line="240" w:before="0" w:after="0"/>
        <w:contextualSpacing/>
        <w:jc w:val="both"/>
        <w:rPr>
          <w:rFonts w:ascii="Calibri" w:hAnsi="Calibri"/>
          <w:sz w:val="24"/>
          <w:szCs w:val="24"/>
        </w:rPr>
      </w:pPr>
      <w:r>
        <w:rPr>
          <w:rFonts w:cs="Arial" w:ascii="Calibri" w:hAnsi="Calibri"/>
          <w:color w:val="000000"/>
          <w:sz w:val="22"/>
          <w:szCs w:val="22"/>
        </w:rPr>
        <w:t>Impedimento de licitar e contratar</w:t>
      </w:r>
      <w:r>
        <w:rPr>
          <w:rFonts w:cs="Arial" w:ascii="Calibri" w:hAnsi="Calibri"/>
          <w:sz w:val="22"/>
          <w:szCs w:val="22"/>
        </w:rPr>
        <w:t xml:space="preserve"> </w:t>
      </w:r>
      <w:r>
        <w:rPr>
          <w:rFonts w:cs="Arial" w:ascii="Calibri" w:hAnsi="Calibri"/>
          <w:color w:val="000000"/>
          <w:sz w:val="22"/>
          <w:szCs w:val="22"/>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2"/>
          <w:szCs w:val="22"/>
        </w:rPr>
        <w:t>;</w:t>
      </w:r>
    </w:p>
    <w:p>
      <w:pPr>
        <w:pStyle w:val="Normal"/>
        <w:numPr>
          <w:ilvl w:val="2"/>
          <w:numId w:val="5"/>
        </w:numPr>
        <w:spacing w:lineRule="auto" w:line="240" w:before="0" w:after="0"/>
        <w:contextualSpacing/>
        <w:jc w:val="both"/>
        <w:rPr>
          <w:rFonts w:ascii="Calibri" w:hAnsi="Calibri"/>
          <w:sz w:val="24"/>
          <w:szCs w:val="24"/>
        </w:rPr>
      </w:pPr>
      <w:r>
        <w:rPr>
          <w:rFonts w:cs="Arial" w:ascii="Calibri" w:hAnsi="Calibri"/>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2"/>
          <w:szCs w:val="22"/>
        </w:rPr>
        <w:t>;</w:t>
      </w:r>
    </w:p>
    <w:p>
      <w:pPr>
        <w:pStyle w:val="Normal"/>
        <w:numPr>
          <w:ilvl w:val="1"/>
          <w:numId w:val="1"/>
        </w:numPr>
        <w:spacing w:lineRule="auto" w:line="240" w:before="0" w:after="0"/>
        <w:contextualSpacing/>
        <w:jc w:val="both"/>
        <w:rPr>
          <w:rFonts w:ascii="Calibri" w:hAnsi="Calibri"/>
          <w:sz w:val="24"/>
          <w:szCs w:val="24"/>
        </w:rPr>
      </w:pPr>
      <w:r>
        <w:rPr>
          <w:rFonts w:cs="Arial" w:ascii="Calibri" w:hAnsi="Calibri"/>
          <w:bCs/>
          <w:sz w:val="22"/>
          <w:szCs w:val="22"/>
        </w:rPr>
        <w:t>Na aplicação das sanções serão considerados: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bCs/>
          <w:sz w:val="22"/>
          <w:szCs w:val="22"/>
        </w:rPr>
        <w:t>a natureza e a gravidade da infração cometida;</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bCs/>
          <w:sz w:val="22"/>
          <w:szCs w:val="22"/>
        </w:rPr>
        <w:t>as peculiaridades do caso concreto;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bCs/>
          <w:sz w:val="22"/>
          <w:szCs w:val="22"/>
        </w:rPr>
        <w:t>as circunstâncias agravantes ou atenuantes;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bCs/>
          <w:sz w:val="22"/>
          <w:szCs w:val="22"/>
        </w:rPr>
        <w:t>os danos que dela provierem para a Administração Pública;</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bCs/>
          <w:sz w:val="22"/>
          <w:szCs w:val="22"/>
        </w:rPr>
        <w:t>a implantação ou o aperfeiçoamento de programa de integridade, conforme normas e orientações dos órgãos de controle.</w:t>
      </w:r>
    </w:p>
    <w:p>
      <w:pPr>
        <w:pStyle w:val="Normal"/>
        <w:numPr>
          <w:ilvl w:val="1"/>
          <w:numId w:val="1"/>
        </w:numPr>
        <w:spacing w:lineRule="auto" w:line="240" w:before="0" w:after="0"/>
        <w:ind w:left="425" w:hanging="0"/>
        <w:contextualSpacing/>
        <w:jc w:val="both"/>
        <w:rPr>
          <w:rFonts w:ascii="Calibri" w:hAnsi="Calibri"/>
          <w:sz w:val="24"/>
          <w:szCs w:val="24"/>
        </w:rPr>
      </w:pPr>
      <w:bookmarkStart w:id="3" w:name="art156%252525252525252525C2%252525252525"/>
      <w:bookmarkStart w:id="4" w:name="art156%252525252525252525C2%252525252525"/>
      <w:bookmarkStart w:id="5" w:name="art156%252525252525252525C2%252525252525"/>
      <w:bookmarkEnd w:id="3"/>
      <w:bookmarkEnd w:id="4"/>
      <w:bookmarkEnd w:id="5"/>
      <w:r>
        <w:rPr>
          <w:rFonts w:cs="Arial" w:ascii="Calibri" w:hAnsi="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40" w:before="0" w:after="0"/>
        <w:ind w:left="425" w:hanging="0"/>
        <w:contextualSpacing/>
        <w:jc w:val="both"/>
        <w:rPr>
          <w:rFonts w:ascii="Calibri" w:hAnsi="Calibri"/>
          <w:sz w:val="24"/>
          <w:szCs w:val="24"/>
        </w:rPr>
      </w:pPr>
      <w:bookmarkStart w:id="6" w:name="art156%252525252525252525C2%252525252525"/>
      <w:bookmarkEnd w:id="6"/>
      <w:r>
        <w:rPr>
          <w:rFonts w:cs="Arial" w:ascii="Calibri" w:hAnsi="Calibri"/>
          <w:sz w:val="22"/>
          <w:szCs w:val="22"/>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A penalidade de multa pode ser aplicada cumulativamente com as demais sanções.</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sz w:val="22"/>
          <w:szCs w:val="22"/>
        </w:rPr>
        <w:t>As sanções por atos praticados no decorrer da contratação estão previstas nos anexos a este Aviso.</w:t>
      </w:r>
    </w:p>
    <w:p>
      <w:pPr>
        <w:pStyle w:val="Normal"/>
        <w:spacing w:lineRule="auto" w:line="240" w:before="0" w:after="0"/>
        <w:ind w:left="425" w:hanging="0"/>
        <w:contextualSpacing/>
        <w:jc w:val="both"/>
        <w:rPr>
          <w:rFonts w:ascii="Calibri" w:hAnsi="Calibri" w:cs="Arial"/>
          <w:sz w:val="22"/>
          <w:szCs w:val="22"/>
        </w:rPr>
      </w:pPr>
      <w:r>
        <w:rPr>
          <w:rFonts w:cs="Arial" w:ascii="Calibri" w:hAnsi="Calibri"/>
          <w:sz w:val="22"/>
          <w:szCs w:val="22"/>
        </w:rPr>
      </w:r>
    </w:p>
    <w:p>
      <w:pPr>
        <w:pStyle w:val="PADRO"/>
        <w:keepNext w:val="false"/>
        <w:widowControl/>
        <w:numPr>
          <w:ilvl w:val="0"/>
          <w:numId w:val="1"/>
        </w:numPr>
        <w:shd w:val="clear" w:color="auto" w:fill="auto"/>
        <w:spacing w:lineRule="auto" w:line="240" w:before="0" w:after="0"/>
        <w:contextualSpacing/>
        <w:rPr>
          <w:rFonts w:ascii="Calibri" w:hAnsi="Calibri"/>
          <w:sz w:val="24"/>
          <w:szCs w:val="24"/>
        </w:rPr>
      </w:pPr>
      <w:r>
        <w:rPr>
          <w:rFonts w:cs="Arial" w:ascii="Calibri" w:hAnsi="Calibri"/>
          <w:b/>
          <w:sz w:val="22"/>
          <w:szCs w:val="22"/>
        </w:rPr>
        <w:t>DAS DISPOSIÇÕES GERAIS</w:t>
      </w:r>
    </w:p>
    <w:p>
      <w:pPr>
        <w:pStyle w:val="Normal"/>
        <w:numPr>
          <w:ilvl w:val="1"/>
          <w:numId w:val="1"/>
        </w:numPr>
        <w:snapToGrid w:val="false"/>
        <w:spacing w:lineRule="auto" w:line="240" w:before="0" w:after="0"/>
        <w:ind w:left="425" w:hanging="0"/>
        <w:contextualSpacing/>
        <w:jc w:val="both"/>
        <w:rPr>
          <w:rFonts w:ascii="Calibri" w:hAnsi="Calibri"/>
          <w:sz w:val="24"/>
          <w:szCs w:val="24"/>
        </w:rPr>
      </w:pPr>
      <w:r>
        <w:rPr>
          <w:rFonts w:ascii="Calibri" w:hAnsi="Calibri"/>
          <w:sz w:val="22"/>
          <w:szCs w:val="22"/>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No caso de todos os fornecedores restarem desclassificados ou inabilitados (procedimento fracassado), a Administração poderá:</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republicar o presente aviso com uma nova data;</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40" w:before="0" w:after="0"/>
        <w:contextualSpacing/>
        <w:jc w:val="both"/>
        <w:rPr>
          <w:rFonts w:ascii="Calibri" w:hAnsi="Calibri"/>
          <w:sz w:val="24"/>
          <w:szCs w:val="24"/>
        </w:rPr>
      </w:pPr>
      <w:r>
        <w:rPr>
          <w:rFonts w:cs="Arial" w:ascii="Calibri" w:hAnsi="Calibri"/>
          <w:color w:val="000000"/>
          <w:sz w:val="22"/>
          <w:szCs w:val="22"/>
        </w:rPr>
        <w:t>No caso do subitem anterior, a contratação será operacionalizada fora deste procedimento.</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fixar prazo para que possa haver adequação das propostas ou da documentação de habilitação, conforme o caso.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As providências dos subitens 9.2.1 e 9.2.2 acima poderão ser utilizadas se não houver o comparecimento de quaisquer fornecedores interessados (procedimento deserto)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Em caso de divergência entre disposições deste Aviso de Contratação Direta e de seus anexos ou demais peças que compõem o processo, prevalecerá as deste Aviso.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Da sessão pública será divulgada Ata no sistema eletrônico.</w:t>
      </w:r>
    </w:p>
    <w:p>
      <w:pPr>
        <w:pStyle w:val="Normal"/>
        <w:numPr>
          <w:ilvl w:val="1"/>
          <w:numId w:val="1"/>
        </w:numPr>
        <w:spacing w:lineRule="auto" w:line="240" w:before="0" w:after="0"/>
        <w:ind w:left="425" w:hanging="0"/>
        <w:contextualSpacing/>
        <w:jc w:val="both"/>
        <w:rPr>
          <w:rFonts w:ascii="Calibri" w:hAnsi="Calibri"/>
          <w:sz w:val="24"/>
          <w:szCs w:val="24"/>
        </w:rPr>
      </w:pPr>
      <w:r>
        <w:rPr>
          <w:rFonts w:cs="Arial" w:ascii="Calibri" w:hAnsi="Calibri"/>
          <w:color w:val="000000"/>
          <w:sz w:val="22"/>
          <w:szCs w:val="22"/>
        </w:rPr>
        <w:t>Integram este Aviso de Contratação Direta, para todos os fins e efeitos, os seguintes anexos:</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 xml:space="preserve">ANEXO I </w:t>
      </w:r>
      <w:bookmarkStart w:id="7" w:name="__DdeLink__4139_2413469259"/>
      <w:r>
        <w:rPr>
          <w:rFonts w:cs="Arial" w:ascii="Calibri" w:hAnsi="Calibri"/>
          <w:color w:val="000000"/>
          <w:sz w:val="22"/>
          <w:szCs w:val="22"/>
        </w:rPr>
        <w:t>–</w:t>
      </w:r>
      <w:bookmarkEnd w:id="7"/>
      <w:r>
        <w:rPr>
          <w:rFonts w:cs="Arial" w:ascii="Calibri" w:hAnsi="Calibri"/>
          <w:color w:val="000000"/>
          <w:sz w:val="22"/>
          <w:szCs w:val="22"/>
        </w:rPr>
        <w:t xml:space="preserve"> Documentação exigida para Habilitação e</w:t>
      </w:r>
    </w:p>
    <w:p>
      <w:pPr>
        <w:pStyle w:val="Normal"/>
        <w:numPr>
          <w:ilvl w:val="2"/>
          <w:numId w:val="1"/>
        </w:numPr>
        <w:spacing w:lineRule="auto" w:line="240" w:before="0" w:after="0"/>
        <w:contextualSpacing/>
        <w:jc w:val="both"/>
        <w:rPr>
          <w:rFonts w:ascii="Calibri" w:hAnsi="Calibri"/>
          <w:sz w:val="24"/>
          <w:szCs w:val="24"/>
        </w:rPr>
      </w:pPr>
      <w:r>
        <w:rPr>
          <w:rFonts w:cs="Arial" w:ascii="Calibri" w:hAnsi="Calibri"/>
          <w:color w:val="000000"/>
          <w:sz w:val="22"/>
          <w:szCs w:val="22"/>
        </w:rPr>
        <w:t xml:space="preserve">ANEXO II – </w:t>
      </w:r>
      <w:r>
        <w:rPr>
          <w:rFonts w:cs="Arial" w:ascii="Calibri" w:hAnsi="Calibri"/>
          <w:i w:val="false"/>
          <w:iCs w:val="false"/>
          <w:color w:val="000000"/>
          <w:sz w:val="22"/>
          <w:szCs w:val="22"/>
        </w:rPr>
        <w:t>Estudo Técnico Preliminar.</w:t>
      </w:r>
    </w:p>
    <w:p>
      <w:pPr>
        <w:pStyle w:val="Normal"/>
        <w:numPr>
          <w:ilvl w:val="0"/>
          <w:numId w:val="0"/>
        </w:numPr>
        <w:spacing w:lineRule="auto" w:line="240" w:before="0" w:after="0"/>
        <w:ind w:left="1224" w:hanging="0"/>
        <w:contextualSpacing/>
        <w:jc w:val="both"/>
        <w:rPr>
          <w:rFonts w:ascii="Calibri" w:hAnsi="Calibri" w:cs="Arial"/>
          <w:i w:val="false"/>
          <w:i w:val="false"/>
          <w:iCs w:val="false"/>
          <w:color w:val="FF0000"/>
          <w:sz w:val="22"/>
          <w:szCs w:val="22"/>
        </w:rPr>
      </w:pPr>
      <w:r>
        <w:rPr>
          <w:rFonts w:cs="Arial" w:ascii="Calibri" w:hAnsi="Calibri"/>
          <w:i w:val="false"/>
          <w:iCs w:val="false"/>
          <w:color w:val="FF0000"/>
          <w:sz w:val="22"/>
          <w:szCs w:val="22"/>
        </w:rPr>
      </w:r>
    </w:p>
    <w:p>
      <w:pPr>
        <w:pStyle w:val="Normal"/>
        <w:numPr>
          <w:ilvl w:val="0"/>
          <w:numId w:val="0"/>
        </w:numPr>
        <w:spacing w:lineRule="auto" w:line="240" w:before="0" w:after="0"/>
        <w:ind w:left="1224" w:hanging="0"/>
        <w:contextualSpacing/>
        <w:jc w:val="both"/>
        <w:rPr>
          <w:rFonts w:ascii="Calibri" w:hAnsi="Calibri" w:cs="Arial"/>
          <w:i/>
          <w:i/>
          <w:iCs/>
          <w:color w:val="FF0000"/>
          <w:sz w:val="22"/>
          <w:szCs w:val="22"/>
        </w:rPr>
      </w:pPr>
      <w:r>
        <w:rPr>
          <w:rFonts w:cs="Arial" w:ascii="Calibri" w:hAnsi="Calibri"/>
          <w:i/>
          <w:iCs/>
          <w:color w:val="FF0000"/>
          <w:sz w:val="22"/>
          <w:szCs w:val="22"/>
        </w:rPr>
      </w:r>
    </w:p>
    <w:p>
      <w:pPr>
        <w:pStyle w:val="Normal"/>
        <w:spacing w:lineRule="auto" w:line="240" w:before="0" w:after="0"/>
        <w:ind w:left="360" w:right="-15" w:hanging="0"/>
        <w:contextualSpacing/>
        <w:jc w:val="right"/>
        <w:rPr>
          <w:sz w:val="22"/>
          <w:szCs w:val="22"/>
        </w:rPr>
      </w:pPr>
      <w:r>
        <w:rPr>
          <w:rFonts w:cs="Arial" w:ascii="Calibri" w:hAnsi="Calibri"/>
          <w:color w:val="000000"/>
          <w:sz w:val="22"/>
          <w:szCs w:val="22"/>
        </w:rPr>
        <w:t xml:space="preserve">Fortaleza - CE, </w:t>
      </w:r>
      <w:r>
        <w:rPr>
          <w:rFonts w:cs="Arial" w:ascii="Calibri" w:hAnsi="Calibri"/>
          <w:color w:val="000000"/>
          <w:sz w:val="22"/>
          <w:szCs w:val="22"/>
        </w:rPr>
        <w:t>28</w:t>
      </w:r>
      <w:r>
        <w:rPr>
          <w:rFonts w:cs="Arial" w:ascii="Calibri" w:hAnsi="Calibri"/>
          <w:color w:val="000000"/>
          <w:sz w:val="22"/>
          <w:szCs w:val="22"/>
        </w:rPr>
        <w:t xml:space="preserve"> de junho de 2022</w:t>
      </w:r>
    </w:p>
    <w:p>
      <w:pPr>
        <w:pStyle w:val="Normal"/>
        <w:spacing w:lineRule="auto" w:line="240" w:before="0" w:after="0"/>
        <w:ind w:left="360" w:right="-15" w:hanging="0"/>
        <w:contextualSpacing/>
        <w:jc w:val="right"/>
        <w:rPr>
          <w:rFonts w:ascii="Calibri" w:hAnsi="Calibri" w:cs="Arial"/>
          <w:color w:val="000000"/>
          <w:sz w:val="22"/>
          <w:szCs w:val="22"/>
        </w:rPr>
      </w:pPr>
      <w:r>
        <w:rPr>
          <w:rFonts w:cs="Arial" w:ascii="Calibri" w:hAnsi="Calibri"/>
          <w:color w:val="000000"/>
          <w:sz w:val="22"/>
          <w:szCs w:val="22"/>
        </w:rPr>
      </w:r>
    </w:p>
    <w:p>
      <w:pPr>
        <w:pStyle w:val="Normal"/>
        <w:spacing w:lineRule="auto" w:line="240" w:before="0" w:after="0"/>
        <w:ind w:left="360" w:right="-15" w:hanging="0"/>
        <w:contextualSpacing/>
        <w:jc w:val="right"/>
        <w:rPr>
          <w:rFonts w:ascii="Calibri" w:hAnsi="Calibri" w:cs="Arial"/>
          <w:color w:val="000000"/>
          <w:sz w:val="22"/>
          <w:szCs w:val="22"/>
        </w:rPr>
      </w:pPr>
      <w:r>
        <w:rPr>
          <w:rFonts w:cs="Arial" w:ascii="Calibri" w:hAnsi="Calibri"/>
          <w:color w:val="000000"/>
          <w:sz w:val="22"/>
          <w:szCs w:val="22"/>
        </w:rPr>
      </w:r>
    </w:p>
    <w:p>
      <w:pPr>
        <w:pStyle w:val="Normal"/>
        <w:spacing w:lineRule="auto" w:line="240" w:before="0" w:after="0"/>
        <w:contextualSpacing/>
        <w:jc w:val="center"/>
        <w:rPr>
          <w:rFonts w:ascii="Calibri" w:hAnsi="Calibri" w:cs="Arial"/>
          <w:b/>
          <w:b/>
          <w:bCs/>
          <w:iCs/>
          <w:color w:val="000000"/>
          <w:sz w:val="22"/>
          <w:szCs w:val="22"/>
        </w:rPr>
      </w:pPr>
      <w:r>
        <w:rPr>
          <w:rFonts w:cs="Arial" w:ascii="Calibri" w:hAnsi="Calibri"/>
          <w:b/>
          <w:bCs/>
          <w:iCs/>
          <w:color w:val="000000"/>
          <w:sz w:val="22"/>
          <w:szCs w:val="22"/>
        </w:rPr>
      </w:r>
    </w:p>
    <w:p>
      <w:pPr>
        <w:pStyle w:val="Normal"/>
        <w:spacing w:lineRule="auto" w:line="240" w:before="0" w:after="0"/>
        <w:contextualSpacing/>
        <w:jc w:val="center"/>
        <w:rPr>
          <w:rFonts w:ascii="Calibri" w:hAnsi="Calibri"/>
          <w:sz w:val="24"/>
          <w:szCs w:val="24"/>
        </w:rPr>
      </w:pPr>
      <w:r>
        <w:rPr>
          <w:rFonts w:cs="Arial" w:ascii="Calibri" w:hAnsi="Calibri"/>
          <w:sz w:val="22"/>
          <w:szCs w:val="22"/>
          <w:lang w:eastAsia="en-US"/>
        </w:rPr>
        <w:t>RUY ULISSES GONÇALVES DA VEIGA JUNIOR</w:t>
      </w:r>
    </w:p>
    <w:p>
      <w:pPr>
        <w:pStyle w:val="Normal"/>
        <w:spacing w:lineRule="auto" w:line="240" w:before="0" w:after="0"/>
        <w:contextualSpacing/>
        <w:jc w:val="center"/>
        <w:rPr>
          <w:rFonts w:ascii="Calibri" w:hAnsi="Calibri"/>
          <w:sz w:val="24"/>
          <w:szCs w:val="24"/>
        </w:rPr>
      </w:pPr>
      <w:r>
        <w:rPr>
          <w:rFonts w:cs="Arial" w:ascii="Calibri" w:hAnsi="Calibri"/>
          <w:sz w:val="22"/>
          <w:szCs w:val="22"/>
          <w:lang w:eastAsia="en-US"/>
        </w:rPr>
        <w:t>Ordenador de Despesas</w:t>
      </w:r>
    </w:p>
    <w:p>
      <w:pPr>
        <w:pStyle w:val="Normal"/>
        <w:spacing w:lineRule="auto" w:line="240" w:before="0" w:after="0"/>
        <w:contextualSpacing/>
        <w:jc w:val="center"/>
        <w:rPr>
          <w:rFonts w:ascii="Calibri" w:hAnsi="Calibri" w:cs="Arial"/>
          <w:sz w:val="22"/>
          <w:szCs w:val="22"/>
          <w:lang w:eastAsia="en-US"/>
        </w:rPr>
      </w:pPr>
      <w:r>
        <w:rPr>
          <w:rFonts w:cs="Arial" w:ascii="Calibri" w:hAnsi="Calibri"/>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cs="Arial"/>
          <w:b/>
          <w:b/>
          <w:bCs/>
          <w:sz w:val="22"/>
          <w:szCs w:val="22"/>
          <w:lang w:eastAsia="en-US"/>
        </w:rPr>
      </w:pPr>
      <w:r>
        <w:rPr>
          <w:rFonts w:cs="Arial" w:ascii="Calibri" w:hAnsi="Calibri"/>
          <w:b/>
          <w:bCs/>
          <w:sz w:val="22"/>
          <w:szCs w:val="22"/>
          <w:lang w:eastAsia="en-US"/>
        </w:rPr>
      </w:r>
    </w:p>
    <w:p>
      <w:pPr>
        <w:pStyle w:val="Normal"/>
        <w:spacing w:lineRule="auto" w:line="240" w:before="0" w:after="0"/>
        <w:contextualSpacing/>
        <w:jc w:val="center"/>
        <w:rPr>
          <w:rFonts w:ascii="Calibri" w:hAnsi="Calibri"/>
          <w:sz w:val="24"/>
          <w:szCs w:val="24"/>
        </w:rPr>
      </w:pPr>
      <w:r>
        <w:rPr>
          <w:rFonts w:cs="Arial" w:ascii="Calibri" w:hAnsi="Calibri"/>
          <w:b/>
          <w:bCs/>
          <w:sz w:val="22"/>
          <w:szCs w:val="22"/>
          <w:lang w:eastAsia="en-US"/>
        </w:rPr>
        <w:t>ANEXO I – DOCUMENTAÇÃO EXIGIDA PARA HABILITAÇÃO</w:t>
      </w:r>
    </w:p>
    <w:p>
      <w:pPr>
        <w:pStyle w:val="Normal"/>
        <w:spacing w:lineRule="auto" w:line="240" w:before="0" w:after="0"/>
        <w:contextualSpacing/>
        <w:rPr>
          <w:rFonts w:ascii="Calibri" w:hAnsi="Calibri" w:cs="Arial"/>
          <w:sz w:val="22"/>
          <w:szCs w:val="22"/>
          <w:lang w:eastAsia="en-US"/>
        </w:rPr>
      </w:pPr>
      <w:r>
        <w:rPr>
          <w:rFonts w:cs="Arial" w:ascii="Calibri" w:hAnsi="Calibri"/>
          <w:sz w:val="22"/>
          <w:szCs w:val="22"/>
          <w:lang w:eastAsia="en-US"/>
        </w:rPr>
      </w:r>
    </w:p>
    <w:p>
      <w:pPr>
        <w:pStyle w:val="PADRO"/>
        <w:keepNext w:val="false"/>
        <w:widowControl/>
        <w:numPr>
          <w:ilvl w:val="0"/>
          <w:numId w:val="3"/>
        </w:numPr>
        <w:shd w:val="clear" w:fill="FFFFFF"/>
        <w:spacing w:lineRule="auto" w:line="240" w:before="0" w:after="0"/>
        <w:contextualSpacing/>
        <w:rPr>
          <w:rFonts w:ascii="Calibri" w:hAnsi="Calibri"/>
          <w:sz w:val="24"/>
          <w:szCs w:val="24"/>
        </w:rPr>
      </w:pPr>
      <w:r>
        <w:rPr>
          <w:rFonts w:cs="Arial" w:ascii="Calibri" w:hAnsi="Calibri"/>
          <w:b/>
          <w:bCs/>
          <w:color w:val="000000"/>
          <w:sz w:val="22"/>
          <w:szCs w:val="22"/>
        </w:rPr>
        <w:t xml:space="preserve">Habilitação jurídica: </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sz w:val="22"/>
          <w:szCs w:val="22"/>
        </w:rPr>
        <w:t>no caso de empresário individual, inscrição no Registro Público de Empresas Mercantis, a cargo da Junta Comercial da respectiva sede;</w:t>
      </w:r>
    </w:p>
    <w:p>
      <w:pPr>
        <w:pStyle w:val="ListParagraph"/>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inscrição no Registro Público de Empresas Mercantis onde opera, com averbação no Registro onde tem sede a matriz, no caso de ser o participante sucursal, filial ou agência;</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decreto de autorização, em se tratando de sociedade empresária estrangeira em funcionamento no País;</w:t>
      </w:r>
    </w:p>
    <w:p>
      <w:pPr>
        <w:pStyle w:val="ListParagraph"/>
        <w:numPr>
          <w:ilvl w:val="1"/>
          <w:numId w:val="3"/>
        </w:numPr>
        <w:spacing w:lineRule="auto" w:line="240" w:before="0" w:after="0"/>
        <w:contextualSpacing/>
        <w:jc w:val="both"/>
        <w:rPr>
          <w:rFonts w:ascii="Calibri" w:hAnsi="Calibri"/>
          <w:sz w:val="24"/>
          <w:szCs w:val="24"/>
        </w:rPr>
      </w:pPr>
      <w:r>
        <w:rPr>
          <w:rFonts w:cs="Arial" w:ascii="Calibri" w:hAnsi="Calibri"/>
          <w:bCs/>
          <w:color w:val="000000"/>
          <w:sz w:val="22"/>
          <w:szCs w:val="22"/>
        </w:rPr>
        <w:t>Os documentos acima deverão estar acompanhados de todas as alterações ou da consolidação respectiva.</w:t>
      </w:r>
    </w:p>
    <w:p>
      <w:pPr>
        <w:pStyle w:val="ListParagraph"/>
        <w:spacing w:lineRule="auto" w:line="240" w:before="0" w:after="0"/>
        <w:ind w:left="1134" w:hanging="0"/>
        <w:contextualSpacing/>
        <w:jc w:val="both"/>
        <w:rPr>
          <w:rFonts w:ascii="Calibri" w:hAnsi="Calibri" w:cs="Arial"/>
          <w:bCs/>
          <w:color w:val="000000"/>
          <w:sz w:val="22"/>
          <w:szCs w:val="22"/>
        </w:rPr>
      </w:pPr>
      <w:r>
        <w:rPr>
          <w:rFonts w:cs="Arial" w:ascii="Calibri" w:hAnsi="Calibri"/>
          <w:bCs/>
          <w:color w:val="000000"/>
          <w:sz w:val="22"/>
          <w:szCs w:val="22"/>
        </w:rPr>
      </w:r>
    </w:p>
    <w:p>
      <w:pPr>
        <w:pStyle w:val="PADRO"/>
        <w:keepNext w:val="false"/>
        <w:widowControl/>
        <w:numPr>
          <w:ilvl w:val="0"/>
          <w:numId w:val="3"/>
        </w:numPr>
        <w:shd w:val="clear" w:fill="FFFFFF"/>
        <w:spacing w:lineRule="auto" w:line="240" w:before="0" w:after="0"/>
        <w:contextualSpacing/>
        <w:rPr>
          <w:rFonts w:ascii="Calibri" w:hAnsi="Calibri"/>
          <w:sz w:val="24"/>
          <w:szCs w:val="24"/>
        </w:rPr>
      </w:pPr>
      <w:r>
        <w:rPr>
          <w:rFonts w:cs="Arial" w:ascii="Calibri" w:hAnsi="Calibri"/>
          <w:b/>
          <w:bCs/>
          <w:color w:val="000000"/>
          <w:sz w:val="22"/>
          <w:szCs w:val="22"/>
        </w:rPr>
        <w:t xml:space="preserve"> </w:t>
      </w:r>
      <w:r>
        <w:rPr>
          <w:rFonts w:cs="Arial" w:ascii="Calibri" w:hAnsi="Calibri"/>
          <w:b/>
          <w:bCs/>
          <w:color w:val="000000"/>
          <w:sz w:val="22"/>
          <w:szCs w:val="22"/>
        </w:rPr>
        <w:t>Regularidade fiscal, social e trabalhista:</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sz w:val="22"/>
          <w:szCs w:val="22"/>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lang w:eastAsia="en-US"/>
        </w:rPr>
        <w:t>prova de regularidade com o Fundo de Garantia do Tempo de Serviço (FGTS);</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bCs/>
          <w:sz w:val="22"/>
          <w:szCs w:val="22"/>
        </w:rPr>
        <w:t xml:space="preserve">prova de </w:t>
      </w:r>
      <w:r>
        <w:rPr>
          <w:rFonts w:cs="Arial" w:ascii="Calibri" w:hAnsi="Calibri"/>
          <w:color w:val="000000"/>
          <w:sz w:val="22"/>
          <w:szCs w:val="22"/>
        </w:rPr>
        <w:t>inscrição no cadastro de contribuintes</w:t>
      </w:r>
      <w:r>
        <w:rPr>
          <w:rFonts w:cs="Arial" w:ascii="Calibri" w:hAnsi="Calibri"/>
          <w:i w:val="false"/>
          <w:iCs w:val="false"/>
          <w:color w:val="000000"/>
          <w:sz w:val="22"/>
          <w:szCs w:val="22"/>
        </w:rPr>
        <w:t xml:space="preserve"> estadual e/ou municipal,</w:t>
      </w:r>
      <w:r>
        <w:rPr>
          <w:rFonts w:cs="Arial" w:ascii="Calibri" w:hAnsi="Calibri"/>
          <w:color w:val="000000"/>
          <w:sz w:val="22"/>
          <w:szCs w:val="22"/>
        </w:rPr>
        <w:t xml:space="preserve"> relativo ao domicílio ou sede do fornecedor, pertinente ao seu ramo de atividade e compatível com o objeto contratual</w:t>
      </w:r>
      <w:r>
        <w:rPr>
          <w:rFonts w:cs="Arial" w:ascii="Calibri" w:hAnsi="Calibri"/>
          <w:bCs/>
          <w:sz w:val="22"/>
          <w:szCs w:val="22"/>
        </w:rPr>
        <w:t xml:space="preserve">; </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sz w:val="22"/>
          <w:szCs w:val="22"/>
        </w:rPr>
        <w:t xml:space="preserve">prova de regularidade com a </w:t>
      </w:r>
      <w:r>
        <w:rPr>
          <w:rFonts w:cs="Arial" w:ascii="Calibri" w:hAnsi="Calibri"/>
          <w:i w:val="false"/>
          <w:iCs w:val="false"/>
          <w:color w:val="000000"/>
          <w:sz w:val="22"/>
          <w:szCs w:val="22"/>
        </w:rPr>
        <w:t>Fazenda Estadual e/ou Municipal do domi</w:t>
      </w:r>
      <w:r>
        <w:rPr>
          <w:rFonts w:cs="Arial" w:ascii="Calibri" w:hAnsi="Calibri"/>
          <w:sz w:val="22"/>
          <w:szCs w:val="22"/>
        </w:rPr>
        <w:t xml:space="preserve">cílio ou sede do fornecedor, relativa à atividade em cujo exercício contrata ou concorre; </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i w:val="false"/>
          <w:iCs w:val="false"/>
          <w:color w:val="000000"/>
          <w:sz w:val="22"/>
          <w:szCs w:val="22"/>
        </w:rPr>
        <w:t xml:space="preserve">caso o fornecedor seja considerado isento dos tributos estaduais </w:t>
      </w:r>
      <w:r>
        <w:rPr>
          <w:rFonts w:cs="Arial" w:ascii="Calibri" w:hAnsi="Calibri"/>
          <w:b/>
          <w:i w:val="false"/>
          <w:iCs w:val="false"/>
          <w:color w:val="000000"/>
          <w:sz w:val="22"/>
          <w:szCs w:val="22"/>
          <w:u w:val="single"/>
        </w:rPr>
        <w:t>ou</w:t>
      </w:r>
      <w:r>
        <w:rPr>
          <w:rFonts w:cs="Arial" w:ascii="Calibri" w:hAnsi="Calibri"/>
          <w:i w:val="false"/>
          <w:iCs w:val="false"/>
          <w:color w:val="000000"/>
          <w:sz w:val="22"/>
          <w:szCs w:val="22"/>
        </w:rPr>
        <w:t xml:space="preserve"> municipais relacionados ao objeto contratual, deverá comprovar tal condição mediante a apresentação de declaração da Fazenda respectiva do </w:t>
      </w:r>
      <w:r>
        <w:rPr>
          <w:rFonts w:cs="Arial" w:ascii="Calibri" w:hAnsi="Calibri"/>
          <w:sz w:val="22"/>
          <w:szCs w:val="22"/>
        </w:rPr>
        <w:t xml:space="preserve">seu domicílio ou sede, ou outra equivalente, na forma da lei; </w:t>
      </w:r>
    </w:p>
    <w:p>
      <w:pPr>
        <w:pStyle w:val="PADRO"/>
        <w:keepNext w:val="false"/>
        <w:widowControl/>
        <w:numPr>
          <w:ilvl w:val="0"/>
          <w:numId w:val="3"/>
        </w:numPr>
        <w:shd w:val="clear" w:fill="FFFFFF"/>
        <w:spacing w:lineRule="auto" w:line="240" w:before="0" w:after="0"/>
        <w:contextualSpacing/>
        <w:rPr>
          <w:rFonts w:ascii="Calibri" w:hAnsi="Calibri"/>
          <w:sz w:val="24"/>
          <w:szCs w:val="24"/>
        </w:rPr>
      </w:pPr>
      <w:r>
        <w:rPr>
          <w:rFonts w:cs="Arial" w:ascii="Calibri" w:hAnsi="Calibri"/>
          <w:b/>
          <w:color w:val="000000"/>
          <w:sz w:val="22"/>
          <w:szCs w:val="22"/>
        </w:rPr>
        <w:t>Qualificação Econômico-Financeira:</w:t>
      </w:r>
      <w:r>
        <w:rPr>
          <w:rFonts w:cs="Arial" w:ascii="Calibri" w:hAnsi="Calibri"/>
          <w:b/>
          <w:bCs/>
          <w:iCs/>
          <w:color w:val="000000"/>
          <w:sz w:val="22"/>
          <w:szCs w:val="22"/>
        </w:rPr>
        <w:t xml:space="preserve"> </w:t>
      </w:r>
    </w:p>
    <w:p>
      <w:pPr>
        <w:pStyle w:val="ListParagraph"/>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certidão negativa de falência expedida pelo distribuidor da sede do fornecedor;</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balanço patrimonial, demonstração de resultado de exercício e demais demonstrações contábeis dos 2 (dois) últimos exercícios sociais;</w:t>
      </w:r>
    </w:p>
    <w:p>
      <w:pPr>
        <w:pStyle w:val="Normal"/>
        <w:numPr>
          <w:ilvl w:val="2"/>
          <w:numId w:val="3"/>
        </w:numPr>
        <w:spacing w:lineRule="auto" w:line="240" w:before="0" w:after="0"/>
        <w:contextualSpacing/>
        <w:jc w:val="both"/>
        <w:rPr>
          <w:rFonts w:ascii="Calibri" w:hAnsi="Calibri"/>
          <w:sz w:val="24"/>
          <w:szCs w:val="24"/>
        </w:rPr>
      </w:pPr>
      <w:r>
        <w:rPr>
          <w:rFonts w:cs="Arial" w:ascii="Calibri" w:hAnsi="Calibri"/>
          <w:color w:val="000000"/>
          <w:sz w:val="22"/>
          <w:szCs w:val="22"/>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40" w:before="0" w:after="0"/>
        <w:contextualSpacing/>
        <w:jc w:val="both"/>
        <w:rPr>
          <w:rFonts w:ascii="Calibri" w:hAnsi="Calibri"/>
          <w:sz w:val="24"/>
          <w:szCs w:val="24"/>
        </w:rPr>
      </w:pPr>
      <w:r>
        <w:rPr>
          <w:rFonts w:cs="Arial" w:ascii="Calibri" w:hAnsi="Calibri"/>
          <w:color w:val="000000"/>
          <w:sz w:val="22"/>
          <w:szCs w:val="22"/>
        </w:rPr>
        <w:t>Os documentos referidos acima limitar-se-ão ao último exercício no caso de a pessoa jurídica ter sido constituída há menos de 2 (dois) anos.</w:t>
      </w:r>
    </w:p>
    <w:p>
      <w:pPr>
        <w:pStyle w:val="Normal"/>
        <w:numPr>
          <w:ilvl w:val="1"/>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43"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LG =</w:t>
            </w:r>
          </w:p>
        </w:tc>
        <w:tc>
          <w:tcPr>
            <w:tcW w:w="4252" w:type="dxa"/>
            <w:tcBorders>
              <w:top w:val="nil"/>
              <w:left w:val="nil"/>
              <w:right w:val="nil"/>
              <w:insideV w:val="nil"/>
            </w:tcBorders>
            <w:shd w:fill="auto" w:val="clear"/>
            <w:vAlign w:val="bottom"/>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Ativo Circulante + Realizável a Longo Prazo</w:t>
            </w:r>
          </w:p>
        </w:tc>
      </w:tr>
      <w:tr>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eastAsia="" w:cs="Arial" w:eastAsiaTheme="minorEastAsia"/>
                <w:color w:val="000000"/>
                <w:sz w:val="22"/>
                <w:szCs w:val="22"/>
              </w:rPr>
            </w:pPr>
            <w:r>
              <w:rPr>
                <w:rFonts w:eastAsia="" w:cs="Arial" w:eastAsiaTheme="minorEastAsia" w:ascii="Calibri" w:hAnsi="Calibri"/>
                <w:color w:val="000000"/>
                <w:sz w:val="22"/>
                <w:szCs w:val="22"/>
              </w:rPr>
            </w:r>
          </w:p>
        </w:tc>
        <w:tc>
          <w:tcPr>
            <w:tcW w:w="4252"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Passivo Circulante + Passivo Não Circulante</w:t>
            </w:r>
          </w:p>
        </w:tc>
      </w:tr>
    </w:tbl>
    <w:p>
      <w:pPr>
        <w:pStyle w:val="Normal"/>
        <w:tabs>
          <w:tab w:val="left" w:pos="1440" w:leader="none"/>
        </w:tabs>
        <w:snapToGrid w:val="false"/>
        <w:spacing w:lineRule="auto" w:line="240" w:before="0" w:after="0"/>
        <w:ind w:left="1134" w:hanging="0"/>
        <w:contextualSpacing/>
        <w:jc w:val="both"/>
        <w:rPr>
          <w:rFonts w:ascii="Calibri" w:hAnsi="Calibri" w:cs="Arial"/>
          <w:color w:val="000000"/>
          <w:sz w:val="22"/>
          <w:szCs w:val="22"/>
        </w:rPr>
      </w:pPr>
      <w:r>
        <w:rPr>
          <w:rFonts w:cs="Arial" w:ascii="Calibri" w:hAnsi="Calibri"/>
          <w:color w:val="000000"/>
          <w:sz w:val="22"/>
          <w:szCs w:val="22"/>
        </w:rPr>
      </w:r>
    </w:p>
    <w:tbl>
      <w:tblPr>
        <w:tblStyle w:val="Tabelacomgrade"/>
        <w:tblW w:w="6629" w:type="dxa"/>
        <w:jc w:val="left"/>
        <w:tblInd w:w="1134" w:type="dxa"/>
        <w:tblCellMar>
          <w:top w:w="0" w:type="dxa"/>
          <w:left w:w="143"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SG =</w:t>
            </w:r>
          </w:p>
        </w:tc>
        <w:tc>
          <w:tcPr>
            <w:tcW w:w="4395" w:type="dxa"/>
            <w:tcBorders>
              <w:top w:val="nil"/>
              <w:left w:val="nil"/>
              <w:right w:val="nil"/>
              <w:insideV w:val="nil"/>
            </w:tcBorders>
            <w:shd w:fill="auto" w:val="clear"/>
            <w:vAlign w:val="bottom"/>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Ativo Total</w:t>
            </w:r>
          </w:p>
        </w:tc>
      </w:tr>
      <w:tr>
        <w:trPr>
          <w:cantSplit w:val="true"/>
        </w:trPr>
        <w:tc>
          <w:tcPr>
            <w:tcW w:w="2233"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eastAsia="" w:cs="Arial" w:eastAsiaTheme="minorEastAsia"/>
                <w:color w:val="000000"/>
                <w:sz w:val="22"/>
                <w:szCs w:val="22"/>
              </w:rPr>
            </w:pPr>
            <w:r>
              <w:rPr>
                <w:rFonts w:eastAsia="" w:cs="Arial" w:eastAsiaTheme="minorEastAsia" w:ascii="Calibri" w:hAnsi="Calibri"/>
                <w:color w:val="000000"/>
                <w:sz w:val="22"/>
                <w:szCs w:val="22"/>
              </w:rPr>
            </w:r>
          </w:p>
        </w:tc>
        <w:tc>
          <w:tcPr>
            <w:tcW w:w="4395"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Passivo Circulante + Passivo Não Circulante</w:t>
            </w:r>
          </w:p>
        </w:tc>
      </w:tr>
    </w:tbl>
    <w:p>
      <w:pPr>
        <w:pStyle w:val="Normal"/>
        <w:tabs>
          <w:tab w:val="left" w:pos="1440" w:leader="none"/>
        </w:tabs>
        <w:snapToGrid w:val="false"/>
        <w:spacing w:lineRule="auto" w:line="240" w:before="0" w:after="0"/>
        <w:ind w:left="1134" w:hanging="0"/>
        <w:contextualSpacing/>
        <w:jc w:val="both"/>
        <w:rPr>
          <w:rFonts w:ascii="Calibri" w:hAnsi="Calibri" w:cs="Arial"/>
          <w:color w:val="000000"/>
          <w:sz w:val="22"/>
          <w:szCs w:val="22"/>
        </w:rPr>
      </w:pPr>
      <w:r>
        <w:rPr>
          <w:rFonts w:cs="Arial" w:ascii="Calibri" w:hAnsi="Calibri"/>
          <w:color w:val="000000"/>
          <w:sz w:val="22"/>
          <w:szCs w:val="22"/>
        </w:rPr>
      </w:r>
    </w:p>
    <w:tbl>
      <w:tblPr>
        <w:tblStyle w:val="Tabelacomgrade"/>
        <w:tblW w:w="4786" w:type="dxa"/>
        <w:jc w:val="left"/>
        <w:tblInd w:w="1134" w:type="dxa"/>
        <w:tblCellMar>
          <w:top w:w="0" w:type="dxa"/>
          <w:left w:w="143" w:type="dxa"/>
          <w:bottom w:w="0" w:type="dxa"/>
          <w:right w:w="108" w:type="dxa"/>
        </w:tblCellMar>
        <w:tblLook w:firstRow="1" w:noVBand="1" w:lastRow="0" w:firstColumn="1" w:lastColumn="0" w:noHBand="0" w:val="04a0"/>
      </w:tblPr>
      <w:tblGrid>
        <w:gridCol w:w="2234"/>
        <w:gridCol w:w="2551"/>
      </w:tblGrid>
      <w:tr>
        <w:trPr/>
        <w:tc>
          <w:tcPr>
            <w:tcW w:w="2234" w:type="dxa"/>
            <w:vMerge w:val="restart"/>
            <w:tcBorders>
              <w:top w:val="nil"/>
              <w:left w:val="nil"/>
              <w:bottom w:val="nil"/>
              <w:right w:val="nil"/>
              <w:insideH w:val="nil"/>
              <w:insideV w:val="nil"/>
            </w:tcBorders>
            <w:shd w:fill="auto" w:val="clear"/>
            <w:vAlign w:val="cente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LC =</w:t>
            </w:r>
          </w:p>
        </w:tc>
        <w:tc>
          <w:tcPr>
            <w:tcW w:w="2551" w:type="dxa"/>
            <w:tcBorders>
              <w:top w:val="nil"/>
              <w:left w:val="nil"/>
              <w:right w:val="nil"/>
              <w:insideV w:val="nil"/>
            </w:tcBorders>
            <w:shd w:fill="auto" w:val="clear"/>
            <w:vAlign w:val="bottom"/>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Ativo Circulante</w:t>
            </w:r>
          </w:p>
        </w:tc>
      </w:tr>
      <w:tr>
        <w:trPr/>
        <w:tc>
          <w:tcPr>
            <w:tcW w:w="2234" w:type="dxa"/>
            <w:vMerge w:val="continue"/>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eastAsia="" w:cs="Arial" w:eastAsiaTheme="minorEastAsia"/>
                <w:color w:val="000000"/>
                <w:sz w:val="22"/>
                <w:szCs w:val="22"/>
              </w:rPr>
            </w:pPr>
            <w:r>
              <w:rPr>
                <w:rFonts w:eastAsia="" w:cs="Arial" w:eastAsiaTheme="minorEastAsia" w:ascii="Calibri" w:hAnsi="Calibri"/>
                <w:color w:val="000000"/>
                <w:sz w:val="22"/>
                <w:szCs w:val="22"/>
              </w:rPr>
            </w:r>
          </w:p>
        </w:tc>
        <w:tc>
          <w:tcPr>
            <w:tcW w:w="2551" w:type="dxa"/>
            <w:tcBorders>
              <w:top w:val="nil"/>
              <w:left w:val="nil"/>
              <w:bottom w:val="nil"/>
              <w:right w:val="nil"/>
              <w:insideH w:val="nil"/>
              <w:insideV w:val="nil"/>
            </w:tcBorders>
            <w:shd w:fill="auto" w:val="clear"/>
          </w:tcPr>
          <w:p>
            <w:pPr>
              <w:pStyle w:val="Normal"/>
              <w:tabs>
                <w:tab w:val="left" w:pos="1440" w:leader="none"/>
              </w:tabs>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2"/>
                <w:szCs w:val="22"/>
              </w:rPr>
              <w:t>Passivo Circulante</w:t>
            </w:r>
          </w:p>
        </w:tc>
      </w:tr>
    </w:tbl>
    <w:p>
      <w:pPr>
        <w:pStyle w:val="Normal"/>
        <w:numPr>
          <w:ilvl w:val="2"/>
          <w:numId w:val="3"/>
        </w:numPr>
        <w:tabs>
          <w:tab w:val="left" w:pos="1440" w:leader="none"/>
        </w:tabs>
        <w:snapToGrid w:val="false"/>
        <w:spacing w:lineRule="auto" w:line="240" w:before="0" w:after="0"/>
        <w:contextualSpacing/>
        <w:jc w:val="both"/>
        <w:rPr>
          <w:rFonts w:ascii="Calibri" w:hAnsi="Calibri"/>
          <w:sz w:val="24"/>
          <w:szCs w:val="24"/>
        </w:rPr>
      </w:pPr>
      <w:r>
        <w:rPr>
          <w:rFonts w:cs="Arial" w:ascii="Calibri" w:hAnsi="Calibri"/>
          <w:color w:val="000000"/>
          <w:sz w:val="22"/>
          <w:szCs w:val="22"/>
        </w:rPr>
        <w:t>As empresas, que apresentarem resultado inferior ou igual a 1(um) em qualquer dos índices de Liquidez Geral (LG), Solvência Geral (SG) e Liquidez Corrente (LC), deverão comprovar capital ou patrimônio líquido mínimo de</w:t>
      </w:r>
      <w:r>
        <w:rPr>
          <w:rFonts w:cs="Arial" w:ascii="Calibri" w:hAnsi="Calibri"/>
          <w:i/>
          <w:iCs/>
          <w:color w:val="000000"/>
          <w:sz w:val="22"/>
          <w:szCs w:val="22"/>
        </w:rPr>
        <w:t xml:space="preserve"> </w:t>
      </w:r>
      <w:r>
        <w:rPr>
          <w:rFonts w:cs="Arial" w:ascii="Calibri" w:hAnsi="Calibri"/>
          <w:i w:val="false"/>
          <w:iCs w:val="false"/>
          <w:color w:val="000000"/>
          <w:sz w:val="22"/>
          <w:szCs w:val="22"/>
        </w:rPr>
        <w:t xml:space="preserve">10% (dez por cento) </w:t>
      </w:r>
      <w:r>
        <w:rPr>
          <w:rFonts w:cs="Arial" w:ascii="Calibri" w:hAnsi="Calibri"/>
          <w:color w:val="000000"/>
          <w:sz w:val="22"/>
          <w:szCs w:val="22"/>
        </w:rPr>
        <w:t xml:space="preserve">do valor total estimado da contratação ou do item pertinente. </w:t>
      </w:r>
    </w:p>
    <w:p>
      <w:pPr>
        <w:pStyle w:val="PADRO"/>
        <w:keepNext w:val="false"/>
        <w:widowControl/>
        <w:numPr>
          <w:ilvl w:val="0"/>
          <w:numId w:val="3"/>
        </w:numPr>
        <w:shd w:val="clear" w:fill="FFFFFF"/>
        <w:spacing w:lineRule="auto" w:line="240" w:before="0" w:after="0"/>
        <w:contextualSpacing/>
        <w:rPr>
          <w:rFonts w:ascii="Calibri" w:hAnsi="Calibri"/>
          <w:sz w:val="24"/>
          <w:szCs w:val="24"/>
        </w:rPr>
      </w:pPr>
      <w:r>
        <w:rPr>
          <w:rFonts w:cs="Arial" w:ascii="Calibri" w:hAnsi="Calibri"/>
          <w:b/>
          <w:color w:val="000000"/>
          <w:sz w:val="22"/>
          <w:szCs w:val="22"/>
        </w:rPr>
        <w:t>Qualificação</w:t>
      </w:r>
      <w:r>
        <w:rPr>
          <w:rFonts w:cs="Arial" w:ascii="Calibri" w:hAnsi="Calibri"/>
          <w:b/>
          <w:sz w:val="22"/>
          <w:szCs w:val="22"/>
        </w:rPr>
        <w:t xml:space="preserve"> Técnica</w:t>
      </w:r>
    </w:p>
    <w:p>
      <w:pPr>
        <w:pStyle w:val="PADRO"/>
        <w:keepNext w:val="false"/>
        <w:widowControl/>
        <w:numPr>
          <w:ilvl w:val="1"/>
          <w:numId w:val="3"/>
        </w:numPr>
        <w:shd w:val="clear" w:fill="FFFFFF"/>
        <w:spacing w:lineRule="auto" w:line="240" w:before="0" w:after="0"/>
        <w:contextualSpacing/>
        <w:rPr>
          <w:rFonts w:ascii="Calibri" w:hAnsi="Calibri"/>
          <w:sz w:val="24"/>
          <w:szCs w:val="24"/>
        </w:rPr>
      </w:pPr>
      <w:bookmarkStart w:id="8" w:name="_Hlk519176340"/>
      <w:bookmarkEnd w:id="8"/>
      <w:r>
        <w:rPr>
          <w:rFonts w:cs="Arial" w:ascii="Calibri" w:hAnsi="Calibri"/>
          <w:color w:val="000000"/>
          <w:sz w:val="22"/>
          <w:szCs w:val="22"/>
        </w:rPr>
        <w:t xml:space="preserve">Comprovação de aptidão para a prestação dos serviços em características, quantidades e prazos </w:t>
      </w:r>
      <w:r>
        <w:rPr>
          <w:rFonts w:cs="Arial" w:ascii="Calibri" w:hAnsi="Calibri"/>
          <w:sz w:val="22"/>
          <w:szCs w:val="22"/>
        </w:rPr>
        <w:t>compatíveis</w:t>
      </w:r>
      <w:r>
        <w:rPr>
          <w:rFonts w:cs="Arial" w:ascii="Calibri" w:hAnsi="Calibri"/>
          <w:color w:val="000000"/>
          <w:sz w:val="22"/>
          <w:szCs w:val="22"/>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3"/>
        </w:numPr>
        <w:shd w:val="clear" w:fill="FFFFFF"/>
        <w:spacing w:lineRule="auto" w:line="240" w:before="0" w:after="0"/>
        <w:contextualSpacing/>
        <w:rPr>
          <w:rFonts w:ascii="Calibri" w:hAnsi="Calibri"/>
          <w:sz w:val="24"/>
          <w:szCs w:val="24"/>
        </w:rPr>
      </w:pPr>
      <w:r>
        <w:rPr>
          <w:rFonts w:cs="Arial" w:ascii="Calibri" w:hAnsi="Calibri"/>
          <w:color w:val="000000"/>
          <w:sz w:val="22"/>
          <w:szCs w:val="22"/>
        </w:rPr>
        <w:t>Para fins da comprovação de que trata este subitem, os atestados deverão dizer respeito a contratos executados com as seguintes características mínimas:</w:t>
      </w:r>
    </w:p>
    <w:p>
      <w:pPr>
        <w:pStyle w:val="PADRO"/>
        <w:keepNext w:val="false"/>
        <w:widowControl/>
        <w:numPr>
          <w:ilvl w:val="3"/>
          <w:numId w:val="3"/>
        </w:numPr>
        <w:shd w:val="clear" w:fill="FFFFFF"/>
        <w:spacing w:lineRule="auto" w:line="240" w:before="0" w:after="0"/>
        <w:contextualSpacing/>
        <w:rPr>
          <w:rFonts w:ascii="Calibri" w:hAnsi="Calibri"/>
          <w:sz w:val="24"/>
          <w:szCs w:val="24"/>
        </w:rPr>
      </w:pPr>
      <w:bookmarkStart w:id="9" w:name="_Hlk5191763401"/>
      <w:bookmarkEnd w:id="9"/>
      <w:r>
        <w:rPr>
          <w:rFonts w:cs="Arial" w:ascii="Calibri" w:hAnsi="Calibri"/>
          <w:color w:val="000000"/>
          <w:sz w:val="22"/>
          <w:szCs w:val="22"/>
        </w:rPr>
        <w:t xml:space="preserve">Os atestados deverão referir-se a serviços prestados no âmbito de sua atividade econômica principal ou secundária especificadas no contrato social vigente; </w:t>
      </w:r>
      <w:bookmarkStart w:id="10" w:name="_Hlk519177818"/>
      <w:bookmarkEnd w:id="10"/>
    </w:p>
    <w:p>
      <w:pPr>
        <w:pStyle w:val="PADRO"/>
        <w:keepNext w:val="false"/>
        <w:widowControl/>
        <w:numPr>
          <w:ilvl w:val="3"/>
          <w:numId w:val="3"/>
        </w:numPr>
        <w:shd w:val="clear" w:fill="FFFFFF"/>
        <w:spacing w:lineRule="auto" w:line="240" w:before="0" w:after="0"/>
        <w:contextualSpacing/>
        <w:rPr>
          <w:rFonts w:ascii="Calibri" w:hAnsi="Calibri"/>
          <w:sz w:val="24"/>
          <w:szCs w:val="24"/>
        </w:rPr>
      </w:pPr>
      <w:r>
        <w:rPr>
          <w:rFonts w:cs="Arial" w:ascii="Calibri" w:hAnsi="Calibri"/>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widowControl/>
        <w:numPr>
          <w:ilvl w:val="0"/>
          <w:numId w:val="0"/>
        </w:numPr>
        <w:shd w:val="clear" w:fill="FFFFFF"/>
        <w:spacing w:lineRule="auto" w:line="240" w:before="0" w:after="0"/>
        <w:ind w:left="1854" w:hanging="0"/>
        <w:contextualSpacing/>
        <w:rPr>
          <w:sz w:val="22"/>
          <w:szCs w:val="22"/>
        </w:rPr>
      </w:pPr>
      <w:r>
        <w:rPr>
          <w:sz w:val="22"/>
          <w:szCs w:val="22"/>
        </w:rPr>
      </w:r>
    </w:p>
    <w:sectPr>
      <w:footerReference w:type="default" r:id="rId5"/>
      <w:type w:val="nextPage"/>
      <w:pgSz w:w="11906" w:h="16838"/>
      <w:pgMar w:left="1701" w:right="1701"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Calibri">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Calibri" w:hAnsi="Calibri"/>
      </w:rPr>
    </w:lvl>
    <w:lvl w:ilvl="1">
      <w:start w:val="1"/>
      <w:numFmt w:val="decimal"/>
      <w:lvlText w:val="%1.%2."/>
      <w:lvlJc w:val="left"/>
      <w:pPr>
        <w:ind w:left="792" w:hanging="432"/>
      </w:pPr>
      <w:rPr>
        <w:sz w:val="24"/>
        <w:i w:val="false"/>
        <w:b/>
        <w:iCs/>
        <w:rFonts w:ascii="Calibri" w:hAnsi="Calibri"/>
      </w:rPr>
    </w:lvl>
    <w:lvl w:ilvl="2">
      <w:start w:val="1"/>
      <w:numFmt w:val="decimal"/>
      <w:lvlText w:val="%1.%2.%3."/>
      <w:lvlJc w:val="left"/>
      <w:pPr>
        <w:ind w:left="1224" w:hanging="504"/>
      </w:pPr>
      <w:rPr>
        <w:sz w:val="24"/>
        <w:i w:val="false"/>
        <w:b/>
        <w:iCs/>
        <w:rFonts w:ascii="Calibri" w:hAnsi="Calibri" w:cs="Arial"/>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libri" w:hAnsi="Calibri"/>
      </w:rPr>
    </w:lvl>
    <w:lvl w:ilvl="2">
      <w:start w:val="1"/>
      <w:numFmt w:val="decimal"/>
      <w:lvlText w:val="%1.%2.%3"/>
      <w:lvlJc w:val="left"/>
      <w:pPr>
        <w:ind w:left="1854" w:hanging="720"/>
      </w:pPr>
      <w:rPr>
        <w:sz w:val="24"/>
        <w:b/>
        <w:rFonts w:ascii="Calibri" w:hAnsi="Calibri"/>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libri" w:hAnsi="Calibri"/>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367"/>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auto"/>
    </w:rPr>
  </w:style>
  <w:style w:type="character" w:styleId="ListLabel4">
    <w:name w:val="ListLabel 4"/>
    <w:qFormat/>
    <w:rPr>
      <w:rFonts w:cs="Arial"/>
    </w:rPr>
  </w:style>
  <w:style w:type="character" w:styleId="ListLabel5">
    <w:name w:val="ListLabel 5"/>
    <w:qFormat/>
    <w:rPr>
      <w:color w:val="auto"/>
    </w:rPr>
  </w:style>
  <w:style w:type="character" w:styleId="ListLabel6">
    <w:name w:val="ListLabel 6"/>
    <w:qFormat/>
    <w:rPr>
      <w:color w:val="auto"/>
    </w:rPr>
  </w:style>
  <w:style w:type="character" w:styleId="ListLabel7">
    <w:name w:val="ListLabel 7"/>
    <w:qFormat/>
    <w:rPr>
      <w:color w:val="auto"/>
    </w:rPr>
  </w:style>
  <w:style w:type="character" w:styleId="ListLabel8">
    <w:name w:val="ListLabel 8"/>
    <w:qFormat/>
    <w:rPr>
      <w:color w:val="auto"/>
    </w:rPr>
  </w:style>
  <w:style w:type="character" w:styleId="ListLabel9">
    <w:name w:val="ListLabel 9"/>
    <w:qFormat/>
    <w:rPr>
      <w:color w:val="auto"/>
    </w:rPr>
  </w:style>
  <w:style w:type="character" w:styleId="ListLabel10">
    <w:name w:val="ListLabel 10"/>
    <w:qFormat/>
    <w:rPr>
      <w:color w:val="auto"/>
    </w:rPr>
  </w:style>
  <w:style w:type="character" w:styleId="ListLabel11">
    <w:name w:val="ListLabel 11"/>
    <w:qFormat/>
    <w:rPr>
      <w:color w:val="auto"/>
    </w:rPr>
  </w:style>
  <w:style w:type="character" w:styleId="ListLabel12">
    <w:name w:val="ListLabel 12"/>
    <w:qFormat/>
    <w:rPr>
      <w:color w:val="auto"/>
    </w:rPr>
  </w:style>
  <w:style w:type="character" w:styleId="ListLabel13">
    <w:name w:val="ListLabel 13"/>
    <w:qFormat/>
    <w:rPr>
      <w:color w:val="auto"/>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auto"/>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auto"/>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auto"/>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auto"/>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auto"/>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auto"/>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auto"/>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auto"/>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auto"/>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auto"/>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auto"/>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auto"/>
    </w:rPr>
  </w:style>
  <w:style w:type="character" w:styleId="ListLabel71">
    <w:name w:val="ListLabel 71"/>
    <w:qFormat/>
    <w:rPr>
      <w:rFonts w:cs="Arial"/>
    </w:rPr>
  </w:style>
  <w:style w:type="character" w:styleId="ListLabel72">
    <w:name w:val="ListLabel 72"/>
    <w:qFormat/>
    <w:rPr>
      <w:rFonts w:eastAsia="Calibri" w:cs="Arial"/>
      <w:szCs w:val="20"/>
    </w:rPr>
  </w:style>
  <w:style w:type="character" w:styleId="ListLabel73">
    <w:name w:val="ListLabel 73"/>
    <w:qFormat/>
    <w:rPr>
      <w:rFonts w:eastAsia="Calibri" w:cs="Arial"/>
      <w:lang w:eastAsia="ar-SA"/>
    </w:rPr>
  </w:style>
  <w:style w:type="character" w:styleId="ListLabel74">
    <w:name w:val="ListLabel 74"/>
    <w:qFormat/>
    <w:rPr>
      <w:color w:val="000000"/>
    </w:rPr>
  </w:style>
  <w:style w:type="character" w:styleId="ListLabel75">
    <w:name w:val="ListLabel 75"/>
    <w:qFormat/>
    <w:rPr>
      <w:rFonts w:ascii="Arial" w:hAnsi="Arial"/>
      <w:b/>
    </w:rPr>
  </w:style>
  <w:style w:type="character" w:styleId="ListLabel76">
    <w:name w:val="ListLabel 76"/>
    <w:qFormat/>
    <w:rPr>
      <w:rFonts w:ascii="Arial" w:hAnsi="Arial"/>
      <w:b/>
      <w:i w:val="false"/>
      <w:iCs/>
    </w:rPr>
  </w:style>
  <w:style w:type="character" w:styleId="ListLabel77">
    <w:name w:val="ListLabel 77"/>
    <w:qFormat/>
    <w:rPr>
      <w:rFonts w:ascii="Arial" w:hAnsi="Arial" w:cs="Arial"/>
      <w:b/>
      <w:i w:val="false"/>
      <w:iCs/>
      <w:color w:val="auto"/>
    </w:rPr>
  </w:style>
  <w:style w:type="character" w:styleId="ListLabel78">
    <w:name w:val="ListLabel 78"/>
    <w:qFormat/>
    <w:rPr>
      <w:b/>
    </w:rPr>
  </w:style>
  <w:style w:type="character" w:styleId="ListLabel79">
    <w:name w:val="ListLabel 79"/>
    <w:qFormat/>
    <w:rPr>
      <w:rFonts w:ascii="Arial" w:hAnsi="Arial"/>
      <w:b/>
    </w:rPr>
  </w:style>
  <w:style w:type="character" w:styleId="ListLabel80">
    <w:name w:val="ListLabel 80"/>
    <w:qFormat/>
    <w:rPr>
      <w:b/>
    </w:rPr>
  </w:style>
  <w:style w:type="character" w:styleId="ListLabel81">
    <w:name w:val="ListLabel 81"/>
    <w:qFormat/>
    <w:rPr>
      <w:b w:val="false"/>
      <w:i w:val="false"/>
      <w:iCs/>
    </w:rPr>
  </w:style>
  <w:style w:type="character" w:styleId="ListLabel82">
    <w:name w:val="ListLabel 82"/>
    <w:qFormat/>
    <w:rPr>
      <w:rFonts w:cs="Arial"/>
      <w:b w:val="false"/>
      <w:i w:val="false"/>
      <w:iCs/>
      <w:color w:val="auto"/>
    </w:rPr>
  </w:style>
  <w:style w:type="character" w:styleId="ListLabel83">
    <w:name w:val="ListLabel 83"/>
    <w:qFormat/>
    <w:rPr>
      <w:b/>
    </w:rPr>
  </w:style>
  <w:style w:type="character" w:styleId="ListLabel84">
    <w:name w:val="ListLabel 84"/>
    <w:qFormat/>
    <w:rPr>
      <w:b w:val="false"/>
      <w:i w:val="false"/>
      <w:iCs/>
    </w:rPr>
  </w:style>
  <w:style w:type="character" w:styleId="ListLabel85">
    <w:name w:val="ListLabel 85"/>
    <w:qFormat/>
    <w:rPr>
      <w:b w:val="false"/>
      <w:i w:val="false"/>
      <w:iCs/>
      <w:color w:val="auto"/>
    </w:rPr>
  </w:style>
  <w:style w:type="character" w:styleId="ListLabel86">
    <w:name w:val="ListLabel 86"/>
    <w:qFormat/>
    <w:rPr>
      <w:rFonts w:cs="Arial"/>
    </w:rPr>
  </w:style>
  <w:style w:type="character" w:styleId="ListLabel87">
    <w:name w:val="ListLabel 87"/>
    <w:qFormat/>
    <w:rPr>
      <w:rFonts w:eastAsia="Calibri" w:cs="Arial"/>
      <w:szCs w:val="20"/>
    </w:rPr>
  </w:style>
  <w:style w:type="character" w:styleId="ListLabel88">
    <w:name w:val="ListLabel 88"/>
    <w:qFormat/>
    <w:rPr>
      <w:rFonts w:eastAsia="Calibri" w:cs="Arial"/>
      <w:lang w:eastAsia="ar-SA"/>
    </w:rPr>
  </w:style>
  <w:style w:type="character" w:styleId="ListLabel89">
    <w:name w:val="ListLabel 89"/>
    <w:qFormat/>
    <w:rPr>
      <w:color w:val="000000"/>
    </w:rPr>
  </w:style>
  <w:style w:type="character" w:styleId="ListLabel90">
    <w:name w:val="ListLabel 90"/>
    <w:qFormat/>
    <w:rPr>
      <w:rFonts w:ascii="Times New Roman" w:hAnsi="Times New Roman"/>
      <w:b/>
      <w:sz w:val="24"/>
    </w:rPr>
  </w:style>
  <w:style w:type="character" w:styleId="ListLabel91">
    <w:name w:val="ListLabel 91"/>
    <w:qFormat/>
    <w:rPr>
      <w:rFonts w:ascii="Times New Roman" w:hAnsi="Times New Roman"/>
      <w:b/>
      <w:i w:val="false"/>
      <w:iCs/>
      <w:sz w:val="24"/>
    </w:rPr>
  </w:style>
  <w:style w:type="character" w:styleId="ListLabel92">
    <w:name w:val="ListLabel 92"/>
    <w:qFormat/>
    <w:rPr>
      <w:rFonts w:ascii="Times New Roman" w:hAnsi="Times New Roman" w:cs="Arial"/>
      <w:b/>
      <w:i w:val="false"/>
      <w:iCs/>
      <w:color w:val="auto"/>
      <w:sz w:val="24"/>
    </w:rPr>
  </w:style>
  <w:style w:type="character" w:styleId="ListLabel93">
    <w:name w:val="ListLabel 93"/>
    <w:qFormat/>
    <w:rPr>
      <w:rFonts w:ascii="Times New Roman" w:hAnsi="Times New Roman"/>
      <w:b/>
      <w:sz w:val="24"/>
    </w:rPr>
  </w:style>
  <w:style w:type="character" w:styleId="ListLabel94">
    <w:name w:val="ListLabel 94"/>
    <w:qFormat/>
    <w:rPr>
      <w:rFonts w:ascii="Times New Roman" w:hAnsi="Times New Roman"/>
      <w:b/>
      <w:sz w:val="24"/>
    </w:rPr>
  </w:style>
  <w:style w:type="character" w:styleId="ListLabel95">
    <w:name w:val="ListLabel 95"/>
    <w:qFormat/>
    <w:rPr>
      <w:b/>
    </w:rPr>
  </w:style>
  <w:style w:type="character" w:styleId="ListLabel96">
    <w:name w:val="ListLabel 96"/>
    <w:qFormat/>
    <w:rPr>
      <w:b w:val="false"/>
      <w:i w:val="false"/>
      <w:iCs/>
    </w:rPr>
  </w:style>
  <w:style w:type="character" w:styleId="ListLabel97">
    <w:name w:val="ListLabel 97"/>
    <w:qFormat/>
    <w:rPr>
      <w:rFonts w:cs="Arial"/>
      <w:b w:val="false"/>
      <w:i w:val="false"/>
      <w:iCs/>
      <w:color w:val="auto"/>
    </w:rPr>
  </w:style>
  <w:style w:type="character" w:styleId="ListLabel98">
    <w:name w:val="ListLabel 98"/>
    <w:qFormat/>
    <w:rPr>
      <w:b/>
    </w:rPr>
  </w:style>
  <w:style w:type="character" w:styleId="ListLabel99">
    <w:name w:val="ListLabel 99"/>
    <w:qFormat/>
    <w:rPr>
      <w:b w:val="false"/>
      <w:i w:val="false"/>
      <w:iCs/>
    </w:rPr>
  </w:style>
  <w:style w:type="character" w:styleId="ListLabel100">
    <w:name w:val="ListLabel 100"/>
    <w:qFormat/>
    <w:rPr>
      <w:rFonts w:ascii="Times New Roman" w:hAnsi="Times New Roman"/>
      <w:b w:val="false"/>
      <w:i w:val="false"/>
      <w:iCs/>
      <w:color w:val="auto"/>
      <w:sz w:val="24"/>
    </w:rPr>
  </w:style>
  <w:style w:type="character" w:styleId="ListLabel101">
    <w:name w:val="ListLabel 101"/>
    <w:qFormat/>
    <w:rPr>
      <w:rFonts w:ascii="Times New Roman" w:hAnsi="Times New Roman" w:eastAsia="Calibri" w:cs="Arial"/>
      <w:sz w:val="24"/>
      <w:szCs w:val="24"/>
    </w:rPr>
  </w:style>
  <w:style w:type="character" w:styleId="ListLabel102">
    <w:name w:val="ListLabel 102"/>
    <w:qFormat/>
    <w:rPr>
      <w:rFonts w:ascii="Times New Roman" w:hAnsi="Times New Roman" w:eastAsia="Calibri" w:cs="Arial"/>
      <w:sz w:val="24"/>
      <w:szCs w:val="24"/>
      <w:lang w:eastAsia="ar-SA"/>
    </w:rPr>
  </w:style>
  <w:style w:type="character" w:styleId="ListLabel103">
    <w:name w:val="ListLabel 103"/>
    <w:qFormat/>
    <w:rPr>
      <w:rFonts w:ascii="Times New Roman" w:hAnsi="Times New Roman"/>
      <w:color w:val="000000"/>
      <w:sz w:val="24"/>
      <w:szCs w:val="24"/>
    </w:rPr>
  </w:style>
  <w:style w:type="character" w:styleId="ListLabel104">
    <w:name w:val="ListLabel 104"/>
    <w:qFormat/>
    <w:rPr>
      <w:rFonts w:ascii="Times New Roman" w:hAnsi="Times New Roman"/>
      <w:b/>
      <w:sz w:val="24"/>
    </w:rPr>
  </w:style>
  <w:style w:type="character" w:styleId="ListLabel105">
    <w:name w:val="ListLabel 105"/>
    <w:qFormat/>
    <w:rPr>
      <w:rFonts w:ascii="Times New Roman" w:hAnsi="Times New Roman"/>
      <w:b/>
      <w:i w:val="false"/>
      <w:iCs/>
      <w:sz w:val="24"/>
    </w:rPr>
  </w:style>
  <w:style w:type="character" w:styleId="ListLabel106">
    <w:name w:val="ListLabel 106"/>
    <w:qFormat/>
    <w:rPr>
      <w:rFonts w:ascii="Times New Roman" w:hAnsi="Times New Roman" w:cs="Arial"/>
      <w:b/>
      <w:i w:val="false"/>
      <w:iCs/>
      <w:color w:val="auto"/>
      <w:sz w:val="24"/>
    </w:rPr>
  </w:style>
  <w:style w:type="character" w:styleId="ListLabel107">
    <w:name w:val="ListLabel 107"/>
    <w:qFormat/>
    <w:rPr>
      <w:rFonts w:ascii="Times New Roman" w:hAnsi="Times New Roman"/>
      <w:b/>
      <w:sz w:val="24"/>
    </w:rPr>
  </w:style>
  <w:style w:type="character" w:styleId="ListLabel108">
    <w:name w:val="ListLabel 108"/>
    <w:qFormat/>
    <w:rPr>
      <w:rFonts w:ascii="Times New Roman" w:hAnsi="Times New Roman"/>
      <w:b/>
      <w:sz w:val="24"/>
    </w:rPr>
  </w:style>
  <w:style w:type="character" w:styleId="ListLabel109">
    <w:name w:val="ListLabel 109"/>
    <w:qFormat/>
    <w:rPr>
      <w:b/>
    </w:rPr>
  </w:style>
  <w:style w:type="character" w:styleId="ListLabel110">
    <w:name w:val="ListLabel 110"/>
    <w:qFormat/>
    <w:rPr>
      <w:b w:val="false"/>
      <w:i w:val="false"/>
      <w:iCs/>
    </w:rPr>
  </w:style>
  <w:style w:type="character" w:styleId="ListLabel111">
    <w:name w:val="ListLabel 111"/>
    <w:qFormat/>
    <w:rPr>
      <w:rFonts w:cs="Arial"/>
      <w:b w:val="false"/>
      <w:i w:val="false"/>
      <w:iCs/>
      <w:color w:val="auto"/>
    </w:rPr>
  </w:style>
  <w:style w:type="character" w:styleId="ListLabel112">
    <w:name w:val="ListLabel 112"/>
    <w:qFormat/>
    <w:rPr>
      <w:b/>
    </w:rPr>
  </w:style>
  <w:style w:type="character" w:styleId="ListLabel113">
    <w:name w:val="ListLabel 113"/>
    <w:qFormat/>
    <w:rPr>
      <w:b w:val="false"/>
      <w:i w:val="false"/>
      <w:iCs/>
    </w:rPr>
  </w:style>
  <w:style w:type="character" w:styleId="ListLabel114">
    <w:name w:val="ListLabel 114"/>
    <w:qFormat/>
    <w:rPr>
      <w:rFonts w:ascii="Times New Roman" w:hAnsi="Times New Roman"/>
      <w:b w:val="false"/>
      <w:i w:val="false"/>
      <w:iCs/>
      <w:color w:val="auto"/>
      <w:sz w:val="24"/>
    </w:rPr>
  </w:style>
  <w:style w:type="character" w:styleId="ListLabel115">
    <w:name w:val="ListLabel 115"/>
    <w:qFormat/>
    <w:rPr>
      <w:rFonts w:ascii="Times New Roman" w:hAnsi="Times New Roman" w:eastAsia="Calibri" w:cs="Arial"/>
      <w:sz w:val="24"/>
      <w:szCs w:val="24"/>
    </w:rPr>
  </w:style>
  <w:style w:type="character" w:styleId="ListLabel116">
    <w:name w:val="ListLabel 116"/>
    <w:qFormat/>
    <w:rPr>
      <w:rFonts w:ascii="Times New Roman" w:hAnsi="Times New Roman" w:eastAsia="Calibri" w:cs="Arial"/>
      <w:sz w:val="24"/>
      <w:szCs w:val="24"/>
      <w:lang w:eastAsia="ar-SA"/>
    </w:rPr>
  </w:style>
  <w:style w:type="character" w:styleId="ListLabel117">
    <w:name w:val="ListLabel 117"/>
    <w:qFormat/>
    <w:rPr>
      <w:rFonts w:ascii="Times New Roman" w:hAnsi="Times New Roman"/>
      <w:color w:val="000000"/>
      <w:sz w:val="24"/>
      <w:szCs w:val="24"/>
    </w:rPr>
  </w:style>
  <w:style w:type="character" w:styleId="ListLabel118">
    <w:name w:val="ListLabel 118"/>
    <w:qFormat/>
    <w:rPr>
      <w:rFonts w:ascii="Times New Roman" w:hAnsi="Times New Roman"/>
      <w:b/>
      <w:sz w:val="24"/>
    </w:rPr>
  </w:style>
  <w:style w:type="character" w:styleId="ListLabel119">
    <w:name w:val="ListLabel 119"/>
    <w:qFormat/>
    <w:rPr>
      <w:rFonts w:ascii="Times New Roman" w:hAnsi="Times New Roman"/>
      <w:b/>
      <w:i w:val="false"/>
      <w:iCs/>
      <w:sz w:val="24"/>
    </w:rPr>
  </w:style>
  <w:style w:type="character" w:styleId="ListLabel120">
    <w:name w:val="ListLabel 120"/>
    <w:qFormat/>
    <w:rPr>
      <w:rFonts w:ascii="Calibri" w:hAnsi="Calibri" w:cs="Arial"/>
      <w:b/>
      <w:i w:val="false"/>
      <w:iCs/>
      <w:color w:val="auto"/>
      <w:sz w:val="24"/>
    </w:rPr>
  </w:style>
  <w:style w:type="character" w:styleId="ListLabel121">
    <w:name w:val="ListLabel 121"/>
    <w:qFormat/>
    <w:rPr>
      <w:rFonts w:ascii="Times New Roman" w:hAnsi="Times New Roman"/>
      <w:b/>
      <w:sz w:val="24"/>
    </w:rPr>
  </w:style>
  <w:style w:type="character" w:styleId="ListLabel122">
    <w:name w:val="ListLabel 122"/>
    <w:qFormat/>
    <w:rPr>
      <w:rFonts w:ascii="Times New Roman" w:hAnsi="Times New Roman"/>
      <w:b/>
      <w:sz w:val="24"/>
    </w:rPr>
  </w:style>
  <w:style w:type="character" w:styleId="ListLabel123">
    <w:name w:val="ListLabel 123"/>
    <w:qFormat/>
    <w:rPr>
      <w:b/>
    </w:rPr>
  </w:style>
  <w:style w:type="character" w:styleId="ListLabel124">
    <w:name w:val="ListLabel 124"/>
    <w:qFormat/>
    <w:rPr>
      <w:b w:val="false"/>
      <w:i w:val="false"/>
      <w:iCs/>
    </w:rPr>
  </w:style>
  <w:style w:type="character" w:styleId="ListLabel125">
    <w:name w:val="ListLabel 125"/>
    <w:qFormat/>
    <w:rPr>
      <w:rFonts w:cs="Arial"/>
      <w:b w:val="false"/>
      <w:i w:val="false"/>
      <w:iCs/>
      <w:color w:val="auto"/>
    </w:rPr>
  </w:style>
  <w:style w:type="character" w:styleId="ListLabel126">
    <w:name w:val="ListLabel 126"/>
    <w:qFormat/>
    <w:rPr>
      <w:b/>
    </w:rPr>
  </w:style>
  <w:style w:type="character" w:styleId="ListLabel127">
    <w:name w:val="ListLabel 127"/>
    <w:qFormat/>
    <w:rPr>
      <w:b w:val="false"/>
      <w:i w:val="false"/>
      <w:iCs/>
    </w:rPr>
  </w:style>
  <w:style w:type="character" w:styleId="ListLabel128">
    <w:name w:val="ListLabel 128"/>
    <w:qFormat/>
    <w:rPr>
      <w:rFonts w:ascii="Times New Roman" w:hAnsi="Times New Roman"/>
      <w:b w:val="false"/>
      <w:i w:val="false"/>
      <w:iCs/>
      <w:color w:val="auto"/>
      <w:sz w:val="24"/>
    </w:rPr>
  </w:style>
  <w:style w:type="character" w:styleId="ListLabel129">
    <w:name w:val="ListLabel 129"/>
    <w:qFormat/>
    <w:rPr>
      <w:rFonts w:ascii="Calibri" w:hAnsi="Calibri" w:eastAsia="Calibri" w:cs="Arial"/>
      <w:sz w:val="24"/>
      <w:szCs w:val="24"/>
    </w:rPr>
  </w:style>
  <w:style w:type="character" w:styleId="ListLabel130">
    <w:name w:val="ListLabel 130"/>
    <w:qFormat/>
    <w:rPr>
      <w:rFonts w:ascii="Calibri" w:hAnsi="Calibri" w:eastAsia="Calibri" w:cs="Arial"/>
      <w:sz w:val="24"/>
      <w:szCs w:val="24"/>
      <w:lang w:eastAsia="ar-SA"/>
    </w:rPr>
  </w:style>
  <w:style w:type="character" w:styleId="ListLabel131">
    <w:name w:val="ListLabel 131"/>
    <w:qFormat/>
    <w:rPr>
      <w:rFonts w:ascii="Calibri" w:hAnsi="Calibri"/>
      <w:color w:val="000000"/>
      <w:sz w:val="24"/>
      <w:szCs w:val="24"/>
    </w:rPr>
  </w:style>
  <w:style w:type="character" w:styleId="ListLabel132">
    <w:name w:val="ListLabel 132"/>
    <w:qFormat/>
    <w:rPr>
      <w:rFonts w:ascii="Calibri" w:hAnsi="Calibri"/>
      <w:b/>
      <w:sz w:val="24"/>
    </w:rPr>
  </w:style>
  <w:style w:type="character" w:styleId="ListLabel133">
    <w:name w:val="ListLabel 133"/>
    <w:qFormat/>
    <w:rPr>
      <w:rFonts w:ascii="Calibri" w:hAnsi="Calibri"/>
      <w:b/>
      <w:i w:val="false"/>
      <w:iCs/>
      <w:sz w:val="24"/>
    </w:rPr>
  </w:style>
  <w:style w:type="character" w:styleId="ListLabel134">
    <w:name w:val="ListLabel 134"/>
    <w:qFormat/>
    <w:rPr>
      <w:rFonts w:ascii="Calibri" w:hAnsi="Calibri" w:cs="Arial"/>
      <w:b/>
      <w:i w:val="false"/>
      <w:iCs/>
      <w:color w:val="auto"/>
      <w:sz w:val="24"/>
    </w:rPr>
  </w:style>
  <w:style w:type="character" w:styleId="ListLabel135">
    <w:name w:val="ListLabel 135"/>
    <w:qFormat/>
    <w:rPr>
      <w:rFonts w:ascii="Calibri" w:hAnsi="Calibri"/>
      <w:b/>
      <w:sz w:val="24"/>
    </w:rPr>
  </w:style>
  <w:style w:type="character" w:styleId="ListLabel136">
    <w:name w:val="ListLabel 136"/>
    <w:qFormat/>
    <w:rPr>
      <w:rFonts w:ascii="Calibri" w:hAnsi="Calibri"/>
      <w:b/>
      <w:sz w:val="24"/>
    </w:rPr>
  </w:style>
  <w:style w:type="character" w:styleId="ListLabel137">
    <w:name w:val="ListLabel 137"/>
    <w:qFormat/>
    <w:rPr>
      <w:b/>
    </w:rPr>
  </w:style>
  <w:style w:type="character" w:styleId="ListLabel138">
    <w:name w:val="ListLabel 138"/>
    <w:qFormat/>
    <w:rPr>
      <w:b w:val="false"/>
      <w:i w:val="false"/>
      <w:iCs/>
    </w:rPr>
  </w:style>
  <w:style w:type="character" w:styleId="ListLabel139">
    <w:name w:val="ListLabel 139"/>
    <w:qFormat/>
    <w:rPr>
      <w:rFonts w:cs="Arial"/>
      <w:b w:val="false"/>
      <w:i w:val="false"/>
      <w:iCs/>
      <w:color w:val="auto"/>
    </w:rPr>
  </w:style>
  <w:style w:type="character" w:styleId="ListLabel140">
    <w:name w:val="ListLabel 140"/>
    <w:qFormat/>
    <w:rPr>
      <w:b/>
    </w:rPr>
  </w:style>
  <w:style w:type="character" w:styleId="ListLabel141">
    <w:name w:val="ListLabel 141"/>
    <w:qFormat/>
    <w:rPr>
      <w:b w:val="false"/>
      <w:i w:val="false"/>
      <w:iCs/>
    </w:rPr>
  </w:style>
  <w:style w:type="character" w:styleId="ListLabel142">
    <w:name w:val="ListLabel 142"/>
    <w:qFormat/>
    <w:rPr>
      <w:rFonts w:ascii="Calibri" w:hAnsi="Calibri"/>
      <w:b w:val="false"/>
      <w:i w:val="false"/>
      <w:iCs/>
      <w:color w:val="auto"/>
      <w:sz w:val="24"/>
    </w:rPr>
  </w:style>
  <w:style w:type="character" w:styleId="ListLabel143">
    <w:name w:val="ListLabel 143"/>
    <w:qFormat/>
    <w:rPr>
      <w:rFonts w:ascii="Calibri" w:hAnsi="Calibri" w:eastAsia="Calibri" w:cs="Arial"/>
      <w:sz w:val="24"/>
      <w:szCs w:val="24"/>
    </w:rPr>
  </w:style>
  <w:style w:type="character" w:styleId="ListLabel144">
    <w:name w:val="ListLabel 144"/>
    <w:qFormat/>
    <w:rPr>
      <w:rFonts w:ascii="Calibri" w:hAnsi="Calibri" w:eastAsia="Calibri" w:cs="Arial"/>
      <w:sz w:val="24"/>
      <w:szCs w:val="24"/>
      <w:lang w:eastAsia="ar-SA"/>
    </w:rPr>
  </w:style>
  <w:style w:type="character" w:styleId="ListLabel145">
    <w:name w:val="ListLabel 145"/>
    <w:qFormat/>
    <w:rPr>
      <w:rFonts w:ascii="Calibri" w:hAnsi="Calibri"/>
      <w:color w:val="000000"/>
      <w:sz w:val="24"/>
      <w:szCs w:val="24"/>
    </w:rPr>
  </w:style>
  <w:style w:type="character" w:styleId="ListLabel146">
    <w:name w:val="ListLabel 146"/>
    <w:qFormat/>
    <w:rPr>
      <w:rFonts w:ascii="Calibri" w:hAnsi="Calibri"/>
      <w:b/>
      <w:sz w:val="24"/>
    </w:rPr>
  </w:style>
  <w:style w:type="character" w:styleId="ListLabel147">
    <w:name w:val="ListLabel 147"/>
    <w:qFormat/>
    <w:rPr>
      <w:rFonts w:ascii="Calibri" w:hAnsi="Calibri"/>
      <w:b/>
      <w:i w:val="false"/>
      <w:iCs/>
      <w:sz w:val="24"/>
    </w:rPr>
  </w:style>
  <w:style w:type="character" w:styleId="ListLabel148">
    <w:name w:val="ListLabel 148"/>
    <w:qFormat/>
    <w:rPr>
      <w:rFonts w:ascii="Calibri" w:hAnsi="Calibri" w:cs="Arial"/>
      <w:b/>
      <w:i w:val="false"/>
      <w:iCs/>
      <w:color w:val="auto"/>
      <w:sz w:val="24"/>
    </w:rPr>
  </w:style>
  <w:style w:type="character" w:styleId="ListLabel149">
    <w:name w:val="ListLabel 149"/>
    <w:qFormat/>
    <w:rPr>
      <w:rFonts w:ascii="Calibri" w:hAnsi="Calibri"/>
      <w:b/>
      <w:sz w:val="24"/>
    </w:rPr>
  </w:style>
  <w:style w:type="character" w:styleId="ListLabel150">
    <w:name w:val="ListLabel 150"/>
    <w:qFormat/>
    <w:rPr>
      <w:rFonts w:ascii="Calibri" w:hAnsi="Calibri"/>
      <w:b/>
      <w:sz w:val="24"/>
    </w:rPr>
  </w:style>
  <w:style w:type="character" w:styleId="ListLabel151">
    <w:name w:val="ListLabel 151"/>
    <w:qFormat/>
    <w:rPr>
      <w:b/>
    </w:rPr>
  </w:style>
  <w:style w:type="character" w:styleId="ListLabel152">
    <w:name w:val="ListLabel 152"/>
    <w:qFormat/>
    <w:rPr>
      <w:b w:val="false"/>
      <w:i w:val="false"/>
      <w:iCs/>
    </w:rPr>
  </w:style>
  <w:style w:type="character" w:styleId="ListLabel153">
    <w:name w:val="ListLabel 153"/>
    <w:qFormat/>
    <w:rPr>
      <w:rFonts w:cs="Arial"/>
      <w:b w:val="false"/>
      <w:i w:val="false"/>
      <w:iCs/>
      <w:color w:val="auto"/>
    </w:rPr>
  </w:style>
  <w:style w:type="character" w:styleId="ListLabel154">
    <w:name w:val="ListLabel 154"/>
    <w:qFormat/>
    <w:rPr>
      <w:b/>
    </w:rPr>
  </w:style>
  <w:style w:type="character" w:styleId="ListLabel155">
    <w:name w:val="ListLabel 155"/>
    <w:qFormat/>
    <w:rPr>
      <w:b w:val="false"/>
      <w:i w:val="false"/>
      <w:iCs/>
    </w:rPr>
  </w:style>
  <w:style w:type="character" w:styleId="ListLabel156">
    <w:name w:val="ListLabel 156"/>
    <w:qFormat/>
    <w:rPr>
      <w:rFonts w:ascii="Calibri" w:hAnsi="Calibri"/>
      <w:b w:val="false"/>
      <w:i w:val="false"/>
      <w:iCs/>
      <w:color w:val="auto"/>
      <w:sz w:val="24"/>
    </w:rPr>
  </w:style>
  <w:style w:type="character" w:styleId="ListLabel157">
    <w:name w:val="ListLabel 157"/>
    <w:qFormat/>
    <w:rPr>
      <w:rFonts w:ascii="Calibri" w:hAnsi="Calibri" w:eastAsia="Calibri" w:cs="Arial"/>
      <w:sz w:val="24"/>
      <w:szCs w:val="24"/>
    </w:rPr>
  </w:style>
  <w:style w:type="character" w:styleId="ListLabel158">
    <w:name w:val="ListLabel 158"/>
    <w:qFormat/>
    <w:rPr>
      <w:rFonts w:ascii="Calibri" w:hAnsi="Calibri" w:eastAsia="Calibri" w:cs="Arial"/>
      <w:sz w:val="24"/>
      <w:szCs w:val="24"/>
      <w:lang w:eastAsia="ar-SA"/>
    </w:rPr>
  </w:style>
  <w:style w:type="character" w:styleId="ListLabel159">
    <w:name w:val="ListLabel 159"/>
    <w:qFormat/>
    <w:rPr>
      <w:rFonts w:ascii="Calibri" w:hAnsi="Calibri"/>
      <w:color w:val="000000"/>
      <w:sz w:val="24"/>
      <w:szCs w:val="24"/>
    </w:rPr>
  </w:style>
  <w:style w:type="character" w:styleId="ListLabel160">
    <w:name w:val="ListLabel 160"/>
    <w:qFormat/>
    <w:rPr>
      <w:rFonts w:ascii="Calibri" w:hAnsi="Calibri"/>
      <w:b/>
      <w:sz w:val="24"/>
    </w:rPr>
  </w:style>
  <w:style w:type="character" w:styleId="ListLabel161">
    <w:name w:val="ListLabel 161"/>
    <w:qFormat/>
    <w:rPr>
      <w:rFonts w:ascii="Calibri" w:hAnsi="Calibri"/>
      <w:b/>
      <w:i w:val="false"/>
      <w:iCs/>
      <w:sz w:val="24"/>
    </w:rPr>
  </w:style>
  <w:style w:type="character" w:styleId="ListLabel162">
    <w:name w:val="ListLabel 162"/>
    <w:qFormat/>
    <w:rPr>
      <w:rFonts w:ascii="Calibri" w:hAnsi="Calibri" w:cs="Arial"/>
      <w:b/>
      <w:i w:val="false"/>
      <w:iCs/>
      <w:color w:val="auto"/>
      <w:sz w:val="24"/>
    </w:rPr>
  </w:style>
  <w:style w:type="character" w:styleId="ListLabel163">
    <w:name w:val="ListLabel 163"/>
    <w:qFormat/>
    <w:rPr>
      <w:rFonts w:ascii="Calibri" w:hAnsi="Calibri"/>
      <w:b/>
      <w:sz w:val="24"/>
    </w:rPr>
  </w:style>
  <w:style w:type="character" w:styleId="ListLabel164">
    <w:name w:val="ListLabel 164"/>
    <w:qFormat/>
    <w:rPr>
      <w:rFonts w:ascii="Calibri" w:hAnsi="Calibri"/>
      <w:b/>
      <w:sz w:val="24"/>
    </w:rPr>
  </w:style>
  <w:style w:type="character" w:styleId="ListLabel165">
    <w:name w:val="ListLabel 165"/>
    <w:qFormat/>
    <w:rPr>
      <w:b/>
    </w:rPr>
  </w:style>
  <w:style w:type="character" w:styleId="ListLabel166">
    <w:name w:val="ListLabel 166"/>
    <w:qFormat/>
    <w:rPr>
      <w:b w:val="false"/>
      <w:i w:val="false"/>
      <w:iCs/>
    </w:rPr>
  </w:style>
  <w:style w:type="character" w:styleId="ListLabel167">
    <w:name w:val="ListLabel 167"/>
    <w:qFormat/>
    <w:rPr>
      <w:rFonts w:cs="Arial"/>
      <w:b w:val="false"/>
      <w:i w:val="false"/>
      <w:iCs/>
      <w:color w:val="auto"/>
    </w:rPr>
  </w:style>
  <w:style w:type="character" w:styleId="ListLabel168">
    <w:name w:val="ListLabel 168"/>
    <w:qFormat/>
    <w:rPr>
      <w:b/>
    </w:rPr>
  </w:style>
  <w:style w:type="character" w:styleId="ListLabel169">
    <w:name w:val="ListLabel 169"/>
    <w:qFormat/>
    <w:rPr>
      <w:b w:val="false"/>
      <w:i w:val="false"/>
      <w:iCs/>
    </w:rPr>
  </w:style>
  <w:style w:type="character" w:styleId="ListLabel170">
    <w:name w:val="ListLabel 170"/>
    <w:qFormat/>
    <w:rPr>
      <w:rFonts w:ascii="Calibri" w:hAnsi="Calibri"/>
      <w:b w:val="false"/>
      <w:i w:val="false"/>
      <w:iCs/>
      <w:color w:val="auto"/>
      <w:sz w:val="24"/>
    </w:rPr>
  </w:style>
  <w:style w:type="character" w:styleId="ListLabel171">
    <w:name w:val="ListLabel 171"/>
    <w:qFormat/>
    <w:rPr>
      <w:rFonts w:ascii="Calibri" w:hAnsi="Calibri" w:eastAsia="Calibri" w:cs="Arial"/>
      <w:sz w:val="24"/>
      <w:szCs w:val="24"/>
    </w:rPr>
  </w:style>
  <w:style w:type="character" w:styleId="ListLabel172">
    <w:name w:val="ListLabel 172"/>
    <w:qFormat/>
    <w:rPr>
      <w:rFonts w:ascii="Calibri" w:hAnsi="Calibri" w:eastAsia="Calibri" w:cs="Arial"/>
      <w:sz w:val="24"/>
      <w:szCs w:val="24"/>
      <w:lang w:eastAsia="ar-SA"/>
    </w:rPr>
  </w:style>
  <w:style w:type="character" w:styleId="ListLabel173">
    <w:name w:val="ListLabel 173"/>
    <w:qFormat/>
    <w:rPr>
      <w:rFonts w:ascii="Calibri" w:hAnsi="Calibri"/>
      <w:color w:val="000000"/>
      <w:sz w:val="24"/>
      <w:szCs w:val="24"/>
    </w:rPr>
  </w:style>
  <w:style w:type="character" w:styleId="ListLabel174">
    <w:name w:val="ListLabel 174"/>
    <w:qFormat/>
    <w:rPr>
      <w:rFonts w:ascii="Calibri" w:hAnsi="Calibri"/>
      <w:b/>
      <w:sz w:val="24"/>
    </w:rPr>
  </w:style>
  <w:style w:type="character" w:styleId="ListLabel175">
    <w:name w:val="ListLabel 175"/>
    <w:qFormat/>
    <w:rPr>
      <w:rFonts w:ascii="Calibri" w:hAnsi="Calibri"/>
      <w:b/>
      <w:i w:val="false"/>
      <w:iCs/>
      <w:sz w:val="24"/>
    </w:rPr>
  </w:style>
  <w:style w:type="character" w:styleId="ListLabel176">
    <w:name w:val="ListLabel 176"/>
    <w:qFormat/>
    <w:rPr>
      <w:rFonts w:ascii="Calibri" w:hAnsi="Calibri" w:cs="Arial"/>
      <w:b/>
      <w:i w:val="false"/>
      <w:iCs/>
      <w:color w:val="auto"/>
      <w:sz w:val="24"/>
    </w:rPr>
  </w:style>
  <w:style w:type="character" w:styleId="ListLabel177">
    <w:name w:val="ListLabel 177"/>
    <w:qFormat/>
    <w:rPr>
      <w:rFonts w:ascii="Calibri" w:hAnsi="Calibri"/>
      <w:b/>
      <w:sz w:val="24"/>
    </w:rPr>
  </w:style>
  <w:style w:type="character" w:styleId="ListLabel178">
    <w:name w:val="ListLabel 178"/>
    <w:qFormat/>
    <w:rPr>
      <w:rFonts w:ascii="Calibri" w:hAnsi="Calibri"/>
      <w:b/>
      <w:sz w:val="24"/>
    </w:rPr>
  </w:style>
  <w:style w:type="character" w:styleId="ListLabel179">
    <w:name w:val="ListLabel 179"/>
    <w:qFormat/>
    <w:rPr>
      <w:b/>
    </w:rPr>
  </w:style>
  <w:style w:type="character" w:styleId="ListLabel180">
    <w:name w:val="ListLabel 180"/>
    <w:qFormat/>
    <w:rPr>
      <w:b w:val="false"/>
      <w:i w:val="false"/>
      <w:iCs/>
    </w:rPr>
  </w:style>
  <w:style w:type="character" w:styleId="ListLabel181">
    <w:name w:val="ListLabel 181"/>
    <w:qFormat/>
    <w:rPr>
      <w:rFonts w:cs="Arial"/>
      <w:b w:val="false"/>
      <w:i w:val="false"/>
      <w:iCs/>
      <w:color w:val="auto"/>
    </w:rPr>
  </w:style>
  <w:style w:type="character" w:styleId="ListLabel182">
    <w:name w:val="ListLabel 182"/>
    <w:qFormat/>
    <w:rPr>
      <w:b/>
    </w:rPr>
  </w:style>
  <w:style w:type="character" w:styleId="ListLabel183">
    <w:name w:val="ListLabel 183"/>
    <w:qFormat/>
    <w:rPr>
      <w:b w:val="false"/>
      <w:i w:val="false"/>
      <w:iCs/>
    </w:rPr>
  </w:style>
  <w:style w:type="character" w:styleId="ListLabel184">
    <w:name w:val="ListLabel 184"/>
    <w:qFormat/>
    <w:rPr>
      <w:rFonts w:ascii="Calibri" w:hAnsi="Calibri"/>
      <w:b w:val="false"/>
      <w:i w:val="false"/>
      <w:iCs/>
      <w:color w:val="auto"/>
      <w:sz w:val="24"/>
    </w:rPr>
  </w:style>
  <w:style w:type="character" w:styleId="ListLabel185">
    <w:name w:val="ListLabel 185"/>
    <w:qFormat/>
    <w:rPr>
      <w:rFonts w:ascii="Calibri" w:hAnsi="Calibri" w:eastAsia="Calibri" w:cs="Arial"/>
      <w:sz w:val="24"/>
      <w:szCs w:val="24"/>
    </w:rPr>
  </w:style>
  <w:style w:type="character" w:styleId="ListLabel186">
    <w:name w:val="ListLabel 186"/>
    <w:qFormat/>
    <w:rPr>
      <w:rFonts w:ascii="Calibri" w:hAnsi="Calibri" w:eastAsia="Calibri" w:cs="Arial"/>
      <w:sz w:val="24"/>
      <w:szCs w:val="24"/>
      <w:lang w:eastAsia="ar-SA"/>
    </w:rPr>
  </w:style>
  <w:style w:type="character" w:styleId="ListLabel187">
    <w:name w:val="ListLabel 187"/>
    <w:qFormat/>
    <w:rPr>
      <w:rFonts w:ascii="Calibri" w:hAnsi="Calibri"/>
      <w:color w:val="000000"/>
      <w:sz w:val="24"/>
      <w:szCs w:val="24"/>
    </w:rPr>
  </w:style>
  <w:style w:type="character" w:styleId="ListLabel188">
    <w:name w:val="ListLabel 188"/>
    <w:qFormat/>
    <w:rPr>
      <w:rFonts w:ascii="Calibri" w:hAnsi="Calibri"/>
      <w:b/>
      <w:sz w:val="24"/>
    </w:rPr>
  </w:style>
  <w:style w:type="character" w:styleId="ListLabel189">
    <w:name w:val="ListLabel 189"/>
    <w:qFormat/>
    <w:rPr>
      <w:rFonts w:ascii="Calibri" w:hAnsi="Calibri"/>
      <w:b/>
      <w:i w:val="false"/>
      <w:iCs/>
      <w:sz w:val="24"/>
    </w:rPr>
  </w:style>
  <w:style w:type="character" w:styleId="ListLabel190">
    <w:name w:val="ListLabel 190"/>
    <w:qFormat/>
    <w:rPr>
      <w:rFonts w:ascii="Calibri" w:hAnsi="Calibri" w:cs="Arial"/>
      <w:b/>
      <w:i w:val="false"/>
      <w:iCs/>
      <w:color w:val="auto"/>
      <w:sz w:val="24"/>
    </w:rPr>
  </w:style>
  <w:style w:type="character" w:styleId="ListLabel191">
    <w:name w:val="ListLabel 191"/>
    <w:qFormat/>
    <w:rPr>
      <w:rFonts w:ascii="Calibri" w:hAnsi="Calibri"/>
      <w:b/>
      <w:sz w:val="24"/>
    </w:rPr>
  </w:style>
  <w:style w:type="character" w:styleId="ListLabel192">
    <w:name w:val="ListLabel 192"/>
    <w:qFormat/>
    <w:rPr>
      <w:rFonts w:ascii="Calibri" w:hAnsi="Calibri"/>
      <w:b/>
      <w:sz w:val="24"/>
    </w:rPr>
  </w:style>
  <w:style w:type="character" w:styleId="ListLabel193">
    <w:name w:val="ListLabel 193"/>
    <w:qFormat/>
    <w:rPr>
      <w:b/>
    </w:rPr>
  </w:style>
  <w:style w:type="character" w:styleId="ListLabel194">
    <w:name w:val="ListLabel 194"/>
    <w:qFormat/>
    <w:rPr>
      <w:b w:val="false"/>
      <w:i w:val="false"/>
      <w:iCs/>
    </w:rPr>
  </w:style>
  <w:style w:type="character" w:styleId="ListLabel195">
    <w:name w:val="ListLabel 195"/>
    <w:qFormat/>
    <w:rPr>
      <w:rFonts w:cs="Arial"/>
      <w:b w:val="false"/>
      <w:i w:val="false"/>
      <w:iCs/>
      <w:color w:val="auto"/>
    </w:rPr>
  </w:style>
  <w:style w:type="character" w:styleId="ListLabel196">
    <w:name w:val="ListLabel 196"/>
    <w:qFormat/>
    <w:rPr>
      <w:b/>
    </w:rPr>
  </w:style>
  <w:style w:type="character" w:styleId="ListLabel197">
    <w:name w:val="ListLabel 197"/>
    <w:qFormat/>
    <w:rPr>
      <w:b w:val="false"/>
      <w:i w:val="false"/>
      <w:iCs/>
    </w:rPr>
  </w:style>
  <w:style w:type="character" w:styleId="ListLabel198">
    <w:name w:val="ListLabel 198"/>
    <w:qFormat/>
    <w:rPr>
      <w:rFonts w:ascii="Calibri" w:hAnsi="Calibri"/>
      <w:b w:val="false"/>
      <w:i w:val="false"/>
      <w:iCs/>
      <w:color w:val="auto"/>
      <w:sz w:val="24"/>
    </w:rPr>
  </w:style>
  <w:style w:type="character" w:styleId="ListLabel199">
    <w:name w:val="ListLabel 199"/>
    <w:qFormat/>
    <w:rPr>
      <w:rFonts w:ascii="Calibri" w:hAnsi="Calibri" w:eastAsia="Calibri" w:cs="Arial"/>
      <w:sz w:val="24"/>
      <w:szCs w:val="24"/>
    </w:rPr>
  </w:style>
  <w:style w:type="character" w:styleId="ListLabel200">
    <w:name w:val="ListLabel 200"/>
    <w:qFormat/>
    <w:rPr>
      <w:rFonts w:ascii="Calibri" w:hAnsi="Calibri" w:eastAsia="Calibri" w:cs="Arial"/>
      <w:sz w:val="24"/>
      <w:szCs w:val="24"/>
      <w:lang w:eastAsia="ar-SA"/>
    </w:rPr>
  </w:style>
  <w:style w:type="character" w:styleId="ListLabel201">
    <w:name w:val="ListLabel 201"/>
    <w:qFormat/>
    <w:rPr>
      <w:rFonts w:ascii="Calibri" w:hAnsi="Calibri"/>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Application>LibreOffice/6.0.6.2$Windows_X86_64 LibreOffice_project/0c292870b25a325b5ed35f6b45599d2ea4458e77</Application>
  <Pages>13</Pages>
  <Words>5287</Words>
  <Characters>30336</Characters>
  <CharactersWithSpaces>35198</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2022-06-28T15:24:36Z</cp:lastPrinted>
  <dcterms:modified xsi:type="dcterms:W3CDTF">2022-06-28T16:00:41Z</dcterms:modified>
  <cp:revision>55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