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jc w:val="center"/>
        <w:rPr>
          <w:i/>
          <w:i/>
          <w:iCs/>
        </w:rPr>
      </w:pPr>
      <w:r>
        <w:rPr>
          <w:i/>
          <w:iCs/>
        </w:rPr>
      </w:r>
    </w:p>
    <w:p>
      <w:pPr>
        <w:pStyle w:val="Normal"/>
        <w:spacing w:lineRule="auto" w:line="276"/>
        <w:jc w:val="center"/>
        <w:rPr>
          <w:rFonts w:ascii="Arial" w:hAnsi="Arial" w:eastAsia="Times New Roman" w:cs="Arial"/>
          <w:b/>
          <w:b/>
          <w:bCs/>
          <w:color w:val="000000" w:themeColor="text1"/>
          <w:sz w:val="20"/>
          <w:szCs w:val="20"/>
          <w:lang w:eastAsia="pt-BR"/>
        </w:rPr>
      </w:pPr>
      <w:r>
        <w:drawing>
          <wp:anchor behindDoc="0" distT="0" distB="0" distL="0" distR="0" simplePos="0" locked="0" layoutInCell="1" allowOverlap="1" relativeHeight="2">
            <wp:simplePos x="0" y="0"/>
            <wp:positionH relativeFrom="column">
              <wp:align>center</wp:align>
            </wp:positionH>
            <wp:positionV relativeFrom="paragraph">
              <wp:posOffset>-23495</wp:posOffset>
            </wp:positionV>
            <wp:extent cx="794385" cy="794385"/>
            <wp:effectExtent l="0" t="0" r="0" b="0"/>
            <wp:wrapTopAndBottom/>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tretch>
                      <a:fillRect/>
                    </a:stretch>
                  </pic:blipFill>
                  <pic:spPr bwMode="auto">
                    <a:xfrm>
                      <a:off x="0" y="0"/>
                      <a:ext cx="794385" cy="794385"/>
                    </a:xfrm>
                    <a:prstGeom prst="rect">
                      <a:avLst/>
                    </a:prstGeom>
                  </pic:spPr>
                </pic:pic>
              </a:graphicData>
            </a:graphic>
          </wp:anchor>
        </w:drawing>
      </w:r>
      <w:r>
        <w:rPr>
          <w:rFonts w:eastAsia="Times New Roman" w:cs="Arial"/>
          <w:b/>
          <w:bCs/>
          <w:i/>
          <w:iCs/>
          <w:color w:val="000000" w:themeColor="text1"/>
          <w:sz w:val="20"/>
          <w:szCs w:val="20"/>
          <w:lang w:eastAsia="pt-BR"/>
        </w:rPr>
        <w:t>M</w:t>
      </w:r>
      <w:r>
        <w:rPr>
          <w:rFonts w:eastAsia="Times New Roman" w:cs="Arial"/>
          <w:b/>
          <w:bCs/>
          <w:i/>
          <w:iCs/>
          <w:color w:val="000000" w:themeColor="text1"/>
          <w:sz w:val="20"/>
          <w:szCs w:val="20"/>
          <w:lang w:eastAsia="pt-BR"/>
        </w:rPr>
        <w:t>ARINHA DO BRASIL</w:t>
      </w:r>
    </w:p>
    <w:p>
      <w:pPr>
        <w:pStyle w:val="Normal"/>
        <w:spacing w:lineRule="auto" w:line="276"/>
        <w:jc w:val="center"/>
        <w:rPr>
          <w:rFonts w:ascii="Arial" w:hAnsi="Arial" w:eastAsia="Times New Roman" w:cs="Arial"/>
          <w:b/>
          <w:b/>
          <w:bCs/>
          <w:color w:val="000000" w:themeColor="text1"/>
          <w:sz w:val="20"/>
          <w:szCs w:val="20"/>
          <w:lang w:eastAsia="pt-BR"/>
        </w:rPr>
      </w:pPr>
      <w:r>
        <w:rPr>
          <w:rFonts w:eastAsia="Times New Roman" w:cs="Arial"/>
          <w:b/>
          <w:bCs/>
          <w:i/>
          <w:iCs/>
          <w:color w:val="000000" w:themeColor="text1"/>
          <w:sz w:val="20"/>
          <w:szCs w:val="20"/>
          <w:lang w:eastAsia="pt-BR"/>
        </w:rPr>
        <w:t>CENTRO DE INSTRUÇÃO ALMIRANTE GRAÇA ARANHA</w:t>
      </w:r>
    </w:p>
    <w:p>
      <w:pPr>
        <w:pStyle w:val="Normal"/>
        <w:spacing w:lineRule="auto" w:line="276"/>
        <w:jc w:val="center"/>
        <w:rPr/>
      </w:pPr>
      <w:r>
        <w:rPr>
          <w:rFonts w:cs="Arial"/>
          <w:b/>
          <w:bCs/>
          <w:color w:val="000000" w:themeColor="text1"/>
          <w:szCs w:val="20"/>
        </w:rPr>
        <w:t xml:space="preserve">AVISO DE DISPENSA ELETRÔNICA Nº </w:t>
      </w:r>
      <w:r>
        <w:rPr>
          <w:rFonts w:cs="Arial"/>
          <w:b/>
          <w:bCs/>
          <w:color w:val="000000" w:themeColor="text1"/>
          <w:szCs w:val="20"/>
        </w:rPr>
        <w:t>22</w:t>
      </w:r>
      <w:r>
        <w:rPr>
          <w:rFonts w:cs="Arial"/>
          <w:b/>
          <w:bCs/>
          <w:color w:val="000000" w:themeColor="text1"/>
          <w:szCs w:val="20"/>
        </w:rPr>
        <w:t>/20</w:t>
      </w:r>
      <w:r>
        <w:rPr>
          <w:rFonts w:cs="Arial"/>
          <w:b/>
          <w:bCs/>
          <w:color w:val="000000"/>
          <w:szCs w:val="20"/>
        </w:rPr>
        <w:t>22</w:t>
      </w:r>
    </w:p>
    <w:p>
      <w:pPr>
        <w:pStyle w:val="Normal"/>
        <w:spacing w:lineRule="auto" w:line="276"/>
        <w:jc w:val="center"/>
        <w:rPr/>
      </w:pPr>
      <w:r>
        <w:rPr>
          <w:rFonts w:cs="Arial"/>
          <w:b w:val="false"/>
          <w:bCs w:val="false"/>
          <w:color w:val="000000"/>
          <w:szCs w:val="20"/>
        </w:rPr>
        <w:t xml:space="preserve">(Processo administrativo nº </w:t>
      </w:r>
      <w:r>
        <w:rPr>
          <w:rStyle w:val="Nfaseforte"/>
          <w:rFonts w:cs="Arial"/>
          <w:b w:val="false"/>
          <w:bCs w:val="false"/>
          <w:color w:val="000000"/>
          <w:szCs w:val="20"/>
        </w:rPr>
        <w:t>63094.00</w:t>
      </w:r>
      <w:r>
        <w:rPr>
          <w:rStyle w:val="Nfaseforte"/>
          <w:rFonts w:cs="Arial"/>
          <w:b w:val="false"/>
          <w:bCs w:val="false"/>
          <w:color w:val="000000"/>
          <w:szCs w:val="20"/>
        </w:rPr>
        <w:t>1983</w:t>
      </w:r>
      <w:r>
        <w:rPr>
          <w:rStyle w:val="Nfaseforte"/>
          <w:rFonts w:cs="Arial"/>
          <w:b w:val="false"/>
          <w:bCs w:val="false"/>
          <w:color w:val="000000"/>
          <w:szCs w:val="20"/>
        </w:rPr>
        <w:t>/2022-</w:t>
      </w:r>
      <w:r>
        <w:rPr>
          <w:rStyle w:val="Nfaseforte"/>
          <w:rFonts w:cs="Arial"/>
          <w:b w:val="false"/>
          <w:bCs w:val="false"/>
          <w:color w:val="000000"/>
          <w:szCs w:val="20"/>
        </w:rPr>
        <w:t>33</w:t>
      </w:r>
      <w:r>
        <w:rPr>
          <w:rStyle w:val="Nfaseforte"/>
          <w:rFonts w:cs="Arial"/>
          <w:b w:val="false"/>
          <w:bCs w:val="false"/>
          <w:color w:val="000000"/>
          <w:szCs w:val="20"/>
        </w:rPr>
        <w:t>)</w:t>
      </w:r>
    </w:p>
    <w:p>
      <w:pPr>
        <w:pStyle w:val="Normal"/>
        <w:rPr>
          <w:rFonts w:cs="Arial"/>
          <w:i w:val="false"/>
          <w:i w:val="false"/>
          <w:iCs w:val="false"/>
        </w:rPr>
      </w:pPr>
      <w:r>
        <w:rPr>
          <w:rFonts w:cs="Arial"/>
          <w:i w:val="false"/>
          <w:iCs w:val="false"/>
        </w:rPr>
      </w:r>
    </w:p>
    <w:p>
      <w:pPr>
        <w:pStyle w:val="Normal"/>
        <w:snapToGrid w:val="false"/>
        <w:spacing w:lineRule="auto" w:line="276" w:before="0" w:after="120"/>
        <w:ind w:right="-30" w:firstLine="540"/>
        <w:jc w:val="both"/>
        <w:rPr>
          <w:i w:val="false"/>
          <w:i w:val="false"/>
          <w:iCs w:val="false"/>
        </w:rPr>
      </w:pPr>
      <w:r>
        <w:rPr>
          <w:rFonts w:cs="Arial"/>
          <w:i w:val="false"/>
          <w:iCs w:val="false"/>
          <w:color w:val="000000" w:themeColor="text1"/>
          <w:szCs w:val="20"/>
        </w:rPr>
        <w:t>Torna-se público que o CENTRO DE INSTRUÇÃO ALMIRANTE GRAÇA ARANHA, por meio da</w:t>
      </w:r>
      <w:r>
        <w:rPr>
          <w:rFonts w:eastAsia="Arial" w:cs="Arial"/>
          <w:i w:val="false"/>
          <w:iCs w:val="false"/>
          <w:color w:val="000000" w:themeColor="text1"/>
          <w:szCs w:val="20"/>
        </w:rPr>
        <w:t xml:space="preserve"> Divisão de Obtenção</w:t>
      </w:r>
      <w:r>
        <w:rPr>
          <w:rFonts w:cs="Arial"/>
          <w:i w:val="false"/>
          <w:iCs w:val="false"/>
          <w:color w:val="000000" w:themeColor="text1"/>
          <w:szCs w:val="20"/>
        </w:rPr>
        <w:t xml:space="preserve">, realizará Dispensa Eletrônica, </w:t>
      </w:r>
      <w:r>
        <w:rPr>
          <w:rFonts w:cs="Arial"/>
          <w:bCs/>
          <w:i w:val="false"/>
          <w:iCs w:val="false"/>
          <w:color w:val="000000" w:themeColor="text1"/>
          <w:szCs w:val="20"/>
        </w:rPr>
        <w:t xml:space="preserve">com critério de julgamento </w:t>
      </w:r>
      <w:r>
        <w:rPr>
          <w:rFonts w:cs="Arial"/>
          <w:i w:val="false"/>
          <w:iCs w:val="false"/>
          <w:color w:val="000000"/>
          <w:szCs w:val="20"/>
        </w:rPr>
        <w:t>menor preço,</w:t>
      </w:r>
      <w:r>
        <w:rPr>
          <w:rFonts w:cs="Arial"/>
          <w:b/>
          <w:bCs/>
          <w:i w:val="false"/>
          <w:iCs w:val="false"/>
          <w:color w:val="000000"/>
          <w:szCs w:val="20"/>
        </w:rPr>
        <w:t xml:space="preserve"> </w:t>
      </w:r>
      <w:r>
        <w:rPr>
          <w:rFonts w:cs="Arial"/>
          <w:i w:val="false"/>
          <w:iCs w:val="false"/>
          <w:color w:val="000000" w:themeColor="text1"/>
          <w:szCs w:val="20"/>
        </w:rPr>
        <w:t xml:space="preserve">na hipótese do art. 75, </w:t>
      </w:r>
      <w:r>
        <w:rPr>
          <w:rFonts w:cs="Arial"/>
          <w:i w:val="false"/>
          <w:iCs w:val="false"/>
          <w:color w:val="000000"/>
          <w:szCs w:val="20"/>
        </w:rPr>
        <w:t>inciso</w:t>
      </w:r>
      <w:r>
        <w:rPr>
          <w:rFonts w:cs="Arial"/>
          <w:b/>
          <w:i w:val="false"/>
          <w:iCs w:val="false"/>
          <w:color w:val="000000"/>
          <w:szCs w:val="20"/>
        </w:rPr>
        <w:t xml:space="preserve"> </w:t>
      </w:r>
      <w:r>
        <w:rPr>
          <w:rFonts w:cs="Arial"/>
          <w:b w:val="false"/>
          <w:bCs w:val="false"/>
          <w:i w:val="false"/>
          <w:iCs w:val="false"/>
          <w:color w:val="000000"/>
          <w:szCs w:val="20"/>
        </w:rPr>
        <w:t xml:space="preserve">II, </w:t>
      </w:r>
      <w:r>
        <w:rPr>
          <w:rFonts w:cs="Arial"/>
          <w:bCs/>
          <w:i w:val="false"/>
          <w:iCs w:val="false"/>
          <w:color w:val="000000"/>
          <w:szCs w:val="20"/>
        </w:rPr>
        <w:t>nos termos da Lei nº 14.133, de 1º de abril de 2021, da Instrução Normativa SEGES/ME nº 67/2021 e demais legislação aplicável</w:t>
      </w:r>
      <w:r>
        <w:rPr>
          <w:rFonts w:cs="Arial"/>
          <w:i w:val="false"/>
          <w:iCs w:val="false"/>
          <w:color w:val="000000"/>
          <w:szCs w:val="20"/>
        </w:rPr>
        <w:t>.</w:t>
      </w:r>
    </w:p>
    <w:p>
      <w:pPr>
        <w:pStyle w:val="Normal"/>
        <w:spacing w:lineRule="auto" w:line="276"/>
        <w:jc w:val="both"/>
        <w:rPr>
          <w:rFonts w:cs="Arial"/>
          <w:i w:val="false"/>
          <w:i w:val="false"/>
          <w:iCs w:val="false"/>
          <w:color w:val="000000" w:themeColor="text1"/>
          <w:szCs w:val="20"/>
        </w:rPr>
      </w:pPr>
      <w:r>
        <w:rPr>
          <w:rFonts w:cs="Arial"/>
          <w:i w:val="false"/>
          <w:iCs w:val="false"/>
          <w:color w:val="000000" w:themeColor="text1"/>
          <w:szCs w:val="20"/>
        </w:rPr>
      </w:r>
    </w:p>
    <w:p>
      <w:pPr>
        <w:pStyle w:val="Normal"/>
        <w:spacing w:lineRule="auto" w:line="276"/>
        <w:jc w:val="both"/>
        <w:rPr/>
      </w:pPr>
      <w:r>
        <w:rPr>
          <w:rFonts w:cs="Arial"/>
          <w:color w:val="000000" w:themeColor="text1"/>
          <w:szCs w:val="20"/>
        </w:rPr>
        <w:t>Data da sessão: 06/09/2022</w:t>
      </w:r>
    </w:p>
    <w:p>
      <w:pPr>
        <w:pStyle w:val="Normal"/>
        <w:rPr/>
      </w:pPr>
      <w:r>
        <w:rPr>
          <w:rFonts w:cs="Arial"/>
          <w:color w:val="000000" w:themeColor="text1"/>
          <w:szCs w:val="20"/>
        </w:rPr>
        <w:t>Link: https://www.gov.br/compras/pt-br</w:t>
      </w:r>
    </w:p>
    <w:p>
      <w:pPr>
        <w:pStyle w:val="Normal"/>
        <w:rPr/>
      </w:pPr>
      <w:r>
        <w:rPr>
          <w:rFonts w:cs="Arial"/>
          <w:color w:val="000000" w:themeColor="text1"/>
          <w:szCs w:val="20"/>
        </w:rPr>
        <w:t xml:space="preserve">Horário da Fase de Lances: 8h00 às </w:t>
      </w:r>
      <w:r>
        <w:rPr>
          <w:rFonts w:cs="Arial"/>
          <w:i/>
          <w:color w:val="000000"/>
          <w:szCs w:val="20"/>
        </w:rPr>
        <w:t>14h00</w:t>
      </w:r>
    </w:p>
    <w:p>
      <w:pPr>
        <w:pStyle w:val="PADRO"/>
        <w:keepNext w:val="false"/>
        <w:widowControl/>
        <w:shd w:val="clear" w:color="auto" w:fill="auto"/>
        <w:spacing w:before="120" w:after="120"/>
        <w:ind w:left="360" w:hanging="0"/>
        <w:rPr>
          <w:rFonts w:ascii="Arial" w:hAnsi="Arial" w:cs="Arial"/>
          <w:b/>
          <w:b/>
        </w:rPr>
      </w:pPr>
      <w:r>
        <w:rPr>
          <w:rFonts w:cs="Arial" w:ascii="Arial" w:hAnsi="Arial"/>
          <w:b/>
        </w:rPr>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OBJETO DA CONTRATAÇÃO DIRETA</w:t>
      </w:r>
      <w:bookmarkStart w:id="0" w:name="_GoBack"/>
      <w:bookmarkEnd w:id="0"/>
    </w:p>
    <w:p>
      <w:pPr>
        <w:pStyle w:val="PADRO"/>
        <w:keepNext w:val="false"/>
        <w:widowControl/>
        <w:numPr>
          <w:ilvl w:val="1"/>
          <w:numId w:val="1"/>
        </w:numPr>
        <w:shd w:val="clear" w:color="auto" w:fill="auto"/>
        <w:spacing w:before="120" w:after="120"/>
        <w:rPr/>
      </w:pPr>
      <w:r>
        <w:rPr>
          <w:rFonts w:cs="Arial" w:ascii="Arial" w:hAnsi="Arial"/>
          <w:color w:val="000000" w:themeColor="text1"/>
          <w:szCs w:val="20"/>
        </w:rPr>
        <w:t xml:space="preserve">O objeto da presente dispensa é a escolha da proposta mais vantajosa para a </w:t>
      </w:r>
      <w:r>
        <w:rPr>
          <w:rFonts w:cs="Arial" w:ascii="Arial" w:hAnsi="Arial"/>
          <w:color w:val="000000"/>
          <w:szCs w:val="20"/>
        </w:rPr>
        <w:t>contratação</w:t>
      </w:r>
      <w:r>
        <w:rPr>
          <w:rFonts w:cs="Arial" w:ascii="Arial" w:hAnsi="Arial"/>
          <w:color w:val="000000" w:themeColor="text1"/>
          <w:szCs w:val="20"/>
        </w:rPr>
        <w:t xml:space="preserve"> por dispensa de licitação de serviço para realização das </w:t>
      </w:r>
      <w:r>
        <w:rPr>
          <w:rFonts w:cs="Arial" w:ascii="Arial" w:hAnsi="Arial"/>
          <w:b w:val="false"/>
          <w:bCs w:val="false"/>
          <w:color w:val="000000" w:themeColor="text1"/>
          <w:szCs w:val="20"/>
        </w:rPr>
        <w:t>a</w:t>
      </w:r>
      <w:r>
        <w:rPr>
          <w:rFonts w:cs="Arial" w:ascii="Arial" w:hAnsi="Arial"/>
          <w:b w:val="false"/>
          <w:bCs w:val="false"/>
          <w:color w:val="000000"/>
          <w:szCs w:val="20"/>
        </w:rPr>
        <w:t>ulas práticas relacionadas a disciplinas de Fabricação Mecânica,</w:t>
      </w:r>
      <w:r>
        <w:rPr>
          <w:rFonts w:cs="Arial" w:ascii="Arial" w:hAnsi="Arial"/>
          <w:b/>
          <w:bCs/>
          <w:color w:val="FF0000"/>
          <w:szCs w:val="20"/>
        </w:rPr>
        <w:t xml:space="preserve"> </w:t>
      </w:r>
      <w:r>
        <w:rPr>
          <w:rFonts w:cs="Arial" w:ascii="Arial" w:hAnsi="Arial"/>
          <w:color w:val="000000" w:themeColor="text1"/>
          <w:szCs w:val="20"/>
        </w:rPr>
        <w:t>conforme condições, quantidades e exigências estabelecidas neste Aviso de Contratação Direta e seus anexos.</w:t>
      </w:r>
    </w:p>
    <w:p>
      <w:pPr>
        <w:pStyle w:val="PADRO"/>
        <w:keepNext w:val="false"/>
        <w:widowControl/>
        <w:numPr>
          <w:ilvl w:val="1"/>
          <w:numId w:val="1"/>
        </w:numPr>
        <w:shd w:val="clear" w:color="auto" w:fill="auto"/>
        <w:spacing w:before="120" w:after="120"/>
        <w:rPr>
          <w:rFonts w:ascii="Arial" w:hAnsi="Arial" w:eastAsia="WenQuanYi Micro Hei" w:cs="Arial"/>
          <w:i w:val="false"/>
          <w:i w:val="false"/>
          <w:iCs w:val="false"/>
          <w:color w:val="auto"/>
          <w:kern w:val="0"/>
          <w:sz w:val="20"/>
          <w:szCs w:val="20"/>
          <w:lang w:val="pt-BR" w:eastAsia="zh-CN" w:bidi="hi-IN"/>
        </w:rPr>
      </w:pPr>
      <w:r>
        <w:rPr>
          <w:rFonts w:eastAsia="WenQuanYi Micro Hei" w:cs="Arial" w:ascii="Arial" w:hAnsi="Arial"/>
          <w:i w:val="false"/>
          <w:iCs w:val="false"/>
          <w:color w:val="auto"/>
          <w:kern w:val="0"/>
          <w:sz w:val="20"/>
          <w:szCs w:val="20"/>
          <w:lang w:val="pt-BR" w:eastAsia="zh-CN" w:bidi="hi-IN"/>
        </w:rPr>
        <w:t>A contratação será dividida em um único item</w:t>
      </w:r>
      <w:r>
        <w:rPr>
          <w:rFonts w:eastAsia="WenQuanYi Micro Hei" w:cs="Arial" w:ascii="Arial" w:hAnsi="Arial"/>
          <w:b/>
          <w:bCs/>
          <w:i w:val="false"/>
          <w:iCs w:val="false"/>
          <w:color w:val="auto"/>
          <w:kern w:val="0"/>
          <w:sz w:val="20"/>
          <w:szCs w:val="20"/>
          <w:lang w:val="pt-BR" w:eastAsia="zh-CN" w:bidi="hi-IN"/>
        </w:rPr>
        <w:t>,</w:t>
      </w:r>
      <w:r>
        <w:rPr>
          <w:rFonts w:eastAsia="WenQuanYi Micro Hei" w:cs="Arial" w:ascii="Arial" w:hAnsi="Arial"/>
          <w:i w:val="false"/>
          <w:iCs w:val="false"/>
          <w:color w:val="auto"/>
          <w:kern w:val="0"/>
          <w:sz w:val="20"/>
          <w:szCs w:val="20"/>
          <w:lang w:val="pt-BR" w:eastAsia="zh-CN" w:bidi="hi-IN"/>
        </w:rPr>
        <w:t xml:space="preserve"> conforme descrito no Termo de Referência.</w:t>
      </w:r>
    </w:p>
    <w:p>
      <w:pPr>
        <w:pStyle w:val="PADRO"/>
        <w:keepNext w:val="false"/>
        <w:widowControl/>
        <w:numPr>
          <w:ilvl w:val="2"/>
          <w:numId w:val="1"/>
        </w:numPr>
        <w:shd w:val="clear" w:color="auto" w:fill="auto"/>
        <w:spacing w:before="120" w:after="120"/>
        <w:rPr>
          <w:rFonts w:ascii="Arial" w:hAnsi="Arial" w:cs="Arial"/>
        </w:rPr>
      </w:pPr>
      <w:r>
        <w:rPr>
          <w:rFonts w:cs="Arial" w:ascii="Arial" w:hAnsi="Arial"/>
          <w:szCs w:val="20"/>
        </w:rPr>
        <w:t>Havendo mais de item ou lote faculta-se ao fornecedor a participação em quantos forem de seu interesse. Entretanto, optando-se por participar de um lote, deve o fornecedor enviar proposta para todos os itens que o compõem.</w:t>
      </w:r>
    </w:p>
    <w:p>
      <w:pPr>
        <w:pStyle w:val="PADRO"/>
        <w:keepNext w:val="false"/>
        <w:widowControl/>
        <w:numPr>
          <w:ilvl w:val="1"/>
          <w:numId w:val="1"/>
        </w:numPr>
        <w:shd w:val="clear" w:color="auto" w:fill="auto"/>
        <w:spacing w:before="120" w:after="120"/>
        <w:rPr/>
      </w:pPr>
      <w:r>
        <w:rPr>
          <w:rFonts w:cs="Arial" w:ascii="Arial" w:hAnsi="Arial"/>
          <w:szCs w:val="20"/>
        </w:rPr>
        <w:t>O critério de julgamento adotado será o</w:t>
      </w:r>
      <w:r>
        <w:rPr>
          <w:rFonts w:cs="Arial" w:ascii="Arial" w:hAnsi="Arial"/>
          <w:i/>
          <w:iCs/>
          <w:szCs w:val="20"/>
        </w:rPr>
        <w:t xml:space="preserve"> </w:t>
      </w:r>
      <w:r>
        <w:rPr>
          <w:rFonts w:cs="Arial" w:ascii="Arial" w:hAnsi="Arial"/>
          <w:i/>
          <w:iCs/>
          <w:color w:val="000000"/>
          <w:szCs w:val="20"/>
        </w:rPr>
        <w:t>menor preço,</w:t>
      </w:r>
      <w:r>
        <w:rPr>
          <w:rFonts w:cs="Arial" w:ascii="Arial" w:hAnsi="Arial"/>
          <w:color w:val="FF0000"/>
          <w:szCs w:val="20"/>
        </w:rPr>
        <w:t xml:space="preserve"> </w:t>
      </w:r>
      <w:r>
        <w:rPr>
          <w:rFonts w:cs="Arial" w:ascii="Arial" w:hAnsi="Arial"/>
          <w:szCs w:val="20"/>
        </w:rPr>
        <w:t>observadas as exigências contidas neste Aviso de Contratação Direta e seus Anexos quanto às especificações do objeto.</w:t>
      </w:r>
    </w:p>
    <w:p>
      <w:pPr>
        <w:pStyle w:val="PADRO"/>
        <w:widowControl/>
        <w:numPr>
          <w:ilvl w:val="1"/>
          <w:numId w:val="1"/>
        </w:numPr>
        <w:shd w:val="clear" w:color="auto" w:fill="auto"/>
        <w:spacing w:before="120" w:after="120"/>
        <w:rPr/>
      </w:pPr>
      <w:r>
        <w:rPr>
          <w:rFonts w:cs="Arial" w:ascii="Arial" w:hAnsi="Arial"/>
          <w:szCs w:val="20"/>
        </w:rPr>
        <w:t>A entrega dos itens deverão ocorrer de forma única e integral a este Centro de Instrução.</w:t>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PARTICIPAÇÃO NA DISPENSA ELETRÔNICA.</w:t>
      </w:r>
    </w:p>
    <w:p>
      <w:pPr>
        <w:pStyle w:val="Normal"/>
        <w:numPr>
          <w:ilvl w:val="1"/>
          <w:numId w:val="1"/>
        </w:numPr>
        <w:snapToGrid w:val="false"/>
        <w:spacing w:lineRule="auto" w:line="276" w:before="120" w:after="120"/>
        <w:ind w:left="425" w:hanging="0"/>
        <w:jc w:val="both"/>
        <w:rPr/>
      </w:pPr>
      <w:r>
        <w:rPr>
          <w:rFonts w:cs="Arial"/>
          <w:szCs w:val="20"/>
        </w:rPr>
        <w:t xml:space="preserve">A participação na presente dispensa eletrônica se dará mediante </w:t>
      </w:r>
      <w:r>
        <w:rPr>
          <w:rFonts w:cs="Arial"/>
          <w:bCs/>
          <w:szCs w:val="20"/>
        </w:rPr>
        <w:t>Sistema de Dispensa Eletrônica</w:t>
      </w:r>
      <w:r>
        <w:rPr>
          <w:rFonts w:cs="Arial"/>
          <w:szCs w:val="20"/>
        </w:rPr>
        <w:t xml:space="preserve"> integrante do Sistema de Compras do Governo Federal – Comprasnet 4.0, disponível no </w:t>
      </w:r>
      <w:r>
        <w:rPr>
          <w:rFonts w:cs="Arial"/>
          <w:bCs/>
          <w:szCs w:val="20"/>
        </w:rPr>
        <w:t xml:space="preserve">endereço eletrônico </w:t>
      </w:r>
      <w:r>
        <w:rPr>
          <w:rFonts w:cs="Arial"/>
          <w:b w:val="false"/>
          <w:bCs w:val="false"/>
          <w:color w:val="000000"/>
          <w:szCs w:val="20"/>
          <w:u w:val="none"/>
        </w:rPr>
        <w:t>https://www.gov.br/compras/pt-br</w:t>
      </w:r>
      <w:r>
        <w:rPr>
          <w:rFonts w:cs="Arial"/>
          <w:szCs w:val="20"/>
        </w:rPr>
        <w:t>.</w:t>
      </w:r>
    </w:p>
    <w:p>
      <w:pPr>
        <w:pStyle w:val="Normal"/>
        <w:numPr>
          <w:ilvl w:val="2"/>
          <w:numId w:val="1"/>
        </w:numPr>
        <w:snapToGrid w:val="false"/>
        <w:spacing w:lineRule="auto" w:line="276" w:before="120" w:after="120"/>
        <w:jc w:val="both"/>
        <w:rPr>
          <w:rFonts w:cs="Arial"/>
          <w:szCs w:val="20"/>
        </w:rPr>
      </w:pPr>
      <w:r>
        <w:rPr>
          <w:rFonts w:cs="Arial"/>
          <w:szCs w:val="20"/>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Não poderão participar desta dispensa os fornecedores: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não atendam às condições deste Aviso de Contratação Direta e seu(s) anexo(s);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se enquadrem nas seguintes vedações:</w:t>
      </w:r>
    </w:p>
    <w:p>
      <w:pPr>
        <w:pStyle w:val="Normal"/>
        <w:numPr>
          <w:ilvl w:val="3"/>
          <w:numId w:val="3"/>
        </w:numPr>
        <w:spacing w:lineRule="auto" w:line="276" w:before="120" w:after="120"/>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pPr>
        <w:pStyle w:val="Normal"/>
        <w:numPr>
          <w:ilvl w:val="3"/>
          <w:numId w:val="3"/>
        </w:numPr>
        <w:spacing w:lineRule="auto" w:line="276" w:before="120" w:after="120"/>
        <w:jc w:val="both"/>
        <w:rPr>
          <w:rFonts w:cs="Arial"/>
          <w:color w:val="000000" w:themeColor="text1"/>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3"/>
        </w:numPr>
        <w:spacing w:lineRule="auto" w:line="276" w:before="120" w:after="120"/>
        <w:jc w:val="both"/>
        <w:rPr>
          <w:rFonts w:cs="Arial"/>
          <w:color w:val="000000" w:themeColor="text1"/>
          <w:szCs w:val="20"/>
        </w:rPr>
      </w:pPr>
      <w:r>
        <w:rPr>
          <w:rFonts w:cs="Arial"/>
          <w:color w:val="000000"/>
          <w:szCs w:val="20"/>
        </w:rPr>
        <w:t>pessoa física ou jurídica que se encontre, ao tempo da contratação, impossibilitada de contratar em decorrência de sanção que lhe foi imposta;</w:t>
      </w:r>
    </w:p>
    <w:p>
      <w:pPr>
        <w:pStyle w:val="Normal"/>
        <w:numPr>
          <w:ilvl w:val="3"/>
          <w:numId w:val="3"/>
        </w:numPr>
        <w:spacing w:lineRule="auto" w:line="276" w:before="120" w:after="120"/>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3"/>
        </w:numPr>
        <w:spacing w:lineRule="auto" w:line="276" w:before="120" w:after="120"/>
        <w:jc w:val="both"/>
        <w:rPr/>
      </w:pPr>
      <w:r>
        <w:rPr>
          <w:rFonts w:cs="Arial"/>
          <w:color w:val="000000"/>
          <w:szCs w:val="20"/>
        </w:rPr>
        <w:t>empresas controladoras, controladas ou coligadas, nos termos da </w:t>
      </w:r>
      <w:hyperlink r:id="rId3">
        <w:r>
          <w:rPr>
            <w:rStyle w:val="LinkdaInternet"/>
            <w:rFonts w:eastAsia="Calibri" w:cs="Arial"/>
            <w:szCs w:val="20"/>
          </w:rPr>
          <w:t>Lei nº 6.404, de 15 de dezembro de 1976</w:t>
        </w:r>
      </w:hyperlink>
      <w:r>
        <w:rPr>
          <w:rFonts w:cs="Arial"/>
          <w:color w:val="000000"/>
          <w:szCs w:val="20"/>
        </w:rPr>
        <w:t>, concorrendo entre si;</w:t>
      </w:r>
    </w:p>
    <w:p>
      <w:pPr>
        <w:pStyle w:val="Normal"/>
        <w:numPr>
          <w:ilvl w:val="3"/>
          <w:numId w:val="3"/>
        </w:numPr>
        <w:spacing w:lineRule="auto" w:line="276" w:before="120" w:after="120"/>
        <w:jc w:val="both"/>
        <w:rPr>
          <w:rFonts w:cs="Arial"/>
          <w:color w:val="000000" w:themeColor="text1"/>
          <w:szCs w:val="20"/>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cs="Arial"/>
          <w:color w:val="000000" w:themeColor="text1"/>
          <w:szCs w:val="20"/>
        </w:rPr>
      </w:pPr>
      <w:r>
        <w:rPr>
          <w:rFonts w:cs="Arial"/>
          <w:color w:val="000000"/>
          <w:szCs w:val="20"/>
        </w:rPr>
        <w:t>Equiparam-se aos autores do projeto as empresas integrantes do mesmo grupo econômico;</w:t>
      </w:r>
    </w:p>
    <w:p>
      <w:pPr>
        <w:pStyle w:val="Normal"/>
        <w:numPr>
          <w:ilvl w:val="3"/>
          <w:numId w:val="1"/>
        </w:numPr>
        <w:spacing w:lineRule="auto" w:line="276" w:before="120" w:after="120"/>
        <w:jc w:val="both"/>
        <w:rPr>
          <w:rFonts w:cs="Arial"/>
          <w:color w:val="000000" w:themeColor="text1"/>
          <w:szCs w:val="20"/>
        </w:rPr>
      </w:pPr>
      <w:r>
        <w:rPr>
          <w:rFonts w:cs="Arial"/>
          <w:color w:val="000000"/>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rFonts w:cs="Arial"/>
          <w:color w:val="000000" w:themeColor="text1"/>
          <w:szCs w:val="20"/>
        </w:rPr>
      </w:pPr>
      <w:r>
        <w:rPr>
          <w:rFonts w:cs="Arial"/>
          <w:color w:val="000000"/>
          <w:szCs w:val="20"/>
        </w:rPr>
        <w:t>organizações da Sociedade Civil de Interesse Público - OSCIP, atuando nessa condição (Acórdão nº 746/2014-TCU-Plenário); e</w:t>
      </w:r>
    </w:p>
    <w:p>
      <w:pPr>
        <w:pStyle w:val="Normal"/>
        <w:numPr>
          <w:ilvl w:val="2"/>
          <w:numId w:val="1"/>
        </w:numPr>
        <w:spacing w:lineRule="auto" w:line="276" w:before="120" w:after="120"/>
        <w:jc w:val="both"/>
        <w:rPr>
          <w:rFonts w:cs="Arial"/>
          <w:i/>
          <w:i/>
          <w:color w:val="FF0000"/>
          <w:szCs w:val="20"/>
        </w:rPr>
      </w:pPr>
      <w:r>
        <w:rPr>
          <w:rFonts w:cs="Arial"/>
          <w:i/>
          <w:color w:val="000000"/>
          <w:szCs w:val="20"/>
        </w:rPr>
        <w:t>sociedades cooperativas.</w:t>
      </w:r>
      <w:bookmarkStart w:id="1" w:name="_Hlk519667815"/>
      <w:bookmarkEnd w:id="1"/>
    </w:p>
    <w:p>
      <w:pPr>
        <w:pStyle w:val="PADRO"/>
        <w:keepNext w:val="false"/>
        <w:widowControl/>
        <w:numPr>
          <w:ilvl w:val="0"/>
          <w:numId w:val="1"/>
        </w:numPr>
        <w:shd w:val="clear" w:color="auto" w:fill="auto"/>
        <w:spacing w:before="120" w:after="120"/>
        <w:rPr/>
      </w:pPr>
      <w:r>
        <w:rPr>
          <w:rFonts w:cs="Arial" w:ascii="Arial" w:hAnsi="Arial"/>
          <w:b/>
        </w:rPr>
        <w:t>INGRESSO NA DISPENSA ELETRÔNICA E CADASTRAMENTO DA PROPOSTA INICIAL</w:t>
      </w:r>
    </w:p>
    <w:p>
      <w:pPr>
        <w:pStyle w:val="Normal"/>
        <w:numPr>
          <w:ilvl w:val="1"/>
          <w:numId w:val="1"/>
        </w:numPr>
        <w:snapToGrid w:val="false"/>
        <w:spacing w:lineRule="auto" w:line="276" w:before="120" w:after="120"/>
        <w:ind w:left="425" w:hanging="0"/>
        <w:jc w:val="both"/>
        <w:rPr>
          <w:rFonts w:cs="Arial"/>
        </w:rPr>
      </w:pPr>
      <w:r>
        <w:rPr>
          <w:rFonts w:cs="Arial"/>
          <w:color w:val="000000" w:themeColor="text1"/>
          <w:szCs w:val="20"/>
        </w:rPr>
        <w:t>O ingresso do fornecedor na disputa da dispensa eletrônica se dará com o cadastramento de sua proposta inicial, na forma deste item.</w:t>
      </w:r>
    </w:p>
    <w:p>
      <w:pPr>
        <w:pStyle w:val="Normal"/>
        <w:numPr>
          <w:ilvl w:val="1"/>
          <w:numId w:val="1"/>
        </w:numPr>
        <w:snapToGrid w:val="false"/>
        <w:spacing w:lineRule="auto" w:line="276" w:before="120" w:after="120"/>
        <w:ind w:left="425" w:hanging="0"/>
        <w:jc w:val="both"/>
        <w:rPr>
          <w:rFonts w:cs="Arial"/>
          <w:color w:val="000000" w:themeColor="text1"/>
          <w:szCs w:val="20"/>
        </w:rPr>
      </w:pPr>
      <w:r>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lineRule="auto" w:line="276" w:before="120" w:after="120"/>
        <w:jc w:val="both"/>
        <w:rPr>
          <w:rFonts w:cs="Arial"/>
          <w:szCs w:val="20"/>
        </w:rPr>
      </w:pPr>
      <w:r>
        <w:rPr>
          <w:rFonts w:cs="Arial"/>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spacing w:lineRule="auto" w:line="276" w:before="120" w:after="120"/>
        <w:ind w:left="425" w:hanging="0"/>
        <w:jc w:val="both"/>
        <w:rPr>
          <w:rFonts w:cs="Arial"/>
          <w:szCs w:val="20"/>
        </w:rPr>
      </w:pPr>
      <w:r>
        <w:rPr>
          <w:rFonts w:cs="Arial"/>
          <w:szCs w:val="20"/>
        </w:rPr>
        <w:t xml:space="preserve">Todas as especificações do </w:t>
      </w:r>
      <w:r>
        <w:rPr>
          <w:rFonts w:cs="Arial"/>
          <w:color w:val="000000" w:themeColor="text1"/>
          <w:szCs w:val="20"/>
        </w:rPr>
        <w:t>objeto</w:t>
      </w:r>
      <w:r>
        <w:rPr>
          <w:rFonts w:cs="Arial"/>
          <w:szCs w:val="20"/>
        </w:rPr>
        <w:t xml:space="preserve"> contidas na proposta, em especial o preço, vinculam a Contratada.</w:t>
      </w:r>
    </w:p>
    <w:p>
      <w:pPr>
        <w:pStyle w:val="Normal"/>
        <w:numPr>
          <w:ilvl w:val="1"/>
          <w:numId w:val="1"/>
        </w:numPr>
        <w:spacing w:lineRule="auto" w:line="276" w:before="120" w:after="120"/>
        <w:ind w:left="425" w:hanging="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120" w:after="120"/>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hanging="0"/>
        <w:jc w:val="both"/>
        <w:rPr>
          <w:rFonts w:cs="Arial"/>
          <w:szCs w:val="20"/>
        </w:rPr>
      </w:pPr>
      <w:r>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lineRule="auto" w:line="276" w:before="120" w:after="120"/>
        <w:ind w:left="425" w:hanging="0"/>
        <w:jc w:val="both"/>
        <w:rPr>
          <w:rFonts w:cs="Arial"/>
          <w:szCs w:val="20"/>
        </w:rPr>
      </w:pPr>
      <w:r>
        <w:rPr>
          <w:rFonts w:cs="Arial"/>
          <w:szCs w:val="20"/>
        </w:rPr>
        <w:t>Independentemente do percentual de tributo inserido na planilha, no pagamento serão retidos na fonte os percentuais estabelecidos na legislação vigente.</w:t>
      </w:r>
    </w:p>
    <w:p>
      <w:pPr>
        <w:pStyle w:val="Normal"/>
        <w:numPr>
          <w:ilvl w:val="1"/>
          <w:numId w:val="1"/>
        </w:numPr>
        <w:spacing w:lineRule="auto" w:line="276" w:before="120" w:after="120"/>
        <w:ind w:left="425" w:hanging="0"/>
        <w:jc w:val="both"/>
        <w:rPr/>
      </w:pPr>
      <w:r>
        <w:rPr>
          <w:rFonts w:cs="Arial"/>
          <w:szCs w:val="20"/>
        </w:rPr>
        <w:t xml:space="preserve">A apresentação das propostas implica obrigatoriedade do cumprimento das disposições nelas contidas, em conformidade com o que dispõe o </w:t>
      </w:r>
      <w:r>
        <w:rPr>
          <w:rFonts w:cs="Arial"/>
          <w:i/>
          <w:color w:val="000000"/>
          <w:szCs w:val="20"/>
        </w:rPr>
        <w:t>Termo de Referência</w:t>
      </w:r>
      <w:r>
        <w:rPr>
          <w:rFonts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left="425" w:hanging="0"/>
        <w:jc w:val="both"/>
        <w:rPr/>
      </w:pPr>
      <w:r>
        <w:rPr>
          <w:rFonts w:cs="Arial"/>
          <w:szCs w:val="20"/>
        </w:rPr>
        <w:t xml:space="preserve">Uma vez enviada a proposta no sistema, os fornecedores </w:t>
      </w:r>
      <w:r>
        <w:rPr>
          <w:rFonts w:cs="Arial"/>
          <w:b/>
          <w:bCs/>
          <w:szCs w:val="20"/>
        </w:rPr>
        <w:t>NÃO</w:t>
      </w:r>
      <w:r>
        <w:rPr>
          <w:rFonts w:cs="Arial"/>
          <w:szCs w:val="20"/>
        </w:rPr>
        <w:t xml:space="preserve"> poderão retirá-la, substituí-la ou modificá-la</w:t>
      </w:r>
      <w:r>
        <w:rPr>
          <w:rFonts w:cs="Arial"/>
          <w:color w:val="000000"/>
          <w:szCs w:val="20"/>
        </w:rPr>
        <w:t>;</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szCs w:val="20"/>
        </w:rPr>
        <w:t xml:space="preserve">No cadastramento da proposta inicial, o fornecedor deverá, também, assinalar “sim” ou “não” em campo </w:t>
      </w:r>
      <w:r>
        <w:rPr>
          <w:rFonts w:cs="Arial"/>
          <w:szCs w:val="20"/>
        </w:rPr>
        <w:t>próprio</w:t>
      </w:r>
      <w:r>
        <w:rPr>
          <w:rFonts w:cs="Arial"/>
          <w:color w:val="000000"/>
          <w:szCs w:val="20"/>
        </w:rPr>
        <w:t xml:space="preserve"> do sistema eletrônico, às seguintes declarações:</w:t>
      </w:r>
      <w:r>
        <w:rPr>
          <w:rFonts w:eastAsia="Zurich BT" w:cs="Arial"/>
          <w:color w:val="000000"/>
          <w:szCs w:val="20"/>
        </w:rPr>
        <w:t xml:space="preserve"> </w:t>
      </w:r>
    </w:p>
    <w:p>
      <w:pPr>
        <w:pStyle w:val="ListParagraph"/>
        <w:numPr>
          <w:ilvl w:val="0"/>
          <w:numId w:val="2"/>
        </w:numPr>
        <w:tabs>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pPr>
      <w:r>
        <w:rPr>
          <w:rFonts w:cs="Arial"/>
          <w:color w:val="000000" w:themeColor="text1"/>
          <w:szCs w:val="20"/>
        </w:rPr>
        <w:t xml:space="preserve">que </w:t>
      </w:r>
      <w:r>
        <w:rPr>
          <w:rFonts w:cs="Arial"/>
          <w:color w:val="000000"/>
          <w:szCs w:val="20"/>
        </w:rPr>
        <w:t>cumpre</w:t>
      </w:r>
      <w:r>
        <w:rPr>
          <w:rFonts w:cs="Arial"/>
          <w:color w:val="000000" w:themeColor="text1"/>
          <w:szCs w:val="20"/>
        </w:rPr>
        <w:t xml:space="preserve"> os requisitos estabelecidos no artigo 3° da Lei Complementar nº 123, de 2006, estando apto a usufruir do tratamento favorecido estabelecido em seus arts. 42 a 49.</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está ciente e concorda com as condições contidas no Aviso de Contratação Direta e seus anexos;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assume a responsabilidade pelas transações que forem efetuadas no sistema, assumindo como firmes e verdadeiras;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cumpre as exigências de reserva de cargos para pessoa com deficiência e para reabilitado da Previdência Social, de que trata o art. 93 da Lei nº 8.213/91.</w:t>
      </w:r>
    </w:p>
    <w:p>
      <w:pPr>
        <w:pStyle w:val="Normal"/>
        <w:numPr>
          <w:ilvl w:val="2"/>
          <w:numId w:val="1"/>
        </w:numPr>
        <w:spacing w:lineRule="auto" w:line="276" w:before="120" w:after="120"/>
        <w:jc w:val="both"/>
        <w:rPr/>
      </w:pPr>
      <w:r>
        <w:rPr>
          <w:rFonts w:cs="Arial"/>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FASE DE LANCES</w:t>
      </w:r>
    </w:p>
    <w:p>
      <w:pPr>
        <w:pStyle w:val="ListParagraph"/>
        <w:numPr>
          <w:ilvl w:val="1"/>
          <w:numId w:val="1"/>
        </w:numPr>
        <w:spacing w:lineRule="auto" w:line="276" w:before="120" w:after="120"/>
        <w:contextualSpacing/>
        <w:jc w:val="both"/>
        <w:rPr/>
      </w:pPr>
      <w:r>
        <w:rPr>
          <w:rFonts w:cs="Arial"/>
          <w:color w:val="000000" w:themeColor="text1"/>
          <w:szCs w:val="20"/>
          <w:lang w:eastAsia="en-US"/>
        </w:rPr>
        <w:t xml:space="preserve">A partir das 8h00 da data estabelecida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pPr>
      <w:r>
        <w:rPr>
          <w:rFonts w:cs="Arial"/>
          <w:i/>
          <w:iCs/>
          <w:color w:val="000000"/>
          <w:szCs w:val="20"/>
        </w:rPr>
        <w:t>O lance deverá ser ofertado pelo valor unitário do item.</w:t>
      </w:r>
    </w:p>
    <w:p>
      <w:pPr>
        <w:pStyle w:val="ListParagraph"/>
        <w:numPr>
          <w:ilvl w:val="0"/>
          <w:numId w:val="0"/>
        </w:numPr>
        <w:spacing w:lineRule="auto" w:line="276" w:before="120" w:after="120"/>
        <w:ind w:left="1944" w:hanging="0"/>
        <w:contextualSpacing/>
        <w:jc w:val="both"/>
        <w:rPr>
          <w:rFonts w:cs="Arial"/>
          <w:i/>
          <w:i/>
          <w:iCs/>
          <w:color w:val="000000"/>
          <w:szCs w:val="20"/>
          <w:lang w:eastAsia="en-US"/>
        </w:rPr>
      </w:pPr>
      <w:r>
        <w:rPr>
          <w:rFonts w:cs="Arial"/>
          <w:i/>
          <w:iCs/>
          <w:color w:val="000000"/>
          <w:szCs w:val="20"/>
          <w:lang w:eastAsia="en-US"/>
        </w:rPr>
      </w:r>
    </w:p>
    <w:p>
      <w:pPr>
        <w:pStyle w:val="ListParagraph"/>
        <w:numPr>
          <w:ilvl w:val="1"/>
          <w:numId w:val="1"/>
        </w:numPr>
        <w:spacing w:lineRule="auto" w:line="276" w:before="120" w:after="120"/>
        <w:contextualSpacing/>
        <w:jc w:val="both"/>
        <w:rPr/>
      </w:pPr>
      <w:r>
        <w:rPr>
          <w:rFonts w:cs="Arial"/>
          <w:color w:val="000000" w:themeColor="text1"/>
          <w:szCs w:val="20"/>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pPr>
      <w:r>
        <w:rPr>
          <w:rFonts w:cs="Arial"/>
          <w:szCs w:val="20"/>
        </w:rPr>
        <w:t>O intervalo mínimo de diferença de valores ou percentuais entre os lances, que incidirá tanto em relação aos lances intermediários quanto em relação ao que cobrir a melhor oferta é de</w:t>
      </w:r>
      <w:r>
        <w:rPr>
          <w:rFonts w:cs="Arial"/>
          <w:i w:val="false"/>
          <w:iCs w:val="false"/>
          <w:szCs w:val="20"/>
        </w:rPr>
        <w:t xml:space="preserve"> </w:t>
      </w:r>
      <w:r>
        <w:rPr>
          <w:rFonts w:cs="Arial"/>
          <w:b/>
          <w:bCs/>
          <w:i w:val="false"/>
          <w:iCs w:val="false"/>
          <w:color w:val="000000"/>
          <w:szCs w:val="20"/>
          <w:lang w:eastAsia="en-US"/>
        </w:rPr>
        <w:t>R$1,00 (Um real).</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Durante o procedimento, os fornecedores serão informados, em tempo real, do valor do menor lance registrado, vedada a identificação do fornecedor.</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cs="Arial"/>
        </w:rPr>
      </w:pPr>
      <w:r>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JULGAMENTO DAS PROPOSTAS DE PREÇO</w:t>
      </w:r>
    </w:p>
    <w:p>
      <w:pPr>
        <w:pStyle w:val="ListParagraph"/>
        <w:numPr>
          <w:ilvl w:val="1"/>
          <w:numId w:val="1"/>
        </w:numPr>
        <w:spacing w:lineRule="auto" w:line="276" w:before="120" w:after="120"/>
        <w:contextualSpacing/>
        <w:jc w:val="both"/>
        <w:rPr>
          <w:rFonts w:cs="Arial"/>
        </w:rPr>
      </w:pPr>
      <w:r>
        <w:rPr>
          <w:rFonts w:cs="Arial"/>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120" w:after="120"/>
        <w:contextualSpacing/>
        <w:jc w:val="both"/>
        <w:rPr>
          <w:rFonts w:cs="Arial"/>
        </w:rPr>
      </w:pPr>
      <w:r>
        <w:rPr>
          <w:rFonts w:cs="Arial"/>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cs="Arial"/>
        </w:rPr>
      </w:pPr>
      <w:r>
        <w:rPr>
          <w:rFonts w:cs="Arial"/>
          <w:color w:val="000000"/>
          <w:szCs w:val="20"/>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rFonts w:cs="Arial"/>
        </w:rPr>
      </w:pPr>
      <w:r>
        <w:rPr>
          <w:rFonts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cs="Arial"/>
        </w:rPr>
      </w:pPr>
      <w:r>
        <w:rPr>
          <w:rFonts w:cs="Arial"/>
        </w:rPr>
        <w:t>Em qualquer caso, concluída a negociação, o resultado será registrado na ata do procedimento da dispensa eletrônica.</w:t>
      </w:r>
    </w:p>
    <w:p>
      <w:pPr>
        <w:pStyle w:val="ListParagraph"/>
        <w:numPr>
          <w:ilvl w:val="1"/>
          <w:numId w:val="1"/>
        </w:numPr>
        <w:spacing w:lineRule="auto" w:line="276" w:before="120" w:after="120"/>
        <w:contextualSpacing/>
        <w:jc w:val="both"/>
        <w:rPr/>
      </w:pPr>
      <w:r>
        <w:rPr>
          <w:rFonts w:cs="Arial"/>
        </w:rPr>
        <w:t>Estando o preço compatível, será solicitado o envio da proposta e, se necessário, de documentos complementares, adequada ao último lance.</w:t>
      </w:r>
    </w:p>
    <w:p>
      <w:pPr>
        <w:pStyle w:val="Normal"/>
        <w:numPr>
          <w:ilvl w:val="1"/>
          <w:numId w:val="1"/>
        </w:numPr>
        <w:spacing w:lineRule="auto" w:line="276" w:before="120" w:after="120"/>
        <w:jc w:val="both"/>
        <w:rPr/>
      </w:pPr>
      <w:r>
        <w:rPr>
          <w:rFonts w:cs="Arial"/>
          <w:color w:val="000000" w:themeColor="text1"/>
          <w:szCs w:val="20"/>
        </w:rPr>
        <w:t xml:space="preserve">O prazo de validade </w:t>
      </w:r>
      <w:r>
        <w:rPr>
          <w:rFonts w:cs="Arial"/>
          <w:szCs w:val="20"/>
        </w:rPr>
        <w:t>da</w:t>
      </w:r>
      <w:r>
        <w:rPr>
          <w:rFonts w:cs="Arial"/>
          <w:color w:val="000000" w:themeColor="text1"/>
          <w:szCs w:val="20"/>
        </w:rPr>
        <w:t xml:space="preserve"> proposta não será inferior a 6</w:t>
      </w:r>
      <w:r>
        <w:rPr>
          <w:rFonts w:cs="Arial"/>
          <w:color w:val="000000"/>
          <w:szCs w:val="20"/>
        </w:rPr>
        <w:t>0 (sessenta)</w:t>
      </w:r>
      <w:r>
        <w:rPr>
          <w:rFonts w:cs="Arial"/>
          <w:color w:val="000000" w:themeColor="text1"/>
          <w:szCs w:val="20"/>
        </w:rPr>
        <w:t xml:space="preserve"> dias</w:t>
      </w:r>
      <w:r>
        <w:rPr>
          <w:rFonts w:cs="Arial"/>
          <w:b/>
          <w:bCs/>
          <w:color w:val="000000" w:themeColor="text1"/>
          <w:szCs w:val="20"/>
        </w:rPr>
        <w:t>,</w:t>
      </w:r>
      <w:r>
        <w:rPr>
          <w:rFonts w:cs="Arial"/>
          <w:color w:val="000000" w:themeColor="text1"/>
          <w:szCs w:val="20"/>
        </w:rPr>
        <w:t xml:space="preserve"> a contar da data de sua apresentação.</w:t>
      </w:r>
    </w:p>
    <w:p>
      <w:pPr>
        <w:pStyle w:val="ListParagraph"/>
        <w:numPr>
          <w:ilvl w:val="1"/>
          <w:numId w:val="1"/>
        </w:numPr>
        <w:spacing w:lineRule="auto" w:line="276" w:before="120" w:after="120"/>
        <w:contextualSpacing/>
        <w:jc w:val="both"/>
        <w:rPr>
          <w:rFonts w:cs="Arial"/>
          <w:i/>
          <w:i/>
          <w:color w:val="000000" w:themeColor="text1"/>
          <w:szCs w:val="20"/>
        </w:rPr>
      </w:pPr>
      <w:r>
        <w:rPr>
          <w:rFonts w:cs="Arial"/>
          <w:color w:val="000000" w:themeColor="text1"/>
          <w:szCs w:val="20"/>
          <w:lang w:eastAsia="en-US"/>
        </w:rPr>
        <w:t xml:space="preserve">Será desclassificada a proposta vencedora que: </w:t>
      </w:r>
    </w:p>
    <w:p>
      <w:pPr>
        <w:pStyle w:val="ListParagraph"/>
        <w:numPr>
          <w:ilvl w:val="2"/>
          <w:numId w:val="1"/>
        </w:numPr>
        <w:spacing w:lineRule="auto" w:line="276" w:before="120" w:after="120"/>
        <w:contextualSpacing/>
        <w:jc w:val="both"/>
        <w:rPr/>
      </w:pPr>
      <w:r>
        <w:rPr>
          <w:rFonts w:cs="Arial"/>
          <w:color w:val="000000"/>
          <w:szCs w:val="20"/>
        </w:rPr>
        <w:t>contiver vícios insanáveis</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não obedecer às especificações técnicas pormenorizadas neste aviso ou em seus anexos</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apresentar preços inexequíveis ou permanecerem acima do preço máximo definido para a contratação;</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não tiverem sua exequibilidade demonstrada, quando exigido pela Administração</w:t>
      </w:r>
      <w:r>
        <w:rPr>
          <w:rFonts w:cs="Arial"/>
          <w:iCs/>
          <w:color w:val="000000" w:themeColor="text1"/>
          <w:szCs w:val="20"/>
        </w:rPr>
        <w:t>;</w:t>
      </w:r>
    </w:p>
    <w:p>
      <w:pPr>
        <w:pStyle w:val="ListParagraph"/>
        <w:numPr>
          <w:ilvl w:val="2"/>
          <w:numId w:val="1"/>
        </w:numPr>
        <w:spacing w:lineRule="auto" w:line="276" w:before="120" w:after="120"/>
        <w:contextualSpacing/>
        <w:jc w:val="both"/>
        <w:rPr/>
      </w:pPr>
      <w:r>
        <w:rPr>
          <w:rFonts w:cs="Arial"/>
          <w:color w:val="000000"/>
          <w:szCs w:val="20"/>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rFonts w:cs="Arial"/>
          <w:i/>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pPr>
      <w:r>
        <w:rPr>
          <w:rFonts w:cs="Arial"/>
          <w:szCs w:val="20"/>
        </w:rPr>
        <w:t xml:space="preserve"> </w:t>
      </w:r>
      <w:r>
        <w:rPr>
          <w:rFonts w:cs="Arial"/>
          <w:szCs w:val="20"/>
        </w:rPr>
        <w:t>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pP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left="792" w:right="-15" w:hanging="432"/>
        <w:contextualSpacing/>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xml:space="preserve">, poderão ser efetuadas diligências, para que a empresa comprove a exequibilidade da proposta.  </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Erros no preenchimento da planilha não constituem motivo para a desclassificação da proposta. A planilha </w:t>
      </w:r>
      <w:r>
        <w:rPr>
          <w:rFonts w:cs="Arial"/>
          <w:szCs w:val="20"/>
        </w:rPr>
        <w:t>poderá</w:t>
      </w:r>
      <w:r>
        <w:rPr>
          <w:rFonts w:cs="Arial"/>
          <w:color w:val="000000" w:themeColor="text1"/>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Considera-se erro no preenchimento da planilha passível de correção a indicação de recolhimento de impostos e contribuições na forma do Simples Nacional, quando não cabível esse regime.</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Encerrada a análise quanto à aceitação da proposta, se iniciará a fase de habilitação, observado o disposto neste Aviso de Contratação Direta. </w:t>
      </w:r>
    </w:p>
    <w:p>
      <w:pPr>
        <w:pStyle w:val="PADRO"/>
        <w:keepNext w:val="false"/>
        <w:widowControl/>
        <w:numPr>
          <w:ilvl w:val="0"/>
          <w:numId w:val="1"/>
        </w:numPr>
        <w:shd w:val="clear" w:color="auto" w:fill="auto"/>
        <w:spacing w:before="120" w:after="120"/>
        <w:rPr/>
      </w:pPr>
      <w:r>
        <w:rPr>
          <w:rFonts w:cs="Arial" w:ascii="Arial" w:hAnsi="Arial"/>
          <w:b/>
        </w:rPr>
        <w:t>HABILITAÇÃO</w:t>
      </w:r>
    </w:p>
    <w:p>
      <w:pPr>
        <w:pStyle w:val="ListParagraph"/>
        <w:numPr>
          <w:ilvl w:val="1"/>
          <w:numId w:val="1"/>
        </w:numPr>
        <w:spacing w:lineRule="auto" w:line="276" w:before="120" w:after="120"/>
        <w:ind w:left="792" w:hanging="574"/>
        <w:contextualSpacing/>
        <w:jc w:val="both"/>
        <w:rPr>
          <w:rFonts w:cs="Arial"/>
          <w:b/>
          <w:b/>
          <w:szCs w:val="20"/>
          <w:lang w:eastAsia="ar-SA"/>
        </w:rPr>
      </w:pPr>
      <w:r>
        <w:rPr>
          <w:rFonts w:cs="Arial"/>
          <w:szCs w:val="20"/>
          <w:lang w:eastAsia="ar-SA"/>
        </w:rPr>
        <w:t xml:space="preserve">Como </w:t>
      </w:r>
      <w:r>
        <w:rPr>
          <w:rFonts w:cs="Arial"/>
          <w:color w:val="000000"/>
          <w:szCs w:val="20"/>
        </w:rPr>
        <w:t>condição</w:t>
      </w:r>
      <w:r>
        <w:rPr>
          <w:rFonts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w:t>
      </w:r>
      <w:r>
        <w:rPr>
          <w:rFonts w:cs="Arial"/>
          <w:color w:val="000000"/>
          <w:szCs w:val="20"/>
          <w:u w:val="none"/>
          <w:lang w:eastAsia="ar-SA"/>
        </w:rPr>
        <w:t xml:space="preserve">consulta aos seguintes cadastros:  </w:t>
      </w:r>
    </w:p>
    <w:p>
      <w:pPr>
        <w:pStyle w:val="ListParagraph"/>
        <w:spacing w:lineRule="auto" w:line="276" w:before="120" w:after="120"/>
        <w:ind w:left="1134" w:hanging="0"/>
        <w:contextualSpacing/>
        <w:jc w:val="both"/>
        <w:rPr>
          <w:rFonts w:cs="Arial"/>
          <w:szCs w:val="20"/>
          <w:lang w:eastAsia="ar-SA"/>
        </w:rPr>
      </w:pPr>
      <w:r>
        <w:rPr>
          <w:rFonts w:cs="Arial"/>
          <w:color w:val="000000"/>
          <w:szCs w:val="20"/>
          <w:u w:val="none"/>
          <w:lang w:eastAsia="ar-SA"/>
        </w:rPr>
        <w:t xml:space="preserve">a) SICAF;  </w:t>
      </w:r>
    </w:p>
    <w:p>
      <w:pPr>
        <w:pStyle w:val="ListParagraph"/>
        <w:spacing w:lineRule="auto" w:line="276" w:before="120" w:after="120"/>
        <w:ind w:left="1134" w:hanging="0"/>
        <w:contextualSpacing/>
        <w:jc w:val="both"/>
        <w:rPr/>
      </w:pPr>
      <w:r>
        <w:rPr>
          <w:rFonts w:cs="Arial"/>
          <w:color w:val="000000"/>
          <w:szCs w:val="20"/>
          <w:u w:val="none"/>
          <w:lang w:eastAsia="ar-SA"/>
        </w:rPr>
        <w:t>b) Cadastro Nacional de Empresas Inidôneas e Suspensas - CEIS, mantido pela Controladoria-Geral da União (</w:t>
      </w:r>
      <w:hyperlink r:id="rId4">
        <w:r>
          <w:rPr>
            <w:rStyle w:val="LinkdaInternet"/>
            <w:rFonts w:eastAsia="Calibri" w:cs="Arial"/>
            <w:color w:val="000000"/>
            <w:u w:val="none"/>
            <w:lang w:eastAsia="ar-SA"/>
          </w:rPr>
          <w:t>www.portaldatransparencia.gov.br/ceis</w:t>
        </w:r>
      </w:hyperlink>
      <w:r>
        <w:rPr>
          <w:rFonts w:cs="Arial"/>
          <w:color w:val="000000"/>
          <w:szCs w:val="20"/>
          <w:u w:val="none"/>
          <w:lang w:eastAsia="ar-SA"/>
        </w:rPr>
        <w:t xml:space="preserve">);  </w:t>
      </w:r>
    </w:p>
    <w:p>
      <w:pPr>
        <w:pStyle w:val="ListParagraph"/>
        <w:spacing w:lineRule="auto" w:line="276" w:before="120" w:after="120"/>
        <w:ind w:left="1134" w:hanging="0"/>
        <w:contextualSpacing/>
        <w:jc w:val="both"/>
        <w:rPr/>
      </w:pPr>
      <w:r>
        <w:rPr>
          <w:rFonts w:cs="Arial"/>
          <w:color w:val="000000"/>
          <w:szCs w:val="20"/>
          <w:u w:val="none"/>
          <w:lang w:eastAsia="ar-SA"/>
        </w:rPr>
        <w:t>c) Cadastro Nacional de Condenações Cíveis por Atos de Improbidade Administrativa, mantido pelo Conselho Nacional de Justiça (</w:t>
      </w:r>
      <w:hyperlink r:id="rId5">
        <w:r>
          <w:rPr>
            <w:rStyle w:val="LinkdaInternet"/>
            <w:rFonts w:eastAsia="Calibri" w:cs="Arial"/>
            <w:color w:val="000000"/>
            <w:u w:val="none"/>
            <w:lang w:eastAsia="ar-SA"/>
          </w:rPr>
          <w:t>www.cnj.jus.br/improbidade_adm/consultar_requerido.php</w:t>
        </w:r>
      </w:hyperlink>
      <w:r>
        <w:rPr>
          <w:rFonts w:cs="Arial"/>
          <w:color w:val="000000"/>
          <w:szCs w:val="20"/>
          <w:u w:val="none"/>
          <w:lang w:eastAsia="ar-SA"/>
        </w:rPr>
        <w:t>).</w:t>
      </w:r>
    </w:p>
    <w:p>
      <w:pPr>
        <w:pStyle w:val="ListParagraph"/>
        <w:spacing w:lineRule="auto" w:line="276" w:before="120" w:after="120"/>
        <w:ind w:left="1134" w:hanging="0"/>
        <w:contextualSpacing/>
        <w:jc w:val="both"/>
        <w:rPr>
          <w:rFonts w:cs="Arial"/>
          <w:szCs w:val="20"/>
          <w:lang w:eastAsia="ar-SA"/>
        </w:rPr>
      </w:pPr>
      <w:r>
        <w:rPr>
          <w:rFonts w:cs="Arial"/>
          <w:szCs w:val="20"/>
          <w:lang w:eastAsia="ar-SA"/>
        </w:rPr>
        <w:t xml:space="preserve">d) Lista de Inidôneos mantida pelo Tribunal de Contas da União - TCU; </w:t>
      </w:r>
    </w:p>
    <w:p>
      <w:pPr>
        <w:pStyle w:val="ListParagraph"/>
        <w:numPr>
          <w:ilvl w:val="2"/>
          <w:numId w:val="1"/>
        </w:numPr>
        <w:spacing w:lineRule="auto" w:line="276" w:before="120" w:after="120"/>
        <w:contextualSpacing/>
        <w:jc w:val="both"/>
        <w:rPr/>
      </w:pPr>
      <w:r>
        <w:rPr>
          <w:rFonts w:cs="Arial"/>
          <w:szCs w:val="20"/>
          <w:lang w:eastAsia="ar-SA"/>
        </w:rPr>
        <w:t xml:space="preserve">Para a consulta de </w:t>
      </w:r>
      <w:r>
        <w:rPr>
          <w:rFonts w:cs="Arial"/>
          <w:color w:val="000000" w:themeColor="text1"/>
          <w:szCs w:val="20"/>
        </w:rPr>
        <w:t>fornecedores</w:t>
      </w:r>
      <w:r>
        <w:rPr>
          <w:rFonts w:cs="Arial"/>
          <w:szCs w:val="20"/>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before="120" w:after="120"/>
        <w:contextualSpacing/>
        <w:jc w:val="both"/>
        <w:rPr>
          <w:rFonts w:cs="Arial"/>
          <w:szCs w:val="20"/>
        </w:rPr>
      </w:pPr>
      <w:r>
        <w:rPr>
          <w:rFonts w:cs="Arial"/>
          <w:color w:val="000000" w:themeColor="text1"/>
          <w:szCs w:val="20"/>
        </w:rPr>
        <w:t xml:space="preserve">A consulta aos </w:t>
      </w:r>
      <w:r>
        <w:rPr>
          <w:rFonts w:cs="Arial"/>
          <w:szCs w:val="20"/>
          <w:lang w:eastAsia="ar-SA"/>
        </w:rPr>
        <w:t>cadastros</w:t>
      </w:r>
      <w:r>
        <w:rPr>
          <w:rFonts w:cs="Arial"/>
          <w:color w:val="000000" w:themeColor="text1"/>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contextualSpacing/>
        <w:jc w:val="both"/>
        <w:rPr>
          <w:rFonts w:cs="Arial"/>
          <w:szCs w:val="20"/>
        </w:rPr>
      </w:pPr>
      <w:r>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contextualSpacing/>
        <w:jc w:val="both"/>
        <w:rPr>
          <w:rFonts w:cs="Arial"/>
          <w:color w:val="000000" w:themeColor="text1"/>
          <w:szCs w:val="20"/>
        </w:rPr>
      </w:pPr>
      <w:r>
        <w:rPr>
          <w:rFonts w:cs="Arial"/>
          <w:color w:val="000000" w:themeColor="text1"/>
          <w:szCs w:val="20"/>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cs="Arial"/>
          <w:szCs w:val="20"/>
        </w:rPr>
      </w:pPr>
      <w:r>
        <w:rPr>
          <w:rFonts w:cs="Arial"/>
          <w:color w:val="000000" w:themeColor="text1"/>
          <w:szCs w:val="20"/>
        </w:rPr>
        <w:t>O fornecedor será convocado para manifestação previamente à sua desclassificação</w:t>
      </w:r>
    </w:p>
    <w:p>
      <w:pPr>
        <w:pStyle w:val="ListParagraph"/>
        <w:numPr>
          <w:ilvl w:val="2"/>
          <w:numId w:val="1"/>
        </w:numPr>
        <w:spacing w:lineRule="auto" w:line="276" w:before="120" w:after="120"/>
        <w:contextualSpacing/>
        <w:jc w:val="both"/>
        <w:rPr>
          <w:rFonts w:cs="Arial"/>
          <w:szCs w:val="20"/>
        </w:rPr>
      </w:pPr>
      <w:r>
        <w:rPr>
          <w:rFonts w:cs="Arial"/>
          <w:color w:val="000000" w:themeColor="text1"/>
          <w:szCs w:val="20"/>
        </w:rPr>
        <w:t>Constatada a existência de sanção, o fornecedor será reputado inabilitado, por falta de condição de participação.</w:t>
      </w:r>
    </w:p>
    <w:p>
      <w:pPr>
        <w:pStyle w:val="ListParagraph"/>
        <w:numPr>
          <w:ilvl w:val="1"/>
          <w:numId w:val="1"/>
        </w:numPr>
        <w:spacing w:lineRule="auto" w:line="276" w:before="120" w:after="120"/>
        <w:ind w:left="792" w:hanging="574"/>
        <w:contextualSpacing/>
        <w:jc w:val="both"/>
        <w:rPr>
          <w:rFonts w:cs="Arial"/>
          <w:szCs w:val="20"/>
        </w:rPr>
      </w:pPr>
      <w:r>
        <w:rPr>
          <w:rFonts w:cs="Arial"/>
          <w:color w:val="000000" w:themeColor="text1"/>
          <w:szCs w:val="20"/>
        </w:rPr>
        <w:t xml:space="preserve">Caso atendidas as condições de participação, </w:t>
      </w:r>
      <w:r>
        <w:rPr>
          <w:rFonts w:cs="Arial"/>
          <w:szCs w:val="20"/>
        </w:rPr>
        <w:t>a habilitação dos fornecedores será verificada por meio do SICAF, nos documentos por ele abrangidos</w:t>
      </w:r>
      <w:r>
        <w:rPr>
          <w:rFonts w:cs="Arial"/>
          <w:color w:val="000000" w:themeColor="text1"/>
          <w:szCs w:val="20"/>
        </w:rPr>
        <w:t>.</w:t>
      </w:r>
    </w:p>
    <w:p>
      <w:pPr>
        <w:pStyle w:val="ListParagraph"/>
        <w:numPr>
          <w:ilvl w:val="2"/>
          <w:numId w:val="1"/>
        </w:numPr>
        <w:spacing w:lineRule="auto" w:line="276" w:before="120" w:after="120"/>
        <w:contextualSpacing/>
        <w:jc w:val="both"/>
        <w:rPr>
          <w:rFonts w:cs="Arial"/>
          <w:color w:val="000000" w:themeColor="text1"/>
          <w:szCs w:val="20"/>
        </w:rPr>
      </w:pPr>
      <w:r>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cs="Arial"/>
          <w:color w:val="000000" w:themeColor="text1"/>
          <w:szCs w:val="20"/>
        </w:rPr>
      </w:pPr>
      <w:r>
        <w:rPr>
          <w:rFonts w:cs="Arial"/>
          <w:color w:val="000000" w:themeColor="text1"/>
          <w:szCs w:val="20"/>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left="792" w:hanging="574"/>
        <w:contextualSpacing/>
        <w:jc w:val="both"/>
        <w:rPr/>
      </w:pPr>
      <w:r>
        <w:rPr>
          <w:rFonts w:cs="Arial"/>
          <w:color w:val="000000" w:themeColor="text1"/>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left="792" w:hanging="574"/>
        <w:contextualSpacing/>
        <w:jc w:val="both"/>
        <w:rPr>
          <w:rFonts w:cs="Arial"/>
          <w:color w:val="000000" w:themeColor="text1"/>
          <w:szCs w:val="20"/>
        </w:rPr>
      </w:pPr>
      <w:r>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left="792" w:hanging="574"/>
        <w:contextualSpacing/>
        <w:jc w:val="both"/>
        <w:rPr/>
      </w:pPr>
      <w:r>
        <w:rPr>
          <w:rFonts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120" w:after="120"/>
        <w:ind w:left="792" w:hanging="574"/>
        <w:contextualSpacing/>
        <w:jc w:val="both"/>
        <w:rPr>
          <w:rFonts w:cs="Arial"/>
          <w:bCs/>
          <w:szCs w:val="20"/>
        </w:rPr>
      </w:pPr>
      <w:r>
        <w:rPr>
          <w:rFonts w:cs="Arial"/>
          <w:bCs/>
          <w:szCs w:val="20"/>
        </w:rPr>
        <w:t xml:space="preserve">Havendo </w:t>
      </w:r>
      <w:r>
        <w:rPr>
          <w:rFonts w:cs="Arial"/>
          <w:iCs/>
          <w:lang w:eastAsia="en-US"/>
        </w:rPr>
        <w:t>necessidade</w:t>
      </w:r>
      <w:r>
        <w:rPr>
          <w:rFonts w:cs="Arial"/>
          <w:bCs/>
          <w:szCs w:val="20"/>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left="792" w:hanging="574"/>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lang w:eastAsia="en-U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left="792" w:hanging="574"/>
        <w:contextualSpacing/>
        <w:jc w:val="both"/>
        <w:rPr>
          <w:rFonts w:cs="Arial"/>
          <w:iCs/>
          <w:lang w:eastAsia="en-US"/>
        </w:rPr>
      </w:pPr>
      <w:r>
        <w:rPr>
          <w:rFonts w:cs="Arial"/>
          <w:iCs/>
          <w:lang w:eastAsia="en-US"/>
        </w:rPr>
        <w:t>Constatado o atendimento às exigências de habilitação, o fornecedor será habilitado</w:t>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CONTRATAÇÃO</w:t>
      </w:r>
    </w:p>
    <w:p>
      <w:pPr>
        <w:pStyle w:val="Normal"/>
        <w:numPr>
          <w:ilvl w:val="1"/>
          <w:numId w:val="1"/>
        </w:numPr>
        <w:spacing w:lineRule="auto" w:line="276" w:before="120" w:after="120"/>
        <w:ind w:left="425" w:hanging="0"/>
        <w:jc w:val="both"/>
        <w:rPr/>
      </w:pPr>
      <w:r>
        <w:rPr>
          <w:rFonts w:eastAsia="Arial" w:cs="Arial"/>
          <w:color w:val="000000"/>
          <w:szCs w:val="20"/>
        </w:rPr>
        <w:t>Após a homologação e adjudicação, caso se conclua pela contratação, será firmado Termo de Contrato ou emitido instrumento equivalente.</w:t>
      </w:r>
    </w:p>
    <w:p>
      <w:pPr>
        <w:pStyle w:val="Normal"/>
        <w:numPr>
          <w:ilvl w:val="1"/>
          <w:numId w:val="1"/>
        </w:numPr>
        <w:spacing w:lineRule="auto" w:line="276" w:before="120" w:after="120"/>
        <w:ind w:left="425" w:hanging="0"/>
        <w:jc w:val="both"/>
        <w:rPr/>
      </w:pPr>
      <w:r>
        <w:rPr>
          <w:rFonts w:eastAsia="Arial" w:cs="Arial"/>
          <w:color w:val="000000"/>
          <w:szCs w:val="20"/>
        </w:rPr>
        <w:t xml:space="preserve">O adjudicatário terá o prazo de 3 </w:t>
      </w:r>
      <w:r>
        <w:rPr>
          <w:rFonts w:eastAsia="Arial" w:cs="Arial"/>
          <w:b w:val="false"/>
          <w:bCs w:val="false"/>
          <w:color w:val="000000"/>
          <w:szCs w:val="20"/>
        </w:rPr>
        <w:t>(três) dias úteis</w:t>
      </w:r>
      <w:r>
        <w:rPr>
          <w:rFonts w:eastAsia="Arial" w:cs="Arial"/>
          <w:color w:val="000000"/>
          <w:szCs w:val="20"/>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Aviso de Contratação Direta. </w:t>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 xml:space="preserve">O prazo previsto para assinatura do contrato ou aceitação da nota de empenho ou instrumento equivalente poderá ser prorrogado </w:t>
      </w:r>
      <w:r>
        <w:rPr>
          <w:rFonts w:cs="Times New Roman"/>
          <w:bCs/>
        </w:rPr>
        <w:t>1 (uma) vez</w:t>
      </w:r>
      <w:r>
        <w:rPr>
          <w:rFonts w:eastAsia="Arial" w:cs="Arial"/>
          <w:szCs w:val="20"/>
        </w:rPr>
        <w:t xml:space="preserve">, </w:t>
      </w:r>
      <w:r>
        <w:rPr>
          <w:rFonts w:eastAsia="Arial" w:cs="Arial"/>
          <w:color w:val="000000"/>
          <w:szCs w:val="20"/>
        </w:rPr>
        <w:t>por igual período, por solicitação justificada do adjudicatário e aceita pela Administração.</w:t>
      </w:r>
    </w:p>
    <w:p>
      <w:pPr>
        <w:pStyle w:val="Normal"/>
        <w:numPr>
          <w:ilvl w:val="1"/>
          <w:numId w:val="1"/>
        </w:numPr>
        <w:spacing w:lineRule="auto" w:line="276" w:before="120" w:after="120"/>
        <w:ind w:left="425" w:hanging="0"/>
        <w:jc w:val="both"/>
        <w:rPr>
          <w:rFonts w:eastAsia="Arial" w:cs="Arial"/>
          <w:i/>
          <w:i/>
          <w:color w:val="FF0000"/>
          <w:szCs w:val="20"/>
        </w:rPr>
      </w:pPr>
      <w:r>
        <w:rPr>
          <w:rFonts w:eastAsia="Arial" w:cs="Arial"/>
          <w:i/>
          <w:color w:val="000000"/>
          <w:szCs w:val="20"/>
        </w:rPr>
        <w:t>O Aceite da Nota de Empenho ou do instrumento equivalente, emitida à empresa adjudicada, implica no reconhecimento de que:</w:t>
      </w:r>
    </w:p>
    <w:p>
      <w:pPr>
        <w:pStyle w:val="Normal"/>
        <w:numPr>
          <w:ilvl w:val="2"/>
          <w:numId w:val="1"/>
        </w:numPr>
        <w:spacing w:lineRule="auto" w:line="276" w:before="120" w:after="120"/>
        <w:jc w:val="both"/>
        <w:rPr>
          <w:rFonts w:eastAsia="Arial" w:cs="Arial"/>
          <w:i/>
          <w:i/>
          <w:color w:val="FF0000"/>
          <w:szCs w:val="20"/>
        </w:rPr>
      </w:pPr>
      <w:r>
        <w:rPr>
          <w:rFonts w:eastAsia="Arial" w:cs="Arial"/>
          <w:i/>
          <w:color w:val="000000"/>
          <w:szCs w:val="20"/>
        </w:rPr>
        <w:t>referida Nota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eastAsia="Arial" w:cs="Arial"/>
          <w:i/>
          <w:i/>
          <w:color w:val="FF0000"/>
          <w:szCs w:val="20"/>
        </w:rPr>
      </w:pPr>
      <w:r>
        <w:rPr>
          <w:rFonts w:eastAsia="Arial" w:cs="Arial"/>
          <w:i/>
          <w:color w:val="000000"/>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pPr>
      <w:r>
        <w:rPr>
          <w:rFonts w:eastAsia="Arial" w:cs="Arial"/>
          <w:i/>
          <w:color w:val="000000"/>
          <w:szCs w:val="20"/>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spacing w:lineRule="auto" w:line="276" w:before="120" w:after="120"/>
        <w:ind w:left="425" w:hanging="0"/>
        <w:jc w:val="both"/>
        <w:rPr/>
      </w:pPr>
      <w:r>
        <w:rPr>
          <w:rFonts w:eastAsia="Arial" w:cs="Arial"/>
          <w:color w:val="000000"/>
          <w:szCs w:val="20"/>
        </w:rPr>
        <w:t>O prazo de vigência da contratação é de 60 (sessenta) dias</w:t>
      </w:r>
      <w:r>
        <w:rPr>
          <w:rFonts w:eastAsia="Arial" w:cs="Arial"/>
          <w:color w:val="FF0000"/>
          <w:szCs w:val="20"/>
        </w:rPr>
        <w:t xml:space="preserve"> </w:t>
      </w:r>
      <w:r>
        <w:rPr>
          <w:rFonts w:eastAsia="Arial" w:cs="Arial"/>
          <w:color w:val="000000"/>
          <w:szCs w:val="20"/>
        </w:rPr>
        <w:t xml:space="preserve">prorrogável conforme previsão nos anexos a este Aviso de Contratação Direta. </w:t>
      </w:r>
    </w:p>
    <w:p>
      <w:pPr>
        <w:pStyle w:val="Normal"/>
        <w:numPr>
          <w:ilvl w:val="1"/>
          <w:numId w:val="1"/>
        </w:numPr>
        <w:spacing w:lineRule="auto" w:line="276" w:before="120" w:after="120"/>
        <w:ind w:left="425" w:hanging="0"/>
        <w:jc w:val="both"/>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SANÇÕES</w:t>
      </w:r>
    </w:p>
    <w:p>
      <w:pPr>
        <w:pStyle w:val="Normal"/>
        <w:numPr>
          <w:ilvl w:val="1"/>
          <w:numId w:val="1"/>
        </w:numPr>
        <w:spacing w:lineRule="auto" w:line="276" w:before="120" w:after="120"/>
        <w:ind w:left="425" w:hanging="0"/>
        <w:jc w:val="both"/>
        <w:rPr>
          <w:rFonts w:cs="Arial"/>
          <w:b/>
          <w:b/>
        </w:rPr>
      </w:pPr>
      <w:r>
        <w:rPr>
          <w:rFonts w:cs="Arial"/>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rFonts w:cs="Arial"/>
        </w:rPr>
      </w:pPr>
      <w:r>
        <w:rPr>
          <w:rFonts w:cs="Arial"/>
          <w:color w:val="000000"/>
          <w:szCs w:val="20"/>
        </w:rPr>
        <w:t>dar causa à inexecução parcial do contrato</w:t>
      </w:r>
      <w:r>
        <w:rPr>
          <w:rFonts w:cs="Arial"/>
        </w:rPr>
        <w:t>;</w:t>
      </w:r>
    </w:p>
    <w:p>
      <w:pPr>
        <w:pStyle w:val="Normal"/>
        <w:numPr>
          <w:ilvl w:val="2"/>
          <w:numId w:val="1"/>
        </w:numPr>
        <w:spacing w:lineRule="auto" w:line="276" w:before="120" w:after="120"/>
        <w:jc w:val="both"/>
        <w:rPr>
          <w:rFonts w:cs="Arial"/>
        </w:rPr>
      </w:pPr>
      <w:r>
        <w:rPr>
          <w:rFonts w:cs="Arial"/>
          <w:color w:val="000000"/>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cs="Arial"/>
        </w:rPr>
      </w:pPr>
      <w:r>
        <w:rPr>
          <w:rFonts w:cs="Arial"/>
          <w:color w:val="000000"/>
          <w:szCs w:val="20"/>
        </w:rPr>
        <w:t>dar causa à inexecução total do contrato;</w:t>
      </w:r>
    </w:p>
    <w:p>
      <w:pPr>
        <w:pStyle w:val="Normal"/>
        <w:numPr>
          <w:ilvl w:val="2"/>
          <w:numId w:val="1"/>
        </w:numPr>
        <w:spacing w:lineRule="auto" w:line="276" w:before="120" w:after="120"/>
        <w:jc w:val="both"/>
        <w:rPr>
          <w:rFonts w:cs="Arial"/>
        </w:rPr>
      </w:pPr>
      <w:r>
        <w:rPr>
          <w:rFonts w:cs="Arial"/>
          <w:color w:val="000000"/>
          <w:szCs w:val="20"/>
        </w:rPr>
        <w:t>deixar de entregar a documentação exigida para o certame;</w:t>
      </w:r>
    </w:p>
    <w:p>
      <w:pPr>
        <w:pStyle w:val="Normal"/>
        <w:numPr>
          <w:ilvl w:val="2"/>
          <w:numId w:val="1"/>
        </w:numPr>
        <w:spacing w:lineRule="auto" w:line="276" w:before="120" w:after="120"/>
        <w:jc w:val="both"/>
        <w:rPr>
          <w:rFonts w:cs="Arial"/>
        </w:rPr>
      </w:pPr>
      <w:r>
        <w:rPr>
          <w:rFonts w:cs="Arial"/>
          <w:color w:val="000000"/>
          <w:szCs w:val="20"/>
        </w:rPr>
        <w:t>não manter a proposta, salvo em decorrência de fato superveniente devidamente justificado;</w:t>
      </w:r>
    </w:p>
    <w:p>
      <w:pPr>
        <w:pStyle w:val="Normal"/>
        <w:numPr>
          <w:ilvl w:val="2"/>
          <w:numId w:val="1"/>
        </w:numPr>
        <w:spacing w:lineRule="auto" w:line="276" w:before="120" w:after="120"/>
        <w:jc w:val="both"/>
        <w:rPr>
          <w:rFonts w:cs="Arial"/>
        </w:rPr>
      </w:pPr>
      <w:r>
        <w:rPr>
          <w:rFonts w:cs="Arial"/>
          <w:color w:val="000000"/>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cs="Arial"/>
        </w:rPr>
      </w:pPr>
      <w:r>
        <w:rPr>
          <w:rFonts w:cs="Arial"/>
          <w:color w:val="000000"/>
          <w:szCs w:val="20"/>
        </w:rPr>
        <w:t> </w:t>
      </w:r>
      <w:r>
        <w:rPr>
          <w:rFonts w:cs="Arial"/>
          <w:color w:val="000000"/>
          <w:szCs w:val="20"/>
        </w:rPr>
        <w:t>ensejar o retardamento da execução ou da entrega do objeto da licitação sem motivo justificado;</w:t>
      </w:r>
    </w:p>
    <w:p>
      <w:pPr>
        <w:pStyle w:val="Normal"/>
        <w:numPr>
          <w:ilvl w:val="2"/>
          <w:numId w:val="1"/>
        </w:numPr>
        <w:spacing w:lineRule="auto" w:line="276" w:before="120" w:after="120"/>
        <w:jc w:val="both"/>
        <w:rPr>
          <w:rFonts w:cs="Arial"/>
        </w:rPr>
      </w:pPr>
      <w:r>
        <w:rPr>
          <w:rFonts w:cs="Arial"/>
          <w:color w:val="000000"/>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cs="Arial"/>
        </w:rPr>
      </w:pPr>
      <w:r>
        <w:rPr>
          <w:rFonts w:cs="Arial"/>
          <w:color w:val="000000"/>
          <w:szCs w:val="20"/>
        </w:rPr>
        <w:t>fraudar a dispensa eletrônica ou praticar ato fraudulento na execução do contrato;</w:t>
      </w:r>
    </w:p>
    <w:p>
      <w:pPr>
        <w:pStyle w:val="Normal"/>
        <w:numPr>
          <w:ilvl w:val="2"/>
          <w:numId w:val="1"/>
        </w:numPr>
        <w:spacing w:lineRule="auto" w:line="276" w:before="120" w:after="120"/>
        <w:jc w:val="both"/>
        <w:rPr>
          <w:rFonts w:cs="Arial"/>
        </w:rPr>
      </w:pPr>
      <w:r>
        <w:rPr>
          <w:rFonts w:cs="Arial"/>
          <w:color w:val="000000"/>
          <w:szCs w:val="20"/>
        </w:rPr>
        <w:t> </w:t>
      </w:r>
      <w:r>
        <w:rPr>
          <w:rFonts w:cs="Arial"/>
          <w:color w:val="000000"/>
          <w:szCs w:val="20"/>
        </w:rPr>
        <w:t>comportar-se de modo inidôneo ou cometer fraude de qualquer natureza;</w:t>
      </w:r>
    </w:p>
    <w:p>
      <w:pPr>
        <w:pStyle w:val="ListParagraph"/>
        <w:numPr>
          <w:ilvl w:val="3"/>
          <w:numId w:val="1"/>
        </w:numPr>
        <w:spacing w:lineRule="auto" w:line="276" w:before="120" w:after="120"/>
        <w:contextualSpacing/>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pPr>
      <w:r>
        <w:rPr>
          <w:rFonts w:cs="Arial"/>
          <w:color w:val="000000"/>
          <w:szCs w:val="20"/>
        </w:rPr>
        <w:t>praticar atos ilícitos com vistas a frustrar os objetivos deste certame.</w:t>
      </w:r>
    </w:p>
    <w:p>
      <w:pPr>
        <w:pStyle w:val="Normal"/>
        <w:numPr>
          <w:ilvl w:val="2"/>
          <w:numId w:val="1"/>
        </w:numPr>
        <w:spacing w:lineRule="auto" w:line="276" w:before="120" w:after="120"/>
        <w:jc w:val="both"/>
        <w:rPr/>
      </w:pPr>
      <w:r>
        <w:rPr>
          <w:rFonts w:cs="Arial"/>
          <w:color w:val="000000"/>
          <w:szCs w:val="20"/>
        </w:rPr>
        <w:t xml:space="preserve">praticar ato lesivo previsto no </w:t>
      </w:r>
      <w:r>
        <w:fldChar w:fldCharType="begin"/>
      </w:r>
      <w:r>
        <w:rPr>
          <w:rStyle w:val="ListLabel74"/>
        </w:rPr>
        <w:instrText> HYPERLINK "http://www.planalto.gov.br/ccivil_03/_Ato2011-2014/2013/Lei/L12846.htm" \l "art5"</w:instrText>
      </w:r>
      <w:r>
        <w:rPr>
          <w:rStyle w:val="ListLabel74"/>
        </w:rPr>
        <w:fldChar w:fldCharType="separate"/>
      </w:r>
      <w:r>
        <w:rPr>
          <w:rStyle w:val="ListLabel74"/>
          <w:color w:val="000000"/>
        </w:rPr>
        <w:t>art. 5º da Lei nº 12.846, de 1º de agosto de 2013.</w:t>
      </w:r>
      <w:r>
        <w:rPr>
          <w:rStyle w:val="ListLabel74"/>
        </w:rPr>
        <w:fldChar w:fldCharType="end"/>
      </w:r>
    </w:p>
    <w:p>
      <w:pPr>
        <w:pStyle w:val="Normal"/>
        <w:numPr>
          <w:ilvl w:val="1"/>
          <w:numId w:val="1"/>
        </w:numPr>
        <w:spacing w:lineRule="auto" w:line="276" w:before="120" w:after="120"/>
        <w:ind w:left="425" w:hanging="0"/>
        <w:jc w:val="both"/>
        <w:rPr>
          <w:rFonts w:cs="Arial"/>
          <w:b/>
          <w:b/>
        </w:rPr>
      </w:pPr>
      <w:r>
        <w:rPr>
          <w:rFonts w:cs="Arial"/>
        </w:rPr>
        <w:t>O fornecedor que cometer qualquer das infrações discriminadas nos subitens anteriores ficará sujeito, sem prejuízo da responsabilidade civil e criminal, às seguintes sanções:</w:t>
      </w:r>
    </w:p>
    <w:p>
      <w:pPr>
        <w:pStyle w:val="Normal"/>
        <w:numPr>
          <w:ilvl w:val="2"/>
          <w:numId w:val="4"/>
        </w:numPr>
        <w:spacing w:lineRule="auto" w:line="276" w:before="120" w:after="120"/>
        <w:jc w:val="both"/>
        <w:rPr>
          <w:rFonts w:cs="Arial"/>
        </w:rPr>
      </w:pPr>
      <w:r>
        <w:rPr>
          <w:rFonts w:cs="Arial"/>
        </w:rPr>
        <w:t>Advertência pela falta do subitem 8.1.1 deste Aviso de Contratação Direta,</w:t>
      </w:r>
      <w:r>
        <w:rPr/>
        <w:t xml:space="preserve"> </w:t>
      </w:r>
      <w:r>
        <w:rPr>
          <w:rFonts w:cs="Arial"/>
        </w:rPr>
        <w:t>quando não se justificar a imposição de penalidade mais grave;</w:t>
      </w:r>
    </w:p>
    <w:p>
      <w:pPr>
        <w:pStyle w:val="Normal"/>
        <w:numPr>
          <w:ilvl w:val="2"/>
          <w:numId w:val="4"/>
        </w:numPr>
        <w:spacing w:lineRule="auto" w:line="276" w:before="120" w:after="120"/>
        <w:jc w:val="both"/>
        <w:rPr/>
      </w:pPr>
      <w:r>
        <w:rPr>
          <w:rFonts w:cs="Arial"/>
        </w:rPr>
        <w:t xml:space="preserve">Multa de </w:t>
      </w:r>
      <w:r>
        <w:rPr>
          <w:rFonts w:cs="Arial"/>
          <w:color w:val="000000"/>
        </w:rPr>
        <w:t>30% (trinta por cento)</w:t>
      </w:r>
      <w:r>
        <w:rPr>
          <w:rFonts w:cs="Arial"/>
          <w:color w:val="FF0000"/>
        </w:rPr>
        <w:t xml:space="preserve"> </w:t>
      </w:r>
      <w:r>
        <w:rPr>
          <w:rFonts w:cs="Arial"/>
        </w:rPr>
        <w:t>sobre o valor estimado do(s) item(s) prejudicado(s) pela conduta do fornecedor, por qualquer das infrações dos subitens 8.1.1 a 8.1.12;</w:t>
      </w:r>
    </w:p>
    <w:p>
      <w:pPr>
        <w:pStyle w:val="Normal"/>
        <w:numPr>
          <w:ilvl w:val="2"/>
          <w:numId w:val="4"/>
        </w:numPr>
        <w:spacing w:lineRule="auto" w:line="276" w:before="120" w:after="120"/>
        <w:jc w:val="both"/>
        <w:rPr>
          <w:rFonts w:cs="Arial"/>
        </w:rPr>
      </w:pPr>
      <w:r>
        <w:rPr>
          <w:rFonts w:cs="Arial"/>
          <w:color w:val="000000"/>
          <w:szCs w:val="20"/>
        </w:rPr>
        <w:t>Impedimento de licitar e contratar</w:t>
      </w:r>
      <w:r>
        <w:rPr>
          <w:rFonts w:cs="Arial"/>
        </w:rPr>
        <w:t xml:space="preserve"> </w:t>
      </w:r>
      <w:r>
        <w:rPr>
          <w:rFonts w:cs="Arial"/>
          <w:color w:val="000000"/>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rPr>
        <w:t>;</w:t>
      </w:r>
    </w:p>
    <w:p>
      <w:pPr>
        <w:pStyle w:val="Normal"/>
        <w:numPr>
          <w:ilvl w:val="2"/>
          <w:numId w:val="4"/>
        </w:numPr>
        <w:spacing w:lineRule="auto" w:line="276" w:before="120" w:after="120"/>
        <w:jc w:val="both"/>
        <w:rPr>
          <w:rFonts w:cs="Arial"/>
        </w:rPr>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rPr>
        <w:t>;</w:t>
      </w:r>
    </w:p>
    <w:p>
      <w:pPr>
        <w:pStyle w:val="Normal"/>
        <w:numPr>
          <w:ilvl w:val="1"/>
          <w:numId w:val="1"/>
        </w:numPr>
        <w:spacing w:lineRule="auto" w:line="276" w:before="120" w:after="120"/>
        <w:jc w:val="both"/>
        <w:rPr>
          <w:rFonts w:cs="Arial"/>
          <w:bCs/>
        </w:rPr>
      </w:pPr>
      <w:r>
        <w:rPr>
          <w:rFonts w:cs="Arial"/>
          <w:bCs/>
        </w:rPr>
        <w:t>Na aplicação das sanções serão considerados:</w:t>
      </w:r>
    </w:p>
    <w:p>
      <w:pPr>
        <w:pStyle w:val="Normal"/>
        <w:numPr>
          <w:ilvl w:val="2"/>
          <w:numId w:val="1"/>
        </w:numPr>
        <w:spacing w:lineRule="auto" w:line="276" w:before="120" w:after="120"/>
        <w:jc w:val="both"/>
        <w:rPr>
          <w:rFonts w:cs="Arial"/>
          <w:bCs/>
        </w:rPr>
      </w:pPr>
      <w:r>
        <w:rPr>
          <w:rFonts w:cs="Arial"/>
          <w:bCs/>
        </w:rPr>
        <w:t>a natureza e a gravidade da infração cometida;</w:t>
      </w:r>
    </w:p>
    <w:p>
      <w:pPr>
        <w:pStyle w:val="Normal"/>
        <w:numPr>
          <w:ilvl w:val="2"/>
          <w:numId w:val="1"/>
        </w:numPr>
        <w:spacing w:lineRule="auto" w:line="276" w:before="120" w:after="120"/>
        <w:jc w:val="both"/>
        <w:rPr>
          <w:rFonts w:cs="Arial"/>
          <w:bCs/>
        </w:rPr>
      </w:pPr>
      <w:r>
        <w:rPr>
          <w:rFonts w:cs="Arial"/>
          <w:bCs/>
        </w:rPr>
        <w:t>as peculiaridades do caso concreto;</w:t>
      </w:r>
    </w:p>
    <w:p>
      <w:pPr>
        <w:pStyle w:val="Normal"/>
        <w:numPr>
          <w:ilvl w:val="2"/>
          <w:numId w:val="1"/>
        </w:numPr>
        <w:spacing w:lineRule="auto" w:line="276" w:before="120" w:after="120"/>
        <w:jc w:val="both"/>
        <w:rPr>
          <w:rFonts w:cs="Arial"/>
          <w:bCs/>
        </w:rPr>
      </w:pPr>
      <w:r>
        <w:rPr>
          <w:rFonts w:cs="Arial"/>
          <w:bCs/>
        </w:rPr>
        <w:t>as circunstâncias agravantes ou atenuantes;</w:t>
      </w:r>
    </w:p>
    <w:p>
      <w:pPr>
        <w:pStyle w:val="Normal"/>
        <w:numPr>
          <w:ilvl w:val="2"/>
          <w:numId w:val="1"/>
        </w:numPr>
        <w:spacing w:lineRule="auto" w:line="276" w:before="120" w:after="120"/>
        <w:jc w:val="both"/>
        <w:rPr>
          <w:rFonts w:cs="Arial"/>
          <w:bCs/>
        </w:rPr>
      </w:pPr>
      <w:r>
        <w:rPr>
          <w:rFonts w:cs="Arial"/>
          <w:bCs/>
        </w:rPr>
        <w:t>os danos que dela provierem para a Administração Pública;</w:t>
      </w:r>
    </w:p>
    <w:p>
      <w:pPr>
        <w:pStyle w:val="Normal"/>
        <w:numPr>
          <w:ilvl w:val="2"/>
          <w:numId w:val="1"/>
        </w:numPr>
        <w:spacing w:lineRule="auto" w:line="276" w:before="120" w:after="120"/>
        <w:jc w:val="both"/>
        <w:rPr>
          <w:rFonts w:cs="Arial"/>
          <w:bCs/>
        </w:rPr>
      </w:pPr>
      <w:r>
        <w:rPr>
          <w:rFonts w:cs="Arial"/>
          <w:bCs/>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cs="Arial"/>
        </w:rPr>
      </w:pPr>
      <w:bookmarkStart w:id="2" w:name="art156%25252525C2%25252525A78"/>
      <w:bookmarkStart w:id="3" w:name="art156%25252525C2%25252525A77"/>
      <w:bookmarkStart w:id="4" w:name="art156%25252525C2%25252525A76"/>
      <w:bookmarkEnd w:id="2"/>
      <w:bookmarkEnd w:id="3"/>
      <w:bookmarkEnd w:id="4"/>
      <w:r>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lineRule="auto" w:line="276" w:before="120" w:after="120"/>
        <w:ind w:left="425" w:hanging="0"/>
        <w:jc w:val="both"/>
        <w:rPr>
          <w:rFonts w:cs="Arial"/>
        </w:rPr>
      </w:pPr>
      <w:bookmarkStart w:id="5" w:name="art156%25252525C2%25252525A79"/>
      <w:bookmarkEnd w:id="5"/>
      <w:r>
        <w:rPr>
          <w:rFonts w:cs="Arial"/>
        </w:rPr>
        <w:t>A aplicação das sanções previstas neste Aviso de Contratação Direta, em hipótese alguma, a obrigação de reparação integral do dano causado à Administração Pública.</w:t>
      </w:r>
    </w:p>
    <w:p>
      <w:pPr>
        <w:pStyle w:val="Normal"/>
        <w:numPr>
          <w:ilvl w:val="1"/>
          <w:numId w:val="1"/>
        </w:numPr>
        <w:spacing w:lineRule="auto" w:line="276" w:before="120" w:after="120"/>
        <w:ind w:left="425" w:hanging="0"/>
        <w:jc w:val="both"/>
        <w:rPr>
          <w:rFonts w:cs="Arial"/>
        </w:rPr>
      </w:pPr>
      <w:r>
        <w:rPr>
          <w:rFonts w:cs="Arial"/>
        </w:rPr>
        <w:t>A penalidade de multa pode ser aplicada cumulativamente com as demais sanções.</w:t>
      </w:r>
    </w:p>
    <w:p>
      <w:pPr>
        <w:pStyle w:val="Normal"/>
        <w:numPr>
          <w:ilvl w:val="1"/>
          <w:numId w:val="1"/>
        </w:numPr>
        <w:spacing w:lineRule="auto" w:line="276" w:before="120" w:after="120"/>
        <w:ind w:left="425" w:hanging="0"/>
        <w:jc w:val="both"/>
        <w:rPr>
          <w:rFonts w:cs="Arial"/>
        </w:rPr>
      </w:pPr>
      <w:r>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lineRule="auto" w:line="276" w:before="120" w:after="120"/>
        <w:ind w:left="425" w:hanging="0"/>
        <w:jc w:val="both"/>
        <w:rPr>
          <w:rFonts w:cs="Arial"/>
        </w:rPr>
      </w:pPr>
      <w:r>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lineRule="auto" w:line="276" w:before="120" w:after="120"/>
        <w:ind w:left="425" w:hanging="0"/>
        <w:jc w:val="both"/>
        <w:rPr>
          <w:rFonts w:cs="Arial"/>
        </w:rPr>
      </w:pPr>
      <w:r>
        <w:rPr>
          <w:rFonts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lineRule="auto" w:line="276" w:before="120" w:after="120"/>
        <w:ind w:left="425" w:hanging="0"/>
        <w:jc w:val="both"/>
        <w:rPr>
          <w:rFonts w:cs="Arial"/>
        </w:rPr>
      </w:pPr>
      <w:r>
        <w:rPr>
          <w:rFonts w:cs="Arial"/>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lineRule="auto" w:line="276" w:before="120" w:after="120"/>
        <w:ind w:left="425" w:hanging="0"/>
        <w:jc w:val="both"/>
        <w:rPr/>
      </w:pPr>
      <w:r>
        <w:rPr>
          <w:rFonts w:cs="Arial"/>
        </w:rPr>
        <w:t>As sanções por atos praticados no decorrer da contratação estão previstas nos anexos a este Aviso.</w:t>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DAS DISPOSIÇÕES GERAIS</w:t>
      </w:r>
    </w:p>
    <w:p>
      <w:pPr>
        <w:pStyle w:val="Normal"/>
        <w:numPr>
          <w:ilvl w:val="1"/>
          <w:numId w:val="1"/>
        </w:numPr>
        <w:snapToGrid w:val="false"/>
        <w:spacing w:lineRule="auto" w:line="276" w:before="120" w:after="120"/>
        <w:ind w:left="425" w:hanging="0"/>
        <w:jc w:val="both"/>
        <w:rPr>
          <w:rFonts w:cs="Arial"/>
          <w:szCs w:val="20"/>
        </w:rPr>
      </w:pPr>
      <w:r>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cs="Arial"/>
          <w:color w:val="000000"/>
          <w:szCs w:val="20"/>
        </w:rPr>
      </w:pPr>
      <w:r>
        <w:rPr>
          <w:rFonts w:cs="Arial"/>
          <w:color w:val="000000"/>
          <w:szCs w:val="20"/>
        </w:rPr>
        <w:t>republicar o presente aviso com uma nova data;</w:t>
      </w:r>
    </w:p>
    <w:p>
      <w:pPr>
        <w:pStyle w:val="Normal"/>
        <w:numPr>
          <w:ilvl w:val="2"/>
          <w:numId w:val="1"/>
        </w:numPr>
        <w:spacing w:lineRule="auto" w:line="276" w:before="120" w:after="120"/>
        <w:jc w:val="both"/>
        <w:rPr>
          <w:rFonts w:cs="Arial"/>
          <w:color w:val="000000"/>
          <w:szCs w:val="20"/>
        </w:rPr>
      </w:pPr>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cs="Arial"/>
          <w:color w:val="000000"/>
          <w:szCs w:val="20"/>
        </w:rPr>
      </w:pPr>
      <w:r>
        <w:rPr>
          <w:rFonts w:cs="Arial"/>
          <w:color w:val="000000"/>
          <w:szCs w:val="20"/>
        </w:rPr>
        <w:t>No caso do subitem anterior, a contratação será operacionalizada fora deste procedimento.</w:t>
      </w:r>
    </w:p>
    <w:p>
      <w:pPr>
        <w:pStyle w:val="Normal"/>
        <w:numPr>
          <w:ilvl w:val="2"/>
          <w:numId w:val="1"/>
        </w:numPr>
        <w:spacing w:lineRule="auto" w:line="276" w:before="120" w:after="120"/>
        <w:jc w:val="both"/>
        <w:rPr>
          <w:rFonts w:cs="Arial"/>
          <w:color w:val="000000"/>
          <w:szCs w:val="20"/>
        </w:rPr>
      </w:pPr>
      <w:r>
        <w:rPr>
          <w:rFonts w:cs="Arial"/>
          <w:color w:val="000000"/>
          <w:szCs w:val="20"/>
        </w:rPr>
        <w:t>fixar prazo para que possa haver adequação das propostas ou da documentação de habilitação, conforme o caso.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As providências dos subitens 9.2.1 e 9.2.2 acima poderão ser utilizadas se não houver o comparecimento de quaisquer fornecedores interessados (procedimento deserto)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Da sessão pública será divulgada Ata no sistema eletrônico.</w:t>
      </w:r>
    </w:p>
    <w:p>
      <w:pPr>
        <w:pStyle w:val="Normal"/>
        <w:numPr>
          <w:ilvl w:val="1"/>
          <w:numId w:val="1"/>
        </w:numPr>
        <w:spacing w:lineRule="auto" w:line="276" w:before="120" w:after="120"/>
        <w:ind w:left="425" w:hanging="0"/>
        <w:jc w:val="both"/>
        <w:rPr/>
      </w:pPr>
      <w:r>
        <w:rPr>
          <w:rFonts w:cs="Arial"/>
          <w:color w:val="000000"/>
          <w:szCs w:val="20"/>
        </w:rPr>
        <w:t>Integram este Aviso de Contratação Direta, para todos os fins e efeitos, os seguintes anexos:</w:t>
      </w:r>
    </w:p>
    <w:p>
      <w:pPr>
        <w:pStyle w:val="Normal"/>
        <w:numPr>
          <w:ilvl w:val="2"/>
          <w:numId w:val="1"/>
        </w:numPr>
        <w:spacing w:lineRule="auto" w:line="276" w:before="120" w:after="120"/>
        <w:jc w:val="both"/>
        <w:rPr>
          <w:rFonts w:cs="Arial"/>
          <w:color w:val="000000"/>
          <w:szCs w:val="20"/>
        </w:rPr>
      </w:pPr>
      <w:r>
        <w:rPr>
          <w:rFonts w:cs="Arial"/>
          <w:color w:val="000000"/>
          <w:szCs w:val="20"/>
        </w:rPr>
        <w:t>ANEXO II - Termo de Referência;</w:t>
      </w:r>
    </w:p>
    <w:p>
      <w:pPr>
        <w:pStyle w:val="Normal"/>
        <w:spacing w:lineRule="auto" w:line="276" w:before="120" w:after="120"/>
        <w:jc w:val="both"/>
        <w:rPr>
          <w:rFonts w:cs="Arial"/>
          <w:color w:val="000000"/>
          <w:szCs w:val="20"/>
        </w:rPr>
      </w:pPr>
      <w:r>
        <w:rPr>
          <w:rFonts w:cs="Arial"/>
          <w:color w:val="000000"/>
          <w:szCs w:val="20"/>
        </w:rPr>
      </w:r>
    </w:p>
    <w:p>
      <w:pPr>
        <w:pStyle w:val="Normal"/>
        <w:spacing w:lineRule="auto" w:line="276" w:before="0" w:after="120"/>
        <w:ind w:left="360" w:right="-15" w:hanging="0"/>
        <w:jc w:val="both"/>
        <w:rPr/>
      </w:pPr>
      <w:r>
        <w:rPr>
          <w:rFonts w:cs="Arial"/>
          <w:color w:val="000000"/>
          <w:szCs w:val="20"/>
        </w:rPr>
        <w:t>Rio de Janeiro, ______ de ______________ de 2022.</w:t>
      </w:r>
    </w:p>
    <w:p>
      <w:pPr>
        <w:pStyle w:val="Normal"/>
        <w:spacing w:lineRule="auto" w:line="276"/>
        <w:jc w:val="both"/>
        <w:rPr>
          <w:rFonts w:cs="Arial"/>
          <w:b/>
          <w:b/>
          <w:bCs/>
          <w:iCs/>
          <w:color w:val="000000"/>
          <w:szCs w:val="20"/>
        </w:rPr>
      </w:pPr>
      <w:r>
        <w:rPr>
          <w:rFonts w:cs="Arial"/>
          <w:b/>
          <w:bCs/>
          <w:iCs/>
          <w:color w:val="000000"/>
          <w:szCs w:val="20"/>
        </w:rPr>
      </w:r>
    </w:p>
    <w:p>
      <w:pPr>
        <w:pStyle w:val="Normal"/>
        <w:spacing w:lineRule="auto" w:line="276"/>
        <w:jc w:val="both"/>
        <w:rPr>
          <w:rFonts w:cs="Arial"/>
          <w:b/>
          <w:b/>
          <w:bCs/>
          <w:iCs/>
          <w:color w:val="000000"/>
          <w:szCs w:val="20"/>
        </w:rPr>
      </w:pPr>
      <w:r>
        <w:rPr>
          <w:rFonts w:cs="Arial"/>
          <w:b/>
          <w:bCs/>
          <w:iCs/>
          <w:color w:val="000000"/>
          <w:szCs w:val="20"/>
        </w:rPr>
      </w:r>
    </w:p>
    <w:p>
      <w:pPr>
        <w:pStyle w:val="Normal"/>
        <w:spacing w:lineRule="auto" w:line="276"/>
        <w:jc w:val="both"/>
        <w:rPr>
          <w:rFonts w:cs="Arial"/>
          <w:b/>
          <w:b/>
          <w:bCs/>
          <w:iCs/>
          <w:color w:val="000000"/>
          <w:szCs w:val="20"/>
        </w:rPr>
      </w:pPr>
      <w:r>
        <w:rPr>
          <w:rFonts w:cs="Arial"/>
          <w:b/>
          <w:bCs/>
          <w:iCs/>
          <w:color w:val="000000"/>
          <w:szCs w:val="20"/>
        </w:rPr>
      </w:r>
    </w:p>
    <w:p>
      <w:pPr>
        <w:pStyle w:val="Normal"/>
        <w:spacing w:lineRule="auto" w:line="276"/>
        <w:jc w:val="both"/>
        <w:rPr>
          <w:rFonts w:cs="Arial"/>
          <w:b/>
          <w:b/>
          <w:bCs/>
          <w:iCs/>
          <w:color w:val="000000"/>
          <w:szCs w:val="20"/>
        </w:rPr>
      </w:pPr>
      <w:r>
        <w:rPr>
          <w:rFonts w:cs="Arial"/>
          <w:b/>
          <w:bCs/>
          <w:iCs/>
          <w:color w:val="000000"/>
          <w:szCs w:val="20"/>
        </w:rPr>
      </w:r>
    </w:p>
    <w:p>
      <w:pPr>
        <w:pStyle w:val="Normal"/>
        <w:spacing w:lineRule="auto" w:line="276"/>
        <w:jc w:val="center"/>
        <w:rPr/>
      </w:pPr>
      <w:r>
        <w:rPr>
          <w:rFonts w:cs="Arial"/>
          <w:b/>
          <w:bCs/>
          <w:iCs/>
          <w:color w:val="000000"/>
          <w:szCs w:val="20"/>
        </w:rPr>
        <w:t>ANTONIO FLAVIO MOSCOSO ALMEIDA</w:t>
      </w:r>
    </w:p>
    <w:p>
      <w:pPr>
        <w:pStyle w:val="Normal"/>
        <w:spacing w:lineRule="auto" w:line="276"/>
        <w:jc w:val="center"/>
        <w:rPr/>
      </w:pPr>
      <w:r>
        <w:rPr>
          <w:rFonts w:cs="Arial"/>
          <w:b/>
          <w:bCs/>
          <w:iCs/>
          <w:color w:val="000000"/>
          <w:szCs w:val="20"/>
        </w:rPr>
        <w:t>CAPITÃO DE FRAGATA (IM)</w:t>
      </w:r>
    </w:p>
    <w:p>
      <w:pPr>
        <w:pStyle w:val="Normal"/>
        <w:spacing w:lineRule="auto" w:line="276"/>
        <w:jc w:val="center"/>
        <w:rPr/>
      </w:pPr>
      <w:r>
        <w:rPr>
          <w:rFonts w:cs="Arial"/>
          <w:b/>
          <w:bCs/>
          <w:iCs/>
          <w:color w:val="000000"/>
          <w:szCs w:val="20"/>
        </w:rPr>
        <w:t>ORDENADOR DE DESPESAS</w:t>
      </w:r>
    </w:p>
    <w:sectPr>
      <w:type w:val="nextPage"/>
      <w:pgSz w:w="11906" w:h="16838"/>
      <w:pgMar w:left="1701" w:right="1701" w:header="0" w:top="1417" w:footer="0" w:bottom="708"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Calibri Light">
    <w:charset w:val="01"/>
    <w:family w:val="roman"/>
    <w:pitch w:val="variable"/>
  </w:font>
  <w:font w:name="Ecofont_Spranq_eco_Sans">
    <w:charset w:val="01"/>
    <w:family w:val="roman"/>
    <w:pitch w:val="variable"/>
  </w:font>
  <w:font w:name="Segoe UI">
    <w:charset w:val="01"/>
    <w:family w:val="roman"/>
    <w:pitch w:val="variable"/>
  </w:font>
  <w:font w:name="Liberation Sans">
    <w:altName w:val="Arial"/>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rFonts w:ascii="Arial" w:hAnsi="Arial"/>
      </w:rPr>
    </w:lvl>
    <w:lvl w:ilvl="1">
      <w:start w:val="1"/>
      <w:numFmt w:val="decimal"/>
      <w:lvlText w:val="%1.%2."/>
      <w:lvlJc w:val="left"/>
      <w:pPr>
        <w:ind w:left="792" w:hanging="432"/>
      </w:pPr>
      <w:rPr>
        <w:sz w:val="20"/>
        <w:i w:val="false"/>
        <w:b/>
        <w:iCs/>
        <w:rFonts w:ascii="Arial" w:hAnsi="Arial"/>
      </w:rPr>
    </w:lvl>
    <w:lvl w:ilvl="2">
      <w:start w:val="1"/>
      <w:numFmt w:val="decimal"/>
      <w:lvlText w:val="%1.%2.%3."/>
      <w:lvlJc w:val="left"/>
      <w:pPr>
        <w:ind w:left="1224" w:hanging="504"/>
      </w:pPr>
      <w:rPr>
        <w:i w:val="false"/>
        <w:u w:val="none"/>
        <w:b/>
        <w:iCs w:val="false"/>
        <w:bCs/>
        <w:rFonts w:ascii="Arial" w:hAnsi="Arial" w:cs="Arial"/>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decimal"/>
      <w:lvlText w:val="%1.%2.%3."/>
      <w:lvlJc w:val="left"/>
      <w:pPr>
        <w:ind w:left="1224" w:hanging="504"/>
      </w:pPr>
      <w:rPr>
        <w:i w:val="false"/>
        <w:b w:val="false"/>
        <w:iCs/>
        <w:rFonts w:cs="Arial"/>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lowerLetter"/>
      <w:lvlText w:val="%3)"/>
      <w:lvlJc w:val="left"/>
      <w:pPr>
        <w:ind w:left="1224" w:hanging="504"/>
      </w:pPr>
      <w:rPr>
        <w:i w:val="false"/>
        <w:b w:val="false"/>
        <w:iCs/>
        <w:bCs w:val="false"/>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d0e1a"/>
    <w:pPr>
      <w:widowControl/>
      <w:bidi w:val="0"/>
      <w:spacing w:lineRule="auto" w:line="240" w:before="0" w:after="0"/>
      <w:jc w:val="left"/>
    </w:pPr>
    <w:rPr>
      <w:rFonts w:ascii="Arial" w:hAnsi="Arial" w:eastAsia="Times New Roman" w:cs="Tahoma"/>
      <w:color w:val="auto"/>
      <w:kern w:val="0"/>
      <w:sz w:val="20"/>
      <w:szCs w:val="24"/>
      <w:lang w:val="pt-BR" w:eastAsia="pt-BR" w:bidi="ar-SA"/>
    </w:rPr>
  </w:style>
  <w:style w:type="paragraph" w:styleId="Ttulo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Citao"/>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link w:val="Ttulo1"/>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link w:val="citao2"/>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link w:val="Textodecomentrio"/>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ssuntodocomentrio"/>
    <w:uiPriority w:val="99"/>
    <w:semiHidden/>
    <w:qFormat/>
    <w:rsid w:val="003d08af"/>
    <w:rPr>
      <w:rFonts w:ascii="Arial" w:hAnsi="Arial" w:eastAsia="Times New Roman" w:cs="Tahoma"/>
      <w:b/>
      <w:bCs/>
      <w:sz w:val="20"/>
      <w:szCs w:val="20"/>
      <w:lang w:eastAsia="pt-BR"/>
    </w:rPr>
  </w:style>
  <w:style w:type="character" w:styleId="LinkdaInternet">
    <w:name w:val="Link da Internet"/>
    <w:rsid w:val="002f5eff"/>
    <w:rPr>
      <w:color w:val="000080"/>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Textodebalo"/>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link w:val="Cabealho"/>
    <w:uiPriority w:val="99"/>
    <w:qFormat/>
    <w:rsid w:val="00805244"/>
    <w:rPr>
      <w:rFonts w:ascii="Arial" w:hAnsi="Arial" w:eastAsia="Times New Roman" w:cs="Tahoma"/>
      <w:sz w:val="20"/>
      <w:szCs w:val="24"/>
      <w:lang w:eastAsia="pt-BR"/>
    </w:rPr>
  </w:style>
  <w:style w:type="character" w:styleId="RodapChar" w:customStyle="1">
    <w:name w:val="Rodapé Char"/>
    <w:basedOn w:val="DefaultParagraphFont"/>
    <w:link w:val="Rodap"/>
    <w:uiPriority w:val="99"/>
    <w:qFormat/>
    <w:rsid w:val="00805244"/>
    <w:rPr>
      <w:rFonts w:ascii="Arial" w:hAnsi="Arial" w:eastAsia="Times New Roman" w:cs="Tahoma"/>
      <w:sz w:val="20"/>
      <w:szCs w:val="24"/>
      <w:lang w:eastAsia="pt-BR"/>
    </w:rPr>
  </w:style>
  <w:style w:type="character" w:styleId="ListLabel1">
    <w:name w:val="ListLabel 1"/>
    <w:qFormat/>
    <w:rPr>
      <w:rFonts w:ascii="Arial" w:hAnsi="Arial"/>
      <w:b/>
    </w:rPr>
  </w:style>
  <w:style w:type="character" w:styleId="ListLabel2">
    <w:name w:val="ListLabel 2"/>
    <w:qFormat/>
    <w:rPr>
      <w:rFonts w:ascii="Arial" w:hAnsi="Arial"/>
      <w:b/>
      <w:i w:val="false"/>
      <w:iCs/>
    </w:rPr>
  </w:style>
  <w:style w:type="character" w:styleId="ListLabel3">
    <w:name w:val="ListLabel 3"/>
    <w:qFormat/>
    <w:rPr>
      <w:rFonts w:ascii="Arial" w:hAnsi="Arial" w:cs="Arial"/>
      <w:b/>
      <w:bCs/>
      <w:i w:val="false"/>
      <w:iCs w:val="false"/>
      <w:color w:val="auto"/>
      <w:u w:val="none"/>
    </w:rPr>
  </w:style>
  <w:style w:type="character" w:styleId="ListLabel4">
    <w:name w:val="ListLabel 4"/>
    <w:qFormat/>
    <w:rPr>
      <w:rFonts w:cs="Arial"/>
    </w:rPr>
  </w:style>
  <w:style w:type="character" w:styleId="ListLabel5">
    <w:name w:val="ListLabel 5"/>
    <w:qFormat/>
    <w:rPr>
      <w:color w:val="auto"/>
    </w:rPr>
  </w:style>
  <w:style w:type="character" w:styleId="ListLabel6">
    <w:name w:val="ListLabel 6"/>
    <w:qFormat/>
    <w:rPr>
      <w:color w:val="auto"/>
    </w:rPr>
  </w:style>
  <w:style w:type="character" w:styleId="ListLabel7">
    <w:name w:val="ListLabel 7"/>
    <w:qFormat/>
    <w:rPr>
      <w:color w:val="auto"/>
    </w:rPr>
  </w:style>
  <w:style w:type="character" w:styleId="ListLabel8">
    <w:name w:val="ListLabel 8"/>
    <w:qFormat/>
    <w:rPr>
      <w:color w:val="auto"/>
    </w:rPr>
  </w:style>
  <w:style w:type="character" w:styleId="ListLabel9">
    <w:name w:val="ListLabel 9"/>
    <w:qFormat/>
    <w:rPr>
      <w:color w:val="auto"/>
    </w:rPr>
  </w:style>
  <w:style w:type="character" w:styleId="ListLabel10">
    <w:name w:val="ListLabel 10"/>
    <w:qFormat/>
    <w:rPr>
      <w:color w:val="auto"/>
    </w:rPr>
  </w:style>
  <w:style w:type="character" w:styleId="ListLabel11">
    <w:name w:val="ListLabel 11"/>
    <w:qFormat/>
    <w:rPr>
      <w:color w:val="auto"/>
    </w:rPr>
  </w:style>
  <w:style w:type="character" w:styleId="ListLabel12">
    <w:name w:val="ListLabel 12"/>
    <w:qFormat/>
    <w:rPr>
      <w:color w:val="auto"/>
    </w:rPr>
  </w:style>
  <w:style w:type="character" w:styleId="ListLabel13">
    <w:name w:val="ListLabel 13"/>
    <w:qFormat/>
    <w:rPr>
      <w:color w:val="auto"/>
    </w:rPr>
  </w:style>
  <w:style w:type="character" w:styleId="ListLabel14">
    <w:name w:val="ListLabel 14"/>
    <w:qFormat/>
    <w:rPr>
      <w:b/>
    </w:rPr>
  </w:style>
  <w:style w:type="character" w:styleId="ListLabel15">
    <w:name w:val="ListLabel 15"/>
    <w:qFormat/>
    <w:rPr>
      <w:b w:val="false"/>
      <w:i w:val="false"/>
      <w:iCs/>
    </w:rPr>
  </w:style>
  <w:style w:type="character" w:styleId="ListLabel16">
    <w:name w:val="ListLabel 16"/>
    <w:qFormat/>
    <w:rPr>
      <w:rFonts w:cs="Arial"/>
      <w:b w:val="false"/>
      <w:i w:val="false"/>
      <w:iCs/>
      <w:color w:val="auto"/>
    </w:rPr>
  </w:style>
  <w:style w:type="character" w:styleId="ListLabel17">
    <w:name w:val="ListLabel 17"/>
    <w:qFormat/>
    <w:rPr>
      <w:i w:val="false"/>
      <w:color w:val="000000"/>
    </w:rPr>
  </w:style>
  <w:style w:type="character" w:styleId="ListLabel18">
    <w:name w:val="ListLabel 18"/>
    <w:qFormat/>
    <w:rPr>
      <w:i w:val="false"/>
      <w:color w:val="000000"/>
    </w:rPr>
  </w:style>
  <w:style w:type="character" w:styleId="ListLabel19">
    <w:name w:val="ListLabel 19"/>
    <w:qFormat/>
    <w:rPr>
      <w:i w:val="false"/>
      <w:color w:val="000000"/>
    </w:rPr>
  </w:style>
  <w:style w:type="character" w:styleId="ListLabel20">
    <w:name w:val="ListLabel 20"/>
    <w:qFormat/>
    <w:rPr>
      <w:i w:val="false"/>
      <w:color w:val="000000"/>
    </w:rPr>
  </w:style>
  <w:style w:type="character" w:styleId="ListLabel21">
    <w:name w:val="ListLabel 21"/>
    <w:qFormat/>
    <w:rPr>
      <w:i w:val="false"/>
      <w:color w:val="000000"/>
    </w:rPr>
  </w:style>
  <w:style w:type="character" w:styleId="ListLabel22">
    <w:name w:val="ListLabel 22"/>
    <w:qFormat/>
    <w:rPr>
      <w:i w:val="false"/>
      <w:color w:val="000000"/>
    </w:rPr>
  </w:style>
  <w:style w:type="character" w:styleId="ListLabel23">
    <w:name w:val="ListLabel 23"/>
    <w:qFormat/>
    <w:rPr>
      <w:i w:val="false"/>
      <w:color w:val="000000"/>
    </w:rPr>
  </w:style>
  <w:style w:type="character" w:styleId="ListLabel24">
    <w:name w:val="ListLabel 24"/>
    <w:qFormat/>
    <w:rPr>
      <w:i w:val="false"/>
      <w:color w:val="000000"/>
    </w:rPr>
  </w:style>
  <w:style w:type="character" w:styleId="ListLabel25">
    <w:name w:val="ListLabel 25"/>
    <w:qFormat/>
    <w:rPr>
      <w:i w:val="false"/>
      <w:color w:val="000000"/>
    </w:rPr>
  </w:style>
  <w:style w:type="character" w:styleId="ListLabel26">
    <w:name w:val="ListLabel 26"/>
    <w:qFormat/>
    <w:rPr>
      <w:b/>
    </w:rPr>
  </w:style>
  <w:style w:type="character" w:styleId="ListLabel27">
    <w:name w:val="ListLabel 27"/>
    <w:qFormat/>
    <w:rPr>
      <w:b w:val="false"/>
      <w:i w:val="false"/>
      <w:iCs/>
    </w:rPr>
  </w:style>
  <w:style w:type="character" w:styleId="ListLabel28">
    <w:name w:val="ListLabel 28"/>
    <w:qFormat/>
    <w:rPr>
      <w:rFonts w:cs="Arial"/>
      <w:b w:val="false"/>
      <w:i w:val="false"/>
      <w:iCs/>
      <w:color w:val="auto"/>
    </w:rPr>
  </w:style>
  <w:style w:type="character" w:styleId="ListLabel29">
    <w:name w:val="ListLabel 29"/>
    <w:qFormat/>
    <w:rPr>
      <w:b/>
    </w:rPr>
  </w:style>
  <w:style w:type="character" w:styleId="ListLabel30">
    <w:name w:val="ListLabel 30"/>
    <w:qFormat/>
    <w:rPr>
      <w:b w:val="false"/>
      <w:i w:val="false"/>
      <w:iCs/>
    </w:rPr>
  </w:style>
  <w:style w:type="character" w:styleId="ListLabel31">
    <w:name w:val="ListLabel 31"/>
    <w:qFormat/>
    <w:rPr>
      <w:rFonts w:cs="Arial"/>
      <w:b w:val="false"/>
      <w:i w:val="false"/>
      <w:iCs/>
      <w:color w:val="auto"/>
    </w:rPr>
  </w:style>
  <w:style w:type="character" w:styleId="ListLabel32">
    <w:name w:val="ListLabel 32"/>
    <w:qFormat/>
    <w:rPr>
      <w:b/>
    </w:rPr>
  </w:style>
  <w:style w:type="character" w:styleId="ListLabel33">
    <w:name w:val="ListLabel 33"/>
    <w:qFormat/>
    <w:rPr>
      <w:b w:val="false"/>
      <w:i w:val="false"/>
      <w:iCs/>
    </w:rPr>
  </w:style>
  <w:style w:type="character" w:styleId="ListLabel34">
    <w:name w:val="ListLabel 34"/>
    <w:qFormat/>
    <w:rPr>
      <w:rFonts w:cs="Arial"/>
      <w:b w:val="false"/>
      <w:i w:val="false"/>
      <w:iCs/>
      <w:color w:val="auto"/>
    </w:rPr>
  </w:style>
  <w:style w:type="character" w:styleId="ListLabel35">
    <w:name w:val="ListLabel 35"/>
    <w:qFormat/>
    <w:rPr>
      <w:b/>
    </w:rPr>
  </w:style>
  <w:style w:type="character" w:styleId="ListLabel36">
    <w:name w:val="ListLabel 36"/>
    <w:qFormat/>
    <w:rPr>
      <w:b w:val="false"/>
      <w:i w:val="false"/>
      <w:iCs/>
    </w:rPr>
  </w:style>
  <w:style w:type="character" w:styleId="ListLabel37">
    <w:name w:val="ListLabel 37"/>
    <w:qFormat/>
    <w:rPr>
      <w:rFonts w:cs="Arial"/>
      <w:b w:val="false"/>
      <w:i w:val="false"/>
      <w:iCs/>
      <w:color w:val="auto"/>
    </w:rPr>
  </w:style>
  <w:style w:type="character" w:styleId="ListLabel38">
    <w:name w:val="ListLabel 38"/>
    <w:qFormat/>
    <w:rPr>
      <w:b/>
    </w:rPr>
  </w:style>
  <w:style w:type="character" w:styleId="ListLabel39">
    <w:name w:val="ListLabel 39"/>
    <w:qFormat/>
    <w:rPr>
      <w:b w:val="false"/>
      <w:i w:val="false"/>
      <w:iCs/>
    </w:rPr>
  </w:style>
  <w:style w:type="character" w:styleId="ListLabel40">
    <w:name w:val="ListLabel 40"/>
    <w:qFormat/>
    <w:rPr>
      <w:rFonts w:cs="Arial"/>
      <w:b w:val="false"/>
      <w:i w:val="false"/>
      <w:iCs/>
      <w:color w:val="auto"/>
    </w:rPr>
  </w:style>
  <w:style w:type="character" w:styleId="ListLabel41">
    <w:name w:val="ListLabel 41"/>
    <w:qFormat/>
    <w:rPr>
      <w:b/>
      <w:i w:val="false"/>
      <w:strike w:val="false"/>
      <w:dstrike w:val="false"/>
    </w:rPr>
  </w:style>
  <w:style w:type="character" w:styleId="ListLabel42">
    <w:name w:val="ListLabel 42"/>
    <w:qFormat/>
    <w:rPr>
      <w:b w:val="false"/>
      <w:strike w:val="false"/>
      <w:dstrike w:val="false"/>
    </w:rPr>
  </w:style>
  <w:style w:type="character" w:styleId="ListLabel43">
    <w:name w:val="ListLabel 43"/>
    <w:qFormat/>
    <w:rPr>
      <w:i w:val="false"/>
      <w:strike w:val="false"/>
      <w:dstrike w:val="false"/>
    </w:rPr>
  </w:style>
  <w:style w:type="character" w:styleId="ListLabel44">
    <w:name w:val="ListLabel 44"/>
    <w:qFormat/>
    <w:rPr>
      <w:b w:val="false"/>
    </w:rPr>
  </w:style>
  <w:style w:type="character" w:styleId="ListLabel45">
    <w:name w:val="ListLabel 45"/>
    <w:qFormat/>
    <w:rPr>
      <w:b w:val="false"/>
    </w:rPr>
  </w:style>
  <w:style w:type="character" w:styleId="ListLabel46">
    <w:name w:val="ListLabel 46"/>
    <w:qFormat/>
    <w:rPr>
      <w:b w:val="false"/>
    </w:rPr>
  </w:style>
  <w:style w:type="character" w:styleId="ListLabel47">
    <w:name w:val="ListLabel 47"/>
    <w:qFormat/>
    <w:rPr>
      <w:b w:val="false"/>
    </w:rPr>
  </w:style>
  <w:style w:type="character" w:styleId="ListLabel48">
    <w:name w:val="ListLabel 48"/>
    <w:qFormat/>
    <w:rPr>
      <w:rFonts w:ascii="Arial" w:hAnsi="Arial"/>
      <w:b/>
    </w:rPr>
  </w:style>
  <w:style w:type="character" w:styleId="ListLabel49">
    <w:name w:val="ListLabel 49"/>
    <w:qFormat/>
    <w:rPr>
      <w:rFonts w:ascii="Arial" w:hAnsi="Arial"/>
      <w:b/>
    </w:rPr>
  </w:style>
  <w:style w:type="character" w:styleId="ListLabel50">
    <w:name w:val="ListLabel 50"/>
    <w:qFormat/>
    <w:rPr>
      <w:b/>
    </w:rPr>
  </w:style>
  <w:style w:type="character" w:styleId="ListLabel51">
    <w:name w:val="ListLabel 51"/>
    <w:qFormat/>
    <w:rPr>
      <w:b w:val="false"/>
      <w:i w:val="false"/>
      <w:iCs/>
    </w:rPr>
  </w:style>
  <w:style w:type="character" w:styleId="ListLabel52">
    <w:name w:val="ListLabel 52"/>
    <w:qFormat/>
    <w:rPr>
      <w:rFonts w:cs="Arial"/>
      <w:b w:val="false"/>
      <w:i w:val="false"/>
      <w:iCs/>
      <w:color w:val="auto"/>
    </w:rPr>
  </w:style>
  <w:style w:type="character" w:styleId="ListLabel53">
    <w:name w:val="ListLabel 53"/>
    <w:qFormat/>
    <w:rPr>
      <w:rFonts w:cs="Courier New"/>
    </w:rPr>
  </w:style>
  <w:style w:type="character" w:styleId="ListLabel54">
    <w:name w:val="ListLabel 54"/>
    <w:qFormat/>
    <w:rPr>
      <w:rFonts w:cs="Courier New"/>
    </w:rPr>
  </w:style>
  <w:style w:type="character" w:styleId="ListLabel55">
    <w:name w:val="ListLabel 55"/>
    <w:qFormat/>
    <w:rPr>
      <w:rFonts w:cs="Courier New"/>
    </w:rPr>
  </w:style>
  <w:style w:type="character" w:styleId="ListLabel56">
    <w:name w:val="ListLabel 56"/>
    <w:qFormat/>
    <w:rPr>
      <w:b/>
    </w:rPr>
  </w:style>
  <w:style w:type="character" w:styleId="ListLabel57">
    <w:name w:val="ListLabel 57"/>
    <w:qFormat/>
    <w:rPr>
      <w:b w:val="false"/>
      <w:i w:val="false"/>
      <w:iCs/>
    </w:rPr>
  </w:style>
  <w:style w:type="character" w:styleId="ListLabel58">
    <w:name w:val="ListLabel 58"/>
    <w:qFormat/>
    <w:rPr>
      <w:rFonts w:cs="Arial"/>
      <w:b w:val="false"/>
      <w:i w:val="false"/>
      <w:iCs/>
      <w:color w:val="auto"/>
    </w:rPr>
  </w:style>
  <w:style w:type="character" w:styleId="ListLabel59">
    <w:name w:val="ListLabel 59"/>
    <w:qFormat/>
    <w:rPr>
      <w:rFonts w:eastAsia="" w:cs="Arial"/>
      <w:b/>
    </w:rPr>
  </w:style>
  <w:style w:type="character" w:styleId="ListLabel60">
    <w:name w:val="ListLabel 60"/>
    <w:qFormat/>
    <w:rPr>
      <w:b w:val="false"/>
      <w:i w:val="false"/>
      <w:iCs/>
    </w:rPr>
  </w:style>
  <w:style w:type="character" w:styleId="ListLabel61">
    <w:name w:val="ListLabel 61"/>
    <w:qFormat/>
    <w:rPr>
      <w:b w:val="false"/>
      <w:i w:val="false"/>
      <w:iCs/>
      <w:color w:val="auto"/>
    </w:rPr>
  </w:style>
  <w:style w:type="character" w:styleId="ListLabel62">
    <w:name w:val="ListLabel 62"/>
    <w:qFormat/>
    <w:rPr>
      <w:b/>
    </w:rPr>
  </w:style>
  <w:style w:type="character" w:styleId="ListLabel63">
    <w:name w:val="ListLabel 63"/>
    <w:qFormat/>
    <w:rPr>
      <w:b w:val="false"/>
      <w:i w:val="false"/>
      <w:iCs/>
    </w:rPr>
  </w:style>
  <w:style w:type="character" w:styleId="ListLabel64">
    <w:name w:val="ListLabel 64"/>
    <w:qFormat/>
    <w:rPr>
      <w:rFonts w:cs="Arial"/>
      <w:b w:val="false"/>
      <w:i w:val="false"/>
      <w:iCs/>
      <w:color w:val="auto"/>
    </w:rPr>
  </w:style>
  <w:style w:type="character" w:styleId="ListLabel65">
    <w:name w:val="ListLabel 65"/>
    <w:qFormat/>
    <w:rPr>
      <w:b/>
    </w:rPr>
  </w:style>
  <w:style w:type="character" w:styleId="ListLabel66">
    <w:name w:val="ListLabel 66"/>
    <w:qFormat/>
    <w:rPr>
      <w:b w:val="false"/>
      <w:i w:val="false"/>
      <w:iCs/>
    </w:rPr>
  </w:style>
  <w:style w:type="character" w:styleId="ListLabel67">
    <w:name w:val="ListLabel 67"/>
    <w:qFormat/>
    <w:rPr>
      <w:rFonts w:cs="Arial"/>
      <w:b w:val="false"/>
      <w:i w:val="false"/>
      <w:iCs/>
      <w:color w:val="auto"/>
    </w:rPr>
  </w:style>
  <w:style w:type="character" w:styleId="ListLabel68">
    <w:name w:val="ListLabel 68"/>
    <w:qFormat/>
    <w:rPr>
      <w:b/>
    </w:rPr>
  </w:style>
  <w:style w:type="character" w:styleId="ListLabel69">
    <w:name w:val="ListLabel 69"/>
    <w:qFormat/>
    <w:rPr>
      <w:b w:val="false"/>
      <w:i w:val="false"/>
      <w:iCs/>
    </w:rPr>
  </w:style>
  <w:style w:type="character" w:styleId="ListLabel70">
    <w:name w:val="ListLabel 70"/>
    <w:qFormat/>
    <w:rPr>
      <w:b w:val="false"/>
      <w:bCs w:val="false"/>
      <w:i w:val="false"/>
      <w:iCs/>
      <w:color w:val="auto"/>
    </w:rPr>
  </w:style>
  <w:style w:type="character" w:styleId="ListLabel71">
    <w:name w:val="ListLabel 71"/>
    <w:qFormat/>
    <w:rPr>
      <w:rFonts w:cs="Arial"/>
    </w:rPr>
  </w:style>
  <w:style w:type="character" w:styleId="ListLabel72">
    <w:name w:val="ListLabel 72"/>
    <w:qFormat/>
    <w:rPr>
      <w:rFonts w:eastAsia="Calibri" w:cs="Arial"/>
      <w:szCs w:val="20"/>
    </w:rPr>
  </w:style>
  <w:style w:type="character" w:styleId="ListLabel73">
    <w:name w:val="ListLabel 73"/>
    <w:qFormat/>
    <w:rPr>
      <w:rFonts w:eastAsia="Calibri" w:cs="Arial"/>
      <w:lang w:eastAsia="ar-SA"/>
    </w:rPr>
  </w:style>
  <w:style w:type="character" w:styleId="ListLabel74">
    <w:name w:val="ListLabel 74"/>
    <w:qFormat/>
    <w:rPr>
      <w:color w:val="000000"/>
    </w:rPr>
  </w:style>
  <w:style w:type="character" w:styleId="ListLabel75">
    <w:name w:val="ListLabel 75"/>
    <w:qFormat/>
    <w:rPr>
      <w:rFonts w:ascii="Arial" w:hAnsi="Arial"/>
      <w:b/>
    </w:rPr>
  </w:style>
  <w:style w:type="character" w:styleId="ListLabel76">
    <w:name w:val="ListLabel 76"/>
    <w:qFormat/>
    <w:rPr>
      <w:b/>
      <w:i w:val="false"/>
      <w:iCs/>
    </w:rPr>
  </w:style>
  <w:style w:type="character" w:styleId="ListLabel77">
    <w:name w:val="ListLabel 77"/>
    <w:qFormat/>
    <w:rPr>
      <w:rFonts w:ascii="Arial" w:hAnsi="Arial" w:cs="Arial"/>
      <w:b/>
      <w:bCs/>
      <w:i w:val="false"/>
      <w:iCs w:val="false"/>
      <w:color w:val="auto"/>
      <w:u w:val="none"/>
    </w:rPr>
  </w:style>
  <w:style w:type="character" w:styleId="ListLabel78">
    <w:name w:val="ListLabel 78"/>
    <w:qFormat/>
    <w:rPr>
      <w:b/>
    </w:rPr>
  </w:style>
  <w:style w:type="character" w:styleId="ListLabel79">
    <w:name w:val="ListLabel 79"/>
    <w:qFormat/>
    <w:rPr>
      <w:b w:val="false"/>
      <w:i w:val="false"/>
      <w:iCs/>
    </w:rPr>
  </w:style>
  <w:style w:type="character" w:styleId="ListLabel80">
    <w:name w:val="ListLabel 80"/>
    <w:qFormat/>
    <w:rPr>
      <w:rFonts w:cs="Arial"/>
      <w:b w:val="false"/>
      <w:i w:val="false"/>
      <w:iCs/>
      <w:color w:val="auto"/>
    </w:rPr>
  </w:style>
  <w:style w:type="character" w:styleId="ListLabel81">
    <w:name w:val="ListLabel 81"/>
    <w:qFormat/>
    <w:rPr>
      <w:b/>
    </w:rPr>
  </w:style>
  <w:style w:type="character" w:styleId="ListLabel82">
    <w:name w:val="ListLabel 82"/>
    <w:qFormat/>
    <w:rPr>
      <w:b w:val="false"/>
      <w:i w:val="false"/>
      <w:iCs/>
    </w:rPr>
  </w:style>
  <w:style w:type="character" w:styleId="ListLabel83">
    <w:name w:val="ListLabel 83"/>
    <w:qFormat/>
    <w:rPr>
      <w:b w:val="false"/>
      <w:bCs w:val="false"/>
      <w:i w:val="false"/>
      <w:iCs/>
      <w:color w:val="auto"/>
    </w:rPr>
  </w:style>
  <w:style w:type="character" w:styleId="ListLabel84">
    <w:name w:val="ListLabel 84"/>
    <w:qFormat/>
    <w:rPr>
      <w:rFonts w:eastAsia="Calibri" w:cs="Arial"/>
      <w:szCs w:val="20"/>
    </w:rPr>
  </w:style>
  <w:style w:type="character" w:styleId="ListLabel85">
    <w:name w:val="ListLabel 85"/>
    <w:qFormat/>
    <w:rPr>
      <w:rFonts w:eastAsia="Calibri" w:cs="Arial"/>
      <w:color w:val="000000"/>
      <w:u w:val="none"/>
      <w:lang w:eastAsia="ar-SA"/>
    </w:rPr>
  </w:style>
  <w:style w:type="character" w:styleId="ListLabel86">
    <w:name w:val="ListLabel 86"/>
    <w:qFormat/>
    <w:rPr>
      <w:color w:val="000000"/>
    </w:rPr>
  </w:style>
  <w:style w:type="character" w:styleId="Nfaseforte">
    <w:name w:val="Ênfase forte"/>
    <w:qFormat/>
    <w:rPr>
      <w:b/>
      <w:bCs/>
    </w:rPr>
  </w:style>
  <w:style w:type="character" w:styleId="ListLabel87">
    <w:name w:val="ListLabel 87"/>
    <w:qFormat/>
    <w:rPr>
      <w:rFonts w:ascii="Arial" w:hAnsi="Arial"/>
      <w:b/>
    </w:rPr>
  </w:style>
  <w:style w:type="character" w:styleId="ListLabel88">
    <w:name w:val="ListLabel 88"/>
    <w:qFormat/>
    <w:rPr>
      <w:rFonts w:ascii="Arial" w:hAnsi="Arial"/>
      <w:b/>
      <w:i w:val="false"/>
      <w:iCs/>
      <w:sz w:val="20"/>
    </w:rPr>
  </w:style>
  <w:style w:type="character" w:styleId="ListLabel89">
    <w:name w:val="ListLabel 89"/>
    <w:qFormat/>
    <w:rPr>
      <w:rFonts w:ascii="Arial" w:hAnsi="Arial" w:cs="Arial"/>
      <w:b/>
      <w:bCs/>
      <w:i w:val="false"/>
      <w:iCs w:val="false"/>
      <w:color w:val="auto"/>
      <w:u w:val="none"/>
    </w:rPr>
  </w:style>
  <w:style w:type="character" w:styleId="ListLabel90">
    <w:name w:val="ListLabel 90"/>
    <w:qFormat/>
    <w:rPr>
      <w:b/>
    </w:rPr>
  </w:style>
  <w:style w:type="character" w:styleId="ListLabel91">
    <w:name w:val="ListLabel 91"/>
    <w:qFormat/>
    <w:rPr>
      <w:b w:val="false"/>
      <w:i w:val="false"/>
      <w:iCs/>
    </w:rPr>
  </w:style>
  <w:style w:type="character" w:styleId="ListLabel92">
    <w:name w:val="ListLabel 92"/>
    <w:qFormat/>
    <w:rPr>
      <w:rFonts w:cs="Arial"/>
      <w:b w:val="false"/>
      <w:i w:val="false"/>
      <w:iCs/>
      <w:color w:val="auto"/>
    </w:rPr>
  </w:style>
  <w:style w:type="character" w:styleId="ListLabel93">
    <w:name w:val="ListLabel 93"/>
    <w:qFormat/>
    <w:rPr>
      <w:b/>
    </w:rPr>
  </w:style>
  <w:style w:type="character" w:styleId="ListLabel94">
    <w:name w:val="ListLabel 94"/>
    <w:qFormat/>
    <w:rPr>
      <w:b w:val="false"/>
      <w:i w:val="false"/>
      <w:iCs/>
    </w:rPr>
  </w:style>
  <w:style w:type="character" w:styleId="ListLabel95">
    <w:name w:val="ListLabel 95"/>
    <w:qFormat/>
    <w:rPr>
      <w:b w:val="false"/>
      <w:bCs w:val="false"/>
      <w:i w:val="false"/>
      <w:iCs/>
      <w:color w:val="auto"/>
    </w:rPr>
  </w:style>
  <w:style w:type="character" w:styleId="ListLabel96">
    <w:name w:val="ListLabel 96"/>
    <w:qFormat/>
    <w:rPr>
      <w:rFonts w:eastAsia="Calibri" w:cs="Arial"/>
      <w:szCs w:val="20"/>
    </w:rPr>
  </w:style>
  <w:style w:type="character" w:styleId="ListLabel97">
    <w:name w:val="ListLabel 97"/>
    <w:qFormat/>
    <w:rPr>
      <w:rFonts w:eastAsia="Calibri" w:cs="Arial"/>
      <w:color w:val="000000"/>
      <w:u w:val="none"/>
      <w:lang w:eastAsia="ar-SA"/>
    </w:rPr>
  </w:style>
  <w:style w:type="character" w:styleId="ListLabel98">
    <w:name w:val="ListLabel 98"/>
    <w:qFormat/>
    <w:rPr>
      <w:color w:val="000000"/>
    </w:rPr>
  </w:style>
  <w:style w:type="character" w:styleId="ListLabel99">
    <w:name w:val="ListLabel 99"/>
    <w:qFormat/>
    <w:rPr>
      <w:rFonts w:ascii="Arial" w:hAnsi="Arial"/>
      <w:b/>
    </w:rPr>
  </w:style>
  <w:style w:type="character" w:styleId="ListLabel100">
    <w:name w:val="ListLabel 100"/>
    <w:qFormat/>
    <w:rPr>
      <w:rFonts w:ascii="Arial" w:hAnsi="Arial"/>
      <w:b/>
      <w:i w:val="false"/>
      <w:iCs/>
      <w:sz w:val="20"/>
    </w:rPr>
  </w:style>
  <w:style w:type="character" w:styleId="ListLabel101">
    <w:name w:val="ListLabel 101"/>
    <w:qFormat/>
    <w:rPr>
      <w:rFonts w:ascii="Arial" w:hAnsi="Arial" w:cs="Arial"/>
      <w:b/>
      <w:bCs/>
      <w:i w:val="false"/>
      <w:iCs w:val="false"/>
      <w:color w:val="auto"/>
      <w:u w:val="none"/>
    </w:rPr>
  </w:style>
  <w:style w:type="character" w:styleId="ListLabel102">
    <w:name w:val="ListLabel 102"/>
    <w:qFormat/>
    <w:rPr>
      <w:b/>
    </w:rPr>
  </w:style>
  <w:style w:type="character" w:styleId="ListLabel103">
    <w:name w:val="ListLabel 103"/>
    <w:qFormat/>
    <w:rPr>
      <w:b w:val="false"/>
      <w:i w:val="false"/>
      <w:iCs/>
    </w:rPr>
  </w:style>
  <w:style w:type="character" w:styleId="ListLabel104">
    <w:name w:val="ListLabel 104"/>
    <w:qFormat/>
    <w:rPr>
      <w:rFonts w:cs="Arial"/>
      <w:b w:val="false"/>
      <w:i w:val="false"/>
      <w:iCs/>
      <w:color w:val="auto"/>
    </w:rPr>
  </w:style>
  <w:style w:type="character" w:styleId="ListLabel105">
    <w:name w:val="ListLabel 105"/>
    <w:qFormat/>
    <w:rPr>
      <w:b/>
    </w:rPr>
  </w:style>
  <w:style w:type="character" w:styleId="ListLabel106">
    <w:name w:val="ListLabel 106"/>
    <w:qFormat/>
    <w:rPr>
      <w:b w:val="false"/>
      <w:i w:val="false"/>
      <w:iCs/>
    </w:rPr>
  </w:style>
  <w:style w:type="character" w:styleId="ListLabel107">
    <w:name w:val="ListLabel 107"/>
    <w:qFormat/>
    <w:rPr>
      <w:b w:val="false"/>
      <w:bCs w:val="false"/>
      <w:i w:val="false"/>
      <w:iCs/>
      <w:color w:val="auto"/>
    </w:rPr>
  </w:style>
  <w:style w:type="character" w:styleId="ListLabel108">
    <w:name w:val="ListLabel 108"/>
    <w:qFormat/>
    <w:rPr>
      <w:rFonts w:eastAsia="Calibri" w:cs="Arial"/>
      <w:szCs w:val="20"/>
    </w:rPr>
  </w:style>
  <w:style w:type="character" w:styleId="ListLabel109">
    <w:name w:val="ListLabel 109"/>
    <w:qFormat/>
    <w:rPr>
      <w:rFonts w:eastAsia="Calibri" w:cs="Arial"/>
      <w:color w:val="000000"/>
      <w:u w:val="none"/>
      <w:lang w:eastAsia="ar-SA"/>
    </w:rPr>
  </w:style>
  <w:style w:type="character" w:styleId="ListLabel110">
    <w:name w:val="ListLabel 110"/>
    <w:qFormat/>
    <w:rPr>
      <w:color w:val="000000"/>
    </w:rPr>
  </w:style>
  <w:style w:type="character" w:styleId="ListLabel111">
    <w:name w:val="ListLabel 111"/>
    <w:qFormat/>
    <w:rPr>
      <w:rFonts w:ascii="Arial" w:hAnsi="Arial"/>
      <w:b/>
    </w:rPr>
  </w:style>
  <w:style w:type="character" w:styleId="ListLabel112">
    <w:name w:val="ListLabel 112"/>
    <w:qFormat/>
    <w:rPr>
      <w:rFonts w:ascii="Arial" w:hAnsi="Arial"/>
      <w:b/>
      <w:i w:val="false"/>
      <w:iCs/>
      <w:sz w:val="20"/>
    </w:rPr>
  </w:style>
  <w:style w:type="character" w:styleId="ListLabel113">
    <w:name w:val="ListLabel 113"/>
    <w:qFormat/>
    <w:rPr>
      <w:rFonts w:ascii="Arial" w:hAnsi="Arial" w:cs="Arial"/>
      <w:b/>
      <w:bCs/>
      <w:i w:val="false"/>
      <w:iCs w:val="false"/>
      <w:color w:val="auto"/>
      <w:u w:val="none"/>
    </w:rPr>
  </w:style>
  <w:style w:type="character" w:styleId="ListLabel114">
    <w:name w:val="ListLabel 114"/>
    <w:qFormat/>
    <w:rPr>
      <w:b/>
    </w:rPr>
  </w:style>
  <w:style w:type="character" w:styleId="ListLabel115">
    <w:name w:val="ListLabel 115"/>
    <w:qFormat/>
    <w:rPr>
      <w:b w:val="false"/>
      <w:i w:val="false"/>
      <w:iCs/>
    </w:rPr>
  </w:style>
  <w:style w:type="character" w:styleId="ListLabel116">
    <w:name w:val="ListLabel 116"/>
    <w:qFormat/>
    <w:rPr>
      <w:rFonts w:cs="Arial"/>
      <w:b w:val="false"/>
      <w:i w:val="false"/>
      <w:iCs/>
      <w:color w:val="auto"/>
    </w:rPr>
  </w:style>
  <w:style w:type="character" w:styleId="ListLabel117">
    <w:name w:val="ListLabel 117"/>
    <w:qFormat/>
    <w:rPr>
      <w:b/>
    </w:rPr>
  </w:style>
  <w:style w:type="character" w:styleId="ListLabel118">
    <w:name w:val="ListLabel 118"/>
    <w:qFormat/>
    <w:rPr>
      <w:b w:val="false"/>
      <w:i w:val="false"/>
      <w:iCs/>
    </w:rPr>
  </w:style>
  <w:style w:type="character" w:styleId="ListLabel119">
    <w:name w:val="ListLabel 119"/>
    <w:qFormat/>
    <w:rPr>
      <w:b w:val="false"/>
      <w:bCs w:val="false"/>
      <w:i w:val="false"/>
      <w:iCs/>
      <w:color w:val="auto"/>
    </w:rPr>
  </w:style>
  <w:style w:type="character" w:styleId="ListLabel120">
    <w:name w:val="ListLabel 120"/>
    <w:qFormat/>
    <w:rPr>
      <w:rFonts w:eastAsia="Calibri" w:cs="Arial"/>
      <w:szCs w:val="20"/>
    </w:rPr>
  </w:style>
  <w:style w:type="character" w:styleId="ListLabel121">
    <w:name w:val="ListLabel 121"/>
    <w:qFormat/>
    <w:rPr>
      <w:rFonts w:eastAsia="Calibri" w:cs="Arial"/>
      <w:color w:val="000000"/>
      <w:u w:val="none"/>
      <w:lang w:eastAsia="ar-SA"/>
    </w:rPr>
  </w:style>
  <w:style w:type="character" w:styleId="ListLabel122">
    <w:name w:val="ListLabel 122"/>
    <w:qFormat/>
    <w:rPr>
      <w:color w:val="000000"/>
    </w:rPr>
  </w:style>
  <w:style w:type="paragraph" w:styleId="Ttulo">
    <w:name w:val="Título"/>
    <w:basedOn w:val="Normal"/>
    <w:next w:val="Corpodetexto"/>
    <w:qFormat/>
    <w:pPr>
      <w:keepNext w:val="true"/>
      <w:spacing w:before="240" w:after="120"/>
    </w:pPr>
    <w:rPr>
      <w:rFonts w:ascii="Liberation Sans" w:hAnsi="Liberation Sans" w:eastAsia="Noto Sans CJK SC" w:cs="Lohit Devanagari"/>
      <w:sz w:val="28"/>
      <w:szCs w:val="28"/>
    </w:rPr>
  </w:style>
  <w:style w:type="paragraph" w:styleId="Corpodetexto">
    <w:name w:val="Body Text"/>
    <w:basedOn w:val="Normal"/>
    <w:pPr>
      <w:spacing w:lineRule="auto" w:line="276" w:before="0" w:after="140"/>
    </w:pPr>
    <w:rPr/>
  </w:style>
  <w:style w:type="paragraph" w:styleId="Lista">
    <w:name w:val="List"/>
    <w:basedOn w:val="Corpode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rsid w:val="009f7713"/>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link w:val="citao2Char"/>
    <w:qFormat/>
    <w:rsid w:val="006a70c8"/>
    <w:pPr>
      <w:shd w:val="clear" w:fill="FFFFCC"/>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auto"/>
    </w:rPr>
  </w:style>
  <w:style w:type="paragraph" w:styleId="Nivel5" w:customStyle="1">
    <w:name w:val="Nivel 5"/>
    <w:basedOn w:val="Nivel4"/>
    <w:qFormat/>
    <w:rsid w:val="002f5eff"/>
    <w:pPr>
      <w:tabs>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
    <w:name w:val="Header"/>
    <w:basedOn w:val="Normal"/>
    <w:link w:val="CabealhoChar"/>
    <w:uiPriority w:val="99"/>
    <w:unhideWhenUsed/>
    <w:rsid w:val="00805244"/>
    <w:pPr>
      <w:tabs>
        <w:tab w:val="center" w:pos="4252" w:leader="none"/>
        <w:tab w:val="right" w:pos="8504" w:leader="none"/>
      </w:tabs>
    </w:pPr>
    <w:rPr/>
  </w:style>
  <w:style w:type="paragraph" w:styleId="Rodap">
    <w:name w:val="Footer"/>
    <w:basedOn w:val="Normal"/>
    <w:link w:val="RodapChar"/>
    <w:uiPriority w:val="99"/>
    <w:unhideWhenUsed/>
    <w:rsid w:val="00805244"/>
    <w:pPr>
      <w:tabs>
        <w:tab w:val="center" w:pos="4252" w:leader="none"/>
        <w:tab w:val="right" w:pos="8504" w:leader="none"/>
      </w:tabs>
    </w:pPr>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rsid w:val="002f5eff"/>
    <w:pPr>
      <w:spacing w:after="0" w:line="240" w:lineRule="auto"/>
    </w:pPr>
    <w:rPr>
      <w:rFonts w:eastAsiaTheme="minorEastAsia"/>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LEIS/L6404consol.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Application>LibreOffice/6.0.7.3$Linux_X86_64 LibreOffice_project/00m0$Build-3</Application>
  <Pages>10</Pages>
  <Words>4271</Words>
  <Characters>24638</Characters>
  <CharactersWithSpaces>28598</CharactersWithSpaces>
  <Paragraphs>176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2021-08-05T16:35:00Z</dcterms:created>
  <dc:creator>Hugo Sales</dc:creator>
  <dc:description/>
  <dc:language>pt-BR</dc:language>
  <cp:lastModifiedBy/>
  <cp:lastPrinted>2022-09-01T13:09:33Z</cp:lastPrinted>
  <dcterms:modified xsi:type="dcterms:W3CDTF">2022-09-01T15:26:26Z</dcterms:modified>
  <cp:revision>43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