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pPr>
      <w:r>
        <w:rPr>
          <w:rFonts w:cs="Arial"/>
          <w:b/>
          <w:bCs/>
          <w:i/>
          <w:iCs/>
          <w:color w:val="000000" w:themeColor="text1"/>
          <w:szCs w:val="20"/>
        </w:rPr>
        <w:t>MARINHA DO BRASIL</w:t>
      </w:r>
    </w:p>
    <w:p>
      <w:pPr>
        <w:pStyle w:val="Normal"/>
        <w:spacing w:lineRule="auto" w:line="276"/>
        <w:jc w:val="center"/>
        <w:rPr/>
      </w:pPr>
      <w:r>
        <w:rPr>
          <w:rFonts w:cs="Arial"/>
          <w:b/>
          <w:bCs/>
          <w:i/>
          <w:iCs/>
          <w:color w:val="000000" w:themeColor="text1"/>
          <w:szCs w:val="20"/>
        </w:rPr>
        <w:t>CENTRO DE INTENDÊNCIA DA MARINHA EM RIO GRANDE</w:t>
      </w:r>
    </w:p>
    <w:p>
      <w:pPr>
        <w:pStyle w:val="Normal"/>
        <w:spacing w:lineRule="auto" w:line="276"/>
        <w:jc w:val="center"/>
        <w:rPr/>
      </w:pPr>
      <w:r>
        <w:rPr>
          <w:rFonts w:cs="Arial"/>
          <w:b/>
          <w:bCs/>
          <w:i/>
          <w:iCs/>
          <w:color w:val="000000" w:themeColor="text1"/>
          <w:szCs w:val="20"/>
        </w:rPr>
        <w:t>GRUPAMENTO DE FUZILEIROS NAVAIS DO RIO GRANDE</w:t>
      </w:r>
    </w:p>
    <w:p>
      <w:pPr>
        <w:pStyle w:val="Normal"/>
        <w:spacing w:lineRule="auto" w:line="276"/>
        <w:jc w:val="center"/>
        <w:rPr/>
      </w:pPr>
      <w:r>
        <w:rPr>
          <w:rFonts w:cs="Arial"/>
          <w:b/>
          <w:bCs/>
          <w:i/>
          <w:iCs/>
          <w:color w:val="000000" w:themeColor="text1"/>
          <w:szCs w:val="20"/>
        </w:rPr>
        <w:t>AVISO DE DISPENSA ELETRÔNICA No 300</w:t>
      </w:r>
      <w:r>
        <w:rPr>
          <w:rFonts w:cs="Arial"/>
          <w:b/>
          <w:bCs/>
          <w:i/>
          <w:iCs/>
          <w:color w:val="000000" w:themeColor="text1"/>
          <w:szCs w:val="20"/>
        </w:rPr>
        <w:t>10</w:t>
      </w:r>
      <w:r>
        <w:rPr>
          <w:rFonts w:cs="Arial"/>
          <w:b/>
          <w:bCs/>
          <w:i/>
          <w:iCs/>
          <w:color w:val="000000" w:themeColor="text1"/>
          <w:szCs w:val="20"/>
        </w:rPr>
        <w:t>/2022</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centro de intendência da marinha em rio grande,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000000"/>
          <w:szCs w:val="20"/>
        </w:rPr>
        <w:t>menor preço</w:t>
      </w:r>
      <w:r>
        <w:rPr>
          <w:rFonts w:cs="Arial"/>
          <w:b/>
          <w:bCs/>
          <w:i/>
          <w:color w:val="000000"/>
          <w:szCs w:val="20"/>
        </w:rPr>
        <w:t>,</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000000"/>
          <w:szCs w:val="20"/>
        </w:rPr>
        <w:t xml:space="preserve">inciso </w:t>
      </w:r>
      <w:r>
        <w:rPr>
          <w:rFonts w:cs="Arial"/>
          <w:b/>
          <w:i/>
          <w:iCs/>
          <w:color w:val="000000"/>
          <w:szCs w:val="20"/>
        </w:rPr>
        <w:t>II</w:t>
      </w:r>
      <w:r>
        <w:rPr>
          <w:rFonts w:cs="Arial"/>
          <w:i/>
          <w:iCs/>
          <w:color w:val="00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 xml:space="preserve">Data da sessão: </w:t>
      </w:r>
    </w:p>
    <w:p>
      <w:pPr>
        <w:pStyle w:val="Normal"/>
        <w:rPr/>
      </w:pPr>
      <w:r>
        <w:rPr>
          <w:rFonts w:cs="Arial"/>
          <w:color w:val="000000" w:themeColor="text1"/>
          <w:szCs w:val="20"/>
        </w:rPr>
        <w:t>Horário da Fase de Lances: 8:00 às 17:00hs</w:t>
      </w:r>
    </w:p>
    <w:p>
      <w:pPr>
        <w:pStyle w:val="PADRO"/>
        <w:keepNext w:val="false"/>
        <w:widowControl/>
        <w:shd w:val="clear" w:color="auto" w:fill="auto"/>
        <w:spacing w:before="120" w:after="120"/>
        <w:ind w:left="360" w:hanging="0"/>
        <w:rPr>
          <w:rFonts w:ascii="Arial" w:hAnsi="Arial" w:cs="Arial"/>
          <w:b/>
          <w:b/>
        </w:rPr>
      </w:pPr>
      <w:r>
        <w:rPr>
          <w:rFonts w:cs="Arial" w:ascii="Arial" w:hAnsi="Arial"/>
          <w:b/>
        </w:rPr>
      </w:r>
    </w:p>
    <w:p>
      <w:pPr>
        <w:pStyle w:val="PADRO"/>
        <w:keepNext w:val="false"/>
        <w:widowControl/>
        <w:numPr>
          <w:ilvl w:val="0"/>
          <w:numId w:val="1"/>
        </w:numPr>
        <w:shd w:val="clear" w:color="auto" w:fill="auto"/>
        <w:spacing w:before="120" w:after="120"/>
        <w:rPr/>
      </w:pPr>
      <w:r>
        <w:rPr>
          <w:rFonts w:cs="Arial" w:ascii="Arial" w:hAnsi="Arial"/>
          <w:b/>
        </w:rPr>
        <w:t>OBJETO DA CONTRATAÇÃO DIRETA</w:t>
      </w:r>
      <w:bookmarkStart w:id="0" w:name="_GoBack"/>
      <w:bookmarkEnd w:id="0"/>
    </w:p>
    <w:p>
      <w:pPr>
        <w:pStyle w:val="PADRO"/>
        <w:keepNext w:val="false"/>
        <w:widowControl/>
        <w:numPr>
          <w:ilvl w:val="1"/>
          <w:numId w:val="1"/>
        </w:numPr>
        <w:shd w:val="clear" w:color="auto" w:fill="auto"/>
        <w:spacing w:before="120" w:after="120"/>
        <w:rPr/>
      </w:pPr>
      <w:r>
        <w:rPr>
          <w:rFonts w:cs="Arial" w:ascii="Arial" w:hAnsi="Arial"/>
          <w:i/>
          <w:iCs/>
          <w:color w:val="000000"/>
          <w:szCs w:val="20"/>
        </w:rPr>
        <w:t xml:space="preserve"> </w:t>
      </w:r>
      <w:r>
        <w:rPr>
          <w:rFonts w:cs="Arial" w:ascii="Arial" w:hAnsi="Arial"/>
          <w:i/>
          <w:iCs/>
          <w:color w:val="000000"/>
          <w:szCs w:val="20"/>
        </w:rPr>
        <w:t xml:space="preserve">Aquisição de </w:t>
      </w:r>
      <w:r>
        <w:rPr>
          <w:rFonts w:cs="Arial" w:ascii="Arial" w:hAnsi="Arial"/>
          <w:i/>
          <w:iCs/>
          <w:color w:val="000000"/>
          <w:szCs w:val="20"/>
        </w:rPr>
        <w:t xml:space="preserve">material </w:t>
      </w:r>
      <w:r>
        <w:rPr>
          <w:rFonts w:cs="Arial" w:ascii="Arial" w:hAnsi="Arial"/>
          <w:i/>
          <w:iCs/>
          <w:color w:val="000000"/>
          <w:szCs w:val="20"/>
        </w:rPr>
        <w:t>de construção</w:t>
      </w:r>
      <w:r>
        <w:rPr>
          <w:rFonts w:cs="Arial" w:ascii="Arial" w:hAnsi="Arial"/>
          <w:i/>
          <w:iCs/>
          <w:color w:val="000000"/>
          <w:szCs w:val="20"/>
        </w:rPr>
        <w:t xml:space="preserve"> com aplicação no Grupamento de Fuzileiros Navais do Rio Grande</w:t>
      </w:r>
    </w:p>
    <w:tbl>
      <w:tblPr>
        <w:tblW w:w="8395" w:type="dxa"/>
        <w:jc w:val="left"/>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noVBand="1" w:val="04a0" w:noHBand="0" w:lastColumn="0" w:firstColumn="1" w:lastRow="0" w:firstRow="1"/>
      </w:tblPr>
      <w:tblGrid>
        <w:gridCol w:w="653"/>
        <w:gridCol w:w="2478"/>
        <w:gridCol w:w="888"/>
        <w:gridCol w:w="1092"/>
        <w:gridCol w:w="830"/>
        <w:gridCol w:w="2453"/>
      </w:tblGrid>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color w:val="000000"/>
                <w:sz w:val="14"/>
                <w:szCs w:val="14"/>
              </w:rPr>
            </w:pPr>
            <w:r>
              <w:rPr>
                <w:rFonts w:cs="Arial"/>
                <w:b/>
                <w:color w:val="000000"/>
                <w:sz w:val="14"/>
                <w:szCs w:val="14"/>
              </w:rPr>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r>
      <w:tr>
        <w:trPr/>
        <w:tc>
          <w:tcPr>
            <w:tcW w:w="6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b/>
                <w:color w:val="000000"/>
                <w:sz w:val="16"/>
                <w:szCs w:val="16"/>
              </w:rPr>
              <w:t>1</w:t>
            </w:r>
          </w:p>
        </w:tc>
        <w:tc>
          <w:tcPr>
            <w:tcW w:w="24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Parafusi sextavado inox ¼ X ¾ com porca e arruela</w:t>
            </w:r>
          </w:p>
        </w:tc>
        <w:tc>
          <w:tcPr>
            <w:tcW w:w="8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cs="Arial"/>
                <w:color w:val="000000"/>
                <w:sz w:val="16"/>
                <w:szCs w:val="16"/>
              </w:rPr>
            </w:pPr>
            <w:r>
              <w:rPr/>
            </w:r>
          </w:p>
        </w:tc>
        <w:tc>
          <w:tcPr>
            <w:tcW w:w="10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UN</w:t>
            </w:r>
          </w:p>
        </w:tc>
        <w:tc>
          <w:tcPr>
            <w:tcW w:w="8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60</w:t>
            </w:r>
          </w:p>
        </w:tc>
        <w:tc>
          <w:tcPr>
            <w:tcW w:w="24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pPr>
            <w:r>
              <w:rPr>
                <w:rFonts w:cs="Arial"/>
                <w:color w:val="000000"/>
                <w:sz w:val="16"/>
                <w:szCs w:val="16"/>
              </w:rPr>
              <w:t xml:space="preserve">R$ </w:t>
            </w:r>
            <w:r>
              <w:rPr>
                <w:rFonts w:cs="Arial"/>
                <w:color w:val="000000"/>
                <w:sz w:val="16"/>
                <w:szCs w:val="16"/>
              </w:rPr>
              <w:t>124,80</w:t>
            </w:r>
          </w:p>
        </w:tc>
      </w:tr>
    </w:tbl>
    <w:p>
      <w:pPr>
        <w:pStyle w:val="PADRO"/>
        <w:keepNext w:val="false"/>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000000"/>
          <w:szCs w:val="20"/>
        </w:rPr>
        <w:t>menor preço,</w:t>
      </w:r>
      <w:r>
        <w:rPr>
          <w:rFonts w:cs="Arial" w:ascii="Arial" w:hAnsi="Arial"/>
          <w:color w:val="000000"/>
          <w:szCs w:val="20"/>
        </w:rPr>
        <w:t xml:space="preserve"> o</w:t>
      </w:r>
      <w:r>
        <w:rPr>
          <w:rFonts w:cs="Arial" w:ascii="Arial" w:hAnsi="Arial"/>
          <w:szCs w:val="20"/>
        </w:rPr>
        <w:t>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 https://www.gov.br/compras/pt-br/.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 xml:space="preserve">empresas controladoras, controladas ou coligadas, nos termos da </w:t>
      </w:r>
      <w:hyperlink r:id="rId2">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pPr>
      <w:r>
        <w:rPr/>
        <w:t xml:space="preserve"> </w:t>
      </w:r>
      <w:r>
        <w:rPr/>
        <w:t>Será permitida a participação de cooperativas, desde que apresentem demonstrativo de atuação em regime cooperado, com repartição de receitas e despesas entre os cooperados e atendam ao art. 16 da Lei nº 14.133/21.</w:t>
      </w:r>
    </w:p>
    <w:p>
      <w:pPr>
        <w:pStyle w:val="PADRO"/>
        <w:keepNext w:val="false"/>
        <w:widowControl/>
        <w:numPr>
          <w:ilvl w:val="0"/>
          <w:numId w:val="1"/>
        </w:numPr>
        <w:shd w:val="clear" w:color="auto" w:fill="auto"/>
        <w:spacing w:before="120" w:after="120"/>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color w:val="000000"/>
          <w:szCs w:val="20"/>
        </w:rPr>
        <w:t>Aviso de Dispensa Eletrônica</w:t>
      </w:r>
      <w:r>
        <w:rPr>
          <w:rFonts w:cs="Arial"/>
          <w:color w:val="000000"/>
          <w:szCs w:val="20"/>
        </w:rPr>
        <w:t>, assumindo o proponente o compromisso de executar os serviços nos se</w:t>
      </w:r>
      <w:r>
        <w:rPr>
          <w:rFonts w:cs="Arial"/>
          <w:szCs w:val="20"/>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Cs w:val="20"/>
        </w:rPr>
      </w:pPr>
      <w:r>
        <w:rPr>
          <w:rFonts w:cs="Arial"/>
          <w:i/>
          <w:color w:val="000000"/>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color w:val="000000"/>
        </w:rPr>
      </w:pPr>
      <w:r>
        <w:rPr>
          <w:rFonts w:cs="Arial"/>
          <w:i/>
          <w:iCs/>
          <w:color w:val="000000"/>
          <w:szCs w:val="20"/>
        </w:rPr>
        <w:t>O lance deverá ser ofertado pelo valor unitário do item.</w:t>
      </w:r>
    </w:p>
    <w:p>
      <w:pPr>
        <w:pStyle w:val="ListParagraph"/>
        <w:numPr>
          <w:ilvl w:val="1"/>
          <w:numId w:val="1"/>
        </w:numPr>
        <w:spacing w:lineRule="auto" w:line="276" w:before="120" w:after="120"/>
        <w:contextualSpacing/>
        <w:jc w:val="both"/>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000000" w:themeColor="text1"/>
          <w:szCs w:val="20"/>
          <w:lang w:eastAsia="en-US"/>
        </w:rPr>
        <w:t>R$ 0,01.</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15</w:t>
      </w:r>
      <w:r>
        <w:rPr>
          <w:rFonts w:cs="Arial"/>
          <w:color w:val="FF0000"/>
          <w:szCs w:val="20"/>
        </w:rPr>
        <w:t xml:space="preserve"> </w:t>
      </w:r>
      <w:r>
        <w:rPr>
          <w:rFonts w:cs="Arial"/>
          <w:color w:val="000000"/>
          <w:szCs w:val="20"/>
        </w:rPr>
        <w:t>(quinze)</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Erros no preenchimento da planilha não constituem motivo para a desclassificação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3">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4">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63" w:after="63"/>
        <w:ind w:left="425" w:hanging="0"/>
        <w:jc w:val="both"/>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pPr>
      <w:r>
        <w:rPr>
          <w:rFonts w:eastAsia="Arial" w:cs="Arial"/>
          <w:color w:val="000000"/>
          <w:szCs w:val="20"/>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63" w:after="63"/>
        <w:ind w:left="425" w:hanging="0"/>
        <w:jc w:val="both"/>
        <w:rPr/>
      </w:pPr>
      <w:r>
        <w:rPr>
          <w:rFonts w:eastAsia="Arial" w:cs="Arial"/>
          <w:i/>
          <w:color w:val="000000"/>
          <w:szCs w:val="20"/>
        </w:rPr>
        <w:t>O Aceite da Nota de Empenho ou do instrumento equivalente, emitida à empresa adjudicada, implica no reconhecimento de que:</w:t>
      </w:r>
    </w:p>
    <w:p>
      <w:pPr>
        <w:pStyle w:val="Normal"/>
        <w:numPr>
          <w:ilvl w:val="2"/>
          <w:numId w:val="1"/>
        </w:numPr>
        <w:spacing w:lineRule="auto" w:line="276" w:before="63" w:after="63"/>
        <w:jc w:val="both"/>
        <w:rPr/>
      </w:pPr>
      <w:r>
        <w:rPr>
          <w:rFonts w:eastAsia="Arial" w:cs="Arial"/>
          <w:i/>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pPr>
      <w:r>
        <w:rPr>
          <w:rFonts w:eastAsia="Arial" w:cs="Arial"/>
          <w:i/>
          <w:color w:val="000000"/>
          <w:szCs w:val="20"/>
        </w:rPr>
        <w:t>a contratada se vincula à sua proposta e às previsões contidas no Aviso de Contratação Direta e seus anexos;</w:t>
      </w:r>
    </w:p>
    <w:p>
      <w:pPr>
        <w:pStyle w:val="Normal"/>
        <w:numPr>
          <w:ilvl w:val="2"/>
          <w:numId w:val="1"/>
        </w:numPr>
        <w:spacing w:lineRule="auto" w:line="276" w:before="63" w:after="63"/>
        <w:jc w:val="both"/>
        <w:rPr/>
      </w:pPr>
      <w:r>
        <w:rPr>
          <w:rFonts w:eastAsia="Arial" w:cs="Arial"/>
          <w:i/>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pPr>
      <w:r>
        <w:rPr>
          <w:rFonts w:eastAsia="Arial" w:cs="Arial"/>
          <w:color w:val="000000"/>
          <w:szCs w:val="20"/>
        </w:rPr>
        <w:t xml:space="preserve">O prazo de vigência da contratação é de 30 (trinta) dias. </w:t>
      </w:r>
    </w:p>
    <w:p>
      <w:pPr>
        <w:pStyle w:val="Normal"/>
        <w:numPr>
          <w:ilvl w:val="1"/>
          <w:numId w:val="1"/>
        </w:numPr>
        <w:spacing w:lineRule="auto" w:line="276" w:before="63" w:after="63"/>
        <w:ind w:left="425" w:hanging="0"/>
        <w:jc w:val="both"/>
        <w:rPr/>
      </w:pPr>
      <w:r>
        <w:rPr>
          <w:rFonts w:cs="Arial"/>
          <w:color w:val="000000"/>
          <w:szCs w:val="20"/>
        </w:rPr>
        <w:t>Na confecção da Nota de empenho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pPr>
      <w:r>
        <w:rPr>
          <w:rFonts w:cs="Arial" w:ascii="Arial" w:hAnsi="Arial"/>
          <w:b/>
        </w:rPr>
        <w:t>SANÇÕES</w:t>
      </w:r>
    </w:p>
    <w:p>
      <w:pPr>
        <w:pStyle w:val="Normal"/>
        <w:numPr>
          <w:ilvl w:val="1"/>
          <w:numId w:val="1"/>
        </w:numPr>
        <w:spacing w:lineRule="auto" w:line="276" w:before="63" w:after="63"/>
        <w:ind w:left="425" w:hanging="0"/>
        <w:jc w:val="both"/>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pPr>
      <w:r>
        <w:rPr>
          <w:rFonts w:cs="Arial"/>
          <w:color w:val="000000"/>
          <w:szCs w:val="20"/>
        </w:rPr>
        <w:t>dar causa à inexecução parcial do contrato</w:t>
      </w:r>
      <w:r>
        <w:rPr>
          <w:rFonts w:cs="Arial"/>
        </w:rPr>
        <w:t>;</w:t>
      </w:r>
    </w:p>
    <w:p>
      <w:pPr>
        <w:pStyle w:val="Normal"/>
        <w:numPr>
          <w:ilvl w:val="2"/>
          <w:numId w:val="1"/>
        </w:numPr>
        <w:spacing w:lineRule="auto" w:line="276" w:before="63" w:after="63"/>
        <w:jc w:val="both"/>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pPr>
      <w:r>
        <w:rPr>
          <w:rFonts w:cs="Arial"/>
          <w:color w:val="000000"/>
          <w:szCs w:val="20"/>
        </w:rPr>
        <w:t>dar causa à inexecução total do contrato;</w:t>
      </w:r>
    </w:p>
    <w:p>
      <w:pPr>
        <w:pStyle w:val="Normal"/>
        <w:numPr>
          <w:ilvl w:val="2"/>
          <w:numId w:val="1"/>
        </w:numPr>
        <w:spacing w:lineRule="auto" w:line="276" w:before="63" w:after="63"/>
        <w:jc w:val="both"/>
        <w:rPr/>
      </w:pPr>
      <w:r>
        <w:rPr>
          <w:rFonts w:cs="Arial"/>
          <w:color w:val="000000"/>
          <w:szCs w:val="20"/>
        </w:rPr>
        <w:t>deixar de entregar a documentação exigida para o certame;</w:t>
      </w:r>
    </w:p>
    <w:p>
      <w:pPr>
        <w:pStyle w:val="Normal"/>
        <w:numPr>
          <w:ilvl w:val="2"/>
          <w:numId w:val="1"/>
        </w:numPr>
        <w:spacing w:lineRule="auto" w:line="276" w:before="63" w:after="63"/>
        <w:jc w:val="both"/>
        <w:rPr/>
      </w:pPr>
      <w:r>
        <w:rPr>
          <w:rFonts w:cs="Arial"/>
          <w:color w:val="000000"/>
          <w:szCs w:val="20"/>
        </w:rPr>
        <w:t>não manter a proposta, salvo em decorrência de fato superveniente devidamente justificado;</w:t>
      </w:r>
    </w:p>
    <w:p>
      <w:pPr>
        <w:pStyle w:val="Normal"/>
        <w:numPr>
          <w:ilvl w:val="2"/>
          <w:numId w:val="1"/>
        </w:numPr>
        <w:spacing w:lineRule="auto" w:line="276" w:before="63" w:after="63"/>
        <w:jc w:val="both"/>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pPr>
      <w:r>
        <w:rPr>
          <w:rFonts w:cs="Arial"/>
          <w:color w:val="000000"/>
          <w:szCs w:val="20"/>
        </w:rPr>
        <w:t>ensejar o retardamento da execução ou da entrega do objeto da licitação sem motivo justificado;</w:t>
      </w:r>
    </w:p>
    <w:p>
      <w:pPr>
        <w:pStyle w:val="Normal"/>
        <w:numPr>
          <w:ilvl w:val="2"/>
          <w:numId w:val="1"/>
        </w:numPr>
        <w:spacing w:lineRule="auto" w:line="276" w:before="63" w:after="63"/>
        <w:jc w:val="both"/>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pPr>
      <w:r>
        <w:rPr>
          <w:rFonts w:cs="Arial"/>
          <w:color w:val="000000"/>
          <w:szCs w:val="20"/>
        </w:rPr>
        <w:t>fraudar a dispensa eletrônica ou praticar ato fraudulento na execução do contrato;</w:t>
      </w:r>
    </w:p>
    <w:p>
      <w:pPr>
        <w:pStyle w:val="Normal"/>
        <w:numPr>
          <w:ilvl w:val="2"/>
          <w:numId w:val="1"/>
        </w:numPr>
        <w:spacing w:lineRule="auto" w:line="276" w:before="63" w:after="63"/>
        <w:jc w:val="both"/>
        <w:rPr/>
      </w:pPr>
      <w:r>
        <w:rPr>
          <w:rFonts w:cs="Arial"/>
          <w:color w:val="000000"/>
          <w:szCs w:val="20"/>
        </w:rPr>
        <w:t>comportar-se de modo inidôneo ou cometer fraude de qualquer natureza;</w:t>
      </w:r>
    </w:p>
    <w:p>
      <w:pPr>
        <w:pStyle w:val="ListParagraph"/>
        <w:numPr>
          <w:ilvl w:val="3"/>
          <w:numId w:val="1"/>
        </w:numPr>
        <w:spacing w:lineRule="auto" w:line="276" w:before="63" w:after="63"/>
        <w:contextualSpacing/>
        <w:jc w:val="both"/>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pPr>
      <w:r>
        <w:rPr>
          <w:rFonts w:cs="Arial"/>
          <w:color w:val="000000"/>
          <w:szCs w:val="20"/>
        </w:rPr>
        <w:t>praticar atos ilícitos com vistas a frustrar os objetivos deste certame.</w:t>
      </w:r>
    </w:p>
    <w:p>
      <w:pPr>
        <w:pStyle w:val="Normal"/>
        <w:numPr>
          <w:ilvl w:val="2"/>
          <w:numId w:val="1"/>
        </w:numPr>
        <w:spacing w:lineRule="auto" w:line="276" w:before="63" w:after="63"/>
        <w:jc w:val="both"/>
        <w:rPr/>
      </w:pPr>
      <w:r>
        <w:rPr>
          <w:rFonts w:cs="Arial"/>
          <w:color w:val="000000"/>
          <w:szCs w:val="20"/>
        </w:rPr>
        <w:t xml:space="preserve">praticar ato lesivo previsto no </w:t>
      </w:r>
      <w:r>
        <w:fldChar w:fldCharType="begin"/>
      </w:r>
      <w:r>
        <w:rPr>
          <w:rStyle w:val="ListLabel74"/>
        </w:rPr>
        <w:instrText> HYPERLINK "http://www.planalto.gov.br/ccivil_03/_Ato2011-2014/2013/Lei/L12846.htm" \l "art5"</w:instrText>
      </w:r>
      <w:r>
        <w:rPr>
          <w:rStyle w:val="ListLabel74"/>
        </w:rPr>
        <w:fldChar w:fldCharType="separate"/>
      </w:r>
      <w:r>
        <w:rPr>
          <w:rStyle w:val="ListLabel74"/>
          <w:color w:val="000000"/>
        </w:rPr>
        <w:t>art. 5º da Lei nº 12.846, de 1º de agosto de 2013.</w:t>
      </w:r>
      <w:r>
        <w:rPr>
          <w:rStyle w:val="ListLabel74"/>
        </w:rPr>
        <w:fldChar w:fldCharType="end"/>
      </w:r>
    </w:p>
    <w:p>
      <w:pPr>
        <w:pStyle w:val="Normal"/>
        <w:numPr>
          <w:ilvl w:val="1"/>
          <w:numId w:val="1"/>
        </w:numPr>
        <w:spacing w:lineRule="auto" w:line="276" w:before="63" w:after="63"/>
        <w:ind w:left="425" w:hanging="0"/>
        <w:jc w:val="both"/>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63" w:after="63"/>
        <w:jc w:val="both"/>
        <w:rPr/>
      </w:pPr>
      <w:r>
        <w:rPr>
          <w:rFonts w:cs="Arial"/>
        </w:rPr>
        <w:t>Multa de 0,5</w:t>
      </w:r>
      <w:r>
        <w:rPr>
          <w:rFonts w:cs="Arial"/>
          <w:b w:val="false"/>
          <w:bCs w:val="false"/>
          <w:color w:val="000000"/>
        </w:rPr>
        <w:t>%</w:t>
      </w:r>
      <w:r>
        <w:rPr>
          <w:rFonts w:cs="Arial"/>
          <w:color w:val="FF0000"/>
        </w:rPr>
        <w:t xml:space="preserve"> </w:t>
      </w:r>
      <w:r>
        <w:rPr>
          <w:rFonts w:cs="Arial"/>
          <w:color w:val="000000"/>
        </w:rPr>
        <w:t>(cinco decimos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63" w:after="63"/>
        <w:jc w:val="both"/>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63" w:after="63"/>
        <w:jc w:val="both"/>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1" w:name="art156%25252525252525C2%25252525252525A7"/>
      <w:bookmarkStart w:id="2" w:name="art156%25252525252525C2%25252525252525A7"/>
      <w:bookmarkStart w:id="3" w:name="art156%25252525252525C2%25252525252525A7"/>
      <w:bookmarkEnd w:id="1"/>
      <w:bookmarkEnd w:id="2"/>
      <w:bookmarkEnd w:id="3"/>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4" w:name="art156%25252525252525C2%25252525252525A7"/>
      <w:bookmarkEnd w:id="4"/>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PADRO"/>
        <w:keepNext w:val="false"/>
        <w:widowControl/>
        <w:numPr>
          <w:ilvl w:val="0"/>
          <w:numId w:val="1"/>
        </w:numPr>
        <w:shd w:val="clear" w:color="auto" w:fill="auto"/>
        <w:spacing w:before="120" w:after="120"/>
        <w:rPr/>
      </w:pPr>
      <w:r>
        <w:rPr>
          <w:rFonts w:cs="Arial" w:ascii="Arial" w:hAnsi="Arial"/>
          <w:b/>
        </w:rPr>
        <w:t>DAS DISPOSIÇÕES GERAIS</w:t>
      </w:r>
    </w:p>
    <w:p>
      <w:pPr>
        <w:pStyle w:val="Normal"/>
        <w:numPr>
          <w:ilvl w:val="1"/>
          <w:numId w:val="1"/>
        </w:numPr>
        <w:snapToGrid w:val="false"/>
        <w:spacing w:lineRule="auto" w:line="276" w:before="0" w:after="0"/>
        <w:ind w:left="425" w:hanging="0"/>
        <w:jc w:val="both"/>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63" w:after="63"/>
        <w:jc w:val="both"/>
        <w:rPr/>
      </w:pPr>
      <w:r>
        <w:rPr>
          <w:rFonts w:cs="Arial"/>
          <w:color w:val="000000"/>
          <w:szCs w:val="20"/>
        </w:rPr>
        <w:t>republicar o presente aviso com uma nova data;</w:t>
      </w:r>
    </w:p>
    <w:p>
      <w:pPr>
        <w:pStyle w:val="Normal"/>
        <w:numPr>
          <w:ilvl w:val="2"/>
          <w:numId w:val="1"/>
        </w:numPr>
        <w:spacing w:lineRule="auto" w:line="276" w:before="0" w:after="0"/>
        <w:jc w:val="both"/>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pPr>
      <w:r>
        <w:rPr>
          <w:rFonts w:cs="Arial"/>
          <w:color w:val="000000"/>
          <w:szCs w:val="20"/>
        </w:rPr>
        <w:t>No caso do subitem anterior, a contratação será operacionalizada fora deste procedimento.</w:t>
      </w:r>
    </w:p>
    <w:p>
      <w:pPr>
        <w:pStyle w:val="Normal"/>
        <w:numPr>
          <w:ilvl w:val="2"/>
          <w:numId w:val="1"/>
        </w:numPr>
        <w:spacing w:lineRule="auto" w:line="276" w:before="6" w:after="6"/>
        <w:jc w:val="both"/>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pPr>
      <w:r>
        <w:rPr>
          <w:rFonts w:cs="Arial"/>
          <w:color w:val="000000"/>
          <w:szCs w:val="20"/>
        </w:rPr>
        <w:t>Da sessão pública será divulgada Ata no sistema eletrônico.</w:t>
      </w:r>
    </w:p>
    <w:p>
      <w:pPr>
        <w:pStyle w:val="Normal"/>
        <w:numPr>
          <w:ilvl w:val="1"/>
          <w:numId w:val="1"/>
        </w:numPr>
        <w:spacing w:lineRule="auto" w:line="276" w:before="63" w:after="63"/>
        <w:ind w:left="425" w:hanging="0"/>
        <w:jc w:val="both"/>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63" w:after="63"/>
        <w:jc w:val="both"/>
        <w:rPr/>
      </w:pPr>
      <w:r>
        <w:rPr>
          <w:rFonts w:cs="Arial"/>
          <w:color w:val="000000"/>
          <w:szCs w:val="20"/>
        </w:rPr>
        <w:t>ANEXO I – Documentação exigida para Habilitação</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120" w:after="120"/>
        <w:jc w:val="both"/>
        <w:rPr/>
      </w:pPr>
      <w:r>
        <w:rPr/>
        <w:tab/>
        <w:tab/>
        <w:tab/>
        <w:tab/>
        <w:t xml:space="preserve">Rio Grande - RS , </w:t>
      </w:r>
      <w:r>
        <w:rPr/>
        <w:t>24</w:t>
      </w:r>
      <w:r>
        <w:rPr/>
        <w:t xml:space="preserve"> de março de 2022</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0"/>
        <w:ind w:left="360" w:right="-15" w:hanging="0"/>
        <w:jc w:val="center"/>
        <w:rPr/>
      </w:pPr>
      <w:r>
        <w:rPr>
          <w:rFonts w:cs="Arial"/>
          <w:b/>
          <w:bCs/>
          <w:iCs/>
          <w:color w:val="000000"/>
          <w:szCs w:val="20"/>
        </w:rPr>
        <w:t>Brunno Fanara de Souza</w:t>
      </w:r>
    </w:p>
    <w:p>
      <w:pPr>
        <w:pStyle w:val="Normal"/>
        <w:spacing w:lineRule="auto" w:line="276" w:before="0" w:after="120"/>
        <w:ind w:left="360" w:right="-15" w:hanging="0"/>
        <w:jc w:val="center"/>
        <w:rPr/>
      </w:pPr>
      <w:r>
        <w:rPr>
          <w:rFonts w:cs="Arial"/>
          <w:b/>
          <w:bCs/>
          <w:iCs/>
          <w:color w:val="000000"/>
          <w:szCs w:val="20"/>
        </w:rPr>
        <w:t>Ordenador de Despesas</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keepNext w:val="false"/>
        <w:widowControl/>
        <w:numPr>
          <w:ilvl w:val="0"/>
          <w:numId w:val="3"/>
        </w:numPr>
        <w:shd w:val="clear" w:fill="FFFFFF"/>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pPr>
      <w:r>
        <w:rPr>
          <w:rFonts w:cs="Arial"/>
          <w:bCs/>
          <w:szCs w:val="20"/>
        </w:rPr>
        <w:t xml:space="preserve">prova de </w:t>
      </w:r>
      <w:r>
        <w:rPr>
          <w:rFonts w:cs="Arial"/>
          <w:color w:val="000000"/>
          <w:szCs w:val="20"/>
        </w:rPr>
        <w:t xml:space="preserve">inscrição no cadastro de contribuintes </w:t>
      </w:r>
      <w:r>
        <w:rPr>
          <w:rFonts w:cs="Arial"/>
          <w:i/>
          <w:iCs/>
          <w:color w:val="00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000000"/>
          <w:szCs w:val="20"/>
        </w:rPr>
        <w:t xml:space="preserve">Estadual </w:t>
      </w:r>
      <w:r>
        <w:rPr>
          <w:rFonts w:cs="Arial"/>
          <w:color w:val="000000"/>
          <w:szCs w:val="20"/>
        </w:rPr>
        <w:t>do do</w:t>
      </w:r>
      <w:r>
        <w:rPr>
          <w:rFonts w:cs="Arial"/>
          <w:szCs w:val="20"/>
        </w:rPr>
        <w:t xml:space="preserve">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caso o fornecedor seja considerado isento dos tributos </w:t>
      </w:r>
      <w:r>
        <w:rPr>
          <w:rFonts w:cs="Arial"/>
          <w:i/>
          <w:color w:val="000000"/>
          <w:szCs w:val="20"/>
        </w:rPr>
        <w:t>estaduais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0"/>
        </w:numPr>
        <w:shd w:val="clear" w:fill="FFFFFF"/>
        <w:spacing w:before="120" w:after="120"/>
        <w:ind w:left="2421" w:hanging="0"/>
        <w:rPr/>
      </w:pPr>
      <w:r>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auto"/>
    </w:rPr>
  </w:style>
  <w:style w:type="character" w:styleId="ListLabel4">
    <w:name w:val="ListLabel 4"/>
    <w:qFormat/>
    <w:rPr>
      <w:rFonts w:cs="Arial"/>
    </w:rPr>
  </w:style>
  <w:style w:type="character" w:styleId="ListLabel5">
    <w:name w:val="ListLabel 5"/>
    <w:qFormat/>
    <w:rPr>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auto"/>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auto"/>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auto"/>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auto"/>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auto"/>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auto"/>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auto"/>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auto"/>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auto"/>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auto"/>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auto"/>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auto"/>
    </w:rPr>
  </w:style>
  <w:style w:type="character" w:styleId="ListLabel71">
    <w:name w:val="ListLabel 71"/>
    <w:qFormat/>
    <w:rPr>
      <w:rFonts w:cs="Arial"/>
    </w:rPr>
  </w:style>
  <w:style w:type="character" w:styleId="ListLabel72">
    <w:name w:val="ListLabel 72"/>
    <w:qFormat/>
    <w:rPr>
      <w:rFonts w:eastAsia="Calibri" w:cs="Arial"/>
      <w:szCs w:val="20"/>
    </w:rPr>
  </w:style>
  <w:style w:type="character" w:styleId="ListLabel73">
    <w:name w:val="ListLabel 73"/>
    <w:qFormat/>
    <w:rPr>
      <w:rFonts w:eastAsia="Calibri" w:cs="Arial"/>
      <w:lang w:eastAsia="ar-SA"/>
    </w:rPr>
  </w:style>
  <w:style w:type="character" w:styleId="ListLabel74">
    <w:name w:val="ListLabel 74"/>
    <w:qFormat/>
    <w:rPr>
      <w:color w:val="000000"/>
    </w:rPr>
  </w:style>
  <w:style w:type="character" w:styleId="ListLabel75">
    <w:name w:val="ListLabel 75"/>
    <w:qFormat/>
    <w:rPr>
      <w:rFonts w:ascii="Arial" w:hAnsi="Arial"/>
      <w:b/>
    </w:rPr>
  </w:style>
  <w:style w:type="character" w:styleId="ListLabel76">
    <w:name w:val="ListLabel 76"/>
    <w:qFormat/>
    <w:rPr>
      <w:b/>
      <w:i w:val="false"/>
      <w:iCs/>
    </w:rPr>
  </w:style>
  <w:style w:type="character" w:styleId="ListLabel77">
    <w:name w:val="ListLabel 77"/>
    <w:qFormat/>
    <w:rPr>
      <w:rFonts w:cs="Arial"/>
      <w:b/>
      <w:i w:val="false"/>
      <w:iCs/>
      <w:color w:val="auto"/>
    </w:rPr>
  </w:style>
  <w:style w:type="character" w:styleId="ListLabel78">
    <w:name w:val="ListLabel 78"/>
    <w:qFormat/>
    <w:rPr>
      <w:b/>
    </w:rPr>
  </w:style>
  <w:style w:type="character" w:styleId="ListLabel79">
    <w:name w:val="ListLabel 79"/>
    <w:qFormat/>
    <w:rPr>
      <w:b/>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auto"/>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auto"/>
    </w:rPr>
  </w:style>
  <w:style w:type="character" w:styleId="ListLabel86">
    <w:name w:val="ListLabel 86"/>
    <w:qFormat/>
    <w:rPr>
      <w:rFonts w:eastAsia="Calibri" w:cs="Arial"/>
      <w:szCs w:val="20"/>
    </w:rPr>
  </w:style>
  <w:style w:type="character" w:styleId="ListLabel87">
    <w:name w:val="ListLabel 87"/>
    <w:qFormat/>
    <w:rPr>
      <w:rFonts w:eastAsia="Calibri" w:cs="Arial"/>
      <w:lang w:eastAsia="ar-SA"/>
    </w:rPr>
  </w:style>
  <w:style w:type="character" w:styleId="ListLabel88">
    <w:name w:val="ListLabel 88"/>
    <w:qFormat/>
    <w:rPr>
      <w:color w:val="000000"/>
    </w:rPr>
  </w:style>
  <w:style w:type="character" w:styleId="ListLabel89">
    <w:name w:val="ListLabel 89"/>
    <w:qFormat/>
    <w:rPr>
      <w:rFonts w:ascii="Arial" w:hAnsi="Arial"/>
      <w:b/>
    </w:rPr>
  </w:style>
  <w:style w:type="character" w:styleId="ListLabel90">
    <w:name w:val="ListLabel 90"/>
    <w:qFormat/>
    <w:rPr>
      <w:b/>
      <w:i w:val="false"/>
      <w:iCs/>
    </w:rPr>
  </w:style>
  <w:style w:type="character" w:styleId="ListLabel91">
    <w:name w:val="ListLabel 91"/>
    <w:qFormat/>
    <w:rPr>
      <w:rFonts w:cs="Arial"/>
      <w:b/>
      <w:i w:val="false"/>
      <w:iCs/>
      <w:color w:val="auto"/>
    </w:rPr>
  </w:style>
  <w:style w:type="character" w:styleId="ListLabel92">
    <w:name w:val="ListLabel 92"/>
    <w:qFormat/>
    <w:rPr>
      <w:b/>
    </w:rPr>
  </w:style>
  <w:style w:type="character" w:styleId="ListLabel93">
    <w:name w:val="ListLabel 93"/>
    <w:qFormat/>
    <w:rPr>
      <w:b/>
    </w:rPr>
  </w:style>
  <w:style w:type="character" w:styleId="ListLabel94">
    <w:name w:val="ListLabel 94"/>
    <w:qFormat/>
    <w:rPr>
      <w:b/>
    </w:rPr>
  </w:style>
  <w:style w:type="character" w:styleId="ListLabel95">
    <w:name w:val="ListLabel 95"/>
    <w:qFormat/>
    <w:rPr>
      <w:b w:val="false"/>
      <w:i w:val="false"/>
      <w:iCs/>
    </w:rPr>
  </w:style>
  <w:style w:type="character" w:styleId="ListLabel96">
    <w:name w:val="ListLabel 96"/>
    <w:qFormat/>
    <w:rPr>
      <w:rFonts w:cs="Arial"/>
      <w:b w:val="false"/>
      <w:i w:val="false"/>
      <w:iCs/>
      <w:color w:val="auto"/>
    </w:rPr>
  </w:style>
  <w:style w:type="character" w:styleId="ListLabel97">
    <w:name w:val="ListLabel 97"/>
    <w:qFormat/>
    <w:rPr>
      <w:b/>
    </w:rPr>
  </w:style>
  <w:style w:type="character" w:styleId="ListLabel98">
    <w:name w:val="ListLabel 98"/>
    <w:qFormat/>
    <w:rPr>
      <w:b w:val="false"/>
      <w:i w:val="false"/>
      <w:iCs/>
    </w:rPr>
  </w:style>
  <w:style w:type="character" w:styleId="ListLabel99">
    <w:name w:val="ListLabel 99"/>
    <w:qFormat/>
    <w:rPr>
      <w:b w:val="false"/>
      <w:i w:val="false"/>
      <w:iCs/>
      <w:color w:val="auto"/>
    </w:rPr>
  </w:style>
  <w:style w:type="character" w:styleId="ListLabel100">
    <w:name w:val="ListLabel 100"/>
    <w:qFormat/>
    <w:rPr>
      <w:rFonts w:eastAsia="Calibri" w:cs="Arial"/>
      <w:szCs w:val="20"/>
    </w:rPr>
  </w:style>
  <w:style w:type="character" w:styleId="ListLabel101">
    <w:name w:val="ListLabel 101"/>
    <w:qFormat/>
    <w:rPr>
      <w:rFonts w:eastAsia="Calibri" w:cs="Arial"/>
      <w:lang w:eastAsia="ar-SA"/>
    </w:rPr>
  </w:style>
  <w:style w:type="character" w:styleId="ListLabel102">
    <w:name w:val="ListLabel 102"/>
    <w:qFormat/>
    <w:rPr>
      <w:color w:val="000000"/>
    </w:rPr>
  </w:style>
  <w:style w:type="character" w:styleId="ListLabel103">
    <w:name w:val="ListLabel 103"/>
    <w:qFormat/>
    <w:rPr>
      <w:rFonts w:ascii="Arial" w:hAnsi="Arial"/>
      <w:b/>
    </w:rPr>
  </w:style>
  <w:style w:type="character" w:styleId="ListLabel104">
    <w:name w:val="ListLabel 104"/>
    <w:qFormat/>
    <w:rPr>
      <w:b/>
      <w:i w:val="false"/>
      <w:iCs/>
    </w:rPr>
  </w:style>
  <w:style w:type="character" w:styleId="ListLabel105">
    <w:name w:val="ListLabel 105"/>
    <w:qFormat/>
    <w:rPr>
      <w:rFonts w:cs="Arial"/>
      <w:b/>
      <w:i w:val="false"/>
      <w:iCs/>
      <w:color w:val="auto"/>
    </w:rPr>
  </w:style>
  <w:style w:type="character" w:styleId="ListLabel106">
    <w:name w:val="ListLabel 106"/>
    <w:qFormat/>
    <w:rPr>
      <w:b/>
    </w:rPr>
  </w:style>
  <w:style w:type="character" w:styleId="ListLabel107">
    <w:name w:val="ListLabel 107"/>
    <w:qFormat/>
    <w:rPr>
      <w:b/>
    </w:rPr>
  </w:style>
  <w:style w:type="character" w:styleId="ListLabel108">
    <w:name w:val="ListLabel 108"/>
    <w:qFormat/>
    <w:rPr>
      <w:b/>
    </w:rPr>
  </w:style>
  <w:style w:type="character" w:styleId="ListLabel109">
    <w:name w:val="ListLabel 109"/>
    <w:qFormat/>
    <w:rPr>
      <w:b w:val="false"/>
      <w:i w:val="false"/>
      <w:iCs/>
    </w:rPr>
  </w:style>
  <w:style w:type="character" w:styleId="ListLabel110">
    <w:name w:val="ListLabel 110"/>
    <w:qFormat/>
    <w:rPr>
      <w:rFonts w:cs="Arial"/>
      <w:b w:val="false"/>
      <w:i w:val="false"/>
      <w:iCs/>
      <w:color w:val="auto"/>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b w:val="false"/>
      <w:i w:val="false"/>
      <w:iCs/>
      <w:color w:val="auto"/>
    </w:rPr>
  </w:style>
  <w:style w:type="character" w:styleId="ListLabel114">
    <w:name w:val="ListLabel 114"/>
    <w:qFormat/>
    <w:rPr>
      <w:rFonts w:eastAsia="Calibri" w:cs="Arial"/>
      <w:szCs w:val="20"/>
    </w:rPr>
  </w:style>
  <w:style w:type="character" w:styleId="ListLabel115">
    <w:name w:val="ListLabel 115"/>
    <w:qFormat/>
    <w:rPr>
      <w:rFonts w:eastAsia="Calibri" w:cs="Arial"/>
      <w:lang w:eastAsia="ar-SA"/>
    </w:rPr>
  </w:style>
  <w:style w:type="character" w:styleId="ListLabel116">
    <w:name w:val="ListLabel 116"/>
    <w:qFormat/>
    <w:rPr>
      <w:color w:val="000000"/>
    </w:rPr>
  </w:style>
  <w:style w:type="character" w:styleId="ListLabel117">
    <w:name w:val="ListLabel 117"/>
    <w:qFormat/>
    <w:rPr>
      <w:rFonts w:ascii="Arial" w:hAnsi="Arial"/>
      <w:b/>
    </w:rPr>
  </w:style>
  <w:style w:type="character" w:styleId="ListLabel118">
    <w:name w:val="ListLabel 118"/>
    <w:qFormat/>
    <w:rPr>
      <w:b/>
      <w:i w:val="false"/>
      <w:iCs/>
    </w:rPr>
  </w:style>
  <w:style w:type="character" w:styleId="ListLabel119">
    <w:name w:val="ListLabel 119"/>
    <w:qFormat/>
    <w:rPr>
      <w:rFonts w:cs="Arial"/>
      <w:b/>
      <w:i w:val="false"/>
      <w:iCs/>
      <w:color w:val="auto"/>
    </w:rPr>
  </w:style>
  <w:style w:type="character" w:styleId="ListLabel120">
    <w:name w:val="ListLabel 120"/>
    <w:qFormat/>
    <w:rPr>
      <w:b/>
    </w:rPr>
  </w:style>
  <w:style w:type="character" w:styleId="ListLabel121">
    <w:name w:val="ListLabel 121"/>
    <w:qFormat/>
    <w:rPr>
      <w:b/>
    </w:rPr>
  </w:style>
  <w:style w:type="character" w:styleId="ListLabel122">
    <w:name w:val="ListLabel 122"/>
    <w:qFormat/>
    <w:rPr>
      <w:b/>
    </w:rPr>
  </w:style>
  <w:style w:type="character" w:styleId="ListLabel123">
    <w:name w:val="ListLabel 123"/>
    <w:qFormat/>
    <w:rPr>
      <w:b w:val="false"/>
      <w:i w:val="false"/>
      <w:iCs/>
    </w:rPr>
  </w:style>
  <w:style w:type="character" w:styleId="ListLabel124">
    <w:name w:val="ListLabel 124"/>
    <w:qFormat/>
    <w:rPr>
      <w:rFonts w:cs="Arial"/>
      <w:b w:val="false"/>
      <w:i w:val="false"/>
      <w:iCs/>
      <w:color w:val="auto"/>
    </w:rPr>
  </w:style>
  <w:style w:type="character" w:styleId="ListLabel125">
    <w:name w:val="ListLabel 125"/>
    <w:qFormat/>
    <w:rPr>
      <w:b/>
    </w:rPr>
  </w:style>
  <w:style w:type="character" w:styleId="ListLabel126">
    <w:name w:val="ListLabel 126"/>
    <w:qFormat/>
    <w:rPr>
      <w:b w:val="false"/>
      <w:i w:val="false"/>
      <w:iCs/>
    </w:rPr>
  </w:style>
  <w:style w:type="character" w:styleId="ListLabel127">
    <w:name w:val="ListLabel 127"/>
    <w:qFormat/>
    <w:rPr>
      <w:b w:val="false"/>
      <w:i w:val="false"/>
      <w:iCs/>
      <w:color w:val="auto"/>
    </w:rPr>
  </w:style>
  <w:style w:type="character" w:styleId="ListLabel128">
    <w:name w:val="ListLabel 128"/>
    <w:qFormat/>
    <w:rPr>
      <w:rFonts w:eastAsia="Calibri" w:cs="Arial"/>
      <w:szCs w:val="20"/>
    </w:rPr>
  </w:style>
  <w:style w:type="character" w:styleId="ListLabel129">
    <w:name w:val="ListLabel 129"/>
    <w:qFormat/>
    <w:rPr>
      <w:rFonts w:eastAsia="Calibri" w:cs="Arial"/>
      <w:lang w:eastAsia="ar-SA"/>
    </w:rPr>
  </w:style>
  <w:style w:type="character" w:styleId="ListLabel130">
    <w:name w:val="ListLabel 130"/>
    <w:qFormat/>
    <w:rPr>
      <w:color w:val="000000"/>
    </w:rPr>
  </w:style>
  <w:style w:type="character" w:styleId="ListLabel131">
    <w:name w:val="ListLabel 131"/>
    <w:qFormat/>
    <w:rPr>
      <w:rFonts w:ascii="Arial" w:hAnsi="Arial"/>
      <w:b/>
    </w:rPr>
  </w:style>
  <w:style w:type="character" w:styleId="ListLabel132">
    <w:name w:val="ListLabel 132"/>
    <w:qFormat/>
    <w:rPr>
      <w:b/>
      <w:i w:val="false"/>
      <w:iCs/>
    </w:rPr>
  </w:style>
  <w:style w:type="character" w:styleId="ListLabel133">
    <w:name w:val="ListLabel 133"/>
    <w:qFormat/>
    <w:rPr>
      <w:rFonts w:cs="Arial"/>
      <w:b/>
      <w:i w:val="false"/>
      <w:iCs/>
      <w:color w:val="auto"/>
    </w:rPr>
  </w:style>
  <w:style w:type="character" w:styleId="ListLabel134">
    <w:name w:val="ListLabel 134"/>
    <w:qFormat/>
    <w:rPr>
      <w:b/>
    </w:rPr>
  </w:style>
  <w:style w:type="character" w:styleId="ListLabel135">
    <w:name w:val="ListLabel 135"/>
    <w:qFormat/>
    <w:rPr>
      <w:b/>
    </w:rPr>
  </w:style>
  <w:style w:type="character" w:styleId="ListLabel136">
    <w:name w:val="ListLabel 136"/>
    <w:qFormat/>
    <w:rPr>
      <w:b/>
    </w:rPr>
  </w:style>
  <w:style w:type="character" w:styleId="ListLabel137">
    <w:name w:val="ListLabel 137"/>
    <w:qFormat/>
    <w:rPr>
      <w:b w:val="false"/>
      <w:i w:val="false"/>
      <w:iCs/>
    </w:rPr>
  </w:style>
  <w:style w:type="character" w:styleId="ListLabel138">
    <w:name w:val="ListLabel 138"/>
    <w:qFormat/>
    <w:rPr>
      <w:rFonts w:cs="Arial"/>
      <w:b w:val="false"/>
      <w:i w:val="false"/>
      <w:iCs/>
      <w:color w:val="auto"/>
    </w:rPr>
  </w:style>
  <w:style w:type="character" w:styleId="ListLabel139">
    <w:name w:val="ListLabel 139"/>
    <w:qFormat/>
    <w:rPr>
      <w:b/>
    </w:rPr>
  </w:style>
  <w:style w:type="character" w:styleId="ListLabel140">
    <w:name w:val="ListLabel 140"/>
    <w:qFormat/>
    <w:rPr>
      <w:b w:val="false"/>
      <w:i w:val="false"/>
      <w:iCs/>
    </w:rPr>
  </w:style>
  <w:style w:type="character" w:styleId="ListLabel141">
    <w:name w:val="ListLabel 141"/>
    <w:qFormat/>
    <w:rPr>
      <w:b w:val="false"/>
      <w:i w:val="false"/>
      <w:iCs/>
      <w:color w:val="auto"/>
    </w:rPr>
  </w:style>
  <w:style w:type="character" w:styleId="ListLabel142">
    <w:name w:val="ListLabel 142"/>
    <w:qFormat/>
    <w:rPr>
      <w:rFonts w:eastAsia="Calibri" w:cs="Arial"/>
      <w:szCs w:val="20"/>
    </w:rPr>
  </w:style>
  <w:style w:type="character" w:styleId="ListLabel143">
    <w:name w:val="ListLabel 143"/>
    <w:qFormat/>
    <w:rPr>
      <w:rFonts w:eastAsia="Calibri" w:cs="Arial"/>
      <w:lang w:eastAsia="ar-SA"/>
    </w:rPr>
  </w:style>
  <w:style w:type="character" w:styleId="ListLabel144">
    <w:name w:val="ListLabel 144"/>
    <w:qFormat/>
    <w:rPr>
      <w:color w:val="000000"/>
    </w:rPr>
  </w:style>
  <w:style w:type="character" w:styleId="ListLabel145">
    <w:name w:val="ListLabel 145"/>
    <w:qFormat/>
    <w:rPr>
      <w:rFonts w:ascii="Arial" w:hAnsi="Arial"/>
      <w:b/>
    </w:rPr>
  </w:style>
  <w:style w:type="character" w:styleId="ListLabel146">
    <w:name w:val="ListLabel 146"/>
    <w:qFormat/>
    <w:rPr>
      <w:b/>
      <w:i w:val="false"/>
      <w:iCs/>
    </w:rPr>
  </w:style>
  <w:style w:type="character" w:styleId="ListLabel147">
    <w:name w:val="ListLabel 147"/>
    <w:qFormat/>
    <w:rPr>
      <w:rFonts w:cs="Arial"/>
      <w:b/>
      <w:i w:val="false"/>
      <w:iCs/>
      <w:color w:val="auto"/>
    </w:rPr>
  </w:style>
  <w:style w:type="character" w:styleId="ListLabel148">
    <w:name w:val="ListLabel 148"/>
    <w:qFormat/>
    <w:rPr>
      <w:b/>
    </w:rPr>
  </w:style>
  <w:style w:type="character" w:styleId="ListLabel149">
    <w:name w:val="ListLabel 149"/>
    <w:qFormat/>
    <w:rPr>
      <w:b/>
    </w:rPr>
  </w:style>
  <w:style w:type="character" w:styleId="ListLabel150">
    <w:name w:val="ListLabel 150"/>
    <w:qFormat/>
    <w:rPr>
      <w:b/>
    </w:rPr>
  </w:style>
  <w:style w:type="character" w:styleId="ListLabel151">
    <w:name w:val="ListLabel 151"/>
    <w:qFormat/>
    <w:rPr>
      <w:b w:val="false"/>
      <w:i w:val="false"/>
      <w:iCs/>
    </w:rPr>
  </w:style>
  <w:style w:type="character" w:styleId="ListLabel152">
    <w:name w:val="ListLabel 152"/>
    <w:qFormat/>
    <w:rPr>
      <w:rFonts w:cs="Arial"/>
      <w:b w:val="false"/>
      <w:i w:val="false"/>
      <w:iCs/>
      <w:color w:val="auto"/>
    </w:rPr>
  </w:style>
  <w:style w:type="character" w:styleId="ListLabel153">
    <w:name w:val="ListLabel 153"/>
    <w:qFormat/>
    <w:rPr>
      <w:b/>
    </w:rPr>
  </w:style>
  <w:style w:type="character" w:styleId="ListLabel154">
    <w:name w:val="ListLabel 154"/>
    <w:qFormat/>
    <w:rPr>
      <w:b w:val="false"/>
      <w:i w:val="false"/>
      <w:iCs/>
    </w:rPr>
  </w:style>
  <w:style w:type="character" w:styleId="ListLabel155">
    <w:name w:val="ListLabel 155"/>
    <w:qFormat/>
    <w:rPr>
      <w:b w:val="false"/>
      <w:i w:val="false"/>
      <w:iCs/>
      <w:color w:val="auto"/>
    </w:rPr>
  </w:style>
  <w:style w:type="character" w:styleId="ListLabel156">
    <w:name w:val="ListLabel 156"/>
    <w:qFormat/>
    <w:rPr>
      <w:rFonts w:eastAsia="Calibri" w:cs="Arial"/>
      <w:szCs w:val="20"/>
    </w:rPr>
  </w:style>
  <w:style w:type="character" w:styleId="ListLabel157">
    <w:name w:val="ListLabel 157"/>
    <w:qFormat/>
    <w:rPr>
      <w:rFonts w:eastAsia="Calibri" w:cs="Arial"/>
      <w:lang w:eastAsia="ar-SA"/>
    </w:rPr>
  </w:style>
  <w:style w:type="character" w:styleId="ListLabel158">
    <w:name w:val="ListLabel 158"/>
    <w:qFormat/>
    <w:rPr>
      <w:color w:val="000000"/>
    </w:rPr>
  </w:style>
  <w:style w:type="character" w:styleId="ListLabel159">
    <w:name w:val="ListLabel 159"/>
    <w:qFormat/>
    <w:rPr>
      <w:rFonts w:ascii="Arial" w:hAnsi="Arial"/>
      <w:b/>
    </w:rPr>
  </w:style>
  <w:style w:type="character" w:styleId="ListLabel160">
    <w:name w:val="ListLabel 160"/>
    <w:qFormat/>
    <w:rPr>
      <w:b/>
      <w:i w:val="false"/>
      <w:iCs/>
    </w:rPr>
  </w:style>
  <w:style w:type="character" w:styleId="ListLabel161">
    <w:name w:val="ListLabel 161"/>
    <w:qFormat/>
    <w:rPr>
      <w:rFonts w:cs="Arial"/>
      <w:b/>
      <w:i w:val="false"/>
      <w:iCs/>
      <w:color w:val="auto"/>
    </w:rPr>
  </w:style>
  <w:style w:type="character" w:styleId="ListLabel162">
    <w:name w:val="ListLabel 162"/>
    <w:qFormat/>
    <w:rPr>
      <w:b/>
    </w:rPr>
  </w:style>
  <w:style w:type="character" w:styleId="ListLabel163">
    <w:name w:val="ListLabel 163"/>
    <w:qFormat/>
    <w:rPr>
      <w:b/>
    </w:rPr>
  </w:style>
  <w:style w:type="character" w:styleId="ListLabel164">
    <w:name w:val="ListLabel 164"/>
    <w:qFormat/>
    <w:rPr>
      <w:b/>
    </w:rPr>
  </w:style>
  <w:style w:type="character" w:styleId="ListLabel165">
    <w:name w:val="ListLabel 165"/>
    <w:qFormat/>
    <w:rPr>
      <w:b w:val="false"/>
      <w:i w:val="false"/>
      <w:iCs/>
    </w:rPr>
  </w:style>
  <w:style w:type="character" w:styleId="ListLabel166">
    <w:name w:val="ListLabel 166"/>
    <w:qFormat/>
    <w:rPr>
      <w:rFonts w:cs="Arial"/>
      <w:b w:val="false"/>
      <w:i w:val="false"/>
      <w:iCs/>
      <w:color w:val="auto"/>
    </w:rPr>
  </w:style>
  <w:style w:type="character" w:styleId="ListLabel167">
    <w:name w:val="ListLabel 167"/>
    <w:qFormat/>
    <w:rPr>
      <w:b/>
    </w:rPr>
  </w:style>
  <w:style w:type="character" w:styleId="ListLabel168">
    <w:name w:val="ListLabel 168"/>
    <w:qFormat/>
    <w:rPr>
      <w:b w:val="false"/>
      <w:i w:val="false"/>
      <w:iCs/>
    </w:rPr>
  </w:style>
  <w:style w:type="character" w:styleId="ListLabel169">
    <w:name w:val="ListLabel 169"/>
    <w:qFormat/>
    <w:rPr>
      <w:b w:val="false"/>
      <w:i w:val="false"/>
      <w:iCs/>
      <w:color w:val="auto"/>
    </w:rPr>
  </w:style>
  <w:style w:type="character" w:styleId="ListLabel170">
    <w:name w:val="ListLabel 170"/>
    <w:qFormat/>
    <w:rPr>
      <w:rFonts w:eastAsia="Calibri" w:cs="Arial"/>
      <w:szCs w:val="20"/>
    </w:rPr>
  </w:style>
  <w:style w:type="character" w:styleId="ListLabel171">
    <w:name w:val="ListLabel 171"/>
    <w:qFormat/>
    <w:rPr>
      <w:rFonts w:eastAsia="Calibri" w:cs="Arial"/>
      <w:lang w:eastAsia="ar-SA"/>
    </w:rPr>
  </w:style>
  <w:style w:type="character" w:styleId="ListLabel172">
    <w:name w:val="ListLabel 172"/>
    <w:qFormat/>
    <w:rPr>
      <w:color w:val="000000"/>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Application>LibreOffice/6.0.7.3$Linux_X86_64 LibreOffice_project/00m0$Build-3</Application>
  <Pages>11</Pages>
  <Words>4699</Words>
  <Characters>26916</Characters>
  <CharactersWithSpaces>31281</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2022-03-16T10:01:29Z</cp:lastPrinted>
  <dcterms:modified xsi:type="dcterms:W3CDTF">2022-03-24T11:20:19Z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