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sz w:val="24"/>
          <w:szCs w:val="24"/>
        </w:rPr>
      </w:pPr>
      <w:r>
        <w:rPr>
          <w:rFonts w:cs="Arial" w:ascii="Calibri" w:hAnsi="Calibri"/>
          <w:b/>
          <w:bCs/>
          <w:i w:val="false"/>
          <w:iCs w:val="false"/>
          <w:color w:val="000000"/>
          <w:sz w:val="24"/>
          <w:szCs w:val="24"/>
        </w:rPr>
        <w:t>ESCOLA DE APRENDIZES MARINHEIROS DO CEARÁ</w:t>
      </w:r>
    </w:p>
    <w:p>
      <w:pPr>
        <w:pStyle w:val="Normal"/>
        <w:spacing w:lineRule="auto" w:line="240" w:before="0" w:after="0"/>
        <w:contextualSpacing/>
        <w:jc w:val="center"/>
        <w:rPr>
          <w:sz w:val="24"/>
          <w:szCs w:val="24"/>
        </w:rPr>
      </w:pPr>
      <w:r>
        <w:rPr>
          <w:rFonts w:cs="Arial" w:ascii="Calibri" w:hAnsi="Calibri"/>
          <w:b/>
          <w:bCs/>
          <w:i w:val="false"/>
          <w:iCs w:val="false"/>
          <w:color w:val="000000" w:themeColor="text1"/>
          <w:sz w:val="24"/>
          <w:szCs w:val="24"/>
        </w:rPr>
        <w:t>AVISO DE DISPENSA ELETRÔNICA Nº 10/2022</w:t>
      </w:r>
    </w:p>
    <w:p>
      <w:pPr>
        <w:pStyle w:val="Normal"/>
        <w:spacing w:lineRule="auto" w:line="240" w:before="0" w:after="0"/>
        <w:ind w:right="-15" w:hanging="0"/>
        <w:contextualSpacing/>
        <w:jc w:val="center"/>
        <w:rPr>
          <w:sz w:val="24"/>
          <w:szCs w:val="24"/>
        </w:rPr>
      </w:pPr>
      <w:r>
        <w:rPr>
          <w:rFonts w:cs="Arial" w:ascii="Calibri" w:hAnsi="Calibri"/>
          <w:b/>
          <w:bCs/>
          <w:color w:val="000000" w:themeColor="text1"/>
          <w:sz w:val="24"/>
          <w:szCs w:val="24"/>
        </w:rPr>
        <w:t>(Processo Administrativo n.°63116.005060/2022-55)</w:t>
      </w:r>
    </w:p>
    <w:p>
      <w:pPr>
        <w:pStyle w:val="Normal"/>
        <w:spacing w:lineRule="auto" w:line="240" w:before="0" w:after="0"/>
        <w:contextualSpacing/>
        <w:rPr>
          <w:rFonts w:ascii="Calibri" w:hAnsi="Calibri" w:cs="Arial"/>
          <w:sz w:val="24"/>
          <w:szCs w:val="24"/>
        </w:rPr>
      </w:pPr>
      <w:r>
        <w:rPr>
          <w:rFonts w:cs="Arial" w:ascii="Calibri" w:hAnsi="Calibri"/>
          <w:sz w:val="24"/>
          <w:szCs w:val="24"/>
        </w:rPr>
      </w:r>
    </w:p>
    <w:p>
      <w:pPr>
        <w:pStyle w:val="Normal"/>
        <w:snapToGrid w:val="false"/>
        <w:spacing w:lineRule="auto" w:line="240" w:before="0" w:after="0"/>
        <w:ind w:right="-30" w:firstLine="540"/>
        <w:contextualSpacing/>
        <w:jc w:val="both"/>
        <w:rPr>
          <w:sz w:val="24"/>
          <w:szCs w:val="24"/>
        </w:rPr>
      </w:pPr>
      <w:r>
        <w:rPr>
          <w:rFonts w:cs="Arial" w:ascii="Calibri" w:hAnsi="Calibri"/>
          <w:i w:val="false"/>
          <w:iCs w:val="false"/>
          <w:color w:val="000000" w:themeColor="text1"/>
          <w:sz w:val="24"/>
          <w:szCs w:val="24"/>
        </w:rPr>
        <w:t xml:space="preserve">Torna-se público que </w:t>
      </w:r>
      <w:r>
        <w:rPr>
          <w:rFonts w:cs="Arial" w:ascii="Calibri" w:hAnsi="Calibri"/>
          <w:i w:val="false"/>
          <w:iCs w:val="false"/>
          <w:color w:val="000000"/>
          <w:sz w:val="24"/>
          <w:szCs w:val="24"/>
        </w:rPr>
        <w:t>a</w:t>
      </w:r>
      <w:r>
        <w:rPr>
          <w:rFonts w:eastAsia="Arial" w:cs="Arial" w:ascii="Calibri" w:hAnsi="Calibri"/>
          <w:i w:val="false"/>
          <w:iCs w:val="false"/>
          <w:color w:val="000000"/>
          <w:sz w:val="24"/>
          <w:szCs w:val="24"/>
        </w:rPr>
        <w:t xml:space="preserve"> </w:t>
      </w:r>
      <w:r>
        <w:rPr>
          <w:rFonts w:cs="Arial" w:ascii="Calibri" w:hAnsi="Calibri"/>
          <w:i w:val="false"/>
          <w:iCs w:val="false"/>
          <w:color w:val="000000"/>
          <w:sz w:val="24"/>
          <w:szCs w:val="24"/>
        </w:rPr>
        <w:t>Escola de Aprendizes-Marinheiros do Ceará</w:t>
      </w:r>
      <w:r>
        <w:rPr>
          <w:rFonts w:cs="Arial" w:ascii="Calibri" w:hAnsi="Calibri"/>
          <w:i w:val="false"/>
          <w:iCs w:val="false"/>
          <w:color w:val="000000" w:themeColor="text1"/>
          <w:sz w:val="24"/>
          <w:szCs w:val="24"/>
        </w:rPr>
        <w:t xml:space="preserve">, por meio </w:t>
      </w:r>
      <w:r>
        <w:rPr>
          <w:rFonts w:cs="Arial" w:ascii="Calibri" w:hAnsi="Calibri"/>
          <w:i w:val="false"/>
          <w:iCs w:val="false"/>
          <w:color w:val="000000"/>
          <w:sz w:val="24"/>
          <w:szCs w:val="24"/>
        </w:rPr>
        <w:t>da Divisão de Obtenção</w:t>
      </w:r>
      <w:r>
        <w:rPr>
          <w:rFonts w:cs="Arial" w:ascii="Calibri" w:hAnsi="Calibri"/>
          <w:i w:val="false"/>
          <w:iCs w:val="false"/>
          <w:color w:val="000000" w:themeColor="text1"/>
          <w:sz w:val="24"/>
          <w:szCs w:val="24"/>
        </w:rPr>
        <w:t xml:space="preserve">, realizará Dispensa Eletrônica, </w:t>
      </w:r>
      <w:r>
        <w:rPr>
          <w:rFonts w:cs="Arial" w:ascii="Calibri" w:hAnsi="Calibri"/>
          <w:bCs/>
          <w:i w:val="false"/>
          <w:iCs w:val="false"/>
          <w:color w:val="000000" w:themeColor="text1"/>
          <w:sz w:val="24"/>
          <w:szCs w:val="24"/>
        </w:rPr>
        <w:t>com critério de julgamento</w:t>
      </w:r>
      <w:r>
        <w:rPr>
          <w:rFonts w:cs="Arial" w:ascii="Calibri" w:hAnsi="Calibri"/>
          <w:b/>
          <w:bCs/>
          <w:i w:val="false"/>
          <w:iCs w:val="false"/>
          <w:color w:val="000000" w:themeColor="text1"/>
          <w:sz w:val="24"/>
          <w:szCs w:val="24"/>
        </w:rPr>
        <w:t xml:space="preserve"> </w:t>
      </w:r>
      <w:r>
        <w:rPr>
          <w:rFonts w:cs="Arial" w:ascii="Calibri" w:hAnsi="Calibri"/>
          <w:i w:val="false"/>
          <w:iCs w:val="false"/>
          <w:color w:val="000000"/>
          <w:sz w:val="24"/>
          <w:szCs w:val="24"/>
        </w:rPr>
        <w:t>menor preço</w:t>
      </w:r>
      <w:r>
        <w:rPr>
          <w:rFonts w:cs="Arial" w:ascii="Calibri" w:hAnsi="Calibri"/>
          <w:b/>
          <w:bCs/>
          <w:i w:val="false"/>
          <w:iCs w:val="false"/>
          <w:color w:val="000000"/>
          <w:sz w:val="24"/>
          <w:szCs w:val="24"/>
        </w:rPr>
        <w:t xml:space="preserve">, </w:t>
      </w:r>
      <w:r>
        <w:rPr>
          <w:rFonts w:cs="Arial" w:ascii="Calibri" w:hAnsi="Calibri"/>
          <w:i w:val="false"/>
          <w:iCs w:val="false"/>
          <w:color w:val="000000" w:themeColor="text1"/>
          <w:sz w:val="24"/>
          <w:szCs w:val="24"/>
        </w:rPr>
        <w:t xml:space="preserve">na hipótese do art. 75, </w:t>
      </w:r>
      <w:r>
        <w:rPr>
          <w:rFonts w:cs="Arial" w:ascii="Calibri" w:hAnsi="Calibri"/>
          <w:i w:val="false"/>
          <w:iCs w:val="false"/>
          <w:color w:val="000000"/>
          <w:sz w:val="24"/>
          <w:szCs w:val="24"/>
        </w:rPr>
        <w:t xml:space="preserve">inciso </w:t>
      </w:r>
      <w:r>
        <w:rPr>
          <w:rFonts w:cs="Arial" w:ascii="Calibri" w:hAnsi="Calibri"/>
          <w:b w:val="false"/>
          <w:bCs w:val="false"/>
          <w:i w:val="false"/>
          <w:iCs w:val="false"/>
          <w:color w:val="000000"/>
          <w:sz w:val="24"/>
          <w:szCs w:val="24"/>
        </w:rPr>
        <w:t>II</w:t>
      </w:r>
      <w:r>
        <w:rPr>
          <w:rFonts w:cs="Arial" w:ascii="Calibri" w:hAnsi="Calibri"/>
          <w:i w:val="false"/>
          <w:iCs w:val="false"/>
          <w:color w:val="000000"/>
          <w:sz w:val="24"/>
          <w:szCs w:val="24"/>
        </w:rPr>
        <w:t xml:space="preserve">, </w:t>
      </w:r>
      <w:r>
        <w:rPr>
          <w:rFonts w:cs="Arial" w:ascii="Calibri" w:hAnsi="Calibri"/>
          <w:bCs/>
          <w:i w:val="false"/>
          <w:iCs w:val="false"/>
          <w:color w:val="000000"/>
          <w:sz w:val="24"/>
          <w:szCs w:val="24"/>
        </w:rPr>
        <w:t>nos termos da Lei nº 14.133, de 1º de abril de 2021, da Instrução Normativa SEGES/ME nº 67/2021 e demais legislação aplicável</w:t>
      </w:r>
      <w:r>
        <w:rPr>
          <w:rFonts w:cs="Arial" w:ascii="Calibri" w:hAnsi="Calibri"/>
          <w:i w:val="false"/>
          <w:iCs w:val="false"/>
          <w:color w:val="000000"/>
          <w:sz w:val="24"/>
          <w:szCs w:val="24"/>
        </w:rPr>
        <w:t>.</w:t>
      </w:r>
    </w:p>
    <w:p>
      <w:pPr>
        <w:pStyle w:val="Normal"/>
        <w:spacing w:lineRule="auto" w:line="240" w:before="0" w:after="0"/>
        <w:contextualSpacing/>
        <w:jc w:val="both"/>
        <w:rPr>
          <w:rFonts w:ascii="Calibri" w:hAnsi="Calibri" w:cs="Arial"/>
          <w:i w:val="false"/>
          <w:i w:val="false"/>
          <w:iCs w:val="false"/>
          <w:color w:val="000000" w:themeColor="text1"/>
          <w:sz w:val="24"/>
          <w:szCs w:val="24"/>
        </w:rPr>
      </w:pPr>
      <w:r>
        <w:rPr>
          <w:rFonts w:cs="Arial" w:ascii="Calibri" w:hAnsi="Calibri"/>
          <w:i w:val="false"/>
          <w:iCs w:val="false"/>
          <w:color w:val="000000" w:themeColor="text1"/>
          <w:sz w:val="24"/>
          <w:szCs w:val="24"/>
        </w:rPr>
      </w:r>
    </w:p>
    <w:p>
      <w:pPr>
        <w:pStyle w:val="Normal"/>
        <w:spacing w:lineRule="auto" w:line="240" w:before="0" w:after="0"/>
        <w:contextualSpacing/>
        <w:jc w:val="both"/>
        <w:rPr>
          <w:sz w:val="24"/>
          <w:szCs w:val="24"/>
        </w:rPr>
      </w:pPr>
      <w:r>
        <w:rPr>
          <w:rFonts w:cs="Arial" w:ascii="Calibri" w:hAnsi="Calibri"/>
          <w:color w:val="000000" w:themeColor="text1"/>
          <w:sz w:val="24"/>
          <w:szCs w:val="24"/>
        </w:rPr>
        <w:t>Data da sessão: 28</w:t>
      </w:r>
      <w:r>
        <w:rPr>
          <w:rFonts w:cs="Arial" w:ascii="Calibri" w:hAnsi="Calibri"/>
          <w:color w:val="000000"/>
          <w:sz w:val="24"/>
          <w:szCs w:val="24"/>
        </w:rPr>
        <w:t>/09/2022</w:t>
      </w:r>
    </w:p>
    <w:p>
      <w:pPr>
        <w:pStyle w:val="Normal"/>
        <w:spacing w:lineRule="auto" w:line="240" w:before="0" w:after="0"/>
        <w:contextualSpacing/>
        <w:rPr>
          <w:sz w:val="24"/>
          <w:szCs w:val="24"/>
        </w:rPr>
      </w:pPr>
      <w:r>
        <w:rPr>
          <w:rFonts w:cs="Arial" w:ascii="Calibri" w:hAnsi="Calibri"/>
          <w:color w:val="000000" w:themeColor="text1"/>
          <w:sz w:val="24"/>
          <w:szCs w:val="24"/>
        </w:rPr>
        <w:t>Horário da Fase de Lances: 8:0</w:t>
      </w:r>
      <w:r>
        <w:rPr>
          <w:rFonts w:cs="Arial" w:ascii="Calibri" w:hAnsi="Calibri"/>
          <w:i w:val="false"/>
          <w:iCs w:val="false"/>
          <w:color w:val="000000" w:themeColor="text1"/>
          <w:sz w:val="24"/>
          <w:szCs w:val="24"/>
        </w:rPr>
        <w:t xml:space="preserve">0 às </w:t>
      </w:r>
      <w:r>
        <w:rPr>
          <w:rFonts w:cs="Arial" w:ascii="Calibri" w:hAnsi="Calibri"/>
          <w:i w:val="false"/>
          <w:iCs w:val="false"/>
          <w:color w:val="000000"/>
          <w:sz w:val="24"/>
          <w:szCs w:val="24"/>
        </w:rPr>
        <w:t>14:00</w:t>
      </w:r>
    </w:p>
    <w:p>
      <w:pPr>
        <w:pStyle w:val="PADRO"/>
        <w:keepNext w:val="false"/>
        <w:widowControl/>
        <w:shd w:val="clear" w:color="auto" w:fill="auto"/>
        <w:spacing w:lineRule="auto" w:line="240" w:before="0" w:after="0"/>
        <w:ind w:left="360" w:hanging="0"/>
        <w:contextualSpacing/>
        <w:rPr>
          <w:rFonts w:ascii="Calibri" w:hAnsi="Calibri" w:cs="Arial"/>
          <w:b/>
          <w:b/>
          <w:i w:val="false"/>
          <w:i w:val="false"/>
          <w:iCs w:val="false"/>
          <w:color w:val="000000"/>
          <w:sz w:val="24"/>
          <w:szCs w:val="24"/>
        </w:rPr>
      </w:pPr>
      <w:r>
        <w:rPr>
          <w:rFonts w:cs="Arial" w:ascii="Calibri" w:hAnsi="Calibri"/>
          <w:b/>
          <w:i w:val="false"/>
          <w:iCs w:val="false"/>
          <w:color w:val="000000"/>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OBJETO DA CONTRATAÇÃO DIRETA</w:t>
      </w:r>
      <w:bookmarkStart w:id="0" w:name="_GoBack"/>
      <w:bookmarkEnd w:id="0"/>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i w:val="false"/>
          <w:iCs w:val="false"/>
          <w:color w:val="000000" w:themeColor="text1"/>
          <w:sz w:val="24"/>
          <w:szCs w:val="24"/>
        </w:rPr>
        <w:t>O objeto da presente dispensa é a escolha da proposta mais vantajosa para a aquisição de medicamento especial (SOMATROPINA 36 UI) com necessidade de atendimento ao PME</w:t>
      </w:r>
      <w:r>
        <w:rPr>
          <w:rFonts w:cs="Arial" w:ascii="Calibri" w:hAnsi="Calibri"/>
          <w:b/>
          <w:bCs/>
          <w:i w:val="false"/>
          <w:iCs w:val="false"/>
          <w:color w:val="000000" w:themeColor="text1"/>
          <w:sz w:val="24"/>
          <w:szCs w:val="24"/>
        </w:rPr>
        <w:t>,</w:t>
      </w:r>
      <w:r>
        <w:rPr>
          <w:rFonts w:cs="Arial" w:ascii="Calibri" w:hAnsi="Calibri"/>
          <w:i w:val="false"/>
          <w:iCs w:val="false"/>
          <w:color w:val="000000" w:themeColor="text1"/>
          <w:sz w:val="24"/>
          <w:szCs w:val="24"/>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i w:val="false"/>
          <w:iCs w:val="false"/>
          <w:color w:val="000000"/>
          <w:sz w:val="24"/>
          <w:szCs w:val="24"/>
        </w:rPr>
        <w:t>A contratação será dividida em itens</w:t>
      </w:r>
      <w:r>
        <w:rPr>
          <w:rFonts w:cs="Arial" w:ascii="Calibri" w:hAnsi="Calibri"/>
          <w:b/>
          <w:bCs/>
          <w:i w:val="false"/>
          <w:iCs w:val="false"/>
          <w:color w:val="000000"/>
          <w:sz w:val="24"/>
          <w:szCs w:val="24"/>
        </w:rPr>
        <w:t>,</w:t>
      </w:r>
      <w:r>
        <w:rPr>
          <w:rFonts w:cs="Arial" w:ascii="Calibri" w:hAnsi="Calibri"/>
          <w:i w:val="false"/>
          <w:iCs w:val="false"/>
          <w:color w:val="000000"/>
          <w:sz w:val="24"/>
          <w:szCs w:val="24"/>
        </w:rPr>
        <w:t xml:space="preserve"> conforme tabela constante abaixo.</w:t>
      </w:r>
    </w:p>
    <w:p>
      <w:pPr>
        <w:pStyle w:val="PADRO"/>
        <w:widowControl/>
        <w:numPr>
          <w:ilvl w:val="0"/>
          <w:numId w:val="0"/>
        </w:numPr>
        <w:shd w:val="clear" w:color="auto" w:fill="auto"/>
        <w:spacing w:lineRule="auto" w:line="240" w:before="0" w:after="0"/>
        <w:ind w:left="792" w:hanging="0"/>
        <w:contextualSpacing/>
        <w:rPr>
          <w:rFonts w:ascii="Calibri" w:hAnsi="Calibri" w:cs="Arial"/>
          <w:color w:val="FF0000"/>
          <w:sz w:val="24"/>
          <w:szCs w:val="24"/>
        </w:rPr>
      </w:pPr>
      <w:r>
        <w:rPr>
          <w:rFonts w:cs="Arial" w:ascii="Calibri" w:hAnsi="Calibri"/>
          <w:color w:val="FF0000"/>
          <w:sz w:val="24"/>
          <w:szCs w:val="24"/>
        </w:rPr>
      </w:r>
    </w:p>
    <w:tbl>
      <w:tblPr>
        <w:tblW w:w="9750" w:type="dxa"/>
        <w:jc w:val="left"/>
        <w:tblInd w:w="-506" w:type="dxa"/>
        <w:tblLayout w:type="fixed"/>
        <w:tblCellMar>
          <w:top w:w="0" w:type="dxa"/>
          <w:left w:w="103" w:type="dxa"/>
          <w:bottom w:w="0" w:type="dxa"/>
          <w:right w:w="108" w:type="dxa"/>
        </w:tblCellMar>
        <w:tblLook w:firstRow="1" w:noVBand="1" w:lastRow="0" w:firstColumn="1" w:lastColumn="0" w:noHBand="0" w:val="04a0"/>
      </w:tblPr>
      <w:tblGrid>
        <w:gridCol w:w="1204"/>
        <w:gridCol w:w="2762"/>
        <w:gridCol w:w="1650"/>
        <w:gridCol w:w="675"/>
        <w:gridCol w:w="1358"/>
        <w:gridCol w:w="992"/>
        <w:gridCol w:w="1108"/>
      </w:tblGrid>
      <w:tr>
        <w:trPr/>
        <w:tc>
          <w:tcPr>
            <w:tcW w:w="12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ITEM</w:t>
            </w:r>
          </w:p>
          <w:p>
            <w:pPr>
              <w:pStyle w:val="Normal"/>
              <w:widowControl w:val="false"/>
              <w:suppressAutoHyphens w:val="true"/>
              <w:spacing w:lineRule="auto" w:line="240" w:before="0" w:after="0"/>
              <w:contextualSpacing/>
              <w:jc w:val="center"/>
              <w:rPr>
                <w:rFonts w:ascii="Calibri" w:hAnsi="Calibri" w:cs="Arial"/>
                <w:b w:val="false"/>
                <w:b w:val="false"/>
                <w:bCs w:val="false"/>
                <w:color w:val="000000"/>
                <w:sz w:val="24"/>
                <w:szCs w:val="24"/>
              </w:rPr>
            </w:pPr>
            <w:r>
              <w:rPr>
                <w:rFonts w:cs="Arial" w:ascii="Calibri" w:hAnsi="Calibri"/>
                <w:b w:val="false"/>
                <w:bCs w:val="false"/>
                <w:color w:val="000000"/>
                <w:sz w:val="24"/>
                <w:szCs w:val="24"/>
              </w:rPr>
            </w:r>
          </w:p>
        </w:tc>
        <w:tc>
          <w:tcPr>
            <w:tcW w:w="27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DESCRIÇÃO/</w:t>
            </w:r>
          </w:p>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ESPECIFICAÇÃO</w:t>
            </w:r>
          </w:p>
        </w:tc>
        <w:tc>
          <w:tcPr>
            <w:tcW w:w="16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UNIDADE DE MEDIDA</w:t>
            </w:r>
          </w:p>
        </w:tc>
        <w:tc>
          <w:tcPr>
            <w:tcW w:w="6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QUANT.</w:t>
            </w:r>
          </w:p>
        </w:tc>
        <w:tc>
          <w:tcPr>
            <w:tcW w:w="135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 xml:space="preserve">PREÇO ESTIMADO </w:t>
            </w:r>
            <w:r>
              <w:rPr>
                <w:rFonts w:cs="Arial" w:ascii="Calibri" w:hAnsi="Calibri"/>
                <w:b w:val="false"/>
                <w:bCs w:val="false"/>
                <w:color w:val="000000"/>
                <w:sz w:val="24"/>
                <w:szCs w:val="24"/>
              </w:rPr>
              <w:t>POR CAIXA</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LOCAL DE EXECUÇÃO</w:t>
            </w:r>
          </w:p>
        </w:tc>
        <w:tc>
          <w:tcPr>
            <w:tcW w:w="110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b w:val="false"/>
                <w:bCs w:val="false"/>
                <w:color w:val="000000"/>
                <w:sz w:val="24"/>
                <w:szCs w:val="24"/>
              </w:rPr>
              <w:t>PRAZO DE ENTREGA</w:t>
            </w:r>
          </w:p>
        </w:tc>
      </w:tr>
      <w:tr>
        <w:trPr/>
        <w:tc>
          <w:tcPr>
            <w:tcW w:w="12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b w:val="false"/>
                <w:bCs w:val="false"/>
                <w:color w:val="000000"/>
                <w:sz w:val="24"/>
                <w:szCs w:val="24"/>
              </w:rPr>
              <w:t>1</w:t>
            </w:r>
          </w:p>
        </w:tc>
        <w:tc>
          <w:tcPr>
            <w:tcW w:w="27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76" w:before="0" w:after="120"/>
              <w:ind w:left="0" w:right="0" w:hanging="0"/>
              <w:jc w:val="both"/>
              <w:rPr>
                <w:color w:val="000000"/>
                <w:sz w:val="24"/>
                <w:szCs w:val="24"/>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auto" w:val="clear"/>
                <w:em w:val="none"/>
                <w:lang w:val="pt-BR" w:eastAsia="pt-BR" w:bidi="hi-IN"/>
              </w:rPr>
              <w:t>Somatropina 36UI 12mg</w:t>
            </w:r>
          </w:p>
        </w:tc>
        <w:tc>
          <w:tcPr>
            <w:tcW w:w="16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color w:val="000000"/>
                <w:sz w:val="24"/>
                <w:szCs w:val="24"/>
              </w:rPr>
              <w:t>CX</w:t>
            </w:r>
          </w:p>
        </w:tc>
        <w:tc>
          <w:tcPr>
            <w:tcW w:w="6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color w:val="000000"/>
                <w:sz w:val="24"/>
                <w:szCs w:val="24"/>
              </w:rPr>
              <w:t>30</w:t>
            </w:r>
          </w:p>
        </w:tc>
        <w:tc>
          <w:tcPr>
            <w:tcW w:w="135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R$ 800,00</w:t>
            </w:r>
          </w:p>
        </w:tc>
        <w:tc>
          <w:tcPr>
            <w:tcW w:w="99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EAMCE</w:t>
            </w:r>
          </w:p>
        </w:tc>
        <w:tc>
          <w:tcPr>
            <w:tcW w:w="110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05 DIAS</w:t>
            </w:r>
          </w:p>
        </w:tc>
      </w:tr>
    </w:tbl>
    <w:p>
      <w:pPr>
        <w:pStyle w:val="PADRO"/>
        <w:keepNext w:val="false"/>
        <w:widowControl/>
        <w:numPr>
          <w:ilvl w:val="0"/>
          <w:numId w:val="0"/>
        </w:numPr>
        <w:shd w:val="clear" w:color="auto" w:fill="auto"/>
        <w:spacing w:lineRule="auto" w:line="240" w:before="0" w:after="0"/>
        <w:ind w:left="1224" w:hanging="0"/>
        <w:contextualSpacing/>
        <w:rPr>
          <w:rFonts w:ascii="Calibri" w:hAnsi="Calibri" w:cs="Arial"/>
          <w:sz w:val="24"/>
          <w:szCs w:val="24"/>
        </w:rPr>
      </w:pPr>
      <w:r>
        <w:rPr>
          <w:rFonts w:cs="Arial" w:ascii="Calibri" w:hAnsi="Calibri"/>
          <w:sz w:val="24"/>
          <w:szCs w:val="24"/>
        </w:rPr>
      </w:r>
    </w:p>
    <w:p>
      <w:pPr>
        <w:pStyle w:val="PADRO"/>
        <w:widowControl/>
        <w:numPr>
          <w:ilvl w:val="2"/>
          <w:numId w:val="1"/>
        </w:numPr>
        <w:shd w:val="clear" w:color="auto" w:fill="auto"/>
        <w:spacing w:lineRule="auto" w:line="240" w:before="0" w:after="0"/>
        <w:contextualSpacing/>
        <w:rPr>
          <w:sz w:val="24"/>
          <w:szCs w:val="24"/>
        </w:rPr>
      </w:pPr>
      <w:r>
        <w:rPr>
          <w:rFonts w:cs="Arial" w:ascii="Calibri" w:hAnsi="Calibri"/>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sz w:val="24"/>
          <w:szCs w:val="24"/>
        </w:rPr>
        <w:t>O critério de julgamento adotado será o</w:t>
      </w:r>
      <w:r>
        <w:rPr>
          <w:rFonts w:cs="Arial" w:ascii="Calibri" w:hAnsi="Calibri"/>
          <w:i w:val="false"/>
          <w:iCs w:val="false"/>
          <w:sz w:val="24"/>
          <w:szCs w:val="24"/>
        </w:rPr>
        <w:t xml:space="preserve"> </w:t>
      </w:r>
      <w:r>
        <w:rPr>
          <w:rFonts w:cs="Arial" w:ascii="Calibri" w:hAnsi="Calibri"/>
          <w:i w:val="false"/>
          <w:iCs w:val="false"/>
          <w:color w:val="000000"/>
          <w:sz w:val="24"/>
          <w:szCs w:val="24"/>
        </w:rPr>
        <w:t>menor preço,</w:t>
      </w:r>
      <w:r>
        <w:rPr>
          <w:rFonts w:cs="Arial" w:ascii="Calibri" w:hAnsi="Calibri"/>
          <w:color w:val="000000"/>
          <w:sz w:val="24"/>
          <w:szCs w:val="24"/>
        </w:rPr>
        <w:t xml:space="preserve"> o</w:t>
      </w:r>
      <w:r>
        <w:rPr>
          <w:rFonts w:cs="Arial" w:ascii="Calibri" w:hAnsi="Calibri"/>
          <w:sz w:val="24"/>
          <w:szCs w:val="24"/>
        </w:rPr>
        <w:t>bservadas as exigências contidas neste Aviso de Contratação Direta e seus Anexos quanto às especificações do objeto.</w:t>
      </w:r>
    </w:p>
    <w:p>
      <w:pPr>
        <w:pStyle w:val="PADRO"/>
        <w:widowControl/>
        <w:numPr>
          <w:ilvl w:val="0"/>
          <w:numId w:val="0"/>
        </w:numPr>
        <w:shd w:val="clear" w:color="auto" w:fill="auto"/>
        <w:spacing w:lineRule="auto" w:line="240" w:before="0" w:after="0"/>
        <w:ind w:left="792" w:hanging="0"/>
        <w:contextualSpacing/>
        <w:rPr>
          <w:rFonts w:ascii="Calibri" w:hAnsi="Calibri" w:cs="Arial"/>
          <w:sz w:val="24"/>
          <w:szCs w:val="24"/>
        </w:rPr>
      </w:pPr>
      <w:r>
        <w:rPr>
          <w:rFonts w:cs="Arial" w:ascii="Calibri" w:hAnsi="Calibri"/>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PARTICIPAÇÃO NA DISPENSA ELETRÔNICA.</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sz w:val="24"/>
          <w:szCs w:val="24"/>
        </w:rPr>
        <w:t xml:space="preserve">A participação na presente dispensa eletrônica se dará mediante </w:t>
      </w:r>
      <w:r>
        <w:rPr>
          <w:rFonts w:cs="Arial" w:ascii="Calibri" w:hAnsi="Calibri"/>
          <w:bCs/>
          <w:sz w:val="24"/>
          <w:szCs w:val="24"/>
        </w:rPr>
        <w:t>Sistema de Dispensa Eletrônica</w:t>
      </w:r>
      <w:r>
        <w:rPr>
          <w:rFonts w:cs="Arial" w:ascii="Calibri" w:hAnsi="Calibri"/>
          <w:sz w:val="24"/>
          <w:szCs w:val="24"/>
        </w:rPr>
        <w:t xml:space="preserve"> integrante do Sistema de Compras do Governo Federal – Comprasnet 4.0, disponível no </w:t>
      </w:r>
      <w:r>
        <w:rPr>
          <w:rFonts w:cs="Arial" w:ascii="Calibri" w:hAnsi="Calibri"/>
          <w:bCs/>
          <w:sz w:val="24"/>
          <w:szCs w:val="24"/>
        </w:rPr>
        <w:t xml:space="preserve">endereço eletrônico </w:t>
      </w:r>
      <w:r>
        <w:rPr>
          <w:rFonts w:cs="Arial" w:ascii="Calibri" w:hAnsi="Calibri"/>
          <w:bCs/>
          <w:color w:val="000000"/>
          <w:sz w:val="24"/>
          <w:szCs w:val="24"/>
        </w:rPr>
        <w:t>www.gov.br/compras/pt-br.</w:t>
      </w:r>
    </w:p>
    <w:p>
      <w:pPr>
        <w:pStyle w:val="Normal"/>
        <w:numPr>
          <w:ilvl w:val="2"/>
          <w:numId w:val="1"/>
        </w:numPr>
        <w:snapToGrid w:val="false"/>
        <w:spacing w:lineRule="auto" w:line="240" w:before="0" w:after="0"/>
        <w:contextualSpacing/>
        <w:jc w:val="both"/>
        <w:rPr>
          <w:sz w:val="24"/>
          <w:szCs w:val="24"/>
        </w:rPr>
      </w:pPr>
      <w:r>
        <w:rPr>
          <w:rFonts w:cs="Arial" w:ascii="Calibri" w:hAnsi="Calibri"/>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40" w:before="0" w:after="0"/>
        <w:contextualSpacing/>
        <w:jc w:val="both"/>
        <w:rPr>
          <w:sz w:val="24"/>
          <w:szCs w:val="24"/>
        </w:rPr>
      </w:pPr>
      <w:r>
        <w:rPr>
          <w:rFonts w:cs="Arial" w:ascii="Calibri" w:hAnsi="Calibr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themeColor="text1"/>
          <w:sz w:val="24"/>
          <w:szCs w:val="24"/>
        </w:rPr>
        <w:t>Não poderão participar desta dispensa os fornecedores: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não atendam às condições deste Aviso de Contratação Direta e seu(s) anexo(s);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se enquadrem nas seguintes vedações: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40" w:before="0" w:after="0"/>
        <w:contextualSpacing/>
        <w:jc w:val="both"/>
        <w:rPr/>
      </w:pPr>
      <w:r>
        <w:rPr>
          <w:rFonts w:cs="Arial" w:ascii="Calibri" w:hAnsi="Calibri"/>
          <w:color w:val="000000"/>
          <w:sz w:val="24"/>
          <w:szCs w:val="24"/>
        </w:rPr>
        <w:t>empresas controladoras, controladas ou coligadas, nos termos da </w:t>
      </w:r>
      <w:hyperlink r:id="rId2">
        <w:r>
          <w:rPr>
            <w:rStyle w:val="LinkdaInternet"/>
            <w:rFonts w:eastAsia="Calibri" w:cs="Arial" w:ascii="Calibri" w:hAnsi="Calibri"/>
            <w:sz w:val="24"/>
            <w:szCs w:val="24"/>
          </w:rPr>
          <w:t>Lei nº 6.404, de 15 de dezembro de 1976</w:t>
        </w:r>
      </w:hyperlink>
      <w:r>
        <w:rPr>
          <w:rFonts w:cs="Arial" w:ascii="Calibri" w:hAnsi="Calibri"/>
          <w:color w:val="000000"/>
          <w:sz w:val="24"/>
          <w:szCs w:val="24"/>
        </w:rPr>
        <w:t>, concorrendo entre si;</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Equiparam-se aos autores do projeto as empresas integrantes do mesmo grupo econômico;</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organizações da Sociedade Civil de Interesse Público - OSCIP, atuando nessa condição (Acórdão nº 746/2014-TCU-Plenário); e</w:t>
      </w:r>
    </w:p>
    <w:p>
      <w:pPr>
        <w:pStyle w:val="Normal"/>
        <w:numPr>
          <w:ilvl w:val="0"/>
          <w:numId w:val="0"/>
        </w:numPr>
        <w:spacing w:lineRule="auto" w:line="240" w:before="0" w:after="0"/>
        <w:ind w:left="1224" w:hanging="0"/>
        <w:contextualSpacing/>
        <w:jc w:val="both"/>
        <w:rPr>
          <w:rFonts w:ascii="Calibri" w:hAnsi="Calibri" w:cs="Arial"/>
          <w:i/>
          <w:i/>
          <w:color w:val="FF0000"/>
          <w:sz w:val="24"/>
          <w:szCs w:val="24"/>
        </w:rPr>
      </w:pPr>
      <w:r>
        <w:rPr>
          <w:rFonts w:cs="Arial" w:ascii="Calibri" w:hAnsi="Calibri"/>
          <w:i/>
          <w:color w:val="FF0000"/>
          <w:sz w:val="24"/>
          <w:szCs w:val="24"/>
        </w:rPr>
      </w:r>
      <w:bookmarkStart w:id="1" w:name="_Hlk519667815"/>
      <w:bookmarkStart w:id="2" w:name="_Hlk519667815"/>
      <w:bookmarkEnd w:id="2"/>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INGRESSO NA DISPENSA ELETRÔNICA E CADASTRAMENTO DA PROPOSTA INICIAL</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40" w:before="0" w:after="0"/>
        <w:contextualSpacing/>
        <w:jc w:val="both"/>
        <w:rPr>
          <w:sz w:val="24"/>
          <w:szCs w:val="24"/>
        </w:rPr>
      </w:pPr>
      <w:r>
        <w:rPr>
          <w:rFonts w:cs="Arial" w:ascii="Calibri" w:hAnsi="Calibr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Todas as especificações do </w:t>
      </w:r>
      <w:r>
        <w:rPr>
          <w:rFonts w:cs="Arial" w:ascii="Calibri" w:hAnsi="Calibri"/>
          <w:color w:val="000000" w:themeColor="text1"/>
          <w:sz w:val="24"/>
          <w:szCs w:val="24"/>
        </w:rPr>
        <w:t>objeto</w:t>
      </w:r>
      <w:r>
        <w:rPr>
          <w:rFonts w:cs="Arial" w:ascii="Calibri" w:hAnsi="Calibri"/>
          <w:sz w:val="24"/>
          <w:szCs w:val="24"/>
        </w:rPr>
        <w:t xml:space="preserve"> contidas na proposta, em especial o preço, vinculam a Contratada.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40" w:before="0" w:after="0"/>
        <w:contextualSpacing/>
        <w:jc w:val="both"/>
        <w:rPr>
          <w:sz w:val="24"/>
          <w:szCs w:val="24"/>
        </w:rPr>
      </w:pPr>
      <w:r>
        <w:rPr>
          <w:rFonts w:cs="Arial" w:ascii="Calibri" w:hAnsi="Calibr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apresentação das propostas implica obrigatoriedade do cumprimento das disposições nelas contidas, em conformidade com o que dispõe  neste aviso de licitação,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Uma vez enviada a proposta no sistema, os fornecedores </w:t>
      </w:r>
      <w:r>
        <w:rPr>
          <w:rFonts w:cs="Arial" w:ascii="Calibri" w:hAnsi="Calibri"/>
          <w:b/>
          <w:bCs/>
          <w:sz w:val="24"/>
          <w:szCs w:val="24"/>
        </w:rPr>
        <w:t>NÃO</w:t>
      </w:r>
      <w:r>
        <w:rPr>
          <w:rFonts w:cs="Arial" w:ascii="Calibri" w:hAnsi="Calibri"/>
          <w:sz w:val="24"/>
          <w:szCs w:val="24"/>
        </w:rPr>
        <w:t xml:space="preserve"> poderão retirá-la, substituí-la ou modificá-la</w:t>
      </w:r>
      <w:r>
        <w:rPr>
          <w:rFonts w:cs="Arial" w:ascii="Calibri" w:hAnsi="Calibri"/>
          <w:color w:val="000000"/>
          <w:sz w:val="24"/>
          <w:szCs w:val="24"/>
        </w:rPr>
        <w:t>;</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 xml:space="preserve">No cadastramento da proposta inicial, o fornecedor deverá, também, assinalar “sim” ou “não” em campo </w:t>
      </w:r>
      <w:r>
        <w:rPr>
          <w:rFonts w:cs="Arial" w:ascii="Calibri" w:hAnsi="Calibri"/>
          <w:sz w:val="24"/>
          <w:szCs w:val="24"/>
        </w:rPr>
        <w:t>próprio</w:t>
      </w:r>
      <w:r>
        <w:rPr>
          <w:rFonts w:cs="Arial" w:ascii="Calibri" w:hAnsi="Calibri"/>
          <w:color w:val="000000"/>
          <w:sz w:val="24"/>
          <w:szCs w:val="24"/>
        </w:rPr>
        <w:t xml:space="preserve"> do sistema eletrônico, às seguintes declarações:</w:t>
      </w:r>
      <w:r>
        <w:rPr>
          <w:rFonts w:eastAsia="Zurich BT" w:cs="Arial" w:ascii="Calibri" w:hAnsi="Calibri"/>
          <w:color w:val="000000"/>
          <w:sz w:val="24"/>
          <w:szCs w:val="24"/>
        </w:rPr>
        <w:t xml:space="preserve"> </w:t>
      </w:r>
    </w:p>
    <w:p>
      <w:pPr>
        <w:pStyle w:val="ListParagraph"/>
        <w:numPr>
          <w:ilvl w:val="0"/>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 xml:space="preserve">que </w:t>
      </w:r>
      <w:r>
        <w:rPr>
          <w:rFonts w:cs="Arial" w:ascii="Calibri" w:hAnsi="Calibri"/>
          <w:color w:val="000000"/>
          <w:sz w:val="24"/>
          <w:szCs w:val="24"/>
        </w:rPr>
        <w:t>cumpre</w:t>
      </w:r>
      <w:r>
        <w:rPr>
          <w:rFonts w:cs="Arial" w:ascii="Calibri" w:hAnsi="Calibri"/>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está ciente e concorda com as condições contidas no Aviso de Contratação Direta e seus anexos;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0"/>
        </w:numPr>
        <w:spacing w:lineRule="auto" w:line="240" w:before="0" w:after="0"/>
        <w:ind w:left="792" w:hanging="0"/>
        <w:contextualSpacing/>
        <w:jc w:val="both"/>
        <w:rPr>
          <w:rFonts w:ascii="Calibri" w:hAnsi="Calibri" w:cs="Arial"/>
          <w:i/>
          <w:i/>
          <w:color w:val="000000" w:themeColor="text1"/>
          <w:sz w:val="24"/>
          <w:szCs w:val="24"/>
        </w:rPr>
      </w:pPr>
      <w:r>
        <w:rPr>
          <w:rFonts w:cs="Arial" w:ascii="Calibri" w:hAnsi="Calibri"/>
          <w:i/>
          <w:color w:val="000000" w:themeColor="text1"/>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FASE DE LANCES</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4"/>
          <w:szCs w:val="24"/>
          <w:lang w:eastAsia="en-US"/>
        </w:rPr>
        <w:t>exclusivamente por meio do sistema eletrônico</w:t>
      </w:r>
      <w:r>
        <w:rPr>
          <w:rFonts w:cs="Arial" w:ascii="Calibri" w:hAnsi="Calibri"/>
          <w:sz w:val="24"/>
          <w:szCs w:val="24"/>
          <w:lang w:eastAsia="en-US"/>
        </w:rPr>
        <w:t xml:space="preserve">, </w:t>
      </w:r>
      <w:r>
        <w:rPr>
          <w:rFonts w:cs="Arial" w:ascii="Calibri" w:hAnsi="Calibri"/>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40" w:before="0" w:after="0"/>
        <w:contextualSpacing/>
        <w:jc w:val="both"/>
        <w:rPr>
          <w:sz w:val="24"/>
          <w:szCs w:val="24"/>
        </w:rPr>
      </w:pPr>
      <w:r>
        <w:rPr>
          <w:rFonts w:cs="Arial" w:ascii="Calibri" w:hAnsi="Calibri"/>
          <w:i w:val="false"/>
          <w:iCs w:val="false"/>
          <w:color w:val="000000"/>
          <w:sz w:val="24"/>
          <w:szCs w:val="24"/>
        </w:rPr>
        <w:t>O lance deverá ser ofertado pelo unitário do item.</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O intervalo mínimo de diferença de valores ou percentuais entre os lances, que incidirá tanto em relação aos lances intermediários quanto em relação ao que cobrir a melhor oferta é de</w:t>
      </w:r>
      <w:r>
        <w:rPr>
          <w:rFonts w:cs="Arial" w:ascii="Calibri" w:hAnsi="Calibri"/>
          <w:i/>
          <w:iCs/>
          <w:sz w:val="24"/>
          <w:szCs w:val="24"/>
        </w:rPr>
        <w:t xml:space="preserve"> </w:t>
      </w:r>
      <w:r>
        <w:rPr>
          <w:rFonts w:cs="Arial" w:ascii="Calibri" w:hAnsi="Calibri"/>
          <w:i w:val="false"/>
          <w:iCs w:val="false"/>
          <w:sz w:val="24"/>
          <w:szCs w:val="24"/>
        </w:rPr>
        <w:t>0,</w:t>
      </w:r>
      <w:r>
        <w:rPr>
          <w:rFonts w:cs="Arial" w:ascii="Calibri" w:hAnsi="Calibri"/>
          <w:i w:val="false"/>
          <w:iCs w:val="false"/>
          <w:color w:val="000000"/>
          <w:sz w:val="24"/>
          <w:szCs w:val="24"/>
        </w:rPr>
        <w:t>01 (hum centavo).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Caso o fornecedor não apresente lances, concorrerá com o valor de sua proposta.</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numPr>
          <w:ilvl w:val="0"/>
          <w:numId w:val="0"/>
        </w:numPr>
        <w:spacing w:lineRule="auto" w:line="240" w:before="0" w:after="0"/>
        <w:ind w:left="1944"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JULGAMENTO DAS PROPOSTAS DE PREÇO</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Em qualquer caso, concluída a negociação, o resultado será registrado na ata do procedimento da dispensa eletrônica.</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Estando o preço compatível, será solicitado o envio da proposta e, se necessário, de documentos complementares, adequada ao último lance.</w:t>
      </w:r>
    </w:p>
    <w:p>
      <w:pPr>
        <w:pStyle w:val="Normal"/>
        <w:numPr>
          <w:ilvl w:val="1"/>
          <w:numId w:val="1"/>
        </w:numPr>
        <w:spacing w:lineRule="auto" w:line="240" w:before="0" w:after="0"/>
        <w:contextualSpacing/>
        <w:jc w:val="both"/>
        <w:rPr>
          <w:sz w:val="24"/>
          <w:szCs w:val="24"/>
        </w:rPr>
      </w:pPr>
      <w:r>
        <w:rPr>
          <w:rFonts w:cs="Arial" w:ascii="Calibri" w:hAnsi="Calibri"/>
          <w:color w:val="000000" w:themeColor="text1"/>
          <w:sz w:val="24"/>
          <w:szCs w:val="24"/>
        </w:rPr>
        <w:t xml:space="preserve">O prazo de validade </w:t>
      </w:r>
      <w:r>
        <w:rPr>
          <w:rFonts w:cs="Arial" w:ascii="Calibri" w:hAnsi="Calibri"/>
          <w:sz w:val="24"/>
          <w:szCs w:val="24"/>
        </w:rPr>
        <w:t>da</w:t>
      </w:r>
      <w:r>
        <w:rPr>
          <w:rFonts w:cs="Arial" w:ascii="Calibri" w:hAnsi="Calibri"/>
          <w:color w:val="000000" w:themeColor="text1"/>
          <w:sz w:val="24"/>
          <w:szCs w:val="24"/>
        </w:rPr>
        <w:t xml:space="preserve"> proposta não será inferior a 60</w:t>
      </w:r>
      <w:r>
        <w:rPr>
          <w:rFonts w:cs="Arial" w:ascii="Calibri" w:hAnsi="Calibri"/>
          <w:color w:val="FF0000"/>
          <w:sz w:val="24"/>
          <w:szCs w:val="24"/>
        </w:rPr>
        <w:t xml:space="preserve"> </w:t>
      </w:r>
      <w:r>
        <w:rPr>
          <w:rFonts w:cs="Arial" w:ascii="Calibri" w:hAnsi="Calibri"/>
          <w:color w:val="000000"/>
          <w:sz w:val="24"/>
          <w:szCs w:val="24"/>
        </w:rPr>
        <w:t>(sessenta)</w:t>
      </w:r>
      <w:r>
        <w:rPr>
          <w:rFonts w:cs="Arial" w:ascii="Calibri" w:hAnsi="Calibri"/>
          <w:color w:val="000000" w:themeColor="text1"/>
          <w:sz w:val="24"/>
          <w:szCs w:val="24"/>
        </w:rPr>
        <w:t xml:space="preserve"> dias</w:t>
      </w:r>
      <w:r>
        <w:rPr>
          <w:rFonts w:cs="Arial" w:ascii="Calibri" w:hAnsi="Calibri"/>
          <w:b/>
          <w:bCs/>
          <w:color w:val="000000" w:themeColor="text1"/>
          <w:sz w:val="24"/>
          <w:szCs w:val="24"/>
        </w:rPr>
        <w:t>,</w:t>
      </w:r>
      <w:r>
        <w:rPr>
          <w:rFonts w:cs="Arial" w:ascii="Calibri" w:hAnsi="Calibri"/>
          <w:color w:val="000000" w:themeColor="text1"/>
          <w:sz w:val="24"/>
          <w:szCs w:val="24"/>
        </w:rPr>
        <w:t xml:space="preserve"> a contar da data de sua apresentação.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Será desclassificada a proposta vencedora que: </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contiver vícios insanáveis</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não obedecer às especificações técnicas pormenorizadas neste aviso ou em seus anexos</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apresentar preços inexequíveis ou permanecerem acima do preço máximo definido para a contratação;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não tiverem sua exequibilidade demonstrada, quando exigido pela Administração</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apresentar desconformidade com quaisquer outras exigências deste aviso ou seus anexos, desde que insanável.</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Quando</w:t>
      </w:r>
      <w:r>
        <w:rPr>
          <w:rFonts w:cs="Arial" w:ascii="Calibri" w:hAnsi="Calibri"/>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40" w:before="0" w:after="0"/>
        <w:ind w:left="792" w:right="-15" w:hanging="432"/>
        <w:contextualSpacing/>
        <w:jc w:val="both"/>
        <w:rPr>
          <w:sz w:val="24"/>
          <w:szCs w:val="24"/>
        </w:rPr>
      </w:pPr>
      <w:r>
        <w:rPr>
          <w:rFonts w:cs="Arial" w:ascii="Calibri" w:hAnsi="Calibri"/>
          <w:color w:val="000000" w:themeColor="text1"/>
          <w:sz w:val="24"/>
          <w:szCs w:val="24"/>
          <w:lang w:eastAsia="en-US"/>
        </w:rPr>
        <w:t xml:space="preserve">Se houver indícios de inexequibilidade da proposta de preço, ou em caso da necessidade de esclarecimentos </w:t>
      </w:r>
      <w:r>
        <w:rPr>
          <w:rFonts w:cs="Arial" w:ascii="Calibri" w:hAnsi="Calibri"/>
          <w:sz w:val="24"/>
          <w:szCs w:val="24"/>
        </w:rPr>
        <w:t>complementares</w:t>
      </w:r>
      <w:r>
        <w:rPr>
          <w:rFonts w:cs="Arial" w:ascii="Calibri" w:hAnsi="Calibri"/>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Erros no preenchimento da planilha não constituem motivo para a desclassificação da proposta. A planilha </w:t>
      </w:r>
      <w:r>
        <w:rPr>
          <w:rFonts w:cs="Arial" w:ascii="Calibri" w:hAnsi="Calibri"/>
          <w:sz w:val="24"/>
          <w:szCs w:val="24"/>
        </w:rPr>
        <w:t>poderá</w:t>
      </w:r>
      <w:r>
        <w:rPr>
          <w:rFonts w:cs="Arial" w:ascii="Calibri" w:hAnsi="Calibri"/>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Encerrada a análise quanto à aceitação da proposta, se iniciará a fase de habilitação, observado o disposto neste Aviso de Contratação Direta.</w:t>
      </w:r>
    </w:p>
    <w:p>
      <w:pPr>
        <w:pStyle w:val="ListParagraph"/>
        <w:spacing w:lineRule="auto" w:line="240" w:before="0" w:after="0"/>
        <w:ind w:left="720"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HABILITAÇÃO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sz w:val="24"/>
          <w:szCs w:val="24"/>
          <w:lang w:eastAsia="ar-SA"/>
        </w:rPr>
        <w:t xml:space="preserve">Os </w:t>
      </w:r>
      <w:r>
        <w:rPr>
          <w:rFonts w:cs="Arial" w:ascii="Calibri" w:hAnsi="Calibri"/>
          <w:color w:val="000000"/>
          <w:sz w:val="24"/>
          <w:szCs w:val="24"/>
        </w:rPr>
        <w:t>documentos</w:t>
      </w:r>
      <w:r>
        <w:rPr>
          <w:rFonts w:cs="Arial" w:ascii="Calibri" w:hAnsi="Calibri"/>
          <w:sz w:val="24"/>
          <w:szCs w:val="24"/>
          <w:lang w:eastAsia="ar-SA"/>
        </w:rPr>
        <w:t xml:space="preserve"> a serem exigidos para fins de habilitação constam do </w:t>
      </w:r>
      <w:r>
        <w:rPr>
          <w:rFonts w:cs="Arial" w:ascii="Calibri" w:hAnsi="Calibri"/>
          <w:b/>
          <w:sz w:val="24"/>
          <w:szCs w:val="24"/>
          <w:lang w:eastAsia="ar-SA"/>
        </w:rPr>
        <w:t xml:space="preserve">ANEXO I – DOCUMENTAÇÃO EXIGIDA PARA HABILITAÇÃO </w:t>
      </w:r>
      <w:r>
        <w:rPr>
          <w:rFonts w:cs="Arial" w:ascii="Calibri" w:hAnsi="Calibri"/>
          <w:sz w:val="24"/>
          <w:szCs w:val="24"/>
          <w:lang w:eastAsia="ar-SA"/>
        </w:rPr>
        <w:t>deste aviso e serão solicitados do fornecedor mais bem classificado da fase de lances.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sz w:val="24"/>
          <w:szCs w:val="24"/>
          <w:lang w:eastAsia="ar-SA"/>
        </w:rPr>
        <w:t xml:space="preserve">Como </w:t>
      </w:r>
      <w:r>
        <w:rPr>
          <w:rFonts w:cs="Arial" w:ascii="Calibri" w:hAnsi="Calibri"/>
          <w:color w:val="000000"/>
          <w:sz w:val="24"/>
          <w:szCs w:val="24"/>
        </w:rPr>
        <w:t>condição</w:t>
      </w:r>
      <w:r>
        <w:rPr>
          <w:rFonts w:cs="Arial" w:ascii="Calibri" w:hAnsi="Calibri"/>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40" w:before="0" w:after="0"/>
        <w:ind w:left="1134" w:hanging="0"/>
        <w:contextualSpacing/>
        <w:jc w:val="both"/>
        <w:rPr>
          <w:sz w:val="24"/>
          <w:szCs w:val="24"/>
        </w:rPr>
      </w:pPr>
      <w:r>
        <w:rPr>
          <w:rFonts w:cs="Arial" w:ascii="Calibri" w:hAnsi="Calibri"/>
          <w:sz w:val="24"/>
          <w:szCs w:val="24"/>
          <w:lang w:eastAsia="ar-SA"/>
        </w:rPr>
        <w:t xml:space="preserve">a) SICAF;  </w:t>
      </w:r>
    </w:p>
    <w:p>
      <w:pPr>
        <w:pStyle w:val="ListParagraph"/>
        <w:spacing w:lineRule="auto" w:line="240" w:before="0" w:after="0"/>
        <w:ind w:left="1134" w:hanging="0"/>
        <w:contextualSpacing/>
        <w:jc w:val="both"/>
        <w:rPr/>
      </w:pPr>
      <w:r>
        <w:rPr>
          <w:rFonts w:cs="Arial" w:ascii="Calibri" w:hAnsi="Calibri"/>
          <w:sz w:val="24"/>
          <w:szCs w:val="24"/>
          <w:lang w:eastAsia="ar-SA"/>
        </w:rPr>
        <w:t>b) Cadastro Nacional de Empresas Inidôneas e Suspensas - CEIS, mantido pela Controladoria-Geral da União (</w:t>
      </w:r>
      <w:hyperlink r:id="rId3">
        <w:r>
          <w:rPr>
            <w:rStyle w:val="LinkdaInternet"/>
            <w:rFonts w:eastAsia="Calibri" w:cs="Arial" w:ascii="Calibri" w:hAnsi="Calibri"/>
            <w:sz w:val="24"/>
            <w:szCs w:val="24"/>
            <w:lang w:eastAsia="ar-SA"/>
          </w:rPr>
          <w:t>www.portaldatransparencia.gov.br/ceis</w:t>
        </w:r>
      </w:hyperlink>
      <w:r>
        <w:rPr>
          <w:rFonts w:cs="Arial" w:ascii="Calibri" w:hAnsi="Calibri"/>
          <w:sz w:val="24"/>
          <w:szCs w:val="24"/>
          <w:lang w:eastAsia="ar-SA"/>
        </w:rPr>
        <w:t xml:space="preserve">);  </w:t>
      </w:r>
    </w:p>
    <w:p>
      <w:pPr>
        <w:pStyle w:val="ListParagraph"/>
        <w:spacing w:lineRule="auto" w:line="240" w:before="0" w:after="0"/>
        <w:ind w:left="1134" w:hanging="0"/>
        <w:contextualSpacing/>
        <w:jc w:val="both"/>
        <w:rPr/>
      </w:pPr>
      <w:r>
        <w:rPr>
          <w:rFonts w:cs="Arial" w:ascii="Calibri" w:hAnsi="Calibri"/>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libri" w:hAnsi="Calibri"/>
            <w:sz w:val="24"/>
            <w:szCs w:val="24"/>
            <w:lang w:eastAsia="ar-SA"/>
          </w:rPr>
          <w:t>www.cnj.jus.br/improbidade_adm/consultar_requerido.php</w:t>
        </w:r>
      </w:hyperlink>
      <w:r>
        <w:rPr>
          <w:rFonts w:cs="Arial" w:ascii="Calibri" w:hAnsi="Calibri"/>
          <w:sz w:val="24"/>
          <w:szCs w:val="24"/>
          <w:lang w:eastAsia="ar-SA"/>
        </w:rPr>
        <w:t xml:space="preserve">).  </w:t>
      </w:r>
    </w:p>
    <w:p>
      <w:pPr>
        <w:pStyle w:val="ListParagraph"/>
        <w:spacing w:lineRule="auto" w:line="240" w:before="0" w:after="0"/>
        <w:ind w:left="1134" w:hanging="0"/>
        <w:contextualSpacing/>
        <w:jc w:val="both"/>
        <w:rPr>
          <w:sz w:val="24"/>
          <w:szCs w:val="24"/>
        </w:rPr>
      </w:pPr>
      <w:r>
        <w:rPr>
          <w:rFonts w:cs="Arial" w:ascii="Calibri" w:hAnsi="Calibri"/>
          <w:sz w:val="24"/>
          <w:szCs w:val="24"/>
          <w:lang w:eastAsia="ar-SA"/>
        </w:rPr>
        <w:t xml:space="preserve">d) Lista de Inidôneos mantida pelo Tribunal de Contas da União - TCU; </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lang w:eastAsia="ar-SA"/>
        </w:rPr>
        <w:t xml:space="preserve">Para a consulta de </w:t>
      </w:r>
      <w:r>
        <w:rPr>
          <w:rFonts w:cs="Arial" w:ascii="Calibri" w:hAnsi="Calibri"/>
          <w:color w:val="000000" w:themeColor="text1"/>
          <w:sz w:val="24"/>
          <w:szCs w:val="24"/>
        </w:rPr>
        <w:t>fornecedores</w:t>
      </w:r>
      <w:r>
        <w:rPr>
          <w:rFonts w:cs="Arial" w:ascii="Calibri" w:hAnsi="Calibri"/>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 xml:space="preserve">A consulta aos </w:t>
      </w:r>
      <w:r>
        <w:rPr>
          <w:rFonts w:cs="Arial" w:ascii="Calibri" w:hAnsi="Calibri"/>
          <w:sz w:val="24"/>
          <w:szCs w:val="24"/>
          <w:lang w:eastAsia="ar-SA"/>
        </w:rPr>
        <w:t>cadastros</w:t>
      </w:r>
      <w:r>
        <w:rPr>
          <w:rFonts w:cs="Arial" w:ascii="Calibri" w:hAnsi="Calibri"/>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40" w:before="0" w:after="0"/>
        <w:contextualSpacing/>
        <w:jc w:val="both"/>
        <w:rPr>
          <w:sz w:val="24"/>
          <w:szCs w:val="24"/>
        </w:rPr>
      </w:pPr>
      <w:r>
        <w:rPr>
          <w:rFonts w:cs="Arial" w:ascii="Calibri" w:hAnsi="Calibri"/>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40" w:before="0" w:after="0"/>
        <w:contextualSpacing/>
        <w:jc w:val="both"/>
        <w:rPr>
          <w:sz w:val="24"/>
          <w:szCs w:val="24"/>
        </w:rPr>
      </w:pPr>
      <w:r>
        <w:rPr>
          <w:rFonts w:cs="Arial" w:ascii="Calibri" w:hAnsi="Calibri"/>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40" w:before="0" w:after="0"/>
        <w:contextualSpacing/>
        <w:jc w:val="both"/>
        <w:rPr>
          <w:sz w:val="24"/>
          <w:szCs w:val="24"/>
        </w:rPr>
      </w:pPr>
      <w:r>
        <w:rPr>
          <w:rFonts w:cs="Arial" w:ascii="Calibri" w:hAnsi="Calibri"/>
          <w:color w:val="000000" w:themeColor="text1"/>
          <w:sz w:val="24"/>
          <w:szCs w:val="24"/>
        </w:rPr>
        <w:t>O fornecedor será convocado para manifestação previamente à sua desclassificação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 xml:space="preserve">Caso atendidas as condições de participação, </w:t>
      </w:r>
      <w:r>
        <w:rPr>
          <w:rFonts w:cs="Arial" w:ascii="Calibri" w:hAnsi="Calibri"/>
          <w:sz w:val="24"/>
          <w:szCs w:val="24"/>
        </w:rPr>
        <w:t>a habilitação dos fornecedores será verificada por meio do SICAF, nos documentos por ele abrangidos</w:t>
      </w:r>
      <w:r>
        <w:rPr>
          <w:rFonts w:cs="Arial" w:ascii="Calibri" w:hAnsi="Calibri"/>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i w:val="false"/>
          <w:iCs w:val="false"/>
          <w:color w:val="000000"/>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40" w:before="0" w:after="0"/>
        <w:contextualSpacing/>
        <w:jc w:val="both"/>
        <w:rPr>
          <w:sz w:val="24"/>
          <w:szCs w:val="24"/>
        </w:rPr>
      </w:pPr>
      <w:r>
        <w:rPr>
          <w:rFonts w:cs="Arial" w:ascii="Calibri" w:hAnsi="Calibri"/>
          <w:i w:val="false"/>
          <w:iCs w:val="false"/>
          <w:color w:val="000000"/>
          <w:sz w:val="24"/>
          <w:szCs w:val="24"/>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bCs/>
          <w:sz w:val="24"/>
          <w:szCs w:val="24"/>
        </w:rPr>
        <w:t xml:space="preserve">Havendo </w:t>
      </w:r>
      <w:r>
        <w:rPr>
          <w:rFonts w:cs="Arial" w:ascii="Calibri" w:hAnsi="Calibri"/>
          <w:iCs/>
          <w:sz w:val="24"/>
          <w:szCs w:val="24"/>
          <w:lang w:eastAsia="en-US"/>
        </w:rPr>
        <w:t>necessidade</w:t>
      </w:r>
      <w:r>
        <w:rPr>
          <w:rFonts w:cs="Arial" w:ascii="Calibri" w:hAnsi="Calibri"/>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sz w:val="24"/>
          <w:szCs w:val="24"/>
        </w:rPr>
        <w:t xml:space="preserve">Será inabilitado o fornecedor que não comprovar sua habilitação, seja por não apresentar </w:t>
      </w:r>
      <w:r>
        <w:rPr>
          <w:rFonts w:cs="Arial" w:ascii="Calibri" w:hAnsi="Calibri"/>
          <w:iCs/>
          <w:sz w:val="24"/>
          <w:szCs w:val="24"/>
          <w:lang w:eastAsia="en-US"/>
        </w:rPr>
        <w:t>quaisquer</w:t>
      </w:r>
      <w:r>
        <w:rPr>
          <w:rFonts w:cs="Arial" w:ascii="Calibri" w:hAnsi="Calibri"/>
          <w:color w:val="000000"/>
          <w:sz w:val="24"/>
          <w:szCs w:val="24"/>
        </w:rPr>
        <w:t xml:space="preserve"> dos </w:t>
      </w:r>
      <w:r>
        <w:rPr>
          <w:rFonts w:cs="Arial" w:ascii="Calibri" w:hAnsi="Calibri"/>
          <w:bCs/>
          <w:sz w:val="24"/>
          <w:szCs w:val="24"/>
        </w:rPr>
        <w:t>documentos</w:t>
      </w:r>
      <w:r>
        <w:rPr>
          <w:rFonts w:cs="Arial" w:ascii="Calibri" w:hAnsi="Calibri"/>
          <w:color w:val="000000"/>
          <w:sz w:val="24"/>
          <w:szCs w:val="24"/>
        </w:rPr>
        <w:t xml:space="preserve"> exigidos, ou apresentá-los em desacordo com o estabelecido neste Aviso de Contratação Direta.</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iCs/>
          <w:sz w:val="24"/>
          <w:szCs w:val="24"/>
          <w:lang w:eastAsia="en-US"/>
        </w:rPr>
        <w:t>Constatado o atendimento às exigências de habilitação, o fornecedor será habilitado</w:t>
      </w:r>
    </w:p>
    <w:p>
      <w:pPr>
        <w:pStyle w:val="ListParagraph"/>
        <w:numPr>
          <w:ilvl w:val="0"/>
          <w:numId w:val="0"/>
        </w:numPr>
        <w:spacing w:lineRule="auto" w:line="240" w:before="0" w:after="0"/>
        <w:ind w:left="1010" w:hanging="0"/>
        <w:contextualSpacing/>
        <w:jc w:val="both"/>
        <w:rPr>
          <w:rFonts w:ascii="Calibri" w:hAnsi="Calibri" w:cs="Arial"/>
          <w:iCs/>
          <w:sz w:val="24"/>
          <w:szCs w:val="24"/>
          <w:lang w:eastAsia="en-US"/>
        </w:rPr>
      </w:pPr>
      <w:r>
        <w:rPr>
          <w:rFonts w:cs="Arial" w:ascii="Calibri" w:hAnsi="Calibri"/>
          <w:iCs/>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CONTRATAÇÃO</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O adjudicatário terá o prazo de 5 (cinco) dias úteis, contados a partir da data de sua convocação, para assinar o Termo de Contrato ou aceitar instrumento equivalente, conforme o caso (Nota de Empenho/Carta Contrato/Autorização),</w:t>
      </w:r>
      <w:r>
        <w:rPr>
          <w:rFonts w:eastAsia="Arial" w:cs="Arial" w:ascii="Calibri" w:hAnsi="Calibri"/>
          <w:color w:val="FF0000"/>
          <w:sz w:val="24"/>
          <w:szCs w:val="24"/>
        </w:rPr>
        <w:t xml:space="preserve"> </w:t>
      </w:r>
      <w:r>
        <w:rPr>
          <w:rFonts w:eastAsia="Arial" w:cs="Arial" w:ascii="Calibri" w:hAnsi="Calibri"/>
          <w:color w:val="000000"/>
          <w:sz w:val="24"/>
          <w:szCs w:val="24"/>
        </w:rPr>
        <w:t xml:space="preserve">sob pena de decair do direito à contratação, sem prejuízo das sanções previstas neste Aviso de Contratação Direta. </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w:t>
      </w:r>
      <w:r>
        <w:rPr>
          <w:rFonts w:eastAsia="Arial" w:cs="Arial" w:ascii="Calibri" w:hAnsi="Calibri"/>
          <w:i w:val="false"/>
          <w:iCs w:val="false"/>
          <w:color w:val="FF0000"/>
          <w:sz w:val="24"/>
          <w:szCs w:val="24"/>
        </w:rPr>
        <w:t xml:space="preserve"> </w:t>
      </w:r>
    </w:p>
    <w:p>
      <w:pPr>
        <w:pStyle w:val="Normal"/>
        <w:numPr>
          <w:ilvl w:val="2"/>
          <w:numId w:val="1"/>
        </w:numPr>
        <w:spacing w:lineRule="auto" w:line="240" w:before="0" w:after="0"/>
        <w:contextualSpacing/>
        <w:jc w:val="both"/>
        <w:rPr>
          <w:sz w:val="24"/>
          <w:szCs w:val="24"/>
        </w:rPr>
      </w:pPr>
      <w:r>
        <w:rPr>
          <w:rFonts w:eastAsia="Arial" w:cs="Arial" w:ascii="Calibri" w:hAnsi="Calibri"/>
          <w:color w:val="000000"/>
          <w:sz w:val="24"/>
          <w:szCs w:val="24"/>
        </w:rPr>
        <w:t xml:space="preserve">O prazo previsto para assinatura do contrato ou aceitação da nota de empenho ou instrumento equivalente poderá ser prorrogado </w:t>
      </w:r>
      <w:r>
        <w:rPr>
          <w:rFonts w:cs="Times New Roman" w:ascii="Calibri" w:hAnsi="Calibri"/>
          <w:bCs/>
          <w:sz w:val="24"/>
          <w:szCs w:val="24"/>
        </w:rPr>
        <w:t>1 (uma) vez</w:t>
      </w:r>
      <w:r>
        <w:rPr>
          <w:rFonts w:eastAsia="Arial" w:cs="Arial" w:ascii="Calibri" w:hAnsi="Calibri"/>
          <w:sz w:val="24"/>
          <w:szCs w:val="24"/>
        </w:rPr>
        <w:t xml:space="preserve">, </w:t>
      </w:r>
      <w:r>
        <w:rPr>
          <w:rFonts w:eastAsia="Arial" w:cs="Arial" w:ascii="Calibri" w:hAnsi="Calibri"/>
          <w:color w:val="000000"/>
          <w:sz w:val="24"/>
          <w:szCs w:val="24"/>
        </w:rPr>
        <w:t>por igual período, por solicitação justificada do adjudicatário e aceita pela Administração.</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O prazo de vigência da contratação é de 12 (doze) meses</w:t>
      </w:r>
      <w:r>
        <w:rPr>
          <w:rFonts w:eastAsia="Arial" w:cs="Arial" w:ascii="Calibri" w:hAnsi="Calibri"/>
          <w:color w:val="FF0000"/>
          <w:sz w:val="24"/>
          <w:szCs w:val="24"/>
        </w:rPr>
        <w:t xml:space="preserve">, </w:t>
      </w:r>
      <w:r>
        <w:rPr>
          <w:rFonts w:eastAsia="Arial" w:cs="Arial" w:ascii="Calibri" w:hAnsi="Calibri"/>
          <w:color w:val="000000"/>
          <w:sz w:val="24"/>
          <w:szCs w:val="24"/>
        </w:rPr>
        <w:t xml:space="preserve">prorrogável conforme previsão nos anexos a este Aviso de Contratação Direta. </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40" w:before="0" w:after="0"/>
        <w:ind w:left="1217" w:hanging="0"/>
        <w:contextualSpacing/>
        <w:jc w:val="both"/>
        <w:rPr>
          <w:rFonts w:ascii="Calibri" w:hAnsi="Calibri" w:cs="Arial"/>
          <w:color w:val="000000"/>
          <w:sz w:val="24"/>
          <w:szCs w:val="24"/>
        </w:rPr>
      </w:pPr>
      <w:r>
        <w:rPr>
          <w:rFonts w:cs="Arial" w:ascii="Calibri" w:hAnsi="Calibri"/>
          <w:color w:val="000000"/>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SANÇÕES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parcial do contrato</w:t>
      </w:r>
      <w:r>
        <w:rPr>
          <w:rFonts w:cs="Arial" w:ascii="Calibri" w:hAnsi="Calibri"/>
          <w:sz w:val="24"/>
          <w:szCs w:val="24"/>
        </w:rPr>
        <w:t>;</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total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deixar de entregar a documentação exigida para o certame;</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não manter a proposta, salvo em decorrência de fato superveniente devidamente justificado;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ensejar o retardamento da execução ou da entrega do objeto da licitação sem motivo justificado;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fraudar a dispensa eletrônica ou praticar ato fraudulento na execução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comportar-se de modo inidôneo ou cometer fraude de qualquer natureza;</w:t>
      </w:r>
    </w:p>
    <w:p>
      <w:pPr>
        <w:pStyle w:val="ListParagraph"/>
        <w:numPr>
          <w:ilvl w:val="3"/>
          <w:numId w:val="1"/>
        </w:numPr>
        <w:spacing w:lineRule="auto" w:line="240" w:before="0" w:after="0"/>
        <w:contextualSpacing/>
        <w:jc w:val="both"/>
        <w:rPr>
          <w:sz w:val="24"/>
          <w:szCs w:val="24"/>
        </w:rPr>
      </w:pPr>
      <w:r>
        <w:rPr>
          <w:rFonts w:cs="Arial" w:ascii="Calibri" w:hAnsi="Calibri"/>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praticar atos ilícitos com vistas a frustrar os objetivos deste certame.</w:t>
      </w:r>
    </w:p>
    <w:p>
      <w:pPr>
        <w:pStyle w:val="Normal"/>
        <w:numPr>
          <w:ilvl w:val="2"/>
          <w:numId w:val="1"/>
        </w:numPr>
        <w:spacing w:lineRule="auto" w:line="240" w:before="0" w:after="0"/>
        <w:contextualSpacing/>
        <w:jc w:val="both"/>
        <w:rPr/>
      </w:pPr>
      <w:r>
        <w:rPr>
          <w:rFonts w:cs="Arial" w:ascii="Calibri" w:hAnsi="Calibri"/>
          <w:color w:val="000000"/>
          <w:sz w:val="24"/>
          <w:szCs w:val="24"/>
        </w:rPr>
        <w:t>praticar ato lesivo previsto no </w:t>
      </w:r>
      <w:r>
        <w:fldChar w:fldCharType="begin"/>
      </w:r>
      <w:r>
        <w:rPr>
          <w:sz w:val="24"/>
          <w:szCs w:val="24"/>
          <w:rFonts w:ascii="Calibri" w:hAnsi="Calibri"/>
          <w:color w:val="000000"/>
        </w:rPr>
        <w:instrText> HYPERLINK "http://www.planalto.gov.br/ccivil_03/_Ato2011-2014/2013/Lei/L12846.htm" \l "art5"</w:instrText>
      </w:r>
      <w:r>
        <w:rPr>
          <w:sz w:val="24"/>
          <w:szCs w:val="24"/>
          <w:rFonts w:ascii="Calibri" w:hAnsi="Calibri"/>
          <w:color w:val="000000"/>
        </w:rPr>
        <w:fldChar w:fldCharType="separate"/>
      </w:r>
      <w:r>
        <w:rPr>
          <w:rFonts w:ascii="Calibri" w:hAnsi="Calibri"/>
          <w:color w:val="000000"/>
          <w:sz w:val="24"/>
          <w:szCs w:val="24"/>
        </w:rPr>
        <w:t>art. 5º da Lei nº 12.846, de 1º de agosto de 2013.</w:t>
      </w:r>
      <w:r>
        <w:rPr>
          <w:sz w:val="24"/>
          <w:szCs w:val="24"/>
          <w:rFonts w:ascii="Calibri" w:hAnsi="Calibri"/>
          <w:color w:val="000000"/>
        </w:rPr>
        <w:fldChar w:fldCharType="end"/>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40" w:before="0" w:after="0"/>
        <w:contextualSpacing/>
        <w:jc w:val="both"/>
        <w:rPr>
          <w:sz w:val="24"/>
          <w:szCs w:val="24"/>
        </w:rPr>
      </w:pPr>
      <w:r>
        <w:rPr>
          <w:rFonts w:cs="Arial" w:ascii="Calibri" w:hAnsi="Calibri"/>
          <w:sz w:val="24"/>
          <w:szCs w:val="24"/>
        </w:rPr>
        <w:t>Advertência pela falta do subitem 8.1.1 deste Aviso de Contratação Direta,</w:t>
      </w:r>
      <w:r>
        <w:rPr>
          <w:rFonts w:ascii="Calibri" w:hAnsi="Calibri"/>
          <w:sz w:val="24"/>
          <w:szCs w:val="24"/>
        </w:rPr>
        <w:t xml:space="preserve"> </w:t>
      </w:r>
      <w:r>
        <w:rPr>
          <w:rFonts w:cs="Arial" w:ascii="Calibri" w:hAnsi="Calibri"/>
          <w:sz w:val="24"/>
          <w:szCs w:val="24"/>
        </w:rPr>
        <w:t>quando não se justificar a imposição de penalidade mais grave;</w:t>
      </w:r>
    </w:p>
    <w:p>
      <w:pPr>
        <w:pStyle w:val="Normal"/>
        <w:numPr>
          <w:ilvl w:val="2"/>
          <w:numId w:val="5"/>
        </w:numPr>
        <w:spacing w:lineRule="auto" w:line="240" w:before="0" w:after="0"/>
        <w:contextualSpacing/>
        <w:jc w:val="both"/>
        <w:rPr>
          <w:sz w:val="24"/>
          <w:szCs w:val="24"/>
        </w:rPr>
      </w:pPr>
      <w:r>
        <w:rPr>
          <w:rFonts w:cs="Arial" w:ascii="Calibri" w:hAnsi="Calibri"/>
          <w:sz w:val="24"/>
          <w:szCs w:val="24"/>
        </w:rPr>
        <w:t>Multa</w:t>
      </w:r>
      <w:r>
        <w:rPr>
          <w:rFonts w:cs="Arial" w:ascii="Calibri" w:hAnsi="Calibri"/>
          <w:color w:val="000000"/>
          <w:sz w:val="24"/>
          <w:szCs w:val="24"/>
        </w:rPr>
        <w:t xml:space="preserve"> de 2% (dois por cento) sobre o valor estimado do(s) item(s) prejudicado(s) pela conduta do fornecedo</w:t>
      </w:r>
      <w:r>
        <w:rPr>
          <w:rFonts w:cs="Arial" w:ascii="Calibri" w:hAnsi="Calibri"/>
          <w:sz w:val="24"/>
          <w:szCs w:val="24"/>
        </w:rPr>
        <w:t>r, por qualquer das infrações dos subitens 8.1.1 a 8.1.12;</w:t>
      </w:r>
    </w:p>
    <w:p>
      <w:pPr>
        <w:pStyle w:val="Normal"/>
        <w:numPr>
          <w:ilvl w:val="2"/>
          <w:numId w:val="5"/>
        </w:numPr>
        <w:spacing w:lineRule="auto" w:line="240" w:before="0" w:after="0"/>
        <w:contextualSpacing/>
        <w:jc w:val="both"/>
        <w:rPr>
          <w:sz w:val="24"/>
          <w:szCs w:val="24"/>
        </w:rPr>
      </w:pPr>
      <w:r>
        <w:rPr>
          <w:rFonts w:cs="Arial" w:ascii="Calibri" w:hAnsi="Calibri"/>
          <w:color w:val="000000"/>
          <w:sz w:val="24"/>
          <w:szCs w:val="24"/>
        </w:rPr>
        <w:t>Impedimento de licitar e contratar</w:t>
      </w:r>
      <w:r>
        <w:rPr>
          <w:rFonts w:cs="Arial" w:ascii="Calibri" w:hAnsi="Calibri"/>
          <w:sz w:val="24"/>
          <w:szCs w:val="24"/>
        </w:rPr>
        <w:t xml:space="preserve"> </w:t>
      </w:r>
      <w:r>
        <w:rPr>
          <w:rFonts w:cs="Arial" w:ascii="Calibri" w:hAnsi="Calibri"/>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szCs w:val="24"/>
        </w:rPr>
        <w:t>;</w:t>
      </w:r>
    </w:p>
    <w:p>
      <w:pPr>
        <w:pStyle w:val="Normal"/>
        <w:numPr>
          <w:ilvl w:val="2"/>
          <w:numId w:val="5"/>
        </w:numPr>
        <w:spacing w:lineRule="auto" w:line="240" w:before="0" w:after="0"/>
        <w:contextualSpacing/>
        <w:jc w:val="both"/>
        <w:rPr>
          <w:sz w:val="24"/>
          <w:szCs w:val="24"/>
        </w:rPr>
      </w:pPr>
      <w:r>
        <w:rPr>
          <w:rFonts w:cs="Arial" w:ascii="Calibri" w:hAnsi="Calibri"/>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szCs w:val="24"/>
        </w:rPr>
        <w:t>;</w:t>
      </w:r>
    </w:p>
    <w:p>
      <w:pPr>
        <w:pStyle w:val="Normal"/>
        <w:numPr>
          <w:ilvl w:val="1"/>
          <w:numId w:val="1"/>
        </w:numPr>
        <w:spacing w:lineRule="auto" w:line="240" w:before="0" w:after="0"/>
        <w:contextualSpacing/>
        <w:jc w:val="both"/>
        <w:rPr>
          <w:sz w:val="24"/>
          <w:szCs w:val="24"/>
        </w:rPr>
      </w:pPr>
      <w:r>
        <w:rPr>
          <w:rFonts w:cs="Arial" w:ascii="Calibri" w:hAnsi="Calibri"/>
          <w:bCs/>
          <w:sz w:val="24"/>
          <w:szCs w:val="24"/>
        </w:rPr>
        <w:t>Na aplicação das sanções serão considerados:</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 natureza e a gravidade da infração cometida;</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as peculiaridades do caso concreto;</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as circunstâncias agravantes ou atenuantes;</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os danos que dela provierem para a Administração Pública;</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 implantação ou o aperfeiçoamento de programa de integridade, conforme normas e orientações dos órgãos de controle.</w:t>
      </w:r>
    </w:p>
    <w:p>
      <w:pPr>
        <w:pStyle w:val="Normal"/>
        <w:numPr>
          <w:ilvl w:val="1"/>
          <w:numId w:val="1"/>
        </w:numPr>
        <w:spacing w:lineRule="auto" w:line="240" w:before="0" w:after="0"/>
        <w:ind w:left="425" w:hanging="0"/>
        <w:contextualSpacing/>
        <w:jc w:val="both"/>
        <w:rPr>
          <w:sz w:val="24"/>
          <w:szCs w:val="24"/>
        </w:rPr>
      </w:pPr>
      <w:bookmarkStart w:id="3" w:name="art156%252525252525252525252525252525252"/>
      <w:bookmarkStart w:id="4" w:name="art156%252525252525252525252525252525252"/>
      <w:bookmarkStart w:id="5" w:name="art156%252525252525252525252525252525252"/>
      <w:bookmarkEnd w:id="3"/>
      <w:bookmarkEnd w:id="4"/>
      <w:bookmarkEnd w:id="5"/>
      <w:r>
        <w:rPr>
          <w:rFonts w:cs="Arial" w:ascii="Calibri" w:hAnsi="Calibr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40" w:before="0" w:after="0"/>
        <w:ind w:left="425" w:hanging="0"/>
        <w:contextualSpacing/>
        <w:jc w:val="both"/>
        <w:rPr>
          <w:sz w:val="24"/>
          <w:szCs w:val="24"/>
        </w:rPr>
      </w:pPr>
      <w:bookmarkStart w:id="6" w:name="art156%252525252525252525252525252525252"/>
      <w:bookmarkEnd w:id="6"/>
      <w:r>
        <w:rPr>
          <w:rFonts w:cs="Arial" w:ascii="Calibri" w:hAnsi="Calibri"/>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penalidade de multa pode ser aplicada cumulativamente com as demais sanções.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As sanções por atos praticados no decorrer da contratação estão previstas nos anexos a este Aviso.</w:t>
      </w:r>
    </w:p>
    <w:p>
      <w:pPr>
        <w:pStyle w:val="Normal"/>
        <w:spacing w:lineRule="auto" w:line="240" w:before="0" w:after="0"/>
        <w:ind w:left="425" w:hanging="0"/>
        <w:contextualSpacing/>
        <w:jc w:val="both"/>
        <w:rPr>
          <w:rFonts w:ascii="Calibri" w:hAnsi="Calibri" w:cs="Arial"/>
          <w:sz w:val="24"/>
          <w:szCs w:val="24"/>
        </w:rPr>
      </w:pPr>
      <w:r>
        <w:rPr>
          <w:rFonts w:cs="Arial" w:ascii="Calibri" w:hAnsi="Calibri"/>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DAS DISPOSIÇÕES GERAIS</w:t>
      </w:r>
    </w:p>
    <w:p>
      <w:pPr>
        <w:pStyle w:val="Normal"/>
        <w:numPr>
          <w:ilvl w:val="1"/>
          <w:numId w:val="1"/>
        </w:numPr>
        <w:snapToGrid w:val="false"/>
        <w:spacing w:lineRule="auto" w:line="240" w:before="0" w:after="0"/>
        <w:ind w:left="425" w:hanging="0"/>
        <w:contextualSpacing/>
        <w:jc w:val="both"/>
        <w:rPr>
          <w:sz w:val="24"/>
          <w:szCs w:val="24"/>
        </w:rPr>
      </w:pPr>
      <w:r>
        <w:rPr>
          <w:rFonts w:ascii="Calibri" w:hAnsi="Calibr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No caso de todos os fornecedores restarem desclassificados ou inabilitados (procedimento fracassado), a Administração poderá:</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republicar o presente aviso com uma nova data;</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No caso do subitem anterior, a contratação será operacionalizada fora deste procedimento.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fixar prazo para que possa haver adequação das propostas ou da documentação de habilitação, conforme o caso.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Da sessão pública será divulgada Ata no sistema eletrônico.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Integram este Aviso de Contratação Direta, para todos os fins e efeitos, os seguintes anexos:</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xml:space="preserve">ANEXO I </w:t>
      </w:r>
      <w:bookmarkStart w:id="7" w:name="__DdeLink__4139_2413469259"/>
      <w:r>
        <w:rPr>
          <w:rFonts w:cs="Arial" w:ascii="Calibri" w:hAnsi="Calibri"/>
          <w:color w:val="000000"/>
          <w:sz w:val="24"/>
          <w:szCs w:val="24"/>
        </w:rPr>
        <w:t>–</w:t>
      </w:r>
      <w:bookmarkEnd w:id="7"/>
      <w:r>
        <w:rPr>
          <w:rFonts w:cs="Arial" w:ascii="Calibri" w:hAnsi="Calibri"/>
          <w:color w:val="000000"/>
          <w:sz w:val="24"/>
          <w:szCs w:val="24"/>
        </w:rPr>
        <w:t xml:space="preserve"> Documentação exigida para Habilitação e</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xml:space="preserve">ANEXO II – </w:t>
      </w:r>
      <w:r>
        <w:rPr>
          <w:rFonts w:cs="Arial" w:ascii="Calibri" w:hAnsi="Calibri"/>
          <w:i w:val="false"/>
          <w:iCs w:val="false"/>
          <w:color w:val="000000"/>
          <w:sz w:val="24"/>
          <w:szCs w:val="24"/>
        </w:rPr>
        <w:t>Estudo Técnico Preliminar.</w:t>
      </w:r>
    </w:p>
    <w:p>
      <w:pPr>
        <w:pStyle w:val="Normal"/>
        <w:numPr>
          <w:ilvl w:val="0"/>
          <w:numId w:val="0"/>
        </w:numPr>
        <w:spacing w:lineRule="auto" w:line="240" w:before="0" w:after="0"/>
        <w:ind w:left="1224" w:hanging="0"/>
        <w:contextualSpacing/>
        <w:jc w:val="both"/>
        <w:rPr>
          <w:rFonts w:ascii="Calibri" w:hAnsi="Calibri" w:cs="Arial"/>
          <w:i w:val="false"/>
          <w:i w:val="false"/>
          <w:iCs w:val="false"/>
          <w:color w:val="FF0000"/>
          <w:sz w:val="24"/>
          <w:szCs w:val="24"/>
        </w:rPr>
      </w:pPr>
      <w:r>
        <w:rPr>
          <w:rFonts w:cs="Arial" w:ascii="Calibri" w:hAnsi="Calibri"/>
          <w:i w:val="false"/>
          <w:iCs w:val="false"/>
          <w:color w:val="FF0000"/>
          <w:sz w:val="24"/>
          <w:szCs w:val="24"/>
        </w:rPr>
      </w:r>
    </w:p>
    <w:p>
      <w:pPr>
        <w:pStyle w:val="Normal"/>
        <w:numPr>
          <w:ilvl w:val="0"/>
          <w:numId w:val="0"/>
        </w:numPr>
        <w:spacing w:lineRule="auto" w:line="240" w:before="0" w:after="0"/>
        <w:ind w:left="1224" w:hanging="0"/>
        <w:contextualSpacing/>
        <w:jc w:val="both"/>
        <w:rPr>
          <w:rFonts w:ascii="Calibri" w:hAnsi="Calibri" w:cs="Arial"/>
          <w:i/>
          <w:i/>
          <w:iCs/>
          <w:color w:val="000000"/>
          <w:sz w:val="24"/>
          <w:szCs w:val="24"/>
        </w:rPr>
      </w:pPr>
      <w:r>
        <w:rPr>
          <w:rFonts w:cs="Arial" w:ascii="Calibri" w:hAnsi="Calibri"/>
          <w:i/>
          <w:iCs/>
          <w:color w:val="000000"/>
          <w:sz w:val="24"/>
          <w:szCs w:val="24"/>
        </w:rPr>
      </w:r>
    </w:p>
    <w:p>
      <w:pPr>
        <w:pStyle w:val="Normal"/>
        <w:spacing w:lineRule="auto" w:line="240" w:before="0" w:after="0"/>
        <w:ind w:left="360" w:right="-15" w:hanging="0"/>
        <w:contextualSpacing/>
        <w:jc w:val="right"/>
        <w:rPr>
          <w:sz w:val="24"/>
          <w:szCs w:val="24"/>
        </w:rPr>
      </w:pPr>
      <w:r>
        <w:rPr>
          <w:rFonts w:cs="Arial" w:ascii="Calibri" w:hAnsi="Calibri"/>
          <w:color w:val="000000"/>
          <w:sz w:val="24"/>
          <w:szCs w:val="24"/>
        </w:rPr>
        <w:t>Fortaleza - CE, 11 de agosto de 2022</w:t>
      </w:r>
    </w:p>
    <w:p>
      <w:pPr>
        <w:pStyle w:val="Normal"/>
        <w:spacing w:lineRule="auto" w:line="240" w:before="0" w:after="0"/>
        <w:ind w:left="360" w:right="-15" w:hanging="0"/>
        <w:contextualSpacing/>
        <w:jc w:val="right"/>
        <w:rPr>
          <w:rFonts w:ascii="Calibri" w:hAnsi="Calibri" w:cs="Arial"/>
          <w:color w:val="000000"/>
          <w:sz w:val="24"/>
          <w:szCs w:val="24"/>
        </w:rPr>
      </w:pPr>
      <w:r>
        <w:rPr>
          <w:rFonts w:cs="Arial" w:ascii="Calibri" w:hAnsi="Calibri"/>
          <w:color w:val="000000"/>
          <w:sz w:val="24"/>
          <w:szCs w:val="24"/>
        </w:rPr>
      </w:r>
    </w:p>
    <w:p>
      <w:pPr>
        <w:pStyle w:val="Normal"/>
        <w:spacing w:lineRule="auto" w:line="240" w:before="0" w:after="0"/>
        <w:ind w:left="360" w:right="-15" w:hanging="0"/>
        <w:contextualSpacing/>
        <w:jc w:val="right"/>
        <w:rPr>
          <w:rFonts w:ascii="Calibri" w:hAnsi="Calibri" w:cs="Arial"/>
          <w:color w:val="000000"/>
          <w:sz w:val="24"/>
          <w:szCs w:val="24"/>
        </w:rPr>
      </w:pPr>
      <w:r>
        <w:rPr>
          <w:rFonts w:cs="Arial" w:ascii="Calibri" w:hAnsi="Calibri"/>
          <w:color w:val="000000"/>
          <w:sz w:val="24"/>
          <w:szCs w:val="24"/>
        </w:rPr>
      </w:r>
    </w:p>
    <w:p>
      <w:pPr>
        <w:pStyle w:val="Normal"/>
        <w:spacing w:lineRule="auto" w:line="240" w:before="0" w:after="0"/>
        <w:contextualSpacing/>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spacing w:lineRule="auto" w:line="240" w:before="0" w:after="0"/>
        <w:contextualSpacing/>
        <w:jc w:val="center"/>
        <w:rPr>
          <w:sz w:val="24"/>
          <w:szCs w:val="24"/>
        </w:rPr>
      </w:pPr>
      <w:r>
        <w:rPr>
          <w:rFonts w:cs="Arial" w:ascii="Calibri" w:hAnsi="Calibri"/>
          <w:sz w:val="24"/>
          <w:szCs w:val="24"/>
          <w:lang w:eastAsia="en-US"/>
        </w:rPr>
        <w:t>DANIEL ROCHA</w:t>
      </w:r>
    </w:p>
    <w:p>
      <w:pPr>
        <w:pStyle w:val="Normal"/>
        <w:spacing w:lineRule="auto" w:line="240" w:before="0" w:after="0"/>
        <w:contextualSpacing/>
        <w:jc w:val="center"/>
        <w:rPr>
          <w:sz w:val="24"/>
          <w:szCs w:val="24"/>
        </w:rPr>
      </w:pPr>
      <w:r>
        <w:rPr>
          <w:rFonts w:cs="Arial" w:ascii="Calibri" w:hAnsi="Calibri"/>
          <w:sz w:val="24"/>
          <w:szCs w:val="24"/>
          <w:lang w:eastAsia="en-US"/>
        </w:rPr>
        <w:t>Ordenador de Despesas</w:t>
      </w:r>
    </w:p>
    <w:p>
      <w:pPr>
        <w:pStyle w:val="Normal"/>
        <w:spacing w:lineRule="auto" w:line="240" w:before="0" w:after="0"/>
        <w:contextualSpacing/>
        <w:jc w:val="center"/>
        <w:rPr>
          <w:rFonts w:ascii="Calibri" w:hAnsi="Calibri" w:cs="Arial"/>
          <w:sz w:val="24"/>
          <w:szCs w:val="24"/>
          <w:lang w:eastAsia="en-US"/>
        </w:rPr>
      </w:pPr>
      <w:r>
        <w:rPr>
          <w:rFonts w:cs="Arial" w:ascii="Calibri" w:hAnsi="Calibri"/>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sz w:val="24"/>
          <w:szCs w:val="24"/>
        </w:rPr>
      </w:pPr>
      <w:r>
        <w:rPr>
          <w:rFonts w:cs="Arial" w:ascii="Calibri" w:hAnsi="Calibri"/>
          <w:b/>
          <w:bCs/>
          <w:sz w:val="24"/>
          <w:szCs w:val="24"/>
          <w:lang w:eastAsia="en-US"/>
        </w:rPr>
        <w:t>ANEXO I – DOCUMENTAÇÃO EXIGIDA PARA HABILITAÇÃO</w:t>
      </w:r>
    </w:p>
    <w:p>
      <w:pPr>
        <w:pStyle w:val="Normal"/>
        <w:spacing w:lineRule="auto" w:line="240" w:before="0" w:after="0"/>
        <w:contextualSpacing/>
        <w:rPr>
          <w:rFonts w:ascii="Calibri" w:hAnsi="Calibri" w:cs="Arial"/>
          <w:sz w:val="24"/>
          <w:szCs w:val="24"/>
          <w:lang w:eastAsia="en-US"/>
        </w:rPr>
      </w:pPr>
      <w:r>
        <w:rPr>
          <w:rFonts w:cs="Arial" w:ascii="Calibri" w:hAnsi="Calibri"/>
          <w:sz w:val="24"/>
          <w:szCs w:val="24"/>
          <w:lang w:eastAsia="en-US"/>
        </w:rPr>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bCs/>
          <w:color w:val="000000"/>
          <w:sz w:val="24"/>
          <w:szCs w:val="24"/>
        </w:rPr>
        <w:t xml:space="preserve">Habilitação jurídica: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no caso de empresário individual, inscrição no Registro Público de Empresas Mercantis, a cargo da Junta Comercial da respectiva sede;</w:t>
      </w:r>
    </w:p>
    <w:p>
      <w:pPr>
        <w:pStyle w:val="ListParagraph"/>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decreto de autorização, em se tratando de sociedade empresária estrangeira em funcionamento no País;</w:t>
      </w:r>
    </w:p>
    <w:p>
      <w:pPr>
        <w:pStyle w:val="ListParagraph"/>
        <w:numPr>
          <w:ilvl w:val="1"/>
          <w:numId w:val="3"/>
        </w:numPr>
        <w:spacing w:lineRule="auto" w:line="240" w:before="0" w:after="0"/>
        <w:contextualSpacing/>
        <w:jc w:val="both"/>
        <w:rPr>
          <w:sz w:val="24"/>
          <w:szCs w:val="24"/>
        </w:rPr>
      </w:pPr>
      <w:r>
        <w:rPr>
          <w:rFonts w:cs="Arial" w:ascii="Calibri" w:hAnsi="Calibri"/>
          <w:bCs/>
          <w:color w:val="000000"/>
          <w:sz w:val="24"/>
          <w:szCs w:val="24"/>
        </w:rPr>
        <w:t>Os documentos acima deverão estar acompanhados de todas as alterações ou da consolidação respectiva.</w:t>
      </w:r>
    </w:p>
    <w:p>
      <w:pPr>
        <w:pStyle w:val="ListParagraph"/>
        <w:spacing w:lineRule="auto" w:line="240" w:before="0" w:after="0"/>
        <w:ind w:left="1134" w:hanging="0"/>
        <w:contextualSpacing/>
        <w:jc w:val="both"/>
        <w:rPr>
          <w:rFonts w:ascii="Calibri" w:hAnsi="Calibri" w:cs="Arial"/>
          <w:bCs/>
          <w:color w:val="000000"/>
          <w:sz w:val="24"/>
          <w:szCs w:val="24"/>
        </w:rPr>
      </w:pPr>
      <w:r>
        <w:rPr>
          <w:rFonts w:cs="Arial" w:ascii="Calibri" w:hAnsi="Calibri"/>
          <w:bCs/>
          <w:color w:val="000000"/>
          <w:sz w:val="24"/>
          <w:szCs w:val="24"/>
        </w:rPr>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bCs/>
          <w:color w:val="000000"/>
          <w:sz w:val="24"/>
          <w:szCs w:val="24"/>
        </w:rPr>
        <w:t xml:space="preserve"> </w:t>
      </w:r>
      <w:r>
        <w:rPr>
          <w:rFonts w:cs="Arial" w:ascii="Calibri" w:hAnsi="Calibri"/>
          <w:b/>
          <w:bCs/>
          <w:color w:val="000000"/>
          <w:sz w:val="24"/>
          <w:szCs w:val="24"/>
        </w:rPr>
        <w:t>Regularidade fiscal, social e trabalhista:</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lang w:eastAsia="en-US"/>
        </w:rPr>
        <w:t>prova de inscrição no Cadastro Nacional de Pessoas Jurídicas ou no Cadastro de Pessoas Físicas, conforme o caso;</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lang w:eastAsia="en-US"/>
        </w:rPr>
        <w:t>prova de regularidade com o Fundo de Garantia do Tempo de Serviço (FGTS);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bCs/>
          <w:sz w:val="24"/>
          <w:szCs w:val="24"/>
        </w:rPr>
        <w:t xml:space="preserve">prova de </w:t>
      </w:r>
      <w:r>
        <w:rPr>
          <w:rFonts w:cs="Arial" w:ascii="Calibri" w:hAnsi="Calibri"/>
          <w:color w:val="000000"/>
          <w:sz w:val="24"/>
          <w:szCs w:val="24"/>
        </w:rPr>
        <w:t>inscrição no cadastro de contribuintes</w:t>
      </w:r>
      <w:r>
        <w:rPr>
          <w:rFonts w:cs="Arial" w:ascii="Calibri" w:hAnsi="Calibri"/>
          <w:i w:val="false"/>
          <w:iCs w:val="false"/>
          <w:color w:val="000000"/>
          <w:sz w:val="24"/>
          <w:szCs w:val="24"/>
        </w:rPr>
        <w:t xml:space="preserve"> estadual e/ou municipal,</w:t>
      </w:r>
      <w:r>
        <w:rPr>
          <w:rFonts w:cs="Arial" w:ascii="Calibri" w:hAnsi="Calibri"/>
          <w:color w:val="000000"/>
          <w:sz w:val="24"/>
          <w:szCs w:val="24"/>
        </w:rPr>
        <w:t xml:space="preserve"> relativo ao domicílio ou sede do fornecedor, pertinente ao seu ramo de atividade e compatível com o objeto contratual</w:t>
      </w:r>
      <w:r>
        <w:rPr>
          <w:rFonts w:cs="Arial" w:ascii="Calibri" w:hAnsi="Calibri"/>
          <w:bCs/>
          <w:sz w:val="24"/>
          <w:szCs w:val="24"/>
        </w:rPr>
        <w:t xml:space="preserve">;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 xml:space="preserve">prova de regularidade com a </w:t>
      </w:r>
      <w:r>
        <w:rPr>
          <w:rFonts w:cs="Arial" w:ascii="Calibri" w:hAnsi="Calibri"/>
          <w:i w:val="false"/>
          <w:iCs w:val="false"/>
          <w:color w:val="000000"/>
          <w:sz w:val="24"/>
          <w:szCs w:val="24"/>
        </w:rPr>
        <w:t>Fazenda Estadual e/ou Municipal do domi</w:t>
      </w:r>
      <w:r>
        <w:rPr>
          <w:rFonts w:cs="Arial" w:ascii="Calibri" w:hAnsi="Calibri"/>
          <w:sz w:val="24"/>
          <w:szCs w:val="24"/>
        </w:rPr>
        <w:t xml:space="preserve">cílio ou sede do fornecedor, relativa à atividade em cujo exercício contrata ou concorre;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i w:val="false"/>
          <w:iCs w:val="false"/>
          <w:color w:val="000000"/>
          <w:sz w:val="24"/>
          <w:szCs w:val="24"/>
        </w:rPr>
        <w:t xml:space="preserve">caso o fornecedor seja considerado isento dos tributos estaduais </w:t>
      </w:r>
      <w:r>
        <w:rPr>
          <w:rFonts w:cs="Arial" w:ascii="Calibri" w:hAnsi="Calibri"/>
          <w:b/>
          <w:i w:val="false"/>
          <w:iCs w:val="false"/>
          <w:color w:val="000000"/>
          <w:sz w:val="24"/>
          <w:szCs w:val="24"/>
          <w:u w:val="single"/>
        </w:rPr>
        <w:t>ou</w:t>
      </w:r>
      <w:r>
        <w:rPr>
          <w:rFonts w:cs="Arial" w:ascii="Calibri" w:hAnsi="Calibri"/>
          <w:i w:val="false"/>
          <w:iCs w:val="false"/>
          <w:color w:val="000000"/>
          <w:sz w:val="24"/>
          <w:szCs w:val="24"/>
        </w:rPr>
        <w:t xml:space="preserve"> municipais relacionados ao objeto contratual, deverá comprovar tal condição mediante a apresentação de declaração da Fazenda respectiva do </w:t>
      </w:r>
      <w:r>
        <w:rPr>
          <w:rFonts w:cs="Arial" w:ascii="Calibri" w:hAnsi="Calibri"/>
          <w:sz w:val="24"/>
          <w:szCs w:val="24"/>
        </w:rPr>
        <w:t xml:space="preserve">seu domicílio ou sede, ou outra equivalente, na forma da lei; </w:t>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color w:val="000000"/>
          <w:sz w:val="24"/>
          <w:szCs w:val="24"/>
        </w:rPr>
        <w:t>Qualificação Econômico-Financeira:</w:t>
      </w:r>
      <w:r>
        <w:rPr>
          <w:rFonts w:cs="Arial" w:ascii="Calibri" w:hAnsi="Calibri"/>
          <w:b/>
          <w:bCs/>
          <w:iCs/>
          <w:color w:val="000000"/>
          <w:sz w:val="24"/>
          <w:szCs w:val="24"/>
        </w:rPr>
        <w:t xml:space="preserve"> </w:t>
      </w:r>
    </w:p>
    <w:p>
      <w:pPr>
        <w:pStyle w:val="ListParagraph"/>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certidão negativa de falência expedida pelo distribuidor da sede do fornecedor;</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balanço patrimonial, demonstração de resultado de exercício e demais demonstrações contábeis dos 2 (dois) últimos exercícios sociais;</w:t>
      </w:r>
    </w:p>
    <w:p>
      <w:pPr>
        <w:pStyle w:val="Normal"/>
        <w:numPr>
          <w:ilvl w:val="2"/>
          <w:numId w:val="3"/>
        </w:numPr>
        <w:spacing w:lineRule="auto" w:line="240" w:before="0" w:after="0"/>
        <w:contextualSpacing/>
        <w:jc w:val="both"/>
        <w:rPr>
          <w:sz w:val="24"/>
          <w:szCs w:val="24"/>
        </w:rPr>
      </w:pPr>
      <w:r>
        <w:rPr>
          <w:rFonts w:cs="Arial" w:ascii="Calibri" w:hAnsi="Calibri"/>
          <w:color w:val="000000"/>
          <w:sz w:val="24"/>
          <w:szCs w:val="24"/>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40" w:before="0" w:after="0"/>
        <w:contextualSpacing/>
        <w:jc w:val="both"/>
        <w:rPr>
          <w:sz w:val="24"/>
          <w:szCs w:val="24"/>
        </w:rPr>
      </w:pPr>
      <w:r>
        <w:rPr>
          <w:rFonts w:cs="Arial" w:ascii="Calibri" w:hAnsi="Calibri"/>
          <w:color w:val="000000"/>
          <w:sz w:val="24"/>
          <w:szCs w:val="24"/>
        </w:rPr>
        <w:t>Os documentos referidos acima limitar-se-ão ao último exercício no caso de a pessoa jurídica ter sido constituída há menos de 2 (dois) anos.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LG =</w:t>
            </w:r>
          </w:p>
        </w:tc>
        <w:tc>
          <w:tcPr>
            <w:tcW w:w="4252"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Circulante + Realizável a Longo Prazo</w:t>
            </w:r>
          </w:p>
        </w:tc>
      </w:tr>
      <w:tr>
        <w:trPr/>
        <w:tc>
          <w:tcPr>
            <w:tcW w:w="2234"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4252"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 + Passivo Não Circulante</w:t>
            </w:r>
          </w:p>
        </w:tc>
      </w:tr>
    </w:tbl>
    <w:p>
      <w:pPr>
        <w:pStyle w:val="Normal"/>
        <w:tabs>
          <w:tab w:val="clear" w:pos="367"/>
          <w:tab w:val="left" w:pos="1440" w:leader="none"/>
        </w:tabs>
        <w:snapToGrid w:val="false"/>
        <w:spacing w:lineRule="auto" w:line="240" w:before="0" w:after="0"/>
        <w:ind w:left="1134" w:hanging="0"/>
        <w:contextualSpacing/>
        <w:jc w:val="both"/>
        <w:rPr>
          <w:rFonts w:ascii="Calibri" w:hAnsi="Calibri" w:cs="Arial"/>
          <w:color w:val="000000"/>
          <w:sz w:val="24"/>
          <w:szCs w:val="24"/>
        </w:rPr>
      </w:pPr>
      <w:r>
        <w:rPr>
          <w:rFonts w:cs="Arial" w:ascii="Calibri" w:hAnsi="Calibri"/>
          <w:color w:val="000000"/>
          <w:sz w:val="24"/>
          <w:szCs w:val="24"/>
        </w:rPr>
      </w:r>
    </w:p>
    <w:tbl>
      <w:tblPr>
        <w:tblStyle w:val="Tabelacomgrade"/>
        <w:tblW w:w="6629"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SG =</w:t>
            </w:r>
          </w:p>
        </w:tc>
        <w:tc>
          <w:tcPr>
            <w:tcW w:w="4395"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Total</w:t>
            </w:r>
          </w:p>
        </w:tc>
      </w:tr>
      <w:tr>
        <w:trPr>
          <w:cantSplit w:val="true"/>
        </w:trPr>
        <w:tc>
          <w:tcPr>
            <w:tcW w:w="2233"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4395"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 + Passivo Não Circulante</w:t>
            </w:r>
          </w:p>
        </w:tc>
      </w:tr>
    </w:tbl>
    <w:p>
      <w:pPr>
        <w:pStyle w:val="Normal"/>
        <w:tabs>
          <w:tab w:val="clear" w:pos="367"/>
          <w:tab w:val="left" w:pos="1440" w:leader="none"/>
        </w:tabs>
        <w:snapToGrid w:val="false"/>
        <w:spacing w:lineRule="auto" w:line="240" w:before="0" w:after="0"/>
        <w:ind w:left="1134" w:hanging="0"/>
        <w:contextualSpacing/>
        <w:jc w:val="both"/>
        <w:rPr>
          <w:rFonts w:ascii="Calibri" w:hAnsi="Calibri" w:cs="Arial"/>
          <w:color w:val="000000"/>
          <w:sz w:val="24"/>
          <w:szCs w:val="24"/>
        </w:rPr>
      </w:pPr>
      <w:r>
        <w:rPr>
          <w:rFonts w:cs="Arial" w:ascii="Calibri" w:hAnsi="Calibri"/>
          <w:color w:val="000000"/>
          <w:sz w:val="24"/>
          <w:szCs w:val="24"/>
        </w:rPr>
      </w:r>
    </w:p>
    <w:tbl>
      <w:tblPr>
        <w:tblStyle w:val="Tabelacomgrade"/>
        <w:tblW w:w="4786"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4"/>
        <w:gridCol w:w="2551"/>
      </w:tblGrid>
      <w:tr>
        <w:trPr/>
        <w:tc>
          <w:tcPr>
            <w:tcW w:w="2234"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LC =</w:t>
            </w:r>
          </w:p>
        </w:tc>
        <w:tc>
          <w:tcPr>
            <w:tcW w:w="2551"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Circulante</w:t>
            </w:r>
          </w:p>
        </w:tc>
      </w:tr>
      <w:tr>
        <w:trPr/>
        <w:tc>
          <w:tcPr>
            <w:tcW w:w="2234"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2551"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w:t>
            </w:r>
          </w:p>
        </w:tc>
      </w:tr>
    </w:tbl>
    <w:p>
      <w:pPr>
        <w:pStyle w:val="Normal"/>
        <w:numPr>
          <w:ilvl w:val="2"/>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As empresas, que apresentarem resultado inferior ou igual a 1(um) em qualquer dos índices de Liquidez Geral (LG), Solvência Geral (SG) e Liquidez Corrente (LC), deverão comprovar capital ou patrimônio líquido mínimo de</w:t>
      </w:r>
      <w:r>
        <w:rPr>
          <w:rFonts w:cs="Arial" w:ascii="Calibri" w:hAnsi="Calibri"/>
          <w:i/>
          <w:iCs/>
          <w:color w:val="000000"/>
          <w:sz w:val="24"/>
          <w:szCs w:val="24"/>
        </w:rPr>
        <w:t xml:space="preserve"> </w:t>
      </w:r>
      <w:r>
        <w:rPr>
          <w:rFonts w:cs="Arial" w:ascii="Calibri" w:hAnsi="Calibri"/>
          <w:i w:val="false"/>
          <w:iCs w:val="false"/>
          <w:color w:val="000000"/>
          <w:sz w:val="24"/>
          <w:szCs w:val="24"/>
        </w:rPr>
        <w:t xml:space="preserve">10% (dez por cento) </w:t>
      </w:r>
      <w:r>
        <w:rPr>
          <w:rFonts w:cs="Arial" w:ascii="Calibri" w:hAnsi="Calibri"/>
          <w:color w:val="000000"/>
          <w:sz w:val="24"/>
          <w:szCs w:val="24"/>
        </w:rPr>
        <w:t xml:space="preserve">do valor total estimado da contratação ou do item pertinente. </w:t>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color w:val="000000"/>
          <w:sz w:val="24"/>
          <w:szCs w:val="24"/>
        </w:rPr>
        <w:t>Qualificação</w:t>
      </w:r>
      <w:r>
        <w:rPr>
          <w:rFonts w:cs="Arial" w:ascii="Calibri" w:hAnsi="Calibri"/>
          <w:b/>
          <w:sz w:val="24"/>
          <w:szCs w:val="24"/>
        </w:rPr>
        <w:t xml:space="preserve"> Técnica</w:t>
      </w:r>
    </w:p>
    <w:p>
      <w:pPr>
        <w:pStyle w:val="PADRO"/>
        <w:keepNext w:val="false"/>
        <w:widowControl/>
        <w:numPr>
          <w:ilvl w:val="1"/>
          <w:numId w:val="3"/>
        </w:numPr>
        <w:shd w:val="clear" w:fill="FFFFFF"/>
        <w:spacing w:lineRule="auto" w:line="240" w:before="0" w:after="0"/>
        <w:contextualSpacing/>
        <w:rPr>
          <w:sz w:val="24"/>
          <w:szCs w:val="24"/>
        </w:rPr>
      </w:pPr>
      <w:bookmarkStart w:id="8" w:name="_Hlk519176340"/>
      <w:bookmarkEnd w:id="8"/>
      <w:r>
        <w:rPr>
          <w:rFonts w:cs="Arial" w:ascii="Calibri" w:hAnsi="Calibri"/>
          <w:color w:val="000000"/>
          <w:sz w:val="24"/>
          <w:szCs w:val="24"/>
        </w:rPr>
        <w:t xml:space="preserve">Comprovação de aptidão para a prestação dos serviços em características, quantidades e prazos </w:t>
      </w:r>
      <w:r>
        <w:rPr>
          <w:rFonts w:cs="Arial" w:ascii="Calibri" w:hAnsi="Calibri"/>
          <w:sz w:val="24"/>
          <w:szCs w:val="24"/>
        </w:rPr>
        <w:t>compatíveis</w:t>
      </w:r>
      <w:r>
        <w:rPr>
          <w:rFonts w:cs="Arial" w:ascii="Calibri" w:hAnsi="Calibri"/>
          <w:color w:val="000000"/>
          <w:sz w:val="24"/>
          <w:szCs w:val="24"/>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3"/>
        </w:numPr>
        <w:shd w:val="clear" w:fill="FFFFFF"/>
        <w:spacing w:lineRule="auto" w:line="240" w:before="0" w:after="0"/>
        <w:contextualSpacing/>
        <w:rPr>
          <w:sz w:val="24"/>
          <w:szCs w:val="24"/>
        </w:rPr>
      </w:pPr>
      <w:r>
        <w:rPr>
          <w:rFonts w:cs="Arial" w:ascii="Calibri" w:hAnsi="Calibri"/>
          <w:color w:val="000000"/>
          <w:sz w:val="24"/>
          <w:szCs w:val="24"/>
        </w:rPr>
        <w:t>Para fins da comprovação de que trata este subitem, os atestados deverão dizer respeito a contratos executados com as seguintes características mínimas:</w:t>
      </w:r>
    </w:p>
    <w:p>
      <w:pPr>
        <w:pStyle w:val="PADRO"/>
        <w:keepNext w:val="false"/>
        <w:widowControl/>
        <w:numPr>
          <w:ilvl w:val="3"/>
          <w:numId w:val="3"/>
        </w:numPr>
        <w:shd w:val="clear" w:fill="FFFFFF"/>
        <w:spacing w:lineRule="auto" w:line="240" w:before="0" w:after="0"/>
        <w:contextualSpacing/>
        <w:rPr>
          <w:sz w:val="24"/>
          <w:szCs w:val="24"/>
        </w:rPr>
      </w:pPr>
      <w:bookmarkStart w:id="9" w:name="_Hlk5191763401"/>
      <w:bookmarkEnd w:id="9"/>
      <w:r>
        <w:rPr>
          <w:rFonts w:cs="Arial" w:ascii="Calibri" w:hAnsi="Calibri"/>
          <w:color w:val="000000"/>
          <w:sz w:val="24"/>
          <w:szCs w:val="24"/>
        </w:rPr>
        <w:t xml:space="preserve">Os atestados deverão referir-se a serviços prestados no âmbito de sua atividade econômica principal ou secundária especificadas no contrato social vigente; </w:t>
      </w:r>
      <w:bookmarkStart w:id="10" w:name="_Hlk519177818"/>
      <w:bookmarkEnd w:id="10"/>
    </w:p>
    <w:p>
      <w:pPr>
        <w:pStyle w:val="PADRO"/>
        <w:keepNext w:val="false"/>
        <w:widowControl/>
        <w:numPr>
          <w:ilvl w:val="3"/>
          <w:numId w:val="3"/>
        </w:numPr>
        <w:shd w:val="clear" w:fill="FFFFFF"/>
        <w:spacing w:lineRule="auto" w:line="240" w:before="0" w:after="0"/>
        <w:contextualSpacing/>
        <w:rPr>
          <w:sz w:val="24"/>
          <w:szCs w:val="24"/>
        </w:rPr>
      </w:pPr>
      <w:r>
        <w:rPr>
          <w:rFonts w:cs="Arial" w:ascii="Calibri" w:hAnsi="Calibri"/>
          <w:color w:val="000000"/>
          <w:sz w:val="24"/>
          <w:szCs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widowControl/>
        <w:numPr>
          <w:ilvl w:val="0"/>
          <w:numId w:val="0"/>
        </w:numPr>
        <w:shd w:val="clear" w:fill="FFFFFF"/>
        <w:spacing w:lineRule="auto" w:line="240" w:before="0" w:after="0"/>
        <w:ind w:left="1854" w:hanging="0"/>
        <w:contextualSpacing/>
        <w:rPr>
          <w:sz w:val="24"/>
          <w:szCs w:val="24"/>
        </w:rPr>
      </w:pPr>
      <w:r>
        <w:rPr/>
      </w:r>
    </w:p>
    <w:sectPr>
      <w:footerReference w:type="default" r:id="rId5"/>
      <w:type w:val="nextPage"/>
      <w:pgSz w:w="11906" w:h="16838"/>
      <w:pgMar w:left="1701" w:right="1701" w:gutter="0" w:header="0"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rFonts w:ascii="Calibri" w:hAnsi="Calibri"/>
      </w:rPr>
    </w:lvl>
    <w:lvl w:ilvl="1">
      <w:start w:val="1"/>
      <w:numFmt w:val="decimal"/>
      <w:lvlText w:val="%1.%2."/>
      <w:lvlJc w:val="left"/>
      <w:pPr>
        <w:tabs>
          <w:tab w:val="num" w:pos="0"/>
        </w:tabs>
        <w:ind w:left="792" w:hanging="432"/>
      </w:pPr>
      <w:rPr>
        <w:sz w:val="24"/>
        <w:i w:val="false"/>
        <w:b/>
        <w:iCs/>
        <w:rFonts w:ascii="Calibri" w:hAnsi="Calibri"/>
      </w:rPr>
    </w:lvl>
    <w:lvl w:ilvl="2">
      <w:start w:val="1"/>
      <w:numFmt w:val="decimal"/>
      <w:lvlText w:val="%1.%2.%3."/>
      <w:lvlJc w:val="left"/>
      <w:pPr>
        <w:tabs>
          <w:tab w:val="num" w:pos="0"/>
        </w:tabs>
        <w:ind w:left="1224" w:hanging="504"/>
      </w:pPr>
      <w:rPr>
        <w:sz w:val="24"/>
        <w:i w:val="false"/>
        <w:b/>
        <w:iCs/>
        <w:rFonts w:ascii="Calibri" w:hAnsi="Calibri"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Calibri" w:hAnsi="Calibri"/>
      </w:rPr>
    </w:lvl>
    <w:lvl w:ilvl="2">
      <w:start w:val="1"/>
      <w:numFmt w:val="decimal"/>
      <w:lvlText w:val="%1.%2.%3"/>
      <w:lvlJc w:val="left"/>
      <w:pPr>
        <w:tabs>
          <w:tab w:val="num" w:pos="0"/>
        </w:tabs>
        <w:ind w:left="1854" w:hanging="720"/>
      </w:pPr>
      <w:rPr>
        <w:sz w:val="24"/>
        <w:b/>
        <w:rFonts w:ascii="Calibri" w:hAnsi="Calibri"/>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rFonts w:ascii="Calibri" w:hAnsi="Calibri"/>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367"/>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outlineLvl w:val="9"/>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outlineLvl w:val="9"/>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367"/>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367"/>
        <w:tab w:val="center" w:pos="4252" w:leader="none"/>
        <w:tab w:val="right" w:pos="8504" w:leader="none"/>
      </w:tabs>
    </w:pPr>
    <w:rPr/>
  </w:style>
  <w:style w:type="paragraph" w:styleId="Rodap">
    <w:name w:val="Footer"/>
    <w:basedOn w:val="Normal"/>
    <w:link w:val="RodapChar"/>
    <w:uiPriority w:val="99"/>
    <w:unhideWhenUsed/>
    <w:rsid w:val="00805244"/>
    <w:pPr>
      <w:tabs>
        <w:tab w:val="clear" w:pos="367"/>
        <w:tab w:val="center" w:pos="4252" w:leader="none"/>
        <w:tab w:val="right" w:pos="8504" w:leader="none"/>
      </w:tabs>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Application>LibreOffice/7.2.1.2$Windows_X86_64 LibreOffice_project/87b77fad49947c1441b67c559c339af8f3517e22</Application>
  <AppVersion>15.0000</AppVersion>
  <Pages>15</Pages>
  <Words>5191</Words>
  <Characters>29970</Characters>
  <CharactersWithSpaces>34784</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2022-08-30T10:46:40Z</cp:lastPrinted>
  <dcterms:modified xsi:type="dcterms:W3CDTF">2022-09-23T10:22:45Z</dcterms:modified>
  <cp:revision>72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