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pPr>
      <w:r>
        <w:rPr>
          <w:rFonts w:cs="Arial"/>
          <w:b/>
          <w:bCs/>
          <w:i w:val="false"/>
          <w:iCs w:val="false"/>
          <w:color w:val="000000"/>
          <w:sz w:val="24"/>
          <w:szCs w:val="24"/>
        </w:rPr>
        <w:t>ESCOLA DE APRENDIZES MARINHEIROS DO CEARÁ</w:t>
      </w:r>
    </w:p>
    <w:p>
      <w:pPr>
        <w:pStyle w:val="Normal"/>
        <w:spacing w:lineRule="auto" w:line="240" w:before="0" w:after="0"/>
        <w:contextualSpacing/>
        <w:jc w:val="center"/>
        <w:rPr/>
      </w:pPr>
      <w:r>
        <w:rPr>
          <w:rFonts w:cs="Arial"/>
          <w:b/>
          <w:bCs/>
          <w:i w:val="false"/>
          <w:iCs w:val="false"/>
          <w:color w:val="000000" w:themeColor="text1"/>
          <w:sz w:val="24"/>
          <w:szCs w:val="24"/>
        </w:rPr>
        <w:t xml:space="preserve">AVISO DE DISPENSA ELETRÔNICA Nº </w:t>
      </w:r>
      <w:r>
        <w:rPr>
          <w:rFonts w:eastAsia="Times New Roman" w:cs="Arial"/>
          <w:b/>
          <w:bCs/>
          <w:i w:val="false"/>
          <w:iCs w:val="false"/>
          <w:color w:val="000000" w:themeColor="text1"/>
          <w:sz w:val="24"/>
          <w:szCs w:val="24"/>
          <w:lang w:eastAsia="pt-BR"/>
        </w:rPr>
        <w:t>12</w:t>
      </w:r>
      <w:r>
        <w:rPr>
          <w:rFonts w:cs="Arial"/>
          <w:b/>
          <w:bCs/>
          <w:i w:val="false"/>
          <w:iCs w:val="false"/>
          <w:color w:val="000000" w:themeColor="text1"/>
          <w:sz w:val="24"/>
          <w:szCs w:val="24"/>
        </w:rPr>
        <w:t>/2022</w:t>
      </w:r>
    </w:p>
    <w:p>
      <w:pPr>
        <w:pStyle w:val="Normal"/>
        <w:spacing w:lineRule="auto" w:line="240" w:before="0" w:after="0"/>
        <w:ind w:right="-15" w:hanging="0"/>
        <w:contextualSpacing/>
        <w:jc w:val="center"/>
        <w:rPr/>
      </w:pPr>
      <w:r>
        <w:rPr>
          <w:rFonts w:cs="Arial"/>
          <w:b/>
          <w:bCs/>
          <w:i w:val="false"/>
          <w:iCs w:val="false"/>
          <w:color w:val="000000" w:themeColor="text1"/>
          <w:sz w:val="24"/>
          <w:szCs w:val="24"/>
        </w:rPr>
        <w:t>(Processo Administrativo n.°</w:t>
      </w:r>
      <w:r>
        <w:rPr>
          <w:rFonts w:cs="Arial"/>
          <w:b/>
          <w:bCs/>
          <w:i w:val="false"/>
          <w:iCs w:val="false"/>
          <w:color w:val="auto"/>
          <w:sz w:val="24"/>
          <w:szCs w:val="24"/>
        </w:rPr>
        <w:t>63116.0000</w:t>
      </w:r>
      <w:r>
        <w:rPr>
          <w:rFonts w:eastAsia="Times New Roman" w:cs="Arial"/>
          <w:b/>
          <w:bCs/>
          <w:i w:val="false"/>
          <w:iCs w:val="false"/>
          <w:color w:val="auto"/>
          <w:sz w:val="24"/>
          <w:szCs w:val="24"/>
          <w:lang w:eastAsia="pt-BR"/>
        </w:rPr>
        <w:t>5725</w:t>
      </w:r>
      <w:r>
        <w:rPr>
          <w:rFonts w:cs="Arial"/>
          <w:b/>
          <w:bCs/>
          <w:i w:val="false"/>
          <w:iCs w:val="false"/>
          <w:color w:val="auto"/>
          <w:sz w:val="24"/>
          <w:szCs w:val="24"/>
        </w:rPr>
        <w:t>/2022-21</w:t>
      </w:r>
      <w:r>
        <w:rPr>
          <w:rFonts w:cs="Arial"/>
          <w:b/>
          <w:bCs/>
          <w:i w:val="false"/>
          <w:iCs w:val="false"/>
          <w:color w:val="000000" w:themeColor="text1"/>
          <w:sz w:val="24"/>
          <w:szCs w:val="24"/>
        </w:rPr>
        <w:t>)</w:t>
      </w:r>
    </w:p>
    <w:p>
      <w:pPr>
        <w:pStyle w:val="Normal"/>
        <w:rPr>
          <w:rFonts w:cs="Arial"/>
          <w:sz w:val="24"/>
        </w:rPr>
      </w:pPr>
      <w:r>
        <w:rPr>
          <w:rFonts w:cs="Arial"/>
          <w:sz w:val="24"/>
        </w:rPr>
      </w:r>
    </w:p>
    <w:p>
      <w:pPr>
        <w:pStyle w:val="Normal"/>
        <w:snapToGrid w:val="false"/>
        <w:spacing w:lineRule="auto" w:line="276" w:before="0" w:after="120"/>
        <w:ind w:right="-30" w:firstLine="540"/>
        <w:jc w:val="both"/>
        <w:rPr/>
      </w:pPr>
      <w:r>
        <w:rPr>
          <w:rFonts w:cs="Arial"/>
          <w:color w:val="000000" w:themeColor="text1"/>
          <w:sz w:val="24"/>
        </w:rPr>
        <w:t xml:space="preserve">Torna-se público que </w:t>
      </w:r>
      <w:r>
        <w:rPr>
          <w:rFonts w:cs="Arial"/>
          <w:i w:val="false"/>
          <w:iCs w:val="false"/>
          <w:color w:val="000000"/>
          <w:sz w:val="24"/>
          <w:szCs w:val="24"/>
        </w:rPr>
        <w:t>a</w:t>
      </w:r>
      <w:r>
        <w:rPr>
          <w:rFonts w:eastAsia="Arial" w:cs="Arial"/>
          <w:i w:val="false"/>
          <w:iCs w:val="false"/>
          <w:color w:val="000000"/>
          <w:sz w:val="24"/>
          <w:szCs w:val="24"/>
        </w:rPr>
        <w:t xml:space="preserve"> </w:t>
      </w:r>
      <w:r>
        <w:rPr>
          <w:rFonts w:cs="Arial"/>
          <w:i w:val="false"/>
          <w:iCs w:val="false"/>
          <w:color w:val="000000"/>
          <w:sz w:val="24"/>
          <w:szCs w:val="24"/>
        </w:rPr>
        <w:t>Escola de Aprendizes-Marinheiros do Ceará</w:t>
      </w:r>
      <w:r>
        <w:rPr>
          <w:rFonts w:cs="Arial"/>
          <w:color w:val="000000" w:themeColor="text1"/>
          <w:sz w:val="24"/>
        </w:rPr>
        <w:t xml:space="preserve">, por meio </w:t>
      </w:r>
      <w:r>
        <w:rPr>
          <w:rFonts w:cs="Arial"/>
          <w:i w:val="false"/>
          <w:iCs w:val="false"/>
          <w:color w:val="000000"/>
          <w:sz w:val="24"/>
          <w:szCs w:val="24"/>
        </w:rPr>
        <w:t>da Divisão de Obtenção</w:t>
      </w:r>
      <w:r>
        <w:rPr>
          <w:rFonts w:cs="Arial"/>
          <w:color w:val="000000" w:themeColor="text1"/>
          <w:sz w:val="24"/>
        </w:rPr>
        <w:t xml:space="preserve">, realizará Dispensa Eletrônica, </w:t>
      </w:r>
      <w:r>
        <w:rPr>
          <w:rFonts w:cs="Arial"/>
          <w:bCs/>
          <w:color w:val="000000" w:themeColor="text1"/>
          <w:sz w:val="24"/>
        </w:rPr>
        <w:t>com critério de julgamento</w:t>
      </w:r>
      <w:r>
        <w:rPr>
          <w:rFonts w:cs="Arial"/>
          <w:b/>
          <w:bCs/>
          <w:color w:val="000000" w:themeColor="text1"/>
          <w:sz w:val="24"/>
        </w:rPr>
        <w:t xml:space="preserve"> </w:t>
      </w:r>
      <w:r>
        <w:rPr>
          <w:rFonts w:cs="Arial"/>
          <w:i/>
          <w:color w:val="auto"/>
          <w:sz w:val="24"/>
        </w:rPr>
        <w:t>menor preço</w:t>
      </w:r>
      <w:r>
        <w:rPr>
          <w:rFonts w:cs="Arial"/>
          <w:b/>
          <w:bCs/>
          <w:i/>
          <w:color w:val="auto"/>
          <w:sz w:val="24"/>
        </w:rPr>
        <w:t xml:space="preserve">, </w:t>
      </w:r>
      <w:r>
        <w:rPr>
          <w:rFonts w:cs="Arial"/>
          <w:color w:val="000000" w:themeColor="text1"/>
          <w:sz w:val="24"/>
        </w:rPr>
        <w:t>na hipótese do art. 75</w:t>
      </w:r>
      <w:r>
        <w:rPr>
          <w:rFonts w:cs="Arial"/>
          <w:i/>
          <w:iCs/>
          <w:color w:val="000000" w:themeColor="text1"/>
          <w:sz w:val="24"/>
        </w:rPr>
        <w:t>,</w:t>
      </w:r>
      <w:r>
        <w:rPr>
          <w:rFonts w:cs="Arial"/>
          <w:i/>
          <w:iCs/>
          <w:color w:val="auto"/>
          <w:sz w:val="24"/>
        </w:rPr>
        <w:t xml:space="preserve"> inciso </w:t>
      </w:r>
      <w:r>
        <w:rPr>
          <w:rFonts w:cs="Arial"/>
          <w:b w:val="false"/>
          <w:bCs w:val="false"/>
          <w:i/>
          <w:iCs/>
          <w:color w:val="auto"/>
          <w:sz w:val="24"/>
        </w:rPr>
        <w:t>II</w:t>
      </w:r>
      <w:r>
        <w:rPr>
          <w:rFonts w:cs="Arial"/>
          <w:i/>
          <w:iCs/>
          <w:color w:val="auto"/>
          <w:sz w:val="24"/>
        </w:rPr>
        <w:t>,</w:t>
      </w:r>
      <w:r>
        <w:rPr>
          <w:rFonts w:cs="Arial"/>
          <w:color w:val="auto"/>
          <w:sz w:val="24"/>
        </w:rPr>
        <w:t xml:space="preserve"> </w:t>
      </w:r>
      <w:r>
        <w:rPr>
          <w:rFonts w:cs="Arial"/>
          <w:bCs/>
          <w:color w:val="000000"/>
          <w:sz w:val="24"/>
        </w:rPr>
        <w:t>nos termos da Lei nº 14.133, de 1º de abril de 2021, da Instrução Normativa SEGES/ME nº 67/2021 e demais legislação aplicável</w:t>
      </w:r>
      <w:r>
        <w:rPr>
          <w:rFonts w:cs="Arial"/>
          <w:color w:val="000000"/>
          <w:sz w:val="24"/>
        </w:rPr>
        <w:t>.</w:t>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sz w:val="24"/>
        </w:rPr>
      </w:pPr>
      <w:r>
        <w:rPr>
          <w:rFonts w:cs="Arial"/>
          <w:color w:val="000000" w:themeColor="text1"/>
          <w:sz w:val="24"/>
        </w:rPr>
        <w:t xml:space="preserve">Data da sessão: </w:t>
      </w:r>
      <w:r>
        <w:rPr>
          <w:rFonts w:cs="Arial"/>
          <w:color w:val="000000" w:themeColor="text1"/>
          <w:sz w:val="24"/>
        </w:rPr>
        <w:t>30/09/2022</w:t>
      </w:r>
    </w:p>
    <w:p>
      <w:pPr>
        <w:pStyle w:val="Normal"/>
        <w:rPr>
          <w:rFonts w:cs="Arial"/>
          <w:color w:val="000000" w:themeColor="text1"/>
          <w:sz w:val="24"/>
        </w:rPr>
      </w:pPr>
      <w:r>
        <w:rPr>
          <w:rFonts w:cs="Arial"/>
          <w:color w:val="000000" w:themeColor="text1"/>
          <w:sz w:val="24"/>
        </w:rPr>
        <w:t>Horário da Fase de Lances: 8:</w:t>
      </w:r>
      <w:r>
        <w:rPr>
          <w:rFonts w:cs="Arial"/>
          <w:i w:val="false"/>
          <w:iCs w:val="false"/>
          <w:color w:val="000000" w:themeColor="text1"/>
          <w:sz w:val="24"/>
        </w:rPr>
        <w:t xml:space="preserve">00 às </w:t>
      </w:r>
      <w:r>
        <w:rPr>
          <w:rFonts w:eastAsia="Times New Roman" w:cs="Arial"/>
          <w:i w:val="false"/>
          <w:iCs w:val="false"/>
          <w:color w:val="000000"/>
          <w:kern w:val="0"/>
          <w:sz w:val="24"/>
          <w:szCs w:val="24"/>
          <w:lang w:val="pt-BR" w:eastAsia="pt-BR" w:bidi="ar-SA"/>
        </w:rPr>
        <w:t>14:00</w:t>
      </w:r>
    </w:p>
    <w:p>
      <w:pPr>
        <w:pStyle w:val="PADRO"/>
        <w:keepNext w:val="false"/>
        <w:widowControl/>
        <w:shd w:val="clear" w:color="auto" w:fill="auto"/>
        <w:spacing w:before="120" w:after="120"/>
        <w:ind w:left="360" w:hanging="0"/>
        <w:rPr>
          <w:rFonts w:ascii="Arial" w:hAnsi="Arial" w:cs="Arial"/>
          <w:b/>
          <w:b/>
          <w:sz w:val="24"/>
        </w:rPr>
      </w:pPr>
      <w:r>
        <w:rPr>
          <w:rFonts w:cs="Arial" w:ascii="Arial" w:hAnsi="Arial"/>
          <w:b/>
          <w:sz w:val="24"/>
        </w:rPr>
      </w:r>
    </w:p>
    <w:p>
      <w:pPr>
        <w:pStyle w:val="Ttulo1"/>
        <w:numPr>
          <w:ilvl w:val="0"/>
          <w:numId w:val="1"/>
        </w:numPr>
        <w:rPr>
          <w:rFonts w:ascii="Arial" w:hAnsi="Arial" w:cs="Arial"/>
          <w:color w:val="auto"/>
          <w:sz w:val="24"/>
          <w:szCs w:val="24"/>
        </w:rPr>
      </w:pPr>
      <w:bookmarkStart w:id="0" w:name="_Toc104906818"/>
      <w:r>
        <w:rPr>
          <w:rFonts w:cs="Arial" w:ascii="Arial" w:hAnsi="Arial"/>
          <w:color w:val="auto"/>
          <w:sz w:val="24"/>
          <w:szCs w:val="24"/>
        </w:rPr>
        <w:t>OBJETO DA CONTRATAÇÃO DIRETA</w:t>
      </w:r>
      <w:bookmarkEnd w:id="0"/>
    </w:p>
    <w:p>
      <w:pPr>
        <w:pStyle w:val="PADRO"/>
        <w:keepNext w:val="false"/>
        <w:widowControl/>
        <w:numPr>
          <w:ilvl w:val="1"/>
          <w:numId w:val="1"/>
        </w:numPr>
        <w:shd w:val="clear" w:color="auto" w:fill="auto"/>
        <w:spacing w:before="120" w:after="120"/>
        <w:rPr/>
      </w:pPr>
      <w:r>
        <w:rPr>
          <w:rFonts w:cs="Arial" w:ascii="Arial" w:hAnsi="Arial"/>
          <w:color w:val="000000" w:themeColor="text1"/>
          <w:sz w:val="24"/>
        </w:rPr>
        <w:t xml:space="preserve">O objeto da presente dispensa é a escolha da proposta mais vantajosa para a </w:t>
      </w:r>
      <w:r>
        <w:rPr>
          <w:rFonts w:cs="Arial" w:ascii="Arial" w:hAnsi="Arial"/>
          <w:color w:val="auto"/>
          <w:sz w:val="24"/>
        </w:rPr>
        <w:t>aquisição</w:t>
      </w:r>
      <w:r>
        <w:rPr>
          <w:rFonts w:cs="Arial" w:ascii="Arial" w:hAnsi="Arial"/>
          <w:color w:val="000000" w:themeColor="text1"/>
          <w:sz w:val="24"/>
        </w:rPr>
        <w:t xml:space="preserve"> por dispensa de licitação de ares-condicionados para sala de aula </w:t>
      </w:r>
      <w:r>
        <w:rPr>
          <w:rFonts w:cs="Arial" w:ascii="Arial" w:hAnsi="Arial"/>
          <w:i w:val="false"/>
          <w:iCs w:val="false"/>
          <w:color w:val="000000"/>
          <w:sz w:val="24"/>
          <w:szCs w:val="24"/>
        </w:rPr>
        <w:t>da Escola de Aprendizes-Marinheiros do Ceará</w:t>
      </w:r>
      <w:r>
        <w:rPr>
          <w:rFonts w:cs="Arial" w:ascii="Arial" w:hAnsi="Arial"/>
          <w:b/>
          <w:bCs/>
          <w:color w:val="000000" w:themeColor="text1"/>
          <w:sz w:val="24"/>
        </w:rPr>
        <w:t>,</w:t>
      </w:r>
      <w:r>
        <w:rPr>
          <w:rFonts w:cs="Arial" w:ascii="Arial" w:hAnsi="Arial"/>
          <w:color w:val="000000" w:themeColor="text1"/>
          <w:sz w:val="24"/>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color w:val="auto"/>
        </w:rPr>
      </w:pPr>
      <w:r>
        <w:rPr>
          <w:rFonts w:cs="Arial" w:ascii="Arial" w:hAnsi="Arial"/>
          <w:i/>
          <w:iCs/>
          <w:color w:val="auto"/>
          <w:sz w:val="24"/>
        </w:rPr>
        <w:t>A contratação será dividida em itens</w:t>
      </w:r>
      <w:r>
        <w:rPr>
          <w:rFonts w:cs="Arial" w:ascii="Arial" w:hAnsi="Arial"/>
          <w:b/>
          <w:bCs/>
          <w:i/>
          <w:iCs/>
          <w:color w:val="auto"/>
          <w:sz w:val="24"/>
        </w:rPr>
        <w:t>,</w:t>
      </w:r>
      <w:r>
        <w:rPr>
          <w:rFonts w:cs="Arial" w:ascii="Arial" w:hAnsi="Arial"/>
          <w:i/>
          <w:iCs/>
          <w:color w:val="auto"/>
          <w:sz w:val="24"/>
        </w:rPr>
        <w:t xml:space="preserve"> conforme tabela constante abaixo.</w:t>
      </w:r>
    </w:p>
    <w:tbl>
      <w:tblPr>
        <w:tblW w:w="1003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30"/>
        <w:gridCol w:w="2489"/>
        <w:gridCol w:w="1125"/>
        <w:gridCol w:w="1080"/>
        <w:gridCol w:w="856"/>
        <w:gridCol w:w="1530"/>
        <w:gridCol w:w="1187"/>
        <w:gridCol w:w="1136"/>
      </w:tblGrid>
      <w:tr>
        <w:trPr/>
        <w:tc>
          <w:tcPr>
            <w:tcW w:w="6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ITEM</w:t>
            </w:r>
          </w:p>
          <w:p>
            <w:pPr>
              <w:pStyle w:val="Normal"/>
              <w:widowControl w:val="false"/>
              <w:suppressAutoHyphens w:val="true"/>
              <w:jc w:val="center"/>
              <w:rPr>
                <w:rFonts w:cs="Arial"/>
                <w:b/>
                <w:b/>
                <w:bCs/>
                <w:color w:val="000000"/>
                <w:sz w:val="16"/>
                <w:szCs w:val="16"/>
              </w:rPr>
            </w:pPr>
            <w:r>
              <w:rPr>
                <w:rFonts w:cs="Arial"/>
                <w:b/>
                <w:bCs/>
                <w:color w:val="000000"/>
                <w:sz w:val="16"/>
                <w:szCs w:val="16"/>
              </w:rPr>
            </w:r>
          </w:p>
        </w:tc>
        <w:tc>
          <w:tcPr>
            <w:tcW w:w="24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pPr>
            <w:r>
              <w:rPr>
                <w:rFonts w:cs="Arial"/>
                <w:b/>
                <w:bCs/>
                <w:color w:val="000000"/>
                <w:sz w:val="16"/>
                <w:szCs w:val="16"/>
              </w:rPr>
              <w:t>DESCRIÇÃO/</w:t>
            </w:r>
          </w:p>
          <w:p>
            <w:pPr>
              <w:pStyle w:val="Normal"/>
              <w:widowControl w:val="false"/>
              <w:suppressAutoHyphens w:val="true"/>
              <w:jc w:val="center"/>
              <w:rPr/>
            </w:pPr>
            <w:r>
              <w:rPr>
                <w:rFonts w:cs="Arial"/>
                <w:b/>
                <w:bCs/>
                <w:color w:val="000000"/>
                <w:sz w:val="16"/>
                <w:szCs w:val="16"/>
              </w:rPr>
              <w:t>ESPECIFICAÇÃO</w:t>
            </w:r>
          </w:p>
        </w:tc>
        <w:tc>
          <w:tcPr>
            <w:tcW w:w="112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CATSER/</w:t>
            </w:r>
          </w:p>
          <w:p>
            <w:pPr>
              <w:pStyle w:val="Normal"/>
              <w:widowControl w:val="false"/>
              <w:suppressAutoHyphens w:val="true"/>
              <w:jc w:val="center"/>
              <w:rPr/>
            </w:pPr>
            <w:r>
              <w:rPr>
                <w:rFonts w:cs="Arial"/>
                <w:b/>
                <w:bCs/>
                <w:color w:val="000000"/>
                <w:sz w:val="16"/>
                <w:szCs w:val="16"/>
              </w:rPr>
              <w:t>CATMAT</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UNIDADE DE MEDIDA</w:t>
            </w:r>
          </w:p>
        </w:tc>
        <w:tc>
          <w:tcPr>
            <w:tcW w:w="85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QUANT.</w:t>
            </w:r>
          </w:p>
        </w:tc>
        <w:tc>
          <w:tcPr>
            <w:tcW w:w="15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PREÇO ESTIMADO</w:t>
            </w:r>
          </w:p>
        </w:tc>
        <w:tc>
          <w:tcPr>
            <w:tcW w:w="118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LOCAL DE EXECUÇÃO</w:t>
            </w:r>
          </w:p>
        </w:tc>
        <w:tc>
          <w:tcPr>
            <w:tcW w:w="113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jc w:val="center"/>
              <w:rPr/>
            </w:pPr>
            <w:r>
              <w:rPr>
                <w:rFonts w:cs="Arial"/>
                <w:b/>
                <w:bCs/>
                <w:color w:val="000000"/>
                <w:sz w:val="16"/>
                <w:szCs w:val="16"/>
              </w:rPr>
              <w:t>PRAZO DE EXECUÇÃO</w:t>
            </w:r>
          </w:p>
        </w:tc>
      </w:tr>
      <w:tr>
        <w:trPr/>
        <w:tc>
          <w:tcPr>
            <w:tcW w:w="6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pPr>
            <w:r>
              <w:rPr>
                <w:rFonts w:cs="Arial"/>
                <w:b/>
                <w:color w:val="000000"/>
                <w:sz w:val="24"/>
              </w:rPr>
              <w:t>1</w:t>
            </w:r>
          </w:p>
        </w:tc>
        <w:tc>
          <w:tcPr>
            <w:tcW w:w="24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18"/>
                <w:szCs w:val="18"/>
              </w:rPr>
            </w:pPr>
            <w:r>
              <w:rPr>
                <w:rFonts w:cs="Arial"/>
                <w:color w:val="000000"/>
                <w:sz w:val="18"/>
                <w:szCs w:val="18"/>
              </w:rPr>
              <w:t>APARELHO DE AR CONDICIONADO, CAPACIDADE DE REFRIGERAÇÃO 24.000 BTU/H, TENSÃO 220V, FREQUENCIA 60Hz, TIPO SPLIT.</w:t>
            </w:r>
          </w:p>
        </w:tc>
        <w:tc>
          <w:tcPr>
            <w:tcW w:w="112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267454</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UN</w:t>
            </w:r>
          </w:p>
        </w:tc>
        <w:tc>
          <w:tcPr>
            <w:tcW w:w="85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3</w:t>
            </w:r>
          </w:p>
        </w:tc>
        <w:tc>
          <w:tcPr>
            <w:tcW w:w="15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R$ 3.894,18</w:t>
            </w:r>
          </w:p>
        </w:tc>
        <w:tc>
          <w:tcPr>
            <w:tcW w:w="1187" w:type="dxa"/>
            <w:vMerge w:val="restart"/>
            <w:tcBorders>
              <w:top w:val="single" w:sz="4" w:space="0" w:color="000000"/>
              <w:left w:val="single" w:sz="4" w:space="0" w:color="000000"/>
              <w:bottom w:val="single" w:sz="4" w:space="0" w:color="000000"/>
              <w:right w:val="single" w:sz="4" w:space="0" w:color="000000"/>
            </w:tcBorders>
            <w:shd w:fill="auto" w:val="clear"/>
            <w:textDirection w:val="btLr"/>
          </w:tcPr>
          <w:p>
            <w:pPr>
              <w:pStyle w:val="Normal"/>
              <w:widowControl w:val="false"/>
              <w:suppressAutoHyphens w:val="true"/>
              <w:spacing w:lineRule="auto" w:line="240" w:before="0" w:after="0"/>
              <w:ind w:left="0" w:hanging="0"/>
              <w:contextualSpacing/>
              <w:jc w:val="center"/>
              <w:rPr>
                <w:rFonts w:ascii="Arial" w:hAnsi="Arial" w:cs="Arial"/>
                <w:i w:val="false"/>
                <w:i w:val="false"/>
                <w:iCs w:val="false"/>
                <w:color w:val="000000"/>
                <w:sz w:val="20"/>
                <w:szCs w:val="20"/>
              </w:rPr>
            </w:pPr>
            <w:r>
              <w:rPr>
                <w:rFonts w:cs="Arial"/>
                <w:i w:val="false"/>
                <w:iCs w:val="false"/>
                <w:color w:val="000000"/>
                <w:sz w:val="20"/>
                <w:szCs w:val="20"/>
              </w:rPr>
            </w:r>
          </w:p>
          <w:p>
            <w:pPr>
              <w:pStyle w:val="Normal"/>
              <w:widowControl w:val="false"/>
              <w:suppressAutoHyphens w:val="true"/>
              <w:spacing w:lineRule="auto" w:line="240" w:before="0" w:after="0"/>
              <w:ind w:left="0" w:hanging="0"/>
              <w:contextualSpacing/>
              <w:jc w:val="center"/>
              <w:rPr>
                <w:rFonts w:ascii="Arial" w:hAnsi="Arial" w:cs="Arial"/>
                <w:i w:val="false"/>
                <w:i w:val="false"/>
                <w:iCs w:val="false"/>
                <w:color w:val="000000"/>
                <w:sz w:val="20"/>
                <w:szCs w:val="20"/>
              </w:rPr>
            </w:pPr>
            <w:r>
              <w:rPr>
                <w:rFonts w:cs="Arial"/>
                <w:i w:val="false"/>
                <w:iCs w:val="false"/>
                <w:color w:val="000000"/>
                <w:sz w:val="20"/>
                <w:szCs w:val="20"/>
              </w:rPr>
              <w:t>Av. Filomeno Gomes, 30 – Jacareganga, Fortaleza/CE</w:t>
            </w:r>
          </w:p>
        </w:tc>
        <w:tc>
          <w:tcPr>
            <w:tcW w:w="113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10 DIAS</w:t>
            </w:r>
          </w:p>
        </w:tc>
      </w:tr>
      <w:tr>
        <w:trPr/>
        <w:tc>
          <w:tcPr>
            <w:tcW w:w="6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pPr>
            <w:r>
              <w:rPr>
                <w:rFonts w:cs="Arial"/>
                <w:b/>
                <w:color w:val="000000"/>
                <w:sz w:val="24"/>
              </w:rPr>
              <w:t>2</w:t>
            </w:r>
          </w:p>
        </w:tc>
        <w:tc>
          <w:tcPr>
            <w:tcW w:w="24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18"/>
                <w:szCs w:val="18"/>
              </w:rPr>
            </w:pPr>
            <w:r>
              <w:rPr>
                <w:rFonts w:cs="Arial"/>
                <w:color w:val="000000"/>
                <w:sz w:val="18"/>
                <w:szCs w:val="18"/>
              </w:rPr>
              <w:t>APARELHO DE AR CONDICIONADO, CAPACIDADE DE REFRIGERAÇÃO 60.000 BTU/H, TENSÃO 220V, FREQUENCIA 60Hz, TIPO SPLIT.</w:t>
            </w:r>
          </w:p>
        </w:tc>
        <w:tc>
          <w:tcPr>
            <w:tcW w:w="112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270677</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UN</w:t>
            </w:r>
          </w:p>
        </w:tc>
        <w:tc>
          <w:tcPr>
            <w:tcW w:w="85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2</w:t>
            </w:r>
          </w:p>
        </w:tc>
        <w:tc>
          <w:tcPr>
            <w:tcW w:w="153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R$9.355,08</w:t>
            </w:r>
          </w:p>
        </w:tc>
        <w:tc>
          <w:tcPr>
            <w:tcW w:w="1187"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r>
          </w:p>
        </w:tc>
        <w:tc>
          <w:tcPr>
            <w:tcW w:w="1136"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uppressAutoHyphens w:val="true"/>
              <w:spacing w:lineRule="auto" w:line="276" w:before="0" w:after="120"/>
              <w:jc w:val="center"/>
              <w:rPr>
                <w:rFonts w:cs="Arial"/>
                <w:color w:val="000000"/>
                <w:sz w:val="24"/>
              </w:rPr>
            </w:pPr>
            <w:r>
              <w:rPr>
                <w:rFonts w:cs="Arial"/>
                <w:color w:val="000000"/>
                <w:sz w:val="24"/>
              </w:rPr>
              <w:t>10 DIAS</w:t>
            </w:r>
          </w:p>
        </w:tc>
      </w:tr>
    </w:tbl>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sectPr>
          <w:type w:val="nextPage"/>
          <w:pgSz w:w="11906" w:h="16838"/>
          <w:pgMar w:left="1080" w:right="1080" w:gutter="0" w:header="0" w:top="708" w:footer="0" w:bottom="1440"/>
          <w:pgNumType w:fmt="decimal"/>
          <w:formProt w:val="false"/>
          <w:textDirection w:val="lrTb"/>
          <w:docGrid w:type="default" w:linePitch="360" w:charSpace="0"/>
        </w:sectPr>
        <w:pStyle w:val="PADRO"/>
        <w:keepNext w:val="false"/>
        <w:widowControl/>
        <w:numPr>
          <w:ilvl w:val="1"/>
          <w:numId w:val="1"/>
        </w:numPr>
        <w:shd w:val="clear" w:color="auto" w:fill="auto"/>
        <w:spacing w:before="120" w:after="120"/>
        <w:rPr/>
      </w:pPr>
      <w:r>
        <w:rPr>
          <w:rFonts w:cs="Arial" w:ascii="Arial" w:hAnsi="Arial"/>
          <w:sz w:val="24"/>
        </w:rPr>
        <w:t>O critério de julgamento adotado será o</w:t>
      </w:r>
      <w:r>
        <w:rPr>
          <w:rFonts w:cs="Arial" w:ascii="Arial" w:hAnsi="Arial"/>
          <w:i/>
          <w:iCs/>
          <w:sz w:val="24"/>
        </w:rPr>
        <w:t xml:space="preserve"> </w:t>
      </w:r>
      <w:r>
        <w:rPr>
          <w:rFonts w:cs="Arial" w:ascii="Arial" w:hAnsi="Arial"/>
          <w:i/>
          <w:iCs/>
          <w:color w:val="auto"/>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Ttulo1"/>
        <w:numPr>
          <w:ilvl w:val="0"/>
          <w:numId w:val="1"/>
        </w:numPr>
        <w:rPr>
          <w:rFonts w:ascii="Arial" w:hAnsi="Arial" w:cs="Arial"/>
          <w:color w:val="auto"/>
          <w:sz w:val="24"/>
          <w:szCs w:val="24"/>
        </w:rPr>
      </w:pPr>
      <w:bookmarkStart w:id="1" w:name="_Toc104906819"/>
      <w:r>
        <w:rPr>
          <w:rFonts w:cs="Arial" w:ascii="Arial" w:hAnsi="Arial"/>
          <w:color w:val="auto"/>
          <w:sz w:val="24"/>
          <w:szCs w:val="24"/>
        </w:rPr>
        <w:t>PARTICIPAÇÃO NA DISPENSA ELETRÔNICA.</w:t>
      </w:r>
      <w:bookmarkEnd w:id="1"/>
    </w:p>
    <w:p>
      <w:pPr>
        <w:pStyle w:val="Normal"/>
        <w:numPr>
          <w:ilvl w:val="1"/>
          <w:numId w:val="1"/>
        </w:numPr>
        <w:snapToGrid w:val="false"/>
        <w:spacing w:lineRule="auto" w:line="276" w:before="120" w:after="120"/>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endereço eletrônico</w:t>
      </w:r>
      <w:r>
        <w:rPr>
          <w:rFonts w:cs="Arial"/>
          <w:bCs/>
          <w:color w:val="FF0000"/>
          <w:sz w:val="24"/>
        </w:rPr>
        <w:t xml:space="preserve"> </w:t>
      </w:r>
      <w:r>
        <w:rPr>
          <w:rFonts w:cs="Arial"/>
          <w:bCs/>
          <w:i w:val="false"/>
          <w:iCs w:val="false"/>
          <w:color w:val="000000"/>
          <w:sz w:val="24"/>
          <w:szCs w:val="24"/>
        </w:rPr>
        <w:t>www.gov.br/compras/pt-br</w:t>
      </w:r>
      <w:r>
        <w:rPr>
          <w:rFonts w:cs="Arial"/>
          <w:sz w:val="24"/>
        </w:rPr>
        <w:t>.</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2">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4"/>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eastAsia="WenQuanYi Micro Hei" w:cs="Arial"/>
          <w:sz w:val="24"/>
          <w:lang w:eastAsia="zh-CN" w:bidi="hi-IN"/>
        </w:rPr>
      </w:pPr>
      <w:r>
        <w:rPr>
          <w:rFonts w:cs="Arial"/>
          <w:color w:val="000000"/>
          <w:sz w:val="24"/>
        </w:rPr>
        <w:t>organizações da Sociedade Civil de Interesse Público - OSCIP, atuando nessa condição (Acórdão nº 746/2014-TCU-Plenário); e</w:t>
      </w:r>
    </w:p>
    <w:p>
      <w:pPr>
        <w:pStyle w:val="Ttulo1"/>
        <w:numPr>
          <w:ilvl w:val="0"/>
          <w:numId w:val="1"/>
        </w:numPr>
        <w:rPr>
          <w:rFonts w:ascii="Arial" w:hAnsi="Arial" w:cs="Arial"/>
          <w:color w:val="auto"/>
          <w:sz w:val="24"/>
          <w:szCs w:val="24"/>
        </w:rPr>
      </w:pPr>
      <w:bookmarkStart w:id="2" w:name="_Toc104906820"/>
      <w:r>
        <w:rPr>
          <w:rFonts w:cs="Arial" w:ascii="Arial" w:hAnsi="Arial"/>
          <w:color w:val="auto"/>
          <w:sz w:val="24"/>
          <w:szCs w:val="24"/>
        </w:rPr>
        <w:t>INGRESSO NA DISPENSA ELETRÔNICA E CADASTRAMENTO DA PROPOSTA INICIAL</w:t>
      </w:r>
      <w:bookmarkEnd w:id="2"/>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eastAsia="WenQuanYi Micro Hei" w:cs="Arial"/>
          <w:sz w:val="24"/>
          <w:lang w:eastAsia="zh-CN" w:bidi="hi-IN"/>
        </w:rPr>
      </w:pPr>
      <w:r>
        <w:rPr>
          <w:rFonts w:cs="Arial"/>
          <w:sz w:val="24"/>
        </w:rPr>
        <w:t xml:space="preserve">A apresentação das propostas implica obrigatoriedade do cumprimento das disposições nelas contidas, em conformidade com o que dispõe o </w:t>
      </w:r>
      <w:r>
        <w:rPr>
          <w:rFonts w:cs="Arial"/>
          <w:i/>
          <w:color w:val="auto"/>
          <w:sz w:val="24"/>
        </w:rPr>
        <w:t>Termo de Referência</w:t>
      </w:r>
      <w:r>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color w:val="auto"/>
        </w:rPr>
      </w:pPr>
      <w:r>
        <w:rPr>
          <w:rFonts w:cs="Arial"/>
          <w:i/>
          <w:color w:val="auto"/>
          <w:sz w:val="24"/>
        </w:rPr>
        <w:t>Fica facultado ao fornecedor, ao cadastrar sua proposta inicial, a parametrização de valor final mínimo, com o registro do seu lance final aceitável.</w:t>
      </w:r>
    </w:p>
    <w:p>
      <w:pPr>
        <w:pStyle w:val="Normal"/>
        <w:numPr>
          <w:ilvl w:val="2"/>
          <w:numId w:val="1"/>
        </w:numPr>
        <w:spacing w:lineRule="auto" w:line="276" w:before="120" w:after="120"/>
        <w:jc w:val="both"/>
        <w:rPr>
          <w:rFonts w:cs="Arial"/>
          <w:i/>
          <w:i/>
          <w:color w:val="FF0000"/>
          <w:sz w:val="24"/>
        </w:rPr>
      </w:pPr>
      <w:r>
        <w:rPr>
          <w:rFonts w:cs="Arial"/>
          <w:i/>
          <w:color w:val="auto"/>
          <w:sz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 w:val="24"/>
        </w:rPr>
      </w:pPr>
      <w:r>
        <w:rPr>
          <w:rFonts w:cs="Arial"/>
          <w:i/>
          <w:color w:val="auto"/>
          <w:sz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 w:val="24"/>
        </w:rPr>
      </w:pPr>
      <w:r>
        <w:rPr>
          <w:rFonts w:cs="Arial"/>
          <w:i/>
          <w:color w:val="auto"/>
          <w:sz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color w:val="auto"/>
        </w:rPr>
      </w:pPr>
      <w:r>
        <w:rPr>
          <w:rFonts w:cs="Arial"/>
          <w:i/>
          <w:color w:val="auto"/>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numPr>
          <w:ilvl w:val="0"/>
          <w:numId w:val="1"/>
        </w:numPr>
        <w:rPr>
          <w:rFonts w:ascii="Arial" w:hAnsi="Arial" w:cs="Arial"/>
          <w:color w:val="auto"/>
          <w:sz w:val="24"/>
          <w:szCs w:val="24"/>
        </w:rPr>
      </w:pPr>
      <w:bookmarkStart w:id="3" w:name="_Toc104906821"/>
      <w:r>
        <w:rPr>
          <w:rFonts w:cs="Arial" w:ascii="Arial" w:hAnsi="Arial"/>
          <w:color w:val="auto"/>
          <w:sz w:val="24"/>
          <w:szCs w:val="24"/>
        </w:rPr>
        <w:t>FASE DE LANCES</w:t>
      </w:r>
      <w:bookmarkEnd w:id="3"/>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i w:val="false"/>
          <w:i w:val="false"/>
          <w:iCs w:val="false"/>
        </w:rPr>
      </w:pPr>
      <w:r>
        <w:rPr>
          <w:rFonts w:cs="Arial"/>
          <w:i w:val="false"/>
          <w:iCs w:val="false"/>
          <w:color w:val="auto"/>
          <w:sz w:val="24"/>
        </w:rPr>
        <w:t>O lance deverá ser ofertado pelo valor unitário do item.</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eastAsia="WenQuanYi Micro Hei" w:cs="Arial"/>
          <w:sz w:val="24"/>
          <w:lang w:eastAsia="zh-CN" w:bidi="hi-IN"/>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eastAsia="Times New Roman" w:cs="Arial"/>
          <w:i w:val="false"/>
          <w:iCs w:val="false"/>
          <w:color w:val="000000"/>
          <w:sz w:val="24"/>
          <w:szCs w:val="24"/>
          <w:lang w:eastAsia="pt-BR"/>
        </w:rPr>
        <w:t>0,01</w:t>
      </w:r>
      <w:r>
        <w:rPr>
          <w:rFonts w:cs="Arial"/>
          <w:i w:val="false"/>
          <w:iCs w:val="false"/>
          <w:color w:val="000000"/>
          <w:sz w:val="24"/>
          <w:szCs w:val="24"/>
        </w:rPr>
        <w:t xml:space="preserve"> (</w:t>
      </w:r>
      <w:r>
        <w:rPr>
          <w:rFonts w:eastAsia="Times New Roman" w:cs="Arial"/>
          <w:i w:val="false"/>
          <w:iCs w:val="false"/>
          <w:color w:val="000000"/>
          <w:sz w:val="24"/>
          <w:szCs w:val="24"/>
          <w:lang w:eastAsia="pt-BR"/>
        </w:rPr>
        <w:t>hum centavo</w:t>
      </w:r>
      <w:r>
        <w:rPr>
          <w:rFonts w:cs="Arial"/>
          <w:i w:val="false"/>
          <w:iCs w:val="false"/>
          <w:color w:val="000000"/>
          <w:sz w:val="24"/>
          <w:szCs w:val="24"/>
        </w:rPr>
        <w:t>).</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1"/>
        </w:numPr>
        <w:rPr>
          <w:rFonts w:ascii="Arial" w:hAnsi="Arial" w:cs="Arial"/>
          <w:color w:val="auto"/>
          <w:sz w:val="24"/>
          <w:szCs w:val="24"/>
        </w:rPr>
      </w:pPr>
      <w:bookmarkStart w:id="4" w:name="_Toc104906822"/>
      <w:r>
        <w:rPr>
          <w:rFonts w:cs="Arial" w:ascii="Arial" w:hAnsi="Arial"/>
          <w:color w:val="auto"/>
          <w:sz w:val="24"/>
          <w:szCs w:val="24"/>
        </w:rPr>
        <w:t>JULGAMENTO DAS PROPOSTAS DE PREÇO</w:t>
      </w:r>
      <w:bookmarkEnd w:id="4"/>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i/>
          <w:i/>
          <w:iCs/>
          <w:color w:val="FF0000"/>
          <w:sz w:val="24"/>
        </w:rPr>
      </w:pPr>
      <w:r>
        <w:rPr>
          <w:rFonts w:cs="Arial"/>
          <w:sz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eastAsia="WenQuanYi Micro Hei" w:cs="Arial"/>
          <w:sz w:val="24"/>
          <w:lang w:eastAsia="zh-CN" w:bidi="hi-IN"/>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w:t>
      </w:r>
      <w:r>
        <w:rPr>
          <w:rFonts w:eastAsia="Times New Roman" w:cs="Arial"/>
          <w:i w:val="false"/>
          <w:iCs w:val="false"/>
          <w:color w:val="000000"/>
          <w:sz w:val="24"/>
          <w:szCs w:val="24"/>
          <w:lang w:eastAsia="pt-BR"/>
        </w:rPr>
        <w:t>60</w:t>
      </w:r>
      <w:r>
        <w:rPr>
          <w:rFonts w:cs="Arial"/>
          <w:i w:val="false"/>
          <w:iCs w:val="false"/>
          <w:color w:val="000000"/>
          <w:sz w:val="24"/>
          <w:szCs w:val="24"/>
        </w:rPr>
        <w:t xml:space="preserve"> (</w:t>
      </w:r>
      <w:r>
        <w:rPr>
          <w:rFonts w:eastAsia="Times New Roman" w:cs="Arial"/>
          <w:i w:val="false"/>
          <w:iCs w:val="false"/>
          <w:color w:val="000000"/>
          <w:sz w:val="24"/>
          <w:szCs w:val="24"/>
          <w:lang w:eastAsia="pt-BR"/>
        </w:rPr>
        <w:t>sessenta</w:t>
      </w:r>
      <w:r>
        <w:rPr>
          <w:rFonts w:cs="Arial"/>
          <w:i w:val="false"/>
          <w:iCs w:val="false"/>
          <w:color w:val="000000"/>
          <w:sz w:val="24"/>
          <w:szCs w:val="24"/>
        </w:rPr>
        <w:t>)</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i/>
          <w:i/>
          <w:color w:val="FF0000"/>
          <w:sz w:val="24"/>
          <w:lang w:eastAsia="en-US"/>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w:t>
      </w:r>
    </w:p>
    <w:p>
      <w:pPr>
        <w:pStyle w:val="Ttulo1"/>
        <w:numPr>
          <w:ilvl w:val="0"/>
          <w:numId w:val="1"/>
        </w:numPr>
        <w:rPr>
          <w:rFonts w:ascii="Arial" w:hAnsi="Arial" w:cs="Arial"/>
          <w:color w:val="auto"/>
          <w:sz w:val="24"/>
          <w:szCs w:val="24"/>
        </w:rPr>
      </w:pPr>
      <w:bookmarkStart w:id="5" w:name="_Toc104906823"/>
      <w:r>
        <w:rPr>
          <w:rFonts w:cs="Arial" w:ascii="Arial" w:hAnsi="Arial"/>
          <w:color w:val="auto"/>
          <w:sz w:val="24"/>
          <w:szCs w:val="24"/>
        </w:rPr>
        <w:t>HABILITAÇÃO</w:t>
      </w:r>
      <w:bookmarkEnd w:id="5"/>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3">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4">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i w:val="false"/>
          <w:i w:val="false"/>
          <w:iCs w:val="false"/>
        </w:rPr>
      </w:pPr>
      <w:r>
        <w:rPr>
          <w:rFonts w:cs="Arial"/>
          <w:i w:val="false"/>
          <w:iCs w:val="false"/>
          <w:color w:val="auto"/>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i w:val="false"/>
          <w:i w:val="false"/>
          <w:iCs w:val="false"/>
        </w:rPr>
      </w:pPr>
      <w:r>
        <w:rPr>
          <w:rFonts w:cs="Arial"/>
          <w:i w:val="false"/>
          <w:iCs w:val="false"/>
          <w:color w:val="auto"/>
          <w:sz w:val="24"/>
        </w:rPr>
        <w:t>Não havendo a comprovação cumulativa dos requisitos de habilitação, a inabilitação recairá sobre o(s) item(ns) de menor(es) valor(es) cuja retirada(s) seja(m) suficiente(s) para a habilitação do fornecedor nos remanescentes</w:t>
      </w:r>
      <w:r>
        <w:rPr>
          <w:rFonts w:cs="Arial"/>
          <w:i w:val="false"/>
          <w:iCs w:val="false"/>
          <w:color w:val="FF0000"/>
          <w:sz w:val="24"/>
        </w:rPr>
        <w:t>.</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Ttulo1"/>
        <w:numPr>
          <w:ilvl w:val="0"/>
          <w:numId w:val="1"/>
        </w:numPr>
        <w:rPr>
          <w:rFonts w:ascii="Arial" w:hAnsi="Arial" w:cs="Arial"/>
          <w:color w:val="auto"/>
          <w:sz w:val="24"/>
          <w:szCs w:val="24"/>
        </w:rPr>
      </w:pPr>
      <w:bookmarkStart w:id="6" w:name="_Toc104906824"/>
      <w:r>
        <w:rPr>
          <w:rFonts w:cs="Arial" w:ascii="Arial" w:hAnsi="Arial"/>
          <w:color w:val="auto"/>
          <w:sz w:val="24"/>
          <w:szCs w:val="24"/>
        </w:rPr>
        <w:t>CONTRATAÇÃO</w:t>
      </w:r>
      <w:bookmarkEnd w:id="6"/>
    </w:p>
    <w:p>
      <w:pPr>
        <w:pStyle w:val="Normal"/>
        <w:numPr>
          <w:ilvl w:val="1"/>
          <w:numId w:val="1"/>
        </w:numPr>
        <w:spacing w:lineRule="auto" w:line="276" w:before="120" w:after="120"/>
        <w:ind w:left="857" w:hanging="432"/>
        <w:jc w:val="both"/>
        <w:rPr>
          <w:rFonts w:eastAsia="WenQuanYi Micro Hei" w:cs="Arial"/>
          <w:sz w:val="24"/>
          <w:lang w:eastAsia="zh-CN" w:bidi="hi-IN"/>
        </w:rPr>
      </w:pPr>
      <w:r>
        <w:rPr>
          <w:rFonts w:eastAsia="Arial" w:cs="Arial"/>
          <w:color w:val="000000"/>
          <w:sz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jc w:val="both"/>
        <w:rPr>
          <w:rFonts w:eastAsia="WenQuanYi Micro Hei" w:cs="Arial"/>
          <w:sz w:val="24"/>
          <w:lang w:eastAsia="zh-CN" w:bidi="hi-IN"/>
        </w:rPr>
      </w:pPr>
      <w:r>
        <w:rPr>
          <w:rFonts w:eastAsia="Arial" w:cs="Arial"/>
          <w:color w:val="000000"/>
          <w:sz w:val="24"/>
        </w:rPr>
        <w:t xml:space="preserve">O adjudicatário terá o prazo de </w:t>
      </w:r>
      <w:r>
        <w:rPr>
          <w:rFonts w:eastAsia="Arial" w:cs="Arial"/>
          <w:i w:val="false"/>
          <w:iCs w:val="false"/>
          <w:color w:val="000000"/>
          <w:sz w:val="24"/>
          <w:szCs w:val="24"/>
          <w:lang w:eastAsia="pt-BR"/>
        </w:rPr>
        <w:t xml:space="preserve">5 </w:t>
      </w:r>
      <w:r>
        <w:rPr>
          <w:rFonts w:eastAsia="Arial" w:cs="Arial"/>
          <w:i w:val="false"/>
          <w:iCs w:val="false"/>
          <w:color w:val="000000"/>
          <w:sz w:val="24"/>
          <w:szCs w:val="24"/>
        </w:rPr>
        <w:t>(</w:t>
      </w:r>
      <w:r>
        <w:rPr>
          <w:rFonts w:eastAsia="Arial" w:cs="Arial"/>
          <w:i w:val="false"/>
          <w:iCs w:val="false"/>
          <w:color w:val="000000"/>
          <w:sz w:val="24"/>
          <w:szCs w:val="24"/>
          <w:lang w:eastAsia="pt-BR"/>
        </w:rPr>
        <w:t>cinco</w:t>
      </w:r>
      <w:r>
        <w:rPr>
          <w:rFonts w:eastAsia="Arial" w:cs="Arial"/>
          <w:i w:val="false"/>
          <w:iCs w:val="false"/>
          <w:color w:val="000000"/>
          <w:sz w:val="24"/>
          <w:szCs w:val="24"/>
        </w:rPr>
        <w:t>) dias úteis</w:t>
      </w:r>
      <w:r>
        <w:rPr>
          <w:rFonts w:eastAsia="Arial" w:cs="Arial"/>
          <w:color w:val="000000"/>
          <w:sz w:val="24"/>
        </w:rPr>
        <w:t xml:space="preserve">, contados a partir da data de sua convocação, para </w:t>
      </w:r>
      <w:r>
        <w:rPr>
          <w:rFonts w:eastAsia="Arial" w:cs="Arial"/>
          <w:color w:val="auto"/>
          <w:sz w:val="24"/>
        </w:rPr>
        <w:t xml:space="preserve">assinar o Termo de Contrato ou aceitar instrumento equivalente, conforme o caso (Nota de Empenho/Carta Contrato/Autorização), </w:t>
      </w:r>
      <w:r>
        <w:rPr>
          <w:rFonts w:eastAsia="Arial" w:cs="Arial"/>
          <w:color w:val="000000"/>
          <w:sz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color w:val="auto"/>
        </w:rPr>
      </w:pPr>
      <w:r>
        <w:rPr>
          <w:rFonts w:eastAsia="Arial" w:cs="Arial"/>
          <w:i/>
          <w:color w:val="auto"/>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rFonts w:eastAsia="Arial" w:cs="Arial"/>
          <w:i w:val="false"/>
          <w:iCs w:val="false"/>
          <w:color w:val="auto"/>
          <w:sz w:val="24"/>
          <w:szCs w:val="24"/>
          <w:lang w:eastAsia="pt-BR"/>
        </w:rPr>
        <w:t xml:space="preserve">5 </w:t>
      </w:r>
      <w:r>
        <w:rPr>
          <w:rFonts w:eastAsia="Arial" w:cs="Arial"/>
          <w:i w:val="false"/>
          <w:iCs w:val="false"/>
          <w:color w:val="auto"/>
          <w:sz w:val="24"/>
          <w:szCs w:val="24"/>
        </w:rPr>
        <w:t>(</w:t>
      </w:r>
      <w:r>
        <w:rPr>
          <w:rFonts w:eastAsia="Arial" w:cs="Arial"/>
          <w:i w:val="false"/>
          <w:iCs w:val="false"/>
          <w:color w:val="auto"/>
          <w:sz w:val="24"/>
          <w:szCs w:val="24"/>
          <w:lang w:eastAsia="pt-BR"/>
        </w:rPr>
        <w:t>cinco</w:t>
      </w:r>
      <w:r>
        <w:rPr>
          <w:rFonts w:eastAsia="Arial" w:cs="Arial"/>
          <w:i w:val="false"/>
          <w:iCs w:val="false"/>
          <w:color w:val="auto"/>
          <w:sz w:val="24"/>
          <w:szCs w:val="24"/>
        </w:rPr>
        <w:t>) dias</w:t>
      </w:r>
      <w:r>
        <w:rPr>
          <w:rFonts w:eastAsia="Arial" w:cs="Arial"/>
          <w:i/>
          <w:color w:val="auto"/>
          <w:sz w:val="24"/>
        </w:rPr>
        <w:t xml:space="preserve">, a contar da data de seu recebimento. </w:t>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i w:val="false"/>
          <w:i w:val="false"/>
          <w:iCs w:val="false"/>
        </w:rPr>
      </w:pPr>
      <w:r>
        <w:rPr>
          <w:rFonts w:eastAsia="Arial" w:cs="Arial"/>
          <w:i w:val="false"/>
          <w:iCs w:val="false"/>
          <w:color w:val="auto"/>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 w:val="24"/>
        </w:rPr>
        <w:t>a contratada se vincula à sua proposta e às previsões contidas no Aviso de Contratação Direta e seus anexos;</w:t>
      </w:r>
    </w:p>
    <w:p>
      <w:pPr>
        <w:pStyle w:val="Normal"/>
        <w:numPr>
          <w:ilvl w:val="2"/>
          <w:numId w:val="1"/>
        </w:numPr>
        <w:spacing w:lineRule="auto" w:line="276" w:before="120" w:after="120"/>
        <w:jc w:val="both"/>
        <w:rPr>
          <w:i w:val="false"/>
          <w:i w:val="false"/>
          <w:iCs w:val="false"/>
        </w:rPr>
      </w:pPr>
      <w:r>
        <w:rPr>
          <w:rFonts w:eastAsia="Arial" w:cs="Arial"/>
          <w:i w:val="false"/>
          <w:iCs w:val="false"/>
          <w:color w:val="auto"/>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O prazo de vigência da contratação é de 12 meses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WenQuanYi Micro Hei" w:cs="Arial"/>
          <w:sz w:val="24"/>
          <w:lang w:eastAsia="zh-CN" w:bidi="hi-IN"/>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Ttulo1"/>
        <w:numPr>
          <w:ilvl w:val="0"/>
          <w:numId w:val="1"/>
        </w:numPr>
        <w:rPr>
          <w:rFonts w:ascii="Arial" w:hAnsi="Arial" w:cs="Arial"/>
          <w:color w:val="auto"/>
          <w:sz w:val="24"/>
          <w:szCs w:val="24"/>
        </w:rPr>
      </w:pPr>
      <w:bookmarkStart w:id="7" w:name="_Toc104906825"/>
      <w:r>
        <w:rPr>
          <w:rFonts w:cs="Arial" w:ascii="Arial" w:hAnsi="Arial"/>
          <w:color w:val="auto"/>
          <w:sz w:val="24"/>
          <w:szCs w:val="24"/>
        </w:rPr>
        <w:t>SANÇÕES</w:t>
      </w:r>
      <w:bookmarkEnd w:id="7"/>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 xml:space="preserve">praticar ato lesivo previsto no </w:t>
      </w:r>
      <w:r>
        <w:fldChar w:fldCharType="begin"/>
      </w:r>
      <w:r>
        <w:rPr>
          <w:sz w:val="24"/>
          <w:rFonts w:cs="Arial"/>
          <w:color w:val="000000"/>
        </w:rPr>
        <w:instrText>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5"/>
        </w:numPr>
        <w:spacing w:lineRule="auto" w:line="276" w:before="120" w:after="120"/>
        <w:jc w:val="both"/>
        <w:rPr>
          <w:rFonts w:eastAsia="WenQuanYi Micro Hei" w:cs="Arial"/>
          <w:sz w:val="24"/>
          <w:lang w:eastAsia="zh-CN" w:bidi="hi-IN"/>
        </w:rPr>
      </w:pPr>
      <w:r>
        <w:rPr>
          <w:rFonts w:cs="Arial"/>
          <w:sz w:val="24"/>
        </w:rPr>
        <w:t xml:space="preserve">Multa de </w:t>
      </w:r>
      <w:r>
        <w:rPr>
          <w:rFonts w:cs="Arial"/>
          <w:i w:val="false"/>
          <w:iCs w:val="false"/>
          <w:color w:val="000000"/>
          <w:sz w:val="24"/>
          <w:szCs w:val="24"/>
        </w:rPr>
        <w:t>2% (dois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5"/>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8" w:name="art156%2525C2%2525A78"/>
      <w:bookmarkStart w:id="9" w:name="art156%2525C2%2525A76"/>
      <w:bookmarkStart w:id="10" w:name="art156%2525C2%2525A77"/>
      <w:bookmarkEnd w:id="8"/>
      <w:bookmarkEnd w:id="9"/>
      <w:bookmarkEnd w:id="10"/>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1" w:name="art156%2525C2%2525A79"/>
      <w:bookmarkEnd w:id="11"/>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Ttulo1"/>
        <w:numPr>
          <w:ilvl w:val="0"/>
          <w:numId w:val="1"/>
        </w:numPr>
        <w:rPr>
          <w:rFonts w:ascii="Arial" w:hAnsi="Arial" w:cs="Arial"/>
          <w:color w:val="auto"/>
          <w:sz w:val="24"/>
          <w:szCs w:val="24"/>
        </w:rPr>
      </w:pPr>
      <w:bookmarkStart w:id="12" w:name="_Toc104906826"/>
      <w:r>
        <w:rPr>
          <w:rFonts w:cs="Arial" w:ascii="Arial" w:hAnsi="Arial"/>
          <w:color w:val="auto"/>
          <w:sz w:val="24"/>
          <w:szCs w:val="24"/>
        </w:rPr>
        <w:t>DAS DISPOSIÇÕES GERAIS</w:t>
      </w:r>
      <w:bookmarkEnd w:id="12"/>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w:t>
      </w:r>
      <w:r>
        <w:rPr>
          <w:rFonts w:eastAsia="Times New Roman" w:cs="Arial"/>
          <w:color w:val="auto"/>
          <w:kern w:val="0"/>
          <w:sz w:val="24"/>
          <w:szCs w:val="24"/>
          <w:lang w:val="pt-BR" w:eastAsia="pt-BR" w:bidi="ar-SA"/>
        </w:rPr>
        <w:t>ICAF</w:t>
      </w:r>
      <w:r>
        <w:rPr>
          <w:rFonts w:cs="Arial"/>
          <w:sz w:val="24"/>
        </w:rPr>
        <w:t>,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120" w:after="120"/>
        <w:jc w:val="both"/>
        <w:rPr>
          <w:i w:val="false"/>
          <w:i w:val="false"/>
          <w:iCs w:val="false"/>
        </w:rPr>
      </w:pPr>
      <w:r>
        <w:rPr>
          <w:rFonts w:cs="Arial"/>
          <w:i w:val="false"/>
          <w:iCs w:val="false"/>
          <w:color w:val="000000"/>
          <w:sz w:val="24"/>
        </w:rPr>
        <w:t xml:space="preserve">ANEXO I – Documentação exigida para Habilitação                                             </w:t>
        <w:tab/>
        <w:tab/>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40" w:before="0" w:after="0"/>
        <w:ind w:left="360" w:right="-15" w:hanging="0"/>
        <w:contextualSpacing/>
        <w:jc w:val="right"/>
        <w:rPr>
          <w:rFonts w:eastAsia="WenQuanYi Micro Hei" w:cs="Arial"/>
          <w:sz w:val="24"/>
          <w:lang w:eastAsia="zh-CN" w:bidi="hi-IN"/>
        </w:rPr>
      </w:pPr>
      <w:r>
        <w:rPr>
          <w:rFonts w:cs="Arial"/>
          <w:i w:val="false"/>
          <w:iCs w:val="false"/>
          <w:color w:val="000000"/>
          <w:sz w:val="24"/>
          <w:szCs w:val="24"/>
        </w:rPr>
        <w:t xml:space="preserve">Fortaleza - CE, </w:t>
      </w:r>
      <w:r>
        <w:rPr>
          <w:rFonts w:eastAsia="Times New Roman" w:cs="Arial"/>
          <w:i w:val="false"/>
          <w:iCs w:val="false"/>
          <w:color w:val="000000"/>
          <w:sz w:val="24"/>
          <w:szCs w:val="24"/>
          <w:lang w:eastAsia="pt-BR"/>
        </w:rPr>
        <w:t>2</w:t>
      </w:r>
      <w:r>
        <w:rPr>
          <w:rFonts w:eastAsia="Times New Roman" w:cs="Arial"/>
          <w:i w:val="false"/>
          <w:iCs w:val="false"/>
          <w:color w:val="000000"/>
          <w:sz w:val="24"/>
          <w:szCs w:val="24"/>
          <w:lang w:eastAsia="pt-BR"/>
        </w:rPr>
        <w:t>7</w:t>
      </w:r>
      <w:r>
        <w:rPr>
          <w:rFonts w:cs="Arial"/>
          <w:i w:val="false"/>
          <w:iCs w:val="false"/>
          <w:color w:val="000000"/>
          <w:sz w:val="24"/>
          <w:szCs w:val="24"/>
        </w:rPr>
        <w:t xml:space="preserve"> de </w:t>
      </w:r>
      <w:r>
        <w:rPr>
          <w:rFonts w:eastAsia="Times New Roman" w:cs="Arial"/>
          <w:i w:val="false"/>
          <w:iCs w:val="false"/>
          <w:color w:val="000000"/>
          <w:sz w:val="24"/>
          <w:szCs w:val="24"/>
          <w:lang w:eastAsia="pt-BR"/>
        </w:rPr>
        <w:t>setembro</w:t>
      </w:r>
      <w:r>
        <w:rPr>
          <w:rFonts w:cs="Arial"/>
          <w:i w:val="false"/>
          <w:iCs w:val="false"/>
          <w:color w:val="000000"/>
          <w:sz w:val="24"/>
          <w:szCs w:val="24"/>
        </w:rPr>
        <w:t xml:space="preserve"> de 2022</w:t>
      </w:r>
    </w:p>
    <w:p>
      <w:pPr>
        <w:pStyle w:val="Normal"/>
        <w:spacing w:lineRule="auto" w:line="276"/>
        <w:jc w:val="center"/>
        <w:rPr>
          <w:rFonts w:cs="Arial"/>
          <w:b/>
          <w:b/>
          <w:bCs/>
          <w:iCs/>
          <w:color w:val="000000"/>
          <w:sz w:val="24"/>
        </w:rPr>
      </w:pPr>
      <w:r>
        <w:rPr>
          <w:rFonts w:cs="Arial"/>
          <w:b/>
          <w:bCs/>
          <w:iCs/>
          <w:color w:val="000000"/>
          <w:sz w:val="24"/>
        </w:rPr>
      </w:r>
    </w:p>
    <w:p>
      <w:pPr>
        <w:pStyle w:val="Normal"/>
        <w:spacing w:lineRule="auto" w:line="276"/>
        <w:jc w:val="center"/>
        <w:rPr>
          <w:rFonts w:cs="Arial"/>
          <w:b/>
          <w:b/>
          <w:bCs/>
          <w:iCs/>
          <w:color w:val="000000"/>
          <w:sz w:val="24"/>
        </w:rPr>
      </w:pPr>
      <w:r>
        <w:rPr>
          <w:rFonts w:cs="Arial"/>
          <w:b/>
          <w:bCs/>
          <w:iCs/>
          <w:color w:val="000000"/>
          <w:sz w:val="24"/>
        </w:rPr>
      </w:r>
    </w:p>
    <w:p>
      <w:pPr>
        <w:pStyle w:val="Normal"/>
        <w:spacing w:lineRule="auto" w:line="276"/>
        <w:jc w:val="center"/>
        <w:rPr>
          <w:rFonts w:cs="Arial"/>
          <w:b/>
          <w:b/>
          <w:bCs/>
          <w:iCs/>
          <w:color w:val="000000"/>
          <w:sz w:val="24"/>
        </w:rPr>
      </w:pPr>
      <w:r>
        <w:rPr>
          <w:rFonts w:cs="Arial"/>
          <w:b/>
          <w:bCs/>
          <w:iCs/>
          <w:color w:val="000000"/>
          <w:sz w:val="24"/>
        </w:rPr>
      </w:r>
    </w:p>
    <w:p>
      <w:pPr>
        <w:pStyle w:val="Normal"/>
        <w:spacing w:lineRule="auto" w:line="240" w:before="0" w:after="0"/>
        <w:ind w:left="360" w:right="-15" w:hanging="0"/>
        <w:contextualSpacing/>
        <w:jc w:val="center"/>
        <w:rPr>
          <w:b w:val="false"/>
          <w:b w:val="false"/>
          <w:bCs w:val="false"/>
        </w:rPr>
      </w:pPr>
      <w:r>
        <w:rPr>
          <w:rFonts w:eastAsia="Times New Roman" w:cs="Arial"/>
          <w:b w:val="false"/>
          <w:bCs w:val="false"/>
          <w:i w:val="false"/>
          <w:iCs w:val="false"/>
          <w:color w:val="000000"/>
          <w:sz w:val="24"/>
          <w:szCs w:val="24"/>
          <w:lang w:eastAsia="pt-BR"/>
        </w:rPr>
        <w:t>DANIEL ROCHA</w:t>
      </w:r>
    </w:p>
    <w:p>
      <w:pPr>
        <w:pStyle w:val="Normal"/>
        <w:spacing w:lineRule="auto" w:line="240" w:before="0" w:after="0"/>
        <w:ind w:left="360" w:right="-15" w:hanging="0"/>
        <w:contextualSpacing/>
        <w:jc w:val="center"/>
        <w:rPr>
          <w:b w:val="false"/>
          <w:b w:val="false"/>
          <w:bCs w:val="false"/>
        </w:rPr>
      </w:pPr>
      <w:r>
        <w:rPr>
          <w:rFonts w:eastAsia="Times New Roman" w:cs="Arial"/>
          <w:b w:val="false"/>
          <w:bCs w:val="false"/>
          <w:i w:val="false"/>
          <w:iCs w:val="false"/>
          <w:color w:val="000000"/>
          <w:sz w:val="24"/>
          <w:szCs w:val="24"/>
          <w:lang w:eastAsia="pt-BR"/>
        </w:rPr>
        <w:t xml:space="preserve">Capitão de Fragata </w:t>
      </w:r>
    </w:p>
    <w:p>
      <w:pPr>
        <w:pStyle w:val="Normal"/>
        <w:spacing w:lineRule="auto" w:line="240" w:before="0" w:after="0"/>
        <w:ind w:left="360" w:right="-15" w:hanging="0"/>
        <w:contextualSpacing/>
        <w:jc w:val="center"/>
        <w:rPr>
          <w:b w:val="false"/>
          <w:b w:val="false"/>
          <w:bCs w:val="false"/>
        </w:rPr>
      </w:pPr>
      <w:r>
        <w:rPr>
          <w:rFonts w:eastAsia="Times New Roman" w:cs="Arial"/>
          <w:b w:val="false"/>
          <w:bCs w:val="false"/>
          <w:i w:val="false"/>
          <w:iCs w:val="false"/>
          <w:color w:val="000000"/>
          <w:sz w:val="24"/>
          <w:szCs w:val="24"/>
          <w:lang w:eastAsia="pt-BR"/>
        </w:rPr>
        <w:t xml:space="preserve">Ordenador de Depesas </w:t>
      </w:r>
    </w:p>
    <w:p>
      <w:pPr>
        <w:pStyle w:val="Normal"/>
        <w:spacing w:lineRule="auto" w:line="259" w:before="0" w:after="160"/>
        <w:rPr>
          <w:rFonts w:cs="Arial"/>
          <w:b/>
          <w:b/>
          <w:bCs/>
          <w:iCs/>
          <w:color w:val="000000"/>
          <w:sz w:val="24"/>
        </w:rPr>
      </w:pPr>
      <w:r>
        <w:rPr>
          <w:rFonts w:cs="Arial"/>
          <w:b/>
          <w:bCs/>
          <w:iCs/>
          <w:color w:val="000000"/>
          <w:sz w:val="24"/>
        </w:rPr>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r>
        <w:rPr>
          <w:rFonts w:cs="Arial" w:ascii="Arial" w:hAnsi="Arial"/>
          <w:sz w:val="24"/>
          <w:szCs w:val="24"/>
        </w:rPr>
        <w:t>ANEXO I – DOCUMENTAÇÃO EXIGIDA PARA HABILITAÇÃO</w:t>
      </w:r>
    </w:p>
    <w:p>
      <w:pPr>
        <w:pStyle w:val="Normal"/>
        <w:rPr>
          <w:rFonts w:cs="Arial"/>
          <w:sz w:val="24"/>
          <w:lang w:eastAsia="en-US"/>
        </w:rPr>
      </w:pPr>
      <w:r>
        <w:rPr>
          <w:rFonts w:cs="Arial"/>
          <w:sz w:val="24"/>
          <w:lang w:eastAsia="en-US"/>
        </w:rPr>
      </w:r>
    </w:p>
    <w:p>
      <w:pPr>
        <w:pStyle w:val="PADRO"/>
        <w:keepNext w:val="false"/>
        <w:widowControl/>
        <w:numPr>
          <w:ilvl w:val="0"/>
          <w:numId w:val="3"/>
        </w:numPr>
        <w:shd w:val="clear" w:fill="FFFFFF"/>
        <w:spacing w:before="120" w:after="120"/>
        <w:rPr>
          <w:rFonts w:ascii="Arial" w:hAnsi="Arial" w:cs="Arial"/>
          <w:sz w:val="24"/>
        </w:rPr>
      </w:pPr>
      <w:r>
        <w:rPr>
          <w:rFonts w:cs="Arial" w:ascii="Arial" w:hAnsi="Arial"/>
          <w:b/>
          <w:bCs/>
          <w:color w:val="000000"/>
          <w:sz w:val="24"/>
        </w:rPr>
        <w:t xml:space="preserve">Habilitação jurídica: </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rPr>
        <w:t>no caso de empresário individual, inscrição no Registro Público de Empresas Mercantis, a cargo da Junta Comercial da respectiva sede;</w:t>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color w:val="000000"/>
          <w:sz w:val="24"/>
        </w:rPr>
      </w:pPr>
      <w:r>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color w:val="000000"/>
          <w:sz w:val="24"/>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708"/>
          <w:tab w:val="left" w:pos="1440" w:leader="none"/>
        </w:tabs>
        <w:snapToGrid w:val="false"/>
        <w:spacing w:lineRule="auto" w:line="276" w:before="120" w:after="120"/>
        <w:jc w:val="both"/>
        <w:rPr>
          <w:rFonts w:eastAsia="WenQuanYi Micro Hei" w:cs="Arial"/>
          <w:sz w:val="24"/>
          <w:lang w:eastAsia="zh-CN" w:bidi="hi-IN"/>
        </w:rPr>
      </w:pPr>
      <w:r>
        <w:rPr>
          <w:rFonts w:cs="Arial"/>
          <w:color w:val="000000"/>
          <w:sz w:val="24"/>
        </w:rPr>
        <w:t>decreto de autorização, em se tratando de sociedade empresária estrangeira em funcionamento no País;</w:t>
      </w:r>
    </w:p>
    <w:p>
      <w:pPr>
        <w:pStyle w:val="ListParagraph"/>
        <w:numPr>
          <w:ilvl w:val="1"/>
          <w:numId w:val="3"/>
        </w:numPr>
        <w:spacing w:lineRule="auto" w:line="276" w:before="120" w:after="120"/>
        <w:contextualSpacing/>
        <w:jc w:val="both"/>
        <w:rPr>
          <w:rFonts w:cs="Arial"/>
          <w:bCs/>
          <w:color w:val="000000"/>
          <w:sz w:val="24"/>
        </w:rPr>
      </w:pPr>
      <w:r>
        <w:rPr>
          <w:rFonts w:cs="Arial"/>
          <w:bCs/>
          <w:color w:val="000000"/>
          <w:sz w:val="24"/>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3"/>
        </w:numPr>
        <w:shd w:val="clear" w:fill="FFFFFF"/>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iCs/>
          <w:color w:val="auto"/>
          <w:sz w:val="24"/>
        </w:rPr>
        <w:t>estadual e/ou municipal</w:t>
      </w:r>
      <w:r>
        <w:rPr>
          <w:rFonts w:cs="Arial"/>
          <w:color w:val="auto"/>
          <w:sz w:val="24"/>
        </w:rPr>
        <w:t>,</w:t>
      </w:r>
      <w:r>
        <w:rPr>
          <w:rFonts w:cs="Arial"/>
          <w:color w:val="000000"/>
          <w:sz w:val="24"/>
        </w:rPr>
        <w:t xml:space="preserve"> relativo ao domicílio ou sede do fornecedor, pertinente ao seu ramo de atividade e compatível com o objeto contratual</w:t>
      </w:r>
      <w:r>
        <w:rPr>
          <w:rFonts w:cs="Arial"/>
          <w:bCs/>
          <w:sz w:val="24"/>
        </w:rPr>
        <w:t xml:space="preserve">; </w:t>
      </w:r>
    </w:p>
    <w:p>
      <w:pPr>
        <w:pStyle w:val="Normal"/>
        <w:numPr>
          <w:ilvl w:val="1"/>
          <w:numId w:val="3"/>
        </w:numPr>
        <w:tabs>
          <w:tab w:val="clear" w:pos="708"/>
          <w:tab w:val="left" w:pos="1440" w:leader="none"/>
        </w:tabs>
        <w:snapToGrid w:val="false"/>
        <w:spacing w:lineRule="auto" w:line="276" w:before="120" w:after="120"/>
        <w:jc w:val="both"/>
        <w:rPr>
          <w:rFonts w:eastAsia="WenQuanYi Micro Hei" w:cs="Arial"/>
          <w:sz w:val="24"/>
          <w:lang w:eastAsia="zh-CN" w:bidi="hi-IN"/>
        </w:rPr>
      </w:pPr>
      <w:r>
        <w:rPr>
          <w:rFonts w:cs="Arial"/>
          <w:sz w:val="24"/>
        </w:rPr>
        <w:t xml:space="preserve">prova de regularidade com a Fazenda </w:t>
      </w:r>
      <w:r>
        <w:rPr>
          <w:rFonts w:cs="Arial"/>
          <w:i/>
          <w:iCs/>
          <w:color w:val="auto"/>
          <w:sz w:val="24"/>
        </w:rPr>
        <w:t>Estadual e/ou Municipal</w:t>
      </w:r>
      <w:r>
        <w:rPr>
          <w:rFonts w:cs="Arial"/>
          <w:color w:val="auto"/>
          <w:sz w:val="24"/>
        </w:rPr>
        <w:t xml:space="preserve"> </w:t>
      </w:r>
      <w:r>
        <w:rPr>
          <w:rFonts w:cs="Arial"/>
          <w:sz w:val="24"/>
        </w:rPr>
        <w:t xml:space="preserve">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jc w:val="both"/>
        <w:rPr>
          <w:rFonts w:cs="Arial"/>
          <w:b/>
          <w:b/>
          <w:sz w:val="24"/>
        </w:rPr>
      </w:pPr>
      <w:r>
        <w:rPr>
          <w:rFonts w:cs="Arial"/>
          <w:sz w:val="24"/>
        </w:rPr>
        <w:t xml:space="preserve">caso o fornecedor seja considerado isento dos tributos </w:t>
      </w:r>
      <w:r>
        <w:rPr>
          <w:rFonts w:cs="Arial"/>
          <w:i/>
          <w:color w:val="auto"/>
          <w:sz w:val="24"/>
        </w:rPr>
        <w:t xml:space="preserve">estaduais </w:t>
      </w:r>
      <w:r>
        <w:rPr>
          <w:rFonts w:cs="Arial"/>
          <w:b/>
          <w:i/>
          <w:color w:val="auto"/>
          <w:sz w:val="24"/>
          <w:u w:val="single"/>
        </w:rPr>
        <w:t>ou</w:t>
      </w:r>
      <w:r>
        <w:rPr>
          <w:rFonts w:cs="Arial"/>
          <w:i/>
          <w:color w:val="auto"/>
          <w:sz w:val="24"/>
        </w:rPr>
        <w:t xml:space="preserve"> municipais</w:t>
      </w:r>
      <w:r>
        <w:rPr>
          <w:rFonts w:cs="Arial"/>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3"/>
        </w:numPr>
        <w:shd w:val="clear" w:fill="FFFFFF"/>
        <w:spacing w:before="120" w:after="120"/>
        <w:rPr>
          <w:rFonts w:ascii="Arial" w:hAnsi="Arial" w:cs="Arial"/>
          <w:sz w:val="24"/>
        </w:rPr>
      </w:pPr>
      <w:r>
        <w:rPr>
          <w:rFonts w:cs="Arial" w:ascii="Arial" w:hAnsi="Arial"/>
          <w:b/>
          <w:color w:val="000000"/>
          <w:sz w:val="24"/>
        </w:rPr>
        <w:t>Qualificação Econômico-Financeira:</w:t>
      </w:r>
      <w:r>
        <w:rPr>
          <w:rFonts w:cs="Arial" w:ascii="Arial" w:hAnsi="Arial"/>
          <w:b/>
          <w:bCs/>
          <w:iCs/>
          <w:color w:val="000000"/>
          <w:sz w:val="24"/>
        </w:rPr>
        <w:t xml:space="preserve"> </w:t>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color w:val="000000"/>
          <w:sz w:val="24"/>
        </w:rPr>
      </w:pPr>
      <w:r>
        <w:rPr>
          <w:rFonts w:cs="Arial"/>
          <w:color w:val="000000"/>
          <w:sz w:val="24"/>
        </w:rPr>
        <w:t>certidão negativa de falência expedida pelo distribuidor da sede do fornecedor;</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color w:val="000000"/>
          <w:sz w:val="24"/>
        </w:rPr>
      </w:pPr>
      <w:r>
        <w:rPr>
          <w:rFonts w:cs="Arial"/>
          <w:color w:val="000000"/>
          <w:sz w:val="24"/>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eastAsia="WenQuanYi Micro Hei" w:cs="Arial"/>
          <w:sz w:val="24"/>
          <w:lang w:eastAsia="zh-CN" w:bidi="hi-IN"/>
        </w:rPr>
      </w:pPr>
      <w:r>
        <w:rPr>
          <w:rFonts w:cs="Arial"/>
          <w:color w:val="000000"/>
          <w:sz w:val="24"/>
        </w:rPr>
        <w:t>Os documentos referidos acima limitar-se-ão ao último exercício no caso de a pessoa jurídica ter sido constituída há menos de 2 (dois) anos.</w:t>
      </w:r>
    </w:p>
    <w:p>
      <w:pPr>
        <w:pStyle w:val="Normal"/>
        <w:numPr>
          <w:ilvl w:val="1"/>
          <w:numId w:val="3"/>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fill="auto" w:val="clear"/>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LG =</w:t>
            </w:r>
          </w:p>
        </w:tc>
        <w:tc>
          <w:tcPr>
            <w:tcW w:w="4252" w:type="dxa"/>
            <w:tcBorders>
              <w:top w:val="nil"/>
              <w:left w:val="nil"/>
              <w:right w:val="nil"/>
            </w:tcBorders>
            <w:shd w:fill="auto" w:val="clear"/>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Ativo Circulante + Realizável a Longo Prazo</w:t>
            </w:r>
          </w:p>
        </w:tc>
      </w:tr>
      <w:tr>
        <w:trPr/>
        <w:tc>
          <w:tcPr>
            <w:tcW w:w="2234" w:type="dxa"/>
            <w:vMerge w:val="continue"/>
            <w:tcBorders>
              <w:top w:val="nil"/>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252" w:type="dxa"/>
            <w:tcBorders>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Passivo Circulante + Passivo Não Circulante</w:t>
            </w:r>
          </w:p>
        </w:tc>
      </w:tr>
    </w:tbl>
    <w:p>
      <w:pPr>
        <w:pStyle w:val="Normal"/>
        <w:tabs>
          <w:tab w:val="clear" w:pos="708"/>
          <w:tab w:val="left" w:pos="1440" w:leader="none"/>
        </w:tabs>
        <w:snapToGrid w:val="false"/>
        <w:spacing w:lineRule="auto" w:line="276"/>
        <w:ind w:left="1134" w:hanging="0"/>
        <w:jc w:val="both"/>
        <w:rPr>
          <w:rFonts w:cs="Arial"/>
          <w:color w:val="000000"/>
          <w:sz w:val="24"/>
        </w:rPr>
      </w:pPr>
      <w:r>
        <w:rPr>
          <w:rFonts w:cs="Arial"/>
          <w:color w:val="000000"/>
          <w:sz w:val="24"/>
        </w:rPr>
      </w:r>
    </w:p>
    <w:tbl>
      <w:tblPr>
        <w:tblStyle w:val="Tabelacomgrade"/>
        <w:tblW w:w="6629"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4"/>
        <w:gridCol w:w="4394"/>
      </w:tblGrid>
      <w:tr>
        <w:trPr>
          <w:cantSplit w:val="true"/>
        </w:trPr>
        <w:tc>
          <w:tcPr>
            <w:tcW w:w="2234" w:type="dxa"/>
            <w:vMerge w:val="restart"/>
            <w:tcBorders>
              <w:top w:val="nil"/>
              <w:left w:val="nil"/>
              <w:bottom w:val="nil"/>
              <w:right w:val="nil"/>
            </w:tcBorders>
            <w:shd w:fill="auto" w:val="clear"/>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SG =</w:t>
            </w:r>
          </w:p>
        </w:tc>
        <w:tc>
          <w:tcPr>
            <w:tcW w:w="4394" w:type="dxa"/>
            <w:tcBorders>
              <w:top w:val="nil"/>
              <w:left w:val="nil"/>
              <w:right w:val="nil"/>
            </w:tcBorders>
            <w:shd w:fill="auto" w:val="clear"/>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Ativo Total</w:t>
            </w:r>
          </w:p>
        </w:tc>
      </w:tr>
      <w:tr>
        <w:trPr>
          <w:cantSplit w:val="true"/>
        </w:trPr>
        <w:tc>
          <w:tcPr>
            <w:tcW w:w="2234" w:type="dxa"/>
            <w:vMerge w:val="continue"/>
            <w:tcBorders>
              <w:top w:val="nil"/>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4394" w:type="dxa"/>
            <w:tcBorders>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Passivo Circulante + Passivo Não Circulante</w:t>
            </w:r>
          </w:p>
        </w:tc>
      </w:tr>
    </w:tbl>
    <w:p>
      <w:pPr>
        <w:pStyle w:val="Normal"/>
        <w:tabs>
          <w:tab w:val="clear" w:pos="708"/>
          <w:tab w:val="left" w:pos="1440" w:leader="none"/>
        </w:tabs>
        <w:snapToGrid w:val="false"/>
        <w:spacing w:lineRule="auto" w:line="276"/>
        <w:ind w:left="1134" w:hanging="0"/>
        <w:jc w:val="both"/>
        <w:rPr>
          <w:rFonts w:cs="Arial"/>
          <w:color w:val="000000"/>
          <w:sz w:val="24"/>
        </w:rPr>
      </w:pPr>
      <w:r>
        <w:rPr>
          <w:rFonts w:cs="Arial"/>
          <w:color w:val="000000"/>
          <w:sz w:val="24"/>
        </w:rPr>
      </w:r>
    </w:p>
    <w:tbl>
      <w:tblPr>
        <w:tblStyle w:val="Tabelacomgrade"/>
        <w:tblW w:w="4786"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shd w:fill="auto" w:val="clear"/>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LC =</w:t>
            </w:r>
          </w:p>
        </w:tc>
        <w:tc>
          <w:tcPr>
            <w:tcW w:w="2550" w:type="dxa"/>
            <w:tcBorders>
              <w:top w:val="nil"/>
              <w:left w:val="nil"/>
              <w:right w:val="nil"/>
            </w:tcBorders>
            <w:shd w:fill="auto" w:val="clear"/>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Ativo Circulante</w:t>
            </w:r>
          </w:p>
        </w:tc>
      </w:tr>
      <w:tr>
        <w:trPr/>
        <w:tc>
          <w:tcPr>
            <w:tcW w:w="2235" w:type="dxa"/>
            <w:vMerge w:val="continue"/>
            <w:tcBorders>
              <w:top w:val="nil"/>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ascii="Times New Roman" w:hAnsi="Times New Roman" w:eastAsia="" w:cs="Times New Roman" w:eastAsiaTheme="minorEastAsia"/>
                <w:color w:val="000000"/>
                <w:sz w:val="24"/>
                <w:szCs w:val="20"/>
              </w:rPr>
            </w:pPr>
            <w:r>
              <w:rPr>
                <w:rFonts w:eastAsia="" w:cs="Times New Roman" w:eastAsiaTheme="minorEastAsia" w:ascii="Times New Roman" w:hAnsi="Times New Roman"/>
                <w:color w:val="000000"/>
                <w:sz w:val="24"/>
                <w:szCs w:val="20"/>
              </w:rPr>
            </w:r>
          </w:p>
        </w:tc>
        <w:tc>
          <w:tcPr>
            <w:tcW w:w="2550" w:type="dxa"/>
            <w:tcBorders>
              <w:left w:val="nil"/>
              <w:bottom w:val="nil"/>
              <w:right w:val="nil"/>
            </w:tcBorders>
            <w:shd w:fill="auto" w:val="clea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eastAsia="" w:cs="Arial" w:ascii="Times New Roman" w:hAnsi="Times New Roman"/>
                <w:color w:val="000000"/>
                <w:sz w:val="24"/>
                <w:szCs w:val="20"/>
              </w:rPr>
              <w:t>Passivo Circulante</w:t>
            </w:r>
          </w:p>
        </w:tc>
      </w:tr>
    </w:tbl>
    <w:p>
      <w:pPr>
        <w:pStyle w:val="Normal"/>
        <w:numPr>
          <w:ilvl w:val="2"/>
          <w:numId w:val="3"/>
        </w:numPr>
        <w:tabs>
          <w:tab w:val="clear" w:pos="708"/>
          <w:tab w:val="left" w:pos="1440" w:leader="none"/>
        </w:tabs>
        <w:snapToGrid w:val="false"/>
        <w:spacing w:lineRule="auto" w:line="276" w:before="120" w:after="120"/>
        <w:jc w:val="both"/>
        <w:rPr>
          <w:rFonts w:eastAsia="WenQuanYi Micro Hei" w:cs="Arial"/>
          <w:sz w:val="24"/>
          <w:lang w:eastAsia="zh-CN" w:bidi="hi-IN"/>
        </w:rPr>
      </w:pPr>
      <w:r>
        <w:rPr>
          <w:rFonts w:cs="Arial"/>
          <w:color w:val="000000"/>
          <w:sz w:val="24"/>
        </w:rPr>
        <w:t>As empresas, que apresentarem resultado inferior ou igual a 1(um) em qualquer dos índices de Liquidez Geral (LG), Solvência Geral (SG) e Liquidez Corrente (LC), deverão comprovar capital ou patrimônio líquido mínimo de</w:t>
      </w:r>
      <w:r>
        <w:rPr>
          <w:rFonts w:cs="Arial"/>
          <w:i/>
          <w:iCs/>
          <w:color w:val="FF0000"/>
          <w:sz w:val="24"/>
        </w:rPr>
        <w:t xml:space="preserve"> </w:t>
      </w:r>
      <w:r>
        <w:rPr>
          <w:rFonts w:cs="Arial"/>
          <w:i w:val="false"/>
          <w:iCs w:val="false"/>
          <w:color w:val="000000"/>
          <w:sz w:val="24"/>
          <w:szCs w:val="24"/>
        </w:rPr>
        <w:t>10% (dez por cento)</w:t>
      </w:r>
      <w:r>
        <w:rPr>
          <w:rFonts w:cs="Arial"/>
          <w:i/>
          <w:iCs/>
          <w:color w:val="FF0000"/>
          <w:sz w:val="24"/>
        </w:rPr>
        <w:t xml:space="preserve"> </w:t>
      </w:r>
      <w:r>
        <w:rPr>
          <w:rFonts w:cs="Arial"/>
          <w:color w:val="000000"/>
          <w:sz w:val="24"/>
        </w:rPr>
        <w:t xml:space="preserve">do valor total estimado da contratação ou do item pertinente. </w:t>
      </w:r>
    </w:p>
    <w:p>
      <w:pPr>
        <w:pStyle w:val="Normal"/>
        <w:numPr>
          <w:ilvl w:val="2"/>
          <w:numId w:val="3"/>
        </w:numPr>
        <w:tabs>
          <w:tab w:val="clear" w:pos="708"/>
          <w:tab w:val="left" w:pos="1440" w:leader="none"/>
        </w:tabs>
        <w:snapToGrid w:val="false"/>
        <w:spacing w:lineRule="auto" w:line="276" w:before="120" w:after="120"/>
        <w:jc w:val="both"/>
        <w:rPr>
          <w:i w:val="false"/>
          <w:i w:val="false"/>
          <w:iCs w:val="false"/>
        </w:rPr>
      </w:pPr>
      <w:r>
        <w:rPr>
          <w:rFonts w:cs="Arial"/>
          <w:i w:val="false"/>
          <w:iCs w:val="false"/>
          <w:color w:val="auto"/>
          <w:sz w:val="24"/>
          <w:lang w:eastAsia="en-US"/>
        </w:rPr>
        <w:t>O atendimento dos índices econômicos previstos neste item deverá ser atestado mediante declaração assinada por profissional habilitado da área contábil, apresentada pelo fornecedor.</w:t>
      </w:r>
    </w:p>
    <w:p>
      <w:pPr>
        <w:pStyle w:val="Normal"/>
        <w:rPr>
          <w:rFonts w:cs="Arial"/>
          <w:sz w:val="24"/>
          <w:lang w:eastAsia="en-US"/>
        </w:rPr>
      </w:pPr>
      <w:r>
        <w:rPr>
          <w:rFonts w:cs="Arial"/>
          <w:sz w:val="24"/>
          <w:lang w:eastAsia="en-US"/>
        </w:rPr>
      </w:r>
    </w:p>
    <w:p>
      <w:pPr>
        <w:pStyle w:val="PADRO"/>
        <w:keepNext w:val="false"/>
        <w:widowControl/>
        <w:numPr>
          <w:ilvl w:val="0"/>
          <w:numId w:val="3"/>
        </w:numPr>
        <w:shd w:val="clear" w:fill="FFFFFF"/>
        <w:spacing w:before="120" w:after="120"/>
        <w:rPr>
          <w:rFonts w:eastAsia="WenQuanYi Micro Hei" w:cs="Arial"/>
          <w:sz w:val="24"/>
          <w:lang w:eastAsia="zh-CN" w:bidi="hi-IN"/>
        </w:rPr>
      </w:pPr>
      <w:r>
        <w:rPr>
          <w:rFonts w:cs="Arial" w:ascii="Arial" w:hAnsi="Arial"/>
          <w:b/>
          <w:color w:val="000000"/>
          <w:sz w:val="24"/>
        </w:rPr>
        <w:t>Qualificação</w:t>
      </w:r>
      <w:r>
        <w:rPr>
          <w:rFonts w:cs="Arial" w:ascii="Arial" w:hAnsi="Arial"/>
          <w:b/>
          <w:sz w:val="24"/>
        </w:rPr>
        <w:t xml:space="preserve"> Técnica</w:t>
      </w:r>
    </w:p>
    <w:p>
      <w:pPr>
        <w:pStyle w:val="PADRO"/>
        <w:keepNext w:val="false"/>
        <w:widowControl/>
        <w:numPr>
          <w:ilvl w:val="1"/>
          <w:numId w:val="3"/>
        </w:numPr>
        <w:shd w:val="clear" w:fill="FFFFFF"/>
        <w:spacing w:before="120" w:after="120"/>
        <w:rPr>
          <w:rFonts w:ascii="Arial" w:hAnsi="Arial" w:cs="Arial"/>
          <w:bCs/>
          <w:color w:val="000000"/>
          <w:sz w:val="24"/>
        </w:rPr>
      </w:pPr>
      <w:bookmarkStart w:id="13" w:name="_Hlk519176340"/>
      <w:bookmarkEnd w:id="13"/>
      <w:r>
        <w:rPr>
          <w:rFonts w:cs="Arial" w:ascii="Arial" w:hAnsi="Arial"/>
          <w:color w:val="000000"/>
          <w:sz w:val="24"/>
        </w:rPr>
        <w:t xml:space="preserve">Comprovação de aptidão para a prestação dos serviços em características, quantidades e prazos </w:t>
      </w:r>
      <w:r>
        <w:rPr>
          <w:rFonts w:cs="Arial" w:ascii="Arial" w:hAnsi="Arial"/>
          <w:sz w:val="24"/>
        </w:rPr>
        <w:t>compatíveis</w:t>
      </w:r>
      <w:r>
        <w:rPr>
          <w:rFonts w:cs="Arial" w:ascii="Arial" w:hAnsi="Arial"/>
          <w:color w:val="000000"/>
          <w:sz w:val="24"/>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3"/>
        </w:numPr>
        <w:shd w:val="clear" w:fill="FFFFFF"/>
        <w:spacing w:before="120" w:after="120"/>
        <w:rPr>
          <w:rFonts w:ascii="Arial" w:hAnsi="Arial" w:cs="Arial"/>
          <w:bCs/>
          <w:color w:val="000000"/>
          <w:sz w:val="24"/>
        </w:rPr>
      </w:pPr>
      <w:r>
        <w:rPr>
          <w:rFonts w:cs="Arial" w:ascii="Arial" w:hAnsi="Arial"/>
          <w:color w:val="000000"/>
          <w:sz w:val="24"/>
        </w:rPr>
        <w:t>Para fins da comprovação de que trata este subitem, os atestados deverão dizer respeito a contratos executados com as seguintes características mínimas:</w:t>
      </w:r>
    </w:p>
    <w:p>
      <w:pPr>
        <w:pStyle w:val="PADRO"/>
        <w:keepNext w:val="false"/>
        <w:widowControl/>
        <w:numPr>
          <w:ilvl w:val="3"/>
          <w:numId w:val="3"/>
        </w:numPr>
        <w:shd w:val="clear" w:fill="FFFFFF"/>
        <w:spacing w:before="120" w:after="120"/>
        <w:rPr>
          <w:rFonts w:eastAsia="WenQuanYi Micro Hei" w:cs="Arial"/>
          <w:sz w:val="24"/>
          <w:lang w:eastAsia="zh-CN" w:bidi="hi-IN"/>
        </w:rPr>
      </w:pPr>
      <w:bookmarkStart w:id="14" w:name="_Hlk5191763401"/>
      <w:bookmarkEnd w:id="14"/>
      <w:r>
        <w:rPr>
          <w:rFonts w:cs="Arial" w:ascii="Arial" w:hAnsi="Arial"/>
          <w:color w:val="000000"/>
          <w:sz w:val="24"/>
        </w:rPr>
        <w:t xml:space="preserve">Os atestados deverão referir-se a serviços prestados no âmbito de sua atividade econômica principal ou secundária especificadas no contrato social vigente; </w:t>
      </w:r>
      <w:bookmarkStart w:id="15" w:name="_Hlk519177818"/>
      <w:bookmarkEnd w:id="15"/>
    </w:p>
    <w:p>
      <w:pPr>
        <w:pStyle w:val="PADRO"/>
        <w:keepNext w:val="false"/>
        <w:widowControl/>
        <w:numPr>
          <w:ilvl w:val="3"/>
          <w:numId w:val="3"/>
        </w:numPr>
        <w:shd w:val="clear" w:fill="FFFFFF"/>
        <w:spacing w:before="120" w:after="120"/>
        <w:rPr>
          <w:rFonts w:ascii="Arial" w:hAnsi="Arial" w:cs="Arial"/>
          <w:i/>
          <w:i/>
          <w:color w:val="FF0000"/>
          <w:sz w:val="24"/>
        </w:rPr>
      </w:pPr>
      <w:r>
        <w:rPr>
          <w:rFonts w:cs="Arial" w:ascii="Arial" w:hAnsi="Arial"/>
          <w:i/>
          <w:color w:val="auto"/>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6" w:name="_Hlk519177062"/>
      <w:bookmarkEnd w:id="16"/>
    </w:p>
    <w:p>
      <w:pPr>
        <w:pStyle w:val="PADRO"/>
        <w:keepNext w:val="false"/>
        <w:widowControl/>
        <w:numPr>
          <w:ilvl w:val="3"/>
          <w:numId w:val="3"/>
        </w:numPr>
        <w:shd w:val="clear" w:fill="FFFFFF"/>
        <w:spacing w:before="120" w:after="120"/>
        <w:rPr>
          <w:rFonts w:eastAsia="WenQuanYi Micro Hei" w:cs="Arial"/>
          <w:sz w:val="24"/>
          <w:lang w:eastAsia="zh-CN" w:bidi="hi-IN"/>
        </w:rPr>
      </w:pPr>
      <w:r>
        <w:rPr>
          <w:rFonts w:cs="Arial" w:ascii="Arial" w:hAnsi="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widowControl/>
        <w:shd w:val="clear" w:fill="FFFFFF"/>
        <w:spacing w:before="120" w:after="120"/>
        <w:ind w:hanging="0"/>
        <w:rPr>
          <w:rFonts w:ascii="Arial" w:hAnsi="Arial" w:cs="Arial"/>
          <w:i/>
          <w:i/>
          <w:color w:val="FF0000"/>
          <w:sz w:val="24"/>
          <w:highlight w:val="green"/>
        </w:rPr>
      </w:pPr>
      <w:r>
        <w:rPr/>
      </w:r>
    </w:p>
    <w:sectPr>
      <w:type w:val="nextPage"/>
      <w:pgSz w:w="11906" w:h="16838"/>
      <w:pgMar w:left="1080" w:right="1080" w:gutter="0" w:header="0" w:top="708" w:footer="0" w:bottom="70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rFonts w:ascii="Arial" w:hAnsi="Arial"/>
      </w:rPr>
    </w:lvl>
    <w:lvl w:ilvl="1">
      <w:start w:val="1"/>
      <w:numFmt w:val="decimal"/>
      <w:lvlText w:val="%1.%2."/>
      <w:lvlJc w:val="left"/>
      <w:pPr>
        <w:tabs>
          <w:tab w:val="num" w:pos="0"/>
        </w:tabs>
        <w:ind w:left="792" w:hanging="432"/>
      </w:pPr>
      <w:rPr>
        <w:sz w:val="24"/>
        <w:i w:val="false"/>
        <w:b/>
        <w:iCs/>
        <w:rFonts w:ascii="Arial" w:hAnsi="Arial"/>
        <w:color w:val="000000"/>
      </w:rPr>
    </w:lvl>
    <w:lvl w:ilvl="2">
      <w:start w:val="1"/>
      <w:numFmt w:val="decimal"/>
      <w:lvlText w:val="%1.%2.%3."/>
      <w:lvlJc w:val="left"/>
      <w:pPr>
        <w:tabs>
          <w:tab w:val="num" w:pos="0"/>
        </w:tabs>
        <w:ind w:left="1224" w:hanging="504"/>
      </w:pPr>
      <w:rPr>
        <w:sz w:val="24"/>
        <w:i w:val="false"/>
        <w:b/>
        <w:iCs/>
        <w:rFonts w:ascii="Arial" w:hAnsi="Arial"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Arial" w:hAnsi="Arial"/>
      </w:rPr>
    </w:lvl>
    <w:lvl w:ilvl="2">
      <w:start w:val="1"/>
      <w:numFmt w:val="decimal"/>
      <w:lvlText w:val="%1.%2.%3"/>
      <w:lvlJc w:val="left"/>
      <w:pPr>
        <w:tabs>
          <w:tab w:val="num" w:pos="0"/>
        </w:tabs>
        <w:ind w:left="1854" w:hanging="720"/>
      </w:pPr>
      <w:rPr>
        <w:sz w:val="24"/>
        <w:i w:val="false"/>
        <w:b/>
        <w:iCs w:val="false"/>
        <w:rFonts w:ascii="Arial" w:hAnsi="Arial"/>
        <w:color w:val="00000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outlineLvl w:val="9"/>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outlineLvl w:val="9"/>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outlineLvl w:val="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Relationship Id="rId10" Type="http://schemas.openxmlformats.org/officeDocument/2006/relationships/customXml" Target="../customXml/item2.xml"/><Relationship Id="rId11" Type="http://schemas.openxmlformats.org/officeDocument/2006/relationships/customXml" Target="../customXml/item3.xml"/><Relationship Id="rId12" Type="http://schemas.openxmlformats.org/officeDocument/2006/relationships/customXml" Target="../customXml/item4.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LibreOffice/7.2.1.2$Windows_X86_64 LibreOffice_project/87b77fad49947c1441b67c559c339af8f3517e22</Application>
  <AppVersion>15.0000</AppVersion>
  <Pages>15</Pages>
  <Words>5433</Words>
  <Characters>31418</Characters>
  <CharactersWithSpaces>36497</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2022-09-27T08:10:46Z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