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76"/>
        <w:jc w:val="center"/>
        <w:rPr>
          <w:rFonts w:ascii="CARLITO" w:hAnsi="CARLITO" w:cs="Arial"/>
          <w:b/>
          <w:b/>
          <w:bCs/>
          <w:i w:val="false"/>
          <w:i w:val="false"/>
          <w:iCs w:val="false"/>
          <w:color w:val="000000"/>
          <w:sz w:val="24"/>
          <w:szCs w:val="24"/>
        </w:rPr>
      </w:pPr>
      <w:r>
        <w:rPr>
          <w:rFonts w:cs="Arial" w:ascii="CARLITO" w:hAnsi="CARLITO"/>
          <w:b/>
          <w:bCs/>
          <w:i w:val="false"/>
          <w:iCs w:val="false"/>
          <w:color w:val="000000"/>
          <w:sz w:val="24"/>
          <w:szCs w:val="24"/>
        </w:rPr>
        <w:t>MARINHA DO BRASIL</w:t>
      </w:r>
    </w:p>
    <w:p>
      <w:pPr>
        <w:pStyle w:val="Normal"/>
        <w:spacing w:lineRule="auto" w:line="276"/>
        <w:jc w:val="center"/>
        <w:rPr>
          <w:rFonts w:ascii="CARLITO" w:hAnsi="CARLITO" w:cs="Arial"/>
          <w:b/>
          <w:b/>
          <w:bCs/>
          <w:i w:val="false"/>
          <w:i w:val="false"/>
          <w:iCs w:val="false"/>
          <w:color w:val="000000"/>
          <w:sz w:val="24"/>
          <w:szCs w:val="24"/>
        </w:rPr>
      </w:pPr>
      <w:r>
        <w:rPr>
          <w:rFonts w:cs="Arial" w:ascii="CARLITO" w:hAnsi="CARLITO"/>
          <w:b/>
          <w:bCs/>
          <w:i w:val="false"/>
          <w:iCs w:val="false"/>
          <w:color w:val="000000"/>
          <w:sz w:val="24"/>
          <w:szCs w:val="24"/>
        </w:rPr>
        <w:t>CENTRO DE INTENDÊNCIA DA MARINHA EM RIO GRANDE</w:t>
      </w:r>
    </w:p>
    <w:p>
      <w:pPr>
        <w:pStyle w:val="Normal"/>
        <w:spacing w:lineRule="auto" w:line="276"/>
        <w:jc w:val="center"/>
        <w:rPr>
          <w:rFonts w:ascii="CARLITO" w:hAnsi="CARLITO" w:cs="Arial"/>
          <w:b/>
          <w:b/>
          <w:bCs/>
          <w:i w:val="false"/>
          <w:i w:val="false"/>
          <w:iCs w:val="false"/>
          <w:color w:val="000000"/>
          <w:sz w:val="24"/>
          <w:szCs w:val="24"/>
        </w:rPr>
      </w:pPr>
      <w:r>
        <w:rPr>
          <w:rFonts w:cs="Arial" w:ascii="CARLITO" w:hAnsi="CARLITO"/>
          <w:b/>
          <w:bCs/>
          <w:i w:val="false"/>
          <w:iCs w:val="false"/>
          <w:color w:val="000000"/>
          <w:sz w:val="24"/>
          <w:szCs w:val="24"/>
        </w:rPr>
        <w:t>GRUPAMENTO DE FUZILEIROS NAVAIS DO RIO GRANDE</w:t>
      </w:r>
    </w:p>
    <w:p>
      <w:pPr>
        <w:pStyle w:val="Normal"/>
        <w:spacing w:lineRule="auto" w:line="276"/>
        <w:jc w:val="center"/>
        <w:rPr>
          <w:rFonts w:ascii="CARLITO" w:hAnsi="CARLITO"/>
          <w:sz w:val="24"/>
          <w:szCs w:val="24"/>
        </w:rPr>
      </w:pPr>
      <w:r>
        <w:rPr>
          <w:rFonts w:cs="Arial" w:ascii="CARLITO" w:hAnsi="CARLITO"/>
          <w:b/>
          <w:bCs/>
          <w:i w:val="false"/>
          <w:iCs w:val="false"/>
          <w:color w:val="000000"/>
          <w:sz w:val="24"/>
          <w:szCs w:val="24"/>
        </w:rPr>
        <w:t>AVISO DE DISPENSA ELETRÔNICA Nº 30125/2022</w:t>
      </w:r>
    </w:p>
    <w:p>
      <w:pPr>
        <w:pStyle w:val="Normal"/>
        <w:rPr>
          <w:rFonts w:ascii="CARLITO" w:hAnsi="CARLITO" w:cs="Arial"/>
          <w:i w:val="false"/>
          <w:i w:val="false"/>
          <w:iCs w:val="false"/>
          <w:color w:val="000000"/>
          <w:sz w:val="24"/>
          <w:szCs w:val="24"/>
        </w:rPr>
      </w:pPr>
      <w:r>
        <w:rPr>
          <w:rFonts w:cs="Arial" w:ascii="CARLITO" w:hAnsi="CARLITO"/>
          <w:i w:val="false"/>
          <w:iCs w:val="false"/>
          <w:color w:val="000000"/>
          <w:sz w:val="24"/>
          <w:szCs w:val="24"/>
        </w:rPr>
      </w:r>
    </w:p>
    <w:p>
      <w:pPr>
        <w:pStyle w:val="Normal"/>
        <w:snapToGrid w:val="false"/>
        <w:spacing w:lineRule="auto" w:line="276" w:before="0" w:after="120"/>
        <w:ind w:left="0" w:right="-30" w:firstLine="540"/>
        <w:jc w:val="both"/>
        <w:rPr>
          <w:rFonts w:ascii="CARLITO" w:hAnsi="CARLITO"/>
          <w:sz w:val="24"/>
          <w:szCs w:val="24"/>
        </w:rPr>
      </w:pPr>
      <w:r>
        <w:rPr>
          <w:rFonts w:cs="Arial" w:ascii="CARLITO" w:hAnsi="CARLITO"/>
          <w:i w:val="false"/>
          <w:iCs w:val="false"/>
          <w:color w:val="000000"/>
          <w:sz w:val="24"/>
          <w:szCs w:val="24"/>
        </w:rPr>
        <w:t xml:space="preserve">Torna-se público que o centro de intendência da marinha em rio grande, realizará Dispensa Eletrônica, </w:t>
      </w:r>
      <w:r>
        <w:rPr>
          <w:rFonts w:cs="Arial" w:ascii="CARLITO" w:hAnsi="CARLITO"/>
          <w:bCs/>
          <w:i w:val="false"/>
          <w:iCs w:val="false"/>
          <w:color w:val="000000"/>
          <w:sz w:val="24"/>
          <w:szCs w:val="24"/>
        </w:rPr>
        <w:t>com critério de julgamento</w:t>
      </w:r>
      <w:r>
        <w:rPr>
          <w:rFonts w:cs="Arial" w:ascii="CARLITO" w:hAnsi="CARLITO"/>
          <w:b/>
          <w:bCs/>
          <w:i w:val="false"/>
          <w:iCs w:val="false"/>
          <w:color w:val="000000"/>
          <w:sz w:val="24"/>
          <w:szCs w:val="24"/>
        </w:rPr>
        <w:t xml:space="preserve"> </w:t>
      </w:r>
      <w:r>
        <w:rPr>
          <w:rFonts w:cs="Arial" w:ascii="CARLITO" w:hAnsi="CARLITO"/>
          <w:i w:val="false"/>
          <w:iCs w:val="false"/>
          <w:color w:val="000000"/>
          <w:sz w:val="24"/>
          <w:szCs w:val="24"/>
        </w:rPr>
        <w:t>menor preço</w:t>
      </w:r>
      <w:r>
        <w:rPr>
          <w:rFonts w:cs="Arial" w:ascii="CARLITO" w:hAnsi="CARLITO"/>
          <w:b w:val="false"/>
          <w:bCs w:val="false"/>
          <w:i w:val="false"/>
          <w:iCs w:val="false"/>
          <w:color w:val="000000"/>
          <w:sz w:val="24"/>
          <w:szCs w:val="24"/>
        </w:rPr>
        <w:t xml:space="preserve">, </w:t>
      </w:r>
      <w:r>
        <w:rPr>
          <w:rFonts w:cs="Arial" w:ascii="CARLITO" w:hAnsi="CARLITO"/>
          <w:i w:val="false"/>
          <w:iCs w:val="false"/>
          <w:color w:val="000000"/>
          <w:sz w:val="24"/>
          <w:szCs w:val="24"/>
        </w:rPr>
        <w:t xml:space="preserve">na hipótese do art. 75, inciso </w:t>
      </w:r>
      <w:r>
        <w:rPr>
          <w:rFonts w:cs="Arial" w:ascii="CARLITO" w:hAnsi="CARLITO"/>
          <w:b/>
          <w:i w:val="false"/>
          <w:iCs w:val="false"/>
          <w:color w:val="000000"/>
          <w:sz w:val="24"/>
          <w:szCs w:val="24"/>
        </w:rPr>
        <w:t>II</w:t>
      </w:r>
      <w:r>
        <w:rPr>
          <w:rFonts w:cs="Arial" w:ascii="CARLITO" w:hAnsi="CARLITO"/>
          <w:i w:val="false"/>
          <w:iCs w:val="false"/>
          <w:color w:val="000000"/>
          <w:sz w:val="24"/>
          <w:szCs w:val="24"/>
        </w:rPr>
        <w:t xml:space="preserve">, </w:t>
      </w:r>
      <w:r>
        <w:rPr>
          <w:rFonts w:cs="Arial" w:ascii="CARLITO" w:hAnsi="CARLITO"/>
          <w:bCs/>
          <w:i w:val="false"/>
          <w:iCs w:val="false"/>
          <w:color w:val="000000"/>
          <w:sz w:val="24"/>
          <w:szCs w:val="24"/>
        </w:rPr>
        <w:t>nos termos da Lei nº 14.133, de 1º de abril de 2021, da Instrução Normativa SEGES/ME nº 67/2021 e demais legislação aplicável</w:t>
      </w:r>
      <w:r>
        <w:rPr>
          <w:rFonts w:cs="Arial" w:ascii="CARLITO" w:hAnsi="CARLITO"/>
          <w:i w:val="false"/>
          <w:iCs w:val="false"/>
          <w:color w:val="000000"/>
          <w:sz w:val="24"/>
          <w:szCs w:val="24"/>
        </w:rPr>
        <w:t>.</w:t>
      </w:r>
    </w:p>
    <w:p>
      <w:pPr>
        <w:pStyle w:val="Normal"/>
        <w:spacing w:lineRule="auto" w:line="276"/>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r>
    </w:p>
    <w:p>
      <w:pPr>
        <w:pStyle w:val="Normal"/>
        <w:spacing w:lineRule="auto" w:line="276"/>
        <w:jc w:val="both"/>
        <w:rPr>
          <w:color w:val="000000"/>
        </w:rPr>
      </w:pPr>
      <w:r>
        <w:rPr>
          <w:rFonts w:cs="Arial" w:ascii="CARLITO" w:hAnsi="CARLITO"/>
          <w:i w:val="false"/>
          <w:iCs w:val="false"/>
          <w:color w:val="000000"/>
          <w:sz w:val="24"/>
          <w:szCs w:val="24"/>
        </w:rPr>
        <w:t xml:space="preserve">Data da sessão: </w:t>
      </w:r>
      <w:r>
        <w:rPr>
          <w:rFonts w:cs="Arial" w:ascii="CARLITO" w:hAnsi="CARLITO"/>
          <w:i w:val="false"/>
          <w:iCs w:val="false"/>
          <w:color w:val="000000"/>
          <w:sz w:val="24"/>
          <w:szCs w:val="24"/>
        </w:rPr>
        <w:t>3</w:t>
      </w:r>
      <w:r>
        <w:rPr>
          <w:rFonts w:cs="Arial" w:ascii="CARLITO" w:hAnsi="CARLITO"/>
          <w:i w:val="false"/>
          <w:iCs w:val="false"/>
          <w:color w:val="000000"/>
          <w:sz w:val="24"/>
          <w:szCs w:val="24"/>
        </w:rPr>
        <w:t>0/09/2022</w:t>
      </w:r>
    </w:p>
    <w:p>
      <w:pPr>
        <w:pStyle w:val="Normal"/>
        <w:rPr>
          <w:rFonts w:ascii="CARLITO" w:hAnsi="CARLITO" w:cs="Arial"/>
          <w:i w:val="false"/>
          <w:i w:val="false"/>
          <w:iCs w:val="false"/>
          <w:color w:val="000000"/>
          <w:sz w:val="24"/>
          <w:szCs w:val="24"/>
        </w:rPr>
      </w:pPr>
      <w:r>
        <w:rPr>
          <w:rFonts w:cs="Arial" w:ascii="CARLITO" w:hAnsi="CARLITO"/>
          <w:i w:val="false"/>
          <w:iCs w:val="false"/>
          <w:color w:val="000000"/>
          <w:sz w:val="24"/>
          <w:szCs w:val="24"/>
        </w:rPr>
        <w:t>Horário da Fase de Lances: 8:00 às 14:00hs</w:t>
      </w:r>
    </w:p>
    <w:p>
      <w:pPr>
        <w:pStyle w:val="PADRO"/>
        <w:keepNext/>
        <w:widowControl/>
        <w:shd w:val="clear" w:fill="FFFFFF"/>
        <w:spacing w:before="120" w:after="120"/>
        <w:ind w:left="360" w:right="0" w:hanging="0"/>
        <w:rPr>
          <w:rFonts w:ascii="CARLITO" w:hAnsi="CARLITO" w:cs="Arial"/>
          <w:b/>
          <w:b/>
          <w:i w:val="false"/>
          <w:i w:val="false"/>
          <w:iCs w:val="false"/>
          <w:color w:val="000000"/>
          <w:sz w:val="24"/>
          <w:szCs w:val="24"/>
        </w:rPr>
      </w:pPr>
      <w:r>
        <w:rPr>
          <w:rFonts w:cs="Arial" w:ascii="CARLITO" w:hAnsi="CARLITO"/>
          <w:b/>
          <w:i w:val="false"/>
          <w:iCs w:val="false"/>
          <w:color w:val="000000"/>
          <w:sz w:val="24"/>
          <w:szCs w:val="24"/>
        </w:rPr>
      </w:r>
    </w:p>
    <w:p>
      <w:pPr>
        <w:pStyle w:val="PADRO"/>
        <w:keepNext/>
        <w:widowControl/>
        <w:numPr>
          <w:ilvl w:val="0"/>
          <w:numId w:val="1"/>
        </w:numPr>
        <w:shd w:val="clear" w:fill="FFFFFF"/>
        <w:spacing w:before="120" w:after="120"/>
        <w:rPr>
          <w:rFonts w:ascii="CARLITO" w:hAnsi="CARLITO" w:cs="Arial"/>
          <w:b/>
          <w:b/>
          <w:i w:val="false"/>
          <w:i w:val="false"/>
          <w:iCs w:val="false"/>
          <w:color w:val="000000"/>
          <w:sz w:val="24"/>
          <w:szCs w:val="24"/>
        </w:rPr>
      </w:pPr>
      <w:r>
        <w:rPr>
          <w:rFonts w:cs="Arial" w:ascii="CARLITO" w:hAnsi="CARLITO"/>
          <w:b/>
          <w:i w:val="false"/>
          <w:iCs w:val="false"/>
          <w:color w:val="000000"/>
          <w:sz w:val="24"/>
          <w:szCs w:val="24"/>
        </w:rPr>
        <w:t>OBJETO DA CONTRATAÇÃO DIRETA</w:t>
      </w:r>
    </w:p>
    <w:p>
      <w:pPr>
        <w:pStyle w:val="PADRO"/>
        <w:widowControl/>
        <w:numPr>
          <w:ilvl w:val="1"/>
          <w:numId w:val="1"/>
        </w:numPr>
        <w:shd w:val="clear" w:fill="FFFFFF"/>
        <w:spacing w:before="120" w:after="120"/>
        <w:rPr>
          <w:rFonts w:ascii="CARLITO" w:hAnsi="CARLITO"/>
          <w:sz w:val="24"/>
          <w:szCs w:val="24"/>
        </w:rPr>
      </w:pPr>
      <w:r>
        <w:rPr>
          <w:rFonts w:ascii="CARLITO" w:hAnsi="CARLITO"/>
          <w:i w:val="false"/>
          <w:iCs w:val="false"/>
          <w:color w:val="000000"/>
          <w:sz w:val="24"/>
          <w:szCs w:val="24"/>
        </w:rPr>
        <w:t xml:space="preserve"> </w:t>
      </w:r>
      <w:r>
        <w:rPr>
          <w:rFonts w:ascii="CARLITO" w:hAnsi="CARLITO"/>
          <w:i w:val="false"/>
          <w:iCs w:val="false"/>
          <w:color w:val="000000"/>
          <w:sz w:val="24"/>
          <w:szCs w:val="24"/>
        </w:rPr>
        <w:t>Aquisição de material a ser utilizado no Rancho do Grupamento de Fuzileiros Navais do Rio Grande (GptFNRG).</w:t>
      </w:r>
    </w:p>
    <w:p>
      <w:pPr>
        <w:pStyle w:val="PADRO"/>
        <w:keepNext/>
        <w:widowControl/>
        <w:numPr>
          <w:ilvl w:val="1"/>
          <w:numId w:val="1"/>
        </w:numPr>
        <w:shd w:val="clear" w:fill="FFFFFF"/>
        <w:spacing w:before="120" w:after="120"/>
        <w:rPr>
          <w:rFonts w:ascii="CARLITO" w:hAnsi="CARLITO"/>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A contratação será dividida em itens</w:t>
      </w:r>
      <w:r>
        <w:rPr>
          <w:rFonts w:cs="Arial" w:ascii="CARLITO" w:hAnsi="CARLITO"/>
          <w:b/>
          <w:bCs/>
          <w:i w:val="false"/>
          <w:iCs w:val="false"/>
          <w:color w:val="000000"/>
          <w:sz w:val="24"/>
          <w:szCs w:val="24"/>
        </w:rPr>
        <w:t>,</w:t>
      </w:r>
      <w:r>
        <w:rPr>
          <w:rFonts w:cs="Arial" w:ascii="CARLITO" w:hAnsi="CARLITO"/>
          <w:i w:val="false"/>
          <w:iCs w:val="false"/>
          <w:color w:val="000000"/>
          <w:sz w:val="24"/>
          <w:szCs w:val="24"/>
        </w:rPr>
        <w:t xml:space="preserve"> conforme tabela constante abaixo.</w:t>
      </w:r>
    </w:p>
    <w:tbl>
      <w:tblPr>
        <w:tblW w:w="9688" w:type="dxa"/>
        <w:jc w:val="left"/>
        <w:tblInd w:w="13"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68" w:type="dxa"/>
          <w:bottom w:w="0" w:type="dxa"/>
          <w:right w:w="108" w:type="dxa"/>
        </w:tblCellMar>
      </w:tblPr>
      <w:tblGrid>
        <w:gridCol w:w="846"/>
        <w:gridCol w:w="3124"/>
        <w:gridCol w:w="1305"/>
        <w:gridCol w:w="1464"/>
        <w:gridCol w:w="1201"/>
        <w:gridCol w:w="1747"/>
      </w:tblGrid>
      <w:tr>
        <w:trPr/>
        <w:tc>
          <w:tcPr>
            <w:tcW w:w="84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68" w:type="dxa"/>
            </w:tcMar>
          </w:tcPr>
          <w:p>
            <w:pPr>
              <w:pStyle w:val="Normal"/>
              <w:widowControl w:val="false"/>
              <w:suppressAutoHyphens w:val="true"/>
              <w:jc w:val="center"/>
              <w:rPr>
                <w:rFonts w:ascii="CARLITO" w:hAnsi="CARLITO" w:cs="Arial"/>
                <w:b/>
                <w:b/>
                <w:bCs/>
                <w:i w:val="false"/>
                <w:i w:val="false"/>
                <w:iCs w:val="false"/>
                <w:color w:val="000000"/>
                <w:sz w:val="24"/>
                <w:szCs w:val="24"/>
              </w:rPr>
            </w:pPr>
            <w:r>
              <w:rPr>
                <w:rFonts w:cs="Arial" w:ascii="CARLITO" w:hAnsi="CARLITO"/>
                <w:b/>
                <w:bCs/>
                <w:i w:val="false"/>
                <w:iCs w:val="false"/>
                <w:color w:val="000000"/>
                <w:sz w:val="24"/>
                <w:szCs w:val="24"/>
              </w:rPr>
              <w:t>ITEM</w:t>
            </w:r>
          </w:p>
          <w:p>
            <w:pPr>
              <w:pStyle w:val="Normal"/>
              <w:widowControl w:val="false"/>
              <w:suppressAutoHyphens w:val="true"/>
              <w:jc w:val="center"/>
              <w:rPr>
                <w:rFonts w:ascii="CARLITO" w:hAnsi="CARLITO" w:cs="Arial"/>
                <w:b/>
                <w:b/>
                <w:i w:val="false"/>
                <w:i w:val="false"/>
                <w:iCs w:val="false"/>
                <w:color w:val="000000"/>
                <w:sz w:val="24"/>
                <w:szCs w:val="24"/>
              </w:rPr>
            </w:pPr>
            <w:r>
              <w:rPr>
                <w:rFonts w:cs="Arial" w:ascii="CARLITO" w:hAnsi="CARLITO"/>
                <w:b/>
                <w:i w:val="false"/>
                <w:iCs w:val="false"/>
                <w:color w:val="000000"/>
                <w:sz w:val="24"/>
                <w:szCs w:val="24"/>
              </w:rPr>
            </w:r>
          </w:p>
        </w:tc>
        <w:tc>
          <w:tcPr>
            <w:tcW w:w="312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68" w:type="dxa"/>
            </w:tcMar>
          </w:tcPr>
          <w:p>
            <w:pPr>
              <w:pStyle w:val="Normal"/>
              <w:widowControl w:val="false"/>
              <w:jc w:val="center"/>
              <w:rPr>
                <w:rFonts w:ascii="CARLITO" w:hAnsi="CARLITO" w:cs="Arial"/>
                <w:b/>
                <w:b/>
                <w:bCs/>
                <w:i w:val="false"/>
                <w:i w:val="false"/>
                <w:iCs w:val="false"/>
                <w:color w:val="000000"/>
                <w:sz w:val="24"/>
                <w:szCs w:val="24"/>
              </w:rPr>
            </w:pPr>
            <w:r>
              <w:rPr>
                <w:rFonts w:cs="Arial" w:ascii="CARLITO" w:hAnsi="CARLITO"/>
                <w:b/>
                <w:bCs/>
                <w:i w:val="false"/>
                <w:iCs w:val="false"/>
                <w:color w:val="000000"/>
                <w:sz w:val="24"/>
                <w:szCs w:val="24"/>
              </w:rPr>
              <w:t>DESCRIÇÃO/</w:t>
            </w:r>
          </w:p>
          <w:p>
            <w:pPr>
              <w:pStyle w:val="Normal"/>
              <w:widowControl w:val="false"/>
              <w:suppressAutoHyphens w:val="true"/>
              <w:jc w:val="center"/>
              <w:rPr>
                <w:rFonts w:ascii="CARLITO" w:hAnsi="CARLITO" w:cs="Arial"/>
                <w:b/>
                <w:b/>
                <w:bCs/>
                <w:i w:val="false"/>
                <w:i w:val="false"/>
                <w:iCs w:val="false"/>
                <w:color w:val="000000"/>
                <w:sz w:val="24"/>
                <w:szCs w:val="24"/>
              </w:rPr>
            </w:pPr>
            <w:r>
              <w:rPr>
                <w:rFonts w:cs="Arial" w:ascii="CARLITO" w:hAnsi="CARLITO"/>
                <w:b/>
                <w:bCs/>
                <w:i w:val="false"/>
                <w:iCs w:val="false"/>
                <w:color w:val="000000"/>
                <w:sz w:val="24"/>
                <w:szCs w:val="24"/>
              </w:rPr>
              <w:t>ESPECIFICAÇÃO</w:t>
            </w:r>
          </w:p>
        </w:tc>
        <w:tc>
          <w:tcPr>
            <w:tcW w:w="130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68" w:type="dxa"/>
            </w:tcMar>
          </w:tcPr>
          <w:p>
            <w:pPr>
              <w:pStyle w:val="Normal"/>
              <w:widowControl w:val="false"/>
              <w:suppressAutoHyphens w:val="true"/>
              <w:jc w:val="center"/>
              <w:rPr>
                <w:rFonts w:ascii="CARLITO" w:hAnsi="CARLITO" w:cs="Arial"/>
                <w:b/>
                <w:b/>
                <w:bCs/>
                <w:i w:val="false"/>
                <w:i w:val="false"/>
                <w:iCs w:val="false"/>
                <w:color w:val="000000"/>
                <w:sz w:val="24"/>
                <w:szCs w:val="24"/>
              </w:rPr>
            </w:pPr>
            <w:r>
              <w:rPr>
                <w:rFonts w:cs="Arial" w:ascii="CARLITO" w:hAnsi="CARLITO"/>
                <w:b/>
                <w:bCs/>
                <w:i w:val="false"/>
                <w:iCs w:val="false"/>
                <w:color w:val="000000"/>
                <w:sz w:val="24"/>
                <w:szCs w:val="24"/>
              </w:rPr>
              <w:t>CATMAT</w:t>
            </w:r>
          </w:p>
        </w:tc>
        <w:tc>
          <w:tcPr>
            <w:tcW w:w="14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68" w:type="dxa"/>
            </w:tcMar>
          </w:tcPr>
          <w:p>
            <w:pPr>
              <w:pStyle w:val="Normal"/>
              <w:widowControl w:val="false"/>
              <w:suppressAutoHyphens w:val="true"/>
              <w:jc w:val="center"/>
              <w:rPr>
                <w:rFonts w:ascii="CARLITO" w:hAnsi="CARLITO" w:cs="Arial"/>
                <w:b/>
                <w:b/>
                <w:bCs/>
                <w:i w:val="false"/>
                <w:i w:val="false"/>
                <w:iCs w:val="false"/>
                <w:color w:val="000000"/>
                <w:sz w:val="24"/>
                <w:szCs w:val="24"/>
              </w:rPr>
            </w:pPr>
            <w:r>
              <w:rPr>
                <w:rFonts w:cs="Arial" w:ascii="CARLITO" w:hAnsi="CARLITO"/>
                <w:b/>
                <w:bCs/>
                <w:i w:val="false"/>
                <w:iCs w:val="false"/>
                <w:color w:val="000000"/>
                <w:sz w:val="24"/>
                <w:szCs w:val="24"/>
              </w:rPr>
              <w:t>UNIDADE DE MEDIDA</w:t>
            </w:r>
          </w:p>
        </w:tc>
        <w:tc>
          <w:tcPr>
            <w:tcW w:w="12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68" w:type="dxa"/>
            </w:tcMar>
          </w:tcPr>
          <w:p>
            <w:pPr>
              <w:pStyle w:val="Normal"/>
              <w:widowControl w:val="false"/>
              <w:suppressAutoHyphens w:val="true"/>
              <w:jc w:val="center"/>
              <w:rPr>
                <w:rFonts w:ascii="CARLITO" w:hAnsi="CARLITO" w:cs="Arial"/>
                <w:b/>
                <w:b/>
                <w:bCs/>
                <w:i w:val="false"/>
                <w:i w:val="false"/>
                <w:iCs w:val="false"/>
                <w:color w:val="000000"/>
                <w:sz w:val="24"/>
                <w:szCs w:val="24"/>
              </w:rPr>
            </w:pPr>
            <w:r>
              <w:rPr>
                <w:rFonts w:cs="Arial" w:ascii="CARLITO" w:hAnsi="CARLITO"/>
                <w:b/>
                <w:bCs/>
                <w:i w:val="false"/>
                <w:iCs w:val="false"/>
                <w:color w:val="000000"/>
                <w:sz w:val="24"/>
                <w:szCs w:val="24"/>
              </w:rPr>
              <w:t>QUANT.</w:t>
            </w:r>
          </w:p>
        </w:tc>
        <w:tc>
          <w:tcPr>
            <w:tcW w:w="174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68" w:type="dxa"/>
            </w:tcMar>
          </w:tcPr>
          <w:p>
            <w:pPr>
              <w:pStyle w:val="Normal"/>
              <w:widowControl w:val="false"/>
              <w:suppressAutoHyphens w:val="true"/>
              <w:jc w:val="center"/>
              <w:rPr>
                <w:rFonts w:ascii="CARLITO" w:hAnsi="CARLITO" w:cs="Arial"/>
                <w:b/>
                <w:b/>
                <w:bCs/>
                <w:i w:val="false"/>
                <w:i w:val="false"/>
                <w:iCs w:val="false"/>
                <w:color w:val="000000"/>
                <w:sz w:val="24"/>
                <w:szCs w:val="24"/>
              </w:rPr>
            </w:pPr>
            <w:r>
              <w:rPr>
                <w:rFonts w:cs="Arial" w:ascii="CARLITO" w:hAnsi="CARLITO"/>
                <w:b/>
                <w:bCs/>
                <w:i w:val="false"/>
                <w:iCs w:val="false"/>
                <w:color w:val="000000"/>
                <w:sz w:val="24"/>
                <w:szCs w:val="24"/>
              </w:rPr>
              <w:t>PREÇO ESTIMADO</w:t>
            </w:r>
          </w:p>
        </w:tc>
      </w:tr>
      <w:tr>
        <w:trPr>
          <w:trHeight w:val="408" w:hRule="atLeast"/>
        </w:trPr>
        <w:tc>
          <w:tcPr>
            <w:tcW w:w="84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68" w:type="dxa"/>
            </w:tcMar>
            <w:vAlign w:val="center"/>
          </w:tcPr>
          <w:p>
            <w:pPr>
              <w:pStyle w:val="Normal"/>
              <w:widowControl w:val="false"/>
              <w:suppressAutoHyphens w:val="true"/>
              <w:spacing w:lineRule="auto" w:line="276" w:before="0" w:after="120"/>
              <w:jc w:val="center"/>
              <w:rPr>
                <w:rFonts w:ascii="CARLITO" w:hAnsi="CARLITO"/>
                <w:i w:val="false"/>
                <w:i w:val="false"/>
                <w:iCs w:val="false"/>
                <w:color w:val="000000"/>
                <w:sz w:val="24"/>
                <w:szCs w:val="24"/>
              </w:rPr>
            </w:pPr>
            <w:r>
              <w:rPr>
                <w:rFonts w:ascii="CARLITO" w:hAnsi="CARLITO"/>
                <w:i w:val="false"/>
                <w:iCs w:val="false"/>
                <w:color w:val="000000"/>
                <w:sz w:val="24"/>
                <w:szCs w:val="24"/>
              </w:rPr>
              <w:t>1</w:t>
            </w:r>
          </w:p>
        </w:tc>
        <w:tc>
          <w:tcPr>
            <w:tcW w:w="312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68" w:type="dxa"/>
            </w:tcMar>
            <w:vAlign w:val="center"/>
          </w:tcPr>
          <w:p>
            <w:pPr>
              <w:pStyle w:val="Contedodatabela"/>
              <w:rPr>
                <w:rFonts w:ascii="CARLITO" w:hAnsi="CARLITO"/>
                <w:sz w:val="24"/>
                <w:szCs w:val="24"/>
              </w:rPr>
            </w:pPr>
            <w:r>
              <w:rPr>
                <w:rFonts w:ascii="CARLITO" w:hAnsi="CARLITO"/>
                <w:sz w:val="24"/>
                <w:szCs w:val="24"/>
              </w:rPr>
              <w:t>SODA CÁUSTICA DESINCRUSTANTE, POTE DE 1QUILO</w:t>
            </w:r>
          </w:p>
        </w:tc>
        <w:tc>
          <w:tcPr>
            <w:tcW w:w="130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68" w:type="dxa"/>
            </w:tcMar>
            <w:vAlign w:val="center"/>
          </w:tcPr>
          <w:p>
            <w:pPr>
              <w:pStyle w:val="Contedodatabela"/>
              <w:rPr>
                <w:rFonts w:ascii="CARLITO" w:hAnsi="CARLITO"/>
                <w:sz w:val="24"/>
                <w:szCs w:val="24"/>
              </w:rPr>
            </w:pPr>
            <w:r>
              <w:rPr>
                <w:rFonts w:ascii="CARLITO" w:hAnsi="CARLITO"/>
                <w:sz w:val="24"/>
                <w:szCs w:val="24"/>
              </w:rPr>
              <w:t>346030</w:t>
            </w:r>
          </w:p>
        </w:tc>
        <w:tc>
          <w:tcPr>
            <w:tcW w:w="14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68" w:type="dxa"/>
            </w:tcMar>
            <w:vAlign w:val="center"/>
          </w:tcPr>
          <w:p>
            <w:pPr>
              <w:pStyle w:val="Normal"/>
              <w:widowControl w:val="false"/>
              <w:suppressAutoHyphens w:val="true"/>
              <w:spacing w:lineRule="auto" w:line="276" w:before="0" w:after="120"/>
              <w:jc w:val="center"/>
              <w:rPr>
                <w:rFonts w:ascii="CARLITO" w:hAnsi="CARLITO"/>
                <w:i w:val="false"/>
                <w:i w:val="false"/>
                <w:iCs w:val="false"/>
                <w:color w:val="000000"/>
                <w:sz w:val="24"/>
                <w:szCs w:val="24"/>
              </w:rPr>
            </w:pPr>
            <w:r>
              <w:rPr>
                <w:rFonts w:ascii="CARLITO" w:hAnsi="CARLITO"/>
                <w:i w:val="false"/>
                <w:iCs w:val="false"/>
                <w:color w:val="000000"/>
                <w:sz w:val="24"/>
                <w:szCs w:val="24"/>
              </w:rPr>
              <w:t>Kg</w:t>
            </w:r>
          </w:p>
        </w:tc>
        <w:tc>
          <w:tcPr>
            <w:tcW w:w="12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68" w:type="dxa"/>
            </w:tcMar>
            <w:vAlign w:val="center"/>
          </w:tcPr>
          <w:p>
            <w:pPr>
              <w:pStyle w:val="Normal"/>
              <w:widowControl w:val="false"/>
              <w:suppressAutoHyphens w:val="true"/>
              <w:spacing w:lineRule="auto" w:line="276" w:before="0" w:after="120"/>
              <w:jc w:val="center"/>
              <w:rPr>
                <w:rFonts w:ascii="CARLITO" w:hAnsi="CARLITO"/>
                <w:i w:val="false"/>
                <w:i w:val="false"/>
                <w:iCs w:val="false"/>
                <w:color w:val="000000"/>
                <w:sz w:val="24"/>
                <w:szCs w:val="24"/>
              </w:rPr>
            </w:pPr>
            <w:r>
              <w:rPr>
                <w:rFonts w:ascii="CARLITO" w:hAnsi="CARLITO"/>
                <w:i w:val="false"/>
                <w:iCs w:val="false"/>
                <w:color w:val="000000"/>
                <w:sz w:val="24"/>
                <w:szCs w:val="24"/>
              </w:rPr>
              <w:t>12</w:t>
            </w:r>
          </w:p>
        </w:tc>
        <w:tc>
          <w:tcPr>
            <w:tcW w:w="174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68" w:type="dxa"/>
            </w:tcMar>
            <w:vAlign w:val="center"/>
          </w:tcPr>
          <w:p>
            <w:pPr>
              <w:pStyle w:val="Contedodatabela"/>
              <w:jc w:val="center"/>
              <w:rPr>
                <w:rFonts w:ascii="CARLITO" w:hAnsi="CARLITO"/>
                <w:sz w:val="24"/>
                <w:szCs w:val="24"/>
              </w:rPr>
            </w:pPr>
            <w:r>
              <w:rPr>
                <w:rFonts w:ascii="CARLITO" w:hAnsi="CARLITO"/>
                <w:sz w:val="24"/>
                <w:szCs w:val="24"/>
              </w:rPr>
              <w:t>R$ 21,99</w:t>
            </w:r>
          </w:p>
        </w:tc>
      </w:tr>
      <w:tr>
        <w:trPr>
          <w:trHeight w:val="408" w:hRule="atLeast"/>
        </w:trPr>
        <w:tc>
          <w:tcPr>
            <w:tcW w:w="84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68" w:type="dxa"/>
            </w:tcMar>
            <w:vAlign w:val="center"/>
          </w:tcPr>
          <w:p>
            <w:pPr>
              <w:pStyle w:val="Normal"/>
              <w:widowControl w:val="false"/>
              <w:suppressAutoHyphens w:val="true"/>
              <w:spacing w:lineRule="auto" w:line="276" w:before="0" w:after="120"/>
              <w:jc w:val="center"/>
              <w:rPr>
                <w:rFonts w:ascii="CARLITO" w:hAnsi="CARLITO"/>
                <w:sz w:val="24"/>
                <w:szCs w:val="24"/>
              </w:rPr>
            </w:pPr>
            <w:r>
              <w:rPr>
                <w:rFonts w:ascii="CARLITO" w:hAnsi="CARLITO"/>
                <w:sz w:val="24"/>
                <w:szCs w:val="24"/>
              </w:rPr>
              <w:t>2</w:t>
            </w:r>
          </w:p>
        </w:tc>
        <w:tc>
          <w:tcPr>
            <w:tcW w:w="312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68" w:type="dxa"/>
            </w:tcMar>
            <w:vAlign w:val="center"/>
          </w:tcPr>
          <w:p>
            <w:pPr>
              <w:pStyle w:val="Contedodatabela"/>
              <w:rPr>
                <w:rFonts w:ascii="CARLITO" w:hAnsi="CARLITO"/>
                <w:sz w:val="24"/>
                <w:szCs w:val="24"/>
              </w:rPr>
            </w:pPr>
            <w:r>
              <w:rPr>
                <w:rFonts w:ascii="CARLITO" w:hAnsi="CARLITO"/>
                <w:sz w:val="24"/>
                <w:szCs w:val="24"/>
              </w:rPr>
              <w:t>LUVA DE LATEX PARA LIMPEZA</w:t>
            </w:r>
          </w:p>
        </w:tc>
        <w:tc>
          <w:tcPr>
            <w:tcW w:w="130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68" w:type="dxa"/>
            </w:tcMar>
            <w:vAlign w:val="center"/>
          </w:tcPr>
          <w:p>
            <w:pPr>
              <w:pStyle w:val="Contedodatabela"/>
              <w:rPr>
                <w:rFonts w:ascii="CARLITO" w:hAnsi="CARLITO"/>
                <w:sz w:val="24"/>
                <w:szCs w:val="24"/>
              </w:rPr>
            </w:pPr>
            <w:r>
              <w:rPr>
                <w:rFonts w:ascii="CARLITO" w:hAnsi="CARLITO"/>
                <w:sz w:val="24"/>
                <w:szCs w:val="24"/>
              </w:rPr>
              <w:t>208476</w:t>
            </w:r>
          </w:p>
        </w:tc>
        <w:tc>
          <w:tcPr>
            <w:tcW w:w="14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68" w:type="dxa"/>
            </w:tcMar>
            <w:vAlign w:val="center"/>
          </w:tcPr>
          <w:p>
            <w:pPr>
              <w:pStyle w:val="Normal"/>
              <w:widowControl w:val="false"/>
              <w:suppressAutoHyphens w:val="true"/>
              <w:spacing w:lineRule="auto" w:line="276" w:before="0" w:after="120"/>
              <w:jc w:val="center"/>
              <w:rPr>
                <w:rFonts w:ascii="CARLITO" w:hAnsi="CARLITO"/>
                <w:sz w:val="24"/>
                <w:szCs w:val="24"/>
              </w:rPr>
            </w:pPr>
            <w:r>
              <w:rPr>
                <w:rFonts w:ascii="CARLITO" w:hAnsi="CARLITO"/>
                <w:sz w:val="24"/>
                <w:szCs w:val="24"/>
              </w:rPr>
              <w:t>UN</w:t>
            </w:r>
          </w:p>
        </w:tc>
        <w:tc>
          <w:tcPr>
            <w:tcW w:w="12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68" w:type="dxa"/>
            </w:tcMar>
            <w:vAlign w:val="center"/>
          </w:tcPr>
          <w:p>
            <w:pPr>
              <w:pStyle w:val="Normal"/>
              <w:widowControl w:val="false"/>
              <w:suppressAutoHyphens w:val="true"/>
              <w:spacing w:lineRule="auto" w:line="276" w:before="0" w:after="120"/>
              <w:jc w:val="center"/>
              <w:rPr>
                <w:rFonts w:ascii="CARLITO" w:hAnsi="CARLITO"/>
                <w:sz w:val="24"/>
                <w:szCs w:val="24"/>
              </w:rPr>
            </w:pPr>
            <w:r>
              <w:rPr>
                <w:rFonts w:ascii="CARLITO" w:hAnsi="CARLITO"/>
                <w:sz w:val="24"/>
                <w:szCs w:val="24"/>
              </w:rPr>
              <w:t>40</w:t>
            </w:r>
          </w:p>
        </w:tc>
        <w:tc>
          <w:tcPr>
            <w:tcW w:w="174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68" w:type="dxa"/>
            </w:tcMar>
            <w:vAlign w:val="center"/>
          </w:tcPr>
          <w:p>
            <w:pPr>
              <w:pStyle w:val="Contedodatabela"/>
              <w:jc w:val="center"/>
              <w:rPr>
                <w:rFonts w:ascii="CARLITO" w:hAnsi="CARLITO"/>
                <w:sz w:val="24"/>
                <w:szCs w:val="24"/>
              </w:rPr>
            </w:pPr>
            <w:r>
              <w:rPr>
                <w:rFonts w:ascii="CARLITO" w:hAnsi="CARLITO"/>
                <w:sz w:val="24"/>
                <w:szCs w:val="24"/>
              </w:rPr>
              <w:t>R$ 8,00</w:t>
            </w:r>
          </w:p>
        </w:tc>
      </w:tr>
      <w:tr>
        <w:trPr>
          <w:trHeight w:val="408" w:hRule="atLeast"/>
        </w:trPr>
        <w:tc>
          <w:tcPr>
            <w:tcW w:w="84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68" w:type="dxa"/>
            </w:tcMar>
            <w:vAlign w:val="center"/>
          </w:tcPr>
          <w:p>
            <w:pPr>
              <w:pStyle w:val="Normal"/>
              <w:widowControl w:val="false"/>
              <w:suppressAutoHyphens w:val="true"/>
              <w:spacing w:lineRule="auto" w:line="276" w:before="0" w:after="120"/>
              <w:jc w:val="center"/>
              <w:rPr>
                <w:rFonts w:ascii="CARLITO" w:hAnsi="CARLITO"/>
                <w:sz w:val="24"/>
                <w:szCs w:val="24"/>
              </w:rPr>
            </w:pPr>
            <w:r>
              <w:rPr>
                <w:rFonts w:ascii="CARLITO" w:hAnsi="CARLITO"/>
                <w:sz w:val="24"/>
                <w:szCs w:val="24"/>
              </w:rPr>
              <w:t>3</w:t>
            </w:r>
          </w:p>
        </w:tc>
        <w:tc>
          <w:tcPr>
            <w:tcW w:w="312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68" w:type="dxa"/>
            </w:tcMar>
            <w:vAlign w:val="center"/>
          </w:tcPr>
          <w:p>
            <w:pPr>
              <w:pStyle w:val="Contedodatabela"/>
              <w:rPr>
                <w:rFonts w:ascii="CARLITO" w:hAnsi="CARLITO"/>
                <w:sz w:val="24"/>
                <w:szCs w:val="24"/>
              </w:rPr>
            </w:pPr>
            <w:r>
              <w:rPr>
                <w:rFonts w:ascii="CARLITO" w:hAnsi="CARLITO"/>
                <w:sz w:val="24"/>
                <w:szCs w:val="24"/>
              </w:rPr>
              <w:t>ACENDEDOR DE FOGÃO – GERADOR DE FAISCA</w:t>
            </w:r>
          </w:p>
        </w:tc>
        <w:tc>
          <w:tcPr>
            <w:tcW w:w="130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68" w:type="dxa"/>
            </w:tcMar>
            <w:vAlign w:val="center"/>
          </w:tcPr>
          <w:p>
            <w:pPr>
              <w:pStyle w:val="Contedodatabela"/>
              <w:rPr>
                <w:rFonts w:ascii="CARLITO" w:hAnsi="CARLITO"/>
                <w:sz w:val="24"/>
                <w:szCs w:val="24"/>
              </w:rPr>
            </w:pPr>
            <w:r>
              <w:rPr>
                <w:rFonts w:ascii="CARLITO" w:hAnsi="CARLITO"/>
                <w:sz w:val="24"/>
                <w:szCs w:val="24"/>
              </w:rPr>
              <w:t>405733</w:t>
            </w:r>
          </w:p>
        </w:tc>
        <w:tc>
          <w:tcPr>
            <w:tcW w:w="14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68" w:type="dxa"/>
            </w:tcMar>
            <w:vAlign w:val="center"/>
          </w:tcPr>
          <w:p>
            <w:pPr>
              <w:pStyle w:val="Contedodatabela"/>
              <w:jc w:val="center"/>
              <w:rPr/>
            </w:pPr>
            <w:r>
              <w:rPr>
                <w:rFonts w:ascii="CARLITO" w:hAnsi="CARLITO"/>
                <w:sz w:val="24"/>
                <w:szCs w:val="24"/>
              </w:rPr>
              <w:t>UN</w:t>
            </w:r>
          </w:p>
        </w:tc>
        <w:tc>
          <w:tcPr>
            <w:tcW w:w="12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68" w:type="dxa"/>
            </w:tcMar>
            <w:vAlign w:val="center"/>
          </w:tcPr>
          <w:p>
            <w:pPr>
              <w:pStyle w:val="Normal"/>
              <w:widowControl w:val="false"/>
              <w:suppressAutoHyphens w:val="true"/>
              <w:spacing w:lineRule="auto" w:line="276" w:before="0" w:after="120"/>
              <w:jc w:val="center"/>
              <w:rPr>
                <w:rFonts w:ascii="CARLITO" w:hAnsi="CARLITO"/>
                <w:sz w:val="24"/>
                <w:szCs w:val="24"/>
              </w:rPr>
            </w:pPr>
            <w:r>
              <w:rPr>
                <w:rFonts w:ascii="CARLITO" w:hAnsi="CARLITO"/>
                <w:sz w:val="24"/>
                <w:szCs w:val="24"/>
              </w:rPr>
              <w:t>15</w:t>
            </w:r>
          </w:p>
        </w:tc>
        <w:tc>
          <w:tcPr>
            <w:tcW w:w="174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68" w:type="dxa"/>
            </w:tcMar>
            <w:vAlign w:val="center"/>
          </w:tcPr>
          <w:p>
            <w:pPr>
              <w:pStyle w:val="Normal"/>
              <w:widowControl w:val="false"/>
              <w:suppressAutoHyphens w:val="true"/>
              <w:spacing w:lineRule="auto" w:line="276" w:before="0" w:after="120"/>
              <w:jc w:val="center"/>
              <w:rPr>
                <w:rFonts w:ascii="CARLITO" w:hAnsi="CARLITO"/>
                <w:sz w:val="24"/>
                <w:szCs w:val="24"/>
              </w:rPr>
            </w:pPr>
            <w:bookmarkStart w:id="0" w:name="__DdeLink__2168_330598926"/>
            <w:r>
              <w:rPr>
                <w:rFonts w:ascii="CARLITO" w:hAnsi="CARLITO"/>
                <w:i w:val="false"/>
                <w:iCs w:val="false"/>
                <w:color w:val="000000"/>
                <w:sz w:val="24"/>
                <w:szCs w:val="24"/>
              </w:rPr>
              <w:t xml:space="preserve">R$ </w:t>
            </w:r>
            <w:bookmarkEnd w:id="0"/>
            <w:r>
              <w:rPr>
                <w:rFonts w:ascii="CARLITO" w:hAnsi="CARLITO"/>
                <w:i w:val="false"/>
                <w:iCs w:val="false"/>
                <w:color w:val="000000"/>
                <w:sz w:val="24"/>
                <w:szCs w:val="24"/>
              </w:rPr>
              <w:t>12,00</w:t>
            </w:r>
          </w:p>
        </w:tc>
      </w:tr>
      <w:tr>
        <w:trPr>
          <w:trHeight w:val="408" w:hRule="atLeast"/>
        </w:trPr>
        <w:tc>
          <w:tcPr>
            <w:tcW w:w="846" w:type="dxa"/>
            <w:tcBorders>
              <w:left w:val="single" w:sz="4" w:space="0" w:color="000001"/>
              <w:bottom w:val="single" w:sz="4" w:space="0" w:color="000001"/>
              <w:right w:val="single" w:sz="4" w:space="0" w:color="000001"/>
              <w:insideH w:val="single" w:sz="4" w:space="0" w:color="000001"/>
              <w:insideV w:val="single" w:sz="4" w:space="0" w:color="000001"/>
            </w:tcBorders>
            <w:shd w:fill="FFFFFF" w:val="clear"/>
            <w:tcMar>
              <w:left w:w="68" w:type="dxa"/>
            </w:tcMar>
            <w:vAlign w:val="center"/>
          </w:tcPr>
          <w:p>
            <w:pPr>
              <w:pStyle w:val="Normal"/>
              <w:widowControl w:val="false"/>
              <w:suppressAutoHyphens w:val="true"/>
              <w:spacing w:lineRule="auto" w:line="276" w:before="0" w:after="120"/>
              <w:jc w:val="center"/>
              <w:rPr>
                <w:rFonts w:ascii="CARLITO" w:hAnsi="CARLITO" w:eastAsia="Times New Roman" w:cs="Tahoma"/>
                <w:color w:val="00000A"/>
                <w:sz w:val="24"/>
                <w:szCs w:val="24"/>
                <w:lang w:val="pt-BR" w:eastAsia="pt-BR" w:bidi="ar-SA"/>
              </w:rPr>
            </w:pPr>
            <w:r>
              <w:rPr>
                <w:rFonts w:eastAsia="Times New Roman" w:cs="Tahoma" w:ascii="CARLITO" w:hAnsi="CARLITO"/>
                <w:color w:val="00000A"/>
                <w:sz w:val="24"/>
                <w:szCs w:val="24"/>
                <w:lang w:val="pt-BR" w:eastAsia="pt-BR" w:bidi="ar-SA"/>
              </w:rPr>
              <w:t>4</w:t>
            </w:r>
          </w:p>
        </w:tc>
        <w:tc>
          <w:tcPr>
            <w:tcW w:w="3124" w:type="dxa"/>
            <w:tcBorders>
              <w:left w:val="single" w:sz="4" w:space="0" w:color="000001"/>
              <w:bottom w:val="single" w:sz="4" w:space="0" w:color="000001"/>
              <w:right w:val="single" w:sz="4" w:space="0" w:color="000001"/>
              <w:insideH w:val="single" w:sz="4" w:space="0" w:color="000001"/>
              <w:insideV w:val="single" w:sz="4" w:space="0" w:color="000001"/>
            </w:tcBorders>
            <w:shd w:fill="FFFFFF" w:val="clear"/>
            <w:tcMar>
              <w:left w:w="68" w:type="dxa"/>
            </w:tcMar>
            <w:vAlign w:val="center"/>
          </w:tcPr>
          <w:p>
            <w:pPr>
              <w:pStyle w:val="Contedodatabela"/>
              <w:rPr>
                <w:rFonts w:ascii="CARLITO" w:hAnsi="CARLITO" w:eastAsia="Times New Roman" w:cs="Tahoma"/>
                <w:color w:val="00000A"/>
                <w:sz w:val="24"/>
                <w:szCs w:val="24"/>
                <w:lang w:val="pt-BR" w:eastAsia="pt-BR" w:bidi="ar-SA"/>
              </w:rPr>
            </w:pPr>
            <w:r>
              <w:rPr>
                <w:rFonts w:eastAsia="Times New Roman" w:cs="Tahoma" w:ascii="CARLITO" w:hAnsi="CARLITO"/>
                <w:color w:val="00000A"/>
                <w:sz w:val="24"/>
                <w:szCs w:val="24"/>
                <w:lang w:val="pt-BR" w:eastAsia="pt-BR" w:bidi="ar-SA"/>
              </w:rPr>
              <w:t>TERMÔMETRO INFRAVERMELHO, TEP. DE -50 A 550ºC.</w:t>
            </w:r>
          </w:p>
        </w:tc>
        <w:tc>
          <w:tcPr>
            <w:tcW w:w="1305" w:type="dxa"/>
            <w:tcBorders>
              <w:left w:val="single" w:sz="4" w:space="0" w:color="000001"/>
              <w:bottom w:val="single" w:sz="4" w:space="0" w:color="000001"/>
              <w:right w:val="single" w:sz="4" w:space="0" w:color="000001"/>
              <w:insideH w:val="single" w:sz="4" w:space="0" w:color="000001"/>
              <w:insideV w:val="single" w:sz="4" w:space="0" w:color="000001"/>
            </w:tcBorders>
            <w:shd w:fill="FFFFFF" w:val="clear"/>
            <w:tcMar>
              <w:left w:w="68" w:type="dxa"/>
            </w:tcMar>
            <w:vAlign w:val="center"/>
          </w:tcPr>
          <w:p>
            <w:pPr>
              <w:pStyle w:val="Contedodatabela"/>
              <w:rPr>
                <w:rFonts w:ascii="CARLITO" w:hAnsi="CARLITO" w:eastAsia="Times New Roman" w:cs="Tahoma"/>
                <w:color w:val="00000A"/>
                <w:sz w:val="24"/>
                <w:szCs w:val="24"/>
                <w:lang w:val="pt-BR" w:eastAsia="pt-BR" w:bidi="ar-SA"/>
              </w:rPr>
            </w:pPr>
            <w:r>
              <w:rPr>
                <w:rFonts w:eastAsia="Times New Roman" w:cs="Tahoma" w:ascii="CARLITO" w:hAnsi="CARLITO"/>
                <w:color w:val="00000A"/>
                <w:sz w:val="24"/>
                <w:szCs w:val="24"/>
                <w:lang w:val="pt-BR" w:eastAsia="pt-BR" w:bidi="ar-SA"/>
              </w:rPr>
              <w:t>422322</w:t>
            </w:r>
          </w:p>
        </w:tc>
        <w:tc>
          <w:tcPr>
            <w:tcW w:w="1464" w:type="dxa"/>
            <w:tcBorders>
              <w:left w:val="single" w:sz="4" w:space="0" w:color="000001"/>
              <w:bottom w:val="single" w:sz="4" w:space="0" w:color="000001"/>
              <w:right w:val="single" w:sz="4" w:space="0" w:color="000001"/>
              <w:insideH w:val="single" w:sz="4" w:space="0" w:color="000001"/>
              <w:insideV w:val="single" w:sz="4" w:space="0" w:color="000001"/>
            </w:tcBorders>
            <w:shd w:fill="FFFFFF" w:val="clear"/>
            <w:tcMar>
              <w:left w:w="68" w:type="dxa"/>
            </w:tcMar>
            <w:vAlign w:val="center"/>
          </w:tcPr>
          <w:p>
            <w:pPr>
              <w:pStyle w:val="Contedodatabela"/>
              <w:jc w:val="center"/>
              <w:rPr>
                <w:rFonts w:ascii="CARLITO" w:hAnsi="CARLITO" w:eastAsia="Times New Roman" w:cs="Tahoma"/>
                <w:color w:val="00000A"/>
                <w:sz w:val="24"/>
                <w:szCs w:val="24"/>
                <w:lang w:val="pt-BR" w:eastAsia="pt-BR" w:bidi="ar-SA"/>
              </w:rPr>
            </w:pPr>
            <w:r>
              <w:rPr>
                <w:rFonts w:eastAsia="Times New Roman" w:cs="Tahoma" w:ascii="CARLITO" w:hAnsi="CARLITO"/>
                <w:color w:val="00000A"/>
                <w:sz w:val="24"/>
                <w:szCs w:val="24"/>
                <w:lang w:val="pt-BR" w:eastAsia="pt-BR" w:bidi="ar-SA"/>
              </w:rPr>
              <w:t>UN</w:t>
            </w:r>
          </w:p>
        </w:tc>
        <w:tc>
          <w:tcPr>
            <w:tcW w:w="1201" w:type="dxa"/>
            <w:tcBorders>
              <w:left w:val="single" w:sz="4" w:space="0" w:color="000001"/>
              <w:bottom w:val="single" w:sz="4" w:space="0" w:color="000001"/>
              <w:right w:val="single" w:sz="4" w:space="0" w:color="000001"/>
              <w:insideH w:val="single" w:sz="4" w:space="0" w:color="000001"/>
              <w:insideV w:val="single" w:sz="4" w:space="0" w:color="000001"/>
            </w:tcBorders>
            <w:shd w:fill="FFFFFF" w:val="clear"/>
            <w:tcMar>
              <w:left w:w="68" w:type="dxa"/>
            </w:tcMar>
            <w:vAlign w:val="center"/>
          </w:tcPr>
          <w:p>
            <w:pPr>
              <w:pStyle w:val="Normal"/>
              <w:widowControl w:val="false"/>
              <w:suppressAutoHyphens w:val="true"/>
              <w:spacing w:lineRule="auto" w:line="276" w:before="0" w:after="120"/>
              <w:jc w:val="center"/>
              <w:rPr>
                <w:rFonts w:ascii="CARLITO" w:hAnsi="CARLITO" w:eastAsia="Times New Roman" w:cs="Tahoma"/>
                <w:color w:val="00000A"/>
                <w:sz w:val="24"/>
                <w:szCs w:val="24"/>
                <w:lang w:val="pt-BR" w:eastAsia="pt-BR" w:bidi="ar-SA"/>
              </w:rPr>
            </w:pPr>
            <w:r>
              <w:rPr>
                <w:rFonts w:eastAsia="Times New Roman" w:cs="Tahoma" w:ascii="CARLITO" w:hAnsi="CARLITO"/>
                <w:color w:val="00000A"/>
                <w:sz w:val="24"/>
                <w:szCs w:val="24"/>
                <w:lang w:val="pt-BR" w:eastAsia="pt-BR" w:bidi="ar-SA"/>
              </w:rPr>
              <w:t>2</w:t>
            </w:r>
          </w:p>
        </w:tc>
        <w:tc>
          <w:tcPr>
            <w:tcW w:w="1747" w:type="dxa"/>
            <w:tcBorders>
              <w:left w:val="single" w:sz="4" w:space="0" w:color="000001"/>
              <w:bottom w:val="single" w:sz="4" w:space="0" w:color="000001"/>
              <w:right w:val="single" w:sz="4" w:space="0" w:color="000001"/>
              <w:insideH w:val="single" w:sz="4" w:space="0" w:color="000001"/>
              <w:insideV w:val="single" w:sz="4" w:space="0" w:color="000001"/>
            </w:tcBorders>
            <w:shd w:fill="FFFFFF" w:val="clear"/>
            <w:tcMar>
              <w:left w:w="68" w:type="dxa"/>
            </w:tcMar>
            <w:vAlign w:val="center"/>
          </w:tcPr>
          <w:p>
            <w:pPr>
              <w:pStyle w:val="Normal"/>
              <w:widowControl w:val="false"/>
              <w:suppressAutoHyphens w:val="true"/>
              <w:spacing w:lineRule="auto" w:line="276" w:before="0" w:after="120"/>
              <w:jc w:val="center"/>
              <w:rPr>
                <w:rFonts w:ascii="CARLITO" w:hAnsi="CARLITO" w:eastAsia="Times New Roman" w:cs="Tahoma"/>
                <w:color w:val="00000A"/>
                <w:sz w:val="24"/>
                <w:szCs w:val="24"/>
                <w:lang w:val="pt-BR" w:eastAsia="pt-BR" w:bidi="ar-SA"/>
              </w:rPr>
            </w:pPr>
            <w:r>
              <w:rPr>
                <w:rFonts w:eastAsia="Times New Roman" w:cs="Tahoma" w:ascii="CARLITO" w:hAnsi="CARLITO"/>
                <w:color w:val="00000A"/>
                <w:sz w:val="24"/>
                <w:szCs w:val="24"/>
                <w:lang w:val="pt-BR" w:eastAsia="pt-BR" w:bidi="ar-SA"/>
              </w:rPr>
              <w:t>R$ 350,00</w:t>
            </w:r>
          </w:p>
        </w:tc>
      </w:tr>
    </w:tbl>
    <w:p>
      <w:pPr>
        <w:pStyle w:val="PADRO"/>
        <w:widowControl/>
        <w:numPr>
          <w:ilvl w:val="2"/>
          <w:numId w:val="1"/>
        </w:numPr>
        <w:shd w:val="clear" w:fill="FFFFFF"/>
        <w:spacing w:before="120" w:after="120"/>
        <w:rPr>
          <w:rFonts w:ascii="CARLITO" w:hAnsi="CARLITO" w:cs="Arial"/>
          <w:i w:val="false"/>
          <w:i w:val="false"/>
          <w:iCs w:val="false"/>
          <w:color w:val="000000"/>
          <w:sz w:val="24"/>
          <w:szCs w:val="24"/>
        </w:rPr>
      </w:pPr>
      <w:r>
        <w:rPr>
          <w:rFonts w:cs="Arial" w:ascii="CARLITO" w:hAnsi="CARLITO"/>
          <w:i w:val="false"/>
          <w:iCs w:val="false"/>
          <w:color w:val="000000"/>
          <w:sz w:val="24"/>
          <w:szCs w:val="24"/>
        </w:rPr>
        <w:t>Havendo mais de item ou lote faculta-se ao fornecedor a participação em quantos forem de seu interesse. Entretanto, optando-se por participar de um lote, deve o fornecedor enviar proposta para todos os itens que o compõem.</w:t>
      </w:r>
    </w:p>
    <w:p>
      <w:pPr>
        <w:pStyle w:val="PADRO"/>
        <w:keepNext/>
        <w:widowControl/>
        <w:numPr>
          <w:ilvl w:val="1"/>
          <w:numId w:val="1"/>
        </w:numPr>
        <w:shd w:val="clear" w:fill="FFFFFF"/>
        <w:spacing w:before="120" w:after="120"/>
        <w:rPr>
          <w:rFonts w:ascii="CARLITO" w:hAnsi="CARLITO" w:cs="Arial"/>
          <w:i w:val="false"/>
          <w:i w:val="false"/>
          <w:iCs w:val="false"/>
          <w:color w:val="000000"/>
          <w:sz w:val="24"/>
          <w:szCs w:val="24"/>
        </w:rPr>
      </w:pPr>
      <w:r>
        <w:rPr>
          <w:rFonts w:cs="Arial" w:ascii="CARLITO" w:hAnsi="CARLITO"/>
          <w:i w:val="false"/>
          <w:iCs w:val="false"/>
          <w:color w:val="000000"/>
          <w:sz w:val="24"/>
          <w:szCs w:val="24"/>
        </w:rPr>
        <w:t>O critério de julgamento adotado será o menor preço, observadas as exigências contidas neste Aviso de Contratação Direta e seus Anexos quanto às especificações do objeto.</w:t>
      </w:r>
    </w:p>
    <w:p>
      <w:pPr>
        <w:pStyle w:val="PADRO"/>
        <w:keepNext/>
        <w:widowControl/>
        <w:numPr>
          <w:ilvl w:val="0"/>
          <w:numId w:val="1"/>
        </w:numPr>
        <w:shd w:val="clear" w:fill="FFFFFF"/>
        <w:spacing w:before="120" w:after="120"/>
        <w:rPr>
          <w:rFonts w:ascii="CARLITO" w:hAnsi="CARLITO" w:cs="Arial"/>
          <w:b/>
          <w:b/>
          <w:i w:val="false"/>
          <w:i w:val="false"/>
          <w:iCs w:val="false"/>
          <w:color w:val="000000"/>
          <w:sz w:val="24"/>
          <w:szCs w:val="24"/>
        </w:rPr>
      </w:pPr>
      <w:r>
        <w:rPr>
          <w:rFonts w:cs="Arial" w:ascii="CARLITO" w:hAnsi="CARLITO"/>
          <w:b/>
          <w:i w:val="false"/>
          <w:iCs w:val="false"/>
          <w:color w:val="000000"/>
          <w:sz w:val="24"/>
          <w:szCs w:val="24"/>
        </w:rPr>
        <w:t>PARTICIPAÇÃO NA DISPENSA ELETRÔNICA.</w:t>
      </w:r>
    </w:p>
    <w:p>
      <w:pPr>
        <w:pStyle w:val="Normal"/>
        <w:numPr>
          <w:ilvl w:val="1"/>
          <w:numId w:val="1"/>
        </w:numPr>
        <w:snapToGrid w:val="false"/>
        <w:spacing w:lineRule="auto" w:line="276" w:before="120" w:after="120"/>
        <w:ind w:left="425" w:right="0" w:hanging="0"/>
        <w:jc w:val="both"/>
        <w:rPr>
          <w:rFonts w:ascii="CARLITO" w:hAnsi="CARLITO"/>
          <w:sz w:val="24"/>
          <w:szCs w:val="24"/>
        </w:rPr>
      </w:pPr>
      <w:r>
        <w:rPr>
          <w:rFonts w:cs="Arial" w:ascii="CARLITO" w:hAnsi="CARLITO"/>
          <w:i w:val="false"/>
          <w:iCs w:val="false"/>
          <w:color w:val="000000"/>
          <w:sz w:val="24"/>
          <w:szCs w:val="24"/>
        </w:rPr>
        <w:t xml:space="preserve">A participação na presente dispensa eletrônica se dará mediante </w:t>
      </w:r>
      <w:r>
        <w:rPr>
          <w:rFonts w:cs="Arial" w:ascii="CARLITO" w:hAnsi="CARLITO"/>
          <w:bCs/>
          <w:i w:val="false"/>
          <w:iCs w:val="false"/>
          <w:color w:val="000000"/>
          <w:sz w:val="24"/>
          <w:szCs w:val="24"/>
        </w:rPr>
        <w:t>Sistema de Dispensa Eletrônica</w:t>
      </w:r>
      <w:r>
        <w:rPr>
          <w:rFonts w:cs="Arial" w:ascii="CARLITO" w:hAnsi="CARLITO"/>
          <w:i w:val="false"/>
          <w:iCs w:val="false"/>
          <w:color w:val="000000"/>
          <w:sz w:val="24"/>
          <w:szCs w:val="24"/>
        </w:rPr>
        <w:t xml:space="preserve"> integrante do Sistema de Compras do Governo Federal – Comprasnet 4.0, disponível no </w:t>
      </w:r>
      <w:r>
        <w:rPr>
          <w:rFonts w:cs="Arial" w:ascii="CARLITO" w:hAnsi="CARLITO"/>
          <w:bCs/>
          <w:i w:val="false"/>
          <w:iCs w:val="false"/>
          <w:color w:val="000000"/>
          <w:sz w:val="24"/>
          <w:szCs w:val="24"/>
        </w:rPr>
        <w:t>endereço eletrônico https://www.gov.br/compras/pt-br/.</w:t>
      </w:r>
    </w:p>
    <w:p>
      <w:pPr>
        <w:pStyle w:val="Normal"/>
        <w:numPr>
          <w:ilvl w:val="2"/>
          <w:numId w:val="1"/>
        </w:numPr>
        <w:snapToGrid w:val="false"/>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Os fornecedores deverão atender aos procedimentos previstos no Manual do Sistema de Dispensa Eletrônica, disponível no Portal de Compras do Governo Federal, para acesso ao sistema e operacionalização.</w:t>
      </w:r>
    </w:p>
    <w:p>
      <w:pPr>
        <w:pStyle w:val="Normal"/>
        <w:numPr>
          <w:ilvl w:val="2"/>
          <w:numId w:val="1"/>
        </w:numPr>
        <w:snapToGrid w:val="false"/>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Não poderão participar desta dispensa os fornecedores:</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que não atendam às condições deste Aviso de Contratação Direta e seu(s) anexo(s);</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estrangeiros que não tenham representação legal no Brasil com poderes expressos para receber citação e responder administrativa ou judicialmente;</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que se enquadrem nas seguintes vedações:</w:t>
      </w:r>
    </w:p>
    <w:p>
      <w:pPr>
        <w:pStyle w:val="Normal"/>
        <w:numPr>
          <w:ilvl w:val="3"/>
          <w:numId w:val="4"/>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autor do anteprojeto, do projeto básico ou do projeto executivo, pessoa física ou jurídica, quando a contratação versar sobre obra, serviços ou fornecimento de bens a ele relacionados;</w:t>
      </w:r>
    </w:p>
    <w:p>
      <w:pPr>
        <w:pStyle w:val="Normal"/>
        <w:numPr>
          <w:ilvl w:val="3"/>
          <w:numId w:val="4"/>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pStyle w:val="Normal"/>
        <w:numPr>
          <w:ilvl w:val="3"/>
          <w:numId w:val="4"/>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pessoa física ou jurídica que se encontre, ao tempo da contratação, impossibilitada de contratar em decorrência de sanção que lhe foi imposta;</w:t>
      </w:r>
    </w:p>
    <w:p>
      <w:pPr>
        <w:pStyle w:val="Normal"/>
        <w:numPr>
          <w:ilvl w:val="3"/>
          <w:numId w:val="4"/>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numPr>
          <w:ilvl w:val="3"/>
          <w:numId w:val="4"/>
        </w:numPr>
        <w:spacing w:lineRule="auto" w:line="276" w:before="120" w:after="120"/>
        <w:jc w:val="both"/>
        <w:rPr/>
      </w:pPr>
      <w:r>
        <w:rPr>
          <w:rFonts w:cs="Arial" w:ascii="CARLITO" w:hAnsi="CARLITO"/>
          <w:i w:val="false"/>
          <w:iCs w:val="false"/>
          <w:color w:val="000000"/>
          <w:sz w:val="24"/>
          <w:szCs w:val="24"/>
        </w:rPr>
        <w:t>empresas controladoras, controladas ou coligadas, nos termos da </w:t>
      </w:r>
      <w:hyperlink r:id="rId2">
        <w:r>
          <w:rPr>
            <w:rStyle w:val="LinkdaInternet"/>
            <w:rFonts w:eastAsia="Calibri" w:cs="Arial" w:ascii="CARLITO" w:hAnsi="CARLITO"/>
            <w:i w:val="false"/>
            <w:iCs w:val="false"/>
            <w:color w:val="000000"/>
            <w:sz w:val="24"/>
            <w:szCs w:val="24"/>
          </w:rPr>
          <w:t>Lei nº 6.404, de 15 de dezembro de 1976</w:t>
        </w:r>
      </w:hyperlink>
      <w:r>
        <w:rPr>
          <w:rFonts w:cs="Arial" w:ascii="CARLITO" w:hAnsi="CARLITO"/>
          <w:i w:val="false"/>
          <w:iCs w:val="false"/>
          <w:color w:val="000000"/>
          <w:sz w:val="24"/>
          <w:szCs w:val="24"/>
        </w:rPr>
        <w:t>, concorrendo entre si;</w:t>
      </w:r>
    </w:p>
    <w:p>
      <w:pPr>
        <w:pStyle w:val="Normal"/>
        <w:numPr>
          <w:ilvl w:val="3"/>
          <w:numId w:val="4"/>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3"/>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Equiparam-se aos autores do projeto as empresas integrantes do mesmo grupo econômico;</w:t>
      </w:r>
    </w:p>
    <w:p>
      <w:pPr>
        <w:pStyle w:val="Normal"/>
        <w:numPr>
          <w:ilvl w:val="3"/>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organizações da Sociedade Civil de Interesse Público - OSCIP, atuando nessa condição (Acórdão nº 746/2014-TCU-Plenário); e</w:t>
      </w:r>
    </w:p>
    <w:p>
      <w:pPr>
        <w:pStyle w:val="Normal"/>
        <w:numPr>
          <w:ilvl w:val="2"/>
          <w:numId w:val="1"/>
        </w:numPr>
        <w:spacing w:lineRule="auto" w:line="276" w:before="120" w:after="120"/>
        <w:jc w:val="both"/>
        <w:rPr>
          <w:rFonts w:ascii="CARLITO" w:hAnsi="CARLITO"/>
          <w:i w:val="false"/>
          <w:i w:val="false"/>
          <w:iCs w:val="false"/>
          <w:color w:val="000000"/>
          <w:sz w:val="24"/>
          <w:szCs w:val="24"/>
        </w:rPr>
      </w:pPr>
      <w:r>
        <w:rPr>
          <w:rFonts w:ascii="CARLITO" w:hAnsi="CARLITO"/>
          <w:i w:val="false"/>
          <w:iCs w:val="false"/>
          <w:color w:val="000000"/>
          <w:sz w:val="24"/>
          <w:szCs w:val="24"/>
        </w:rPr>
        <w:t xml:space="preserve"> </w:t>
      </w:r>
      <w:r>
        <w:rPr>
          <w:rFonts w:ascii="CARLITO" w:hAnsi="CARLITO"/>
          <w:i w:val="false"/>
          <w:iCs w:val="false"/>
          <w:color w:val="000000"/>
          <w:sz w:val="24"/>
          <w:szCs w:val="24"/>
        </w:rPr>
        <w:t>Será permitida a participação de cooperativas, desde que apresentem demonstrativo de atuação em regime cooperado, com repartição de receitas e despesas entre os cooperados e atendam ao art. 16 da Lei nº 14.133/21.</w:t>
      </w:r>
    </w:p>
    <w:p>
      <w:pPr>
        <w:pStyle w:val="PADRO"/>
        <w:keepNext/>
        <w:widowControl/>
        <w:numPr>
          <w:ilvl w:val="0"/>
          <w:numId w:val="1"/>
        </w:numPr>
        <w:shd w:val="clear" w:fill="FFFFFF"/>
        <w:spacing w:before="120" w:after="120"/>
        <w:rPr>
          <w:rFonts w:ascii="CARLITO" w:hAnsi="CARLITO" w:cs="Arial"/>
          <w:b/>
          <w:b/>
          <w:i w:val="false"/>
          <w:i w:val="false"/>
          <w:iCs w:val="false"/>
          <w:color w:val="000000"/>
          <w:sz w:val="24"/>
          <w:szCs w:val="24"/>
        </w:rPr>
      </w:pPr>
      <w:r>
        <w:rPr>
          <w:rFonts w:cs="Arial" w:ascii="CARLITO" w:hAnsi="CARLITO"/>
          <w:b/>
          <w:i w:val="false"/>
          <w:iCs w:val="false"/>
          <w:color w:val="000000"/>
          <w:sz w:val="24"/>
          <w:szCs w:val="24"/>
        </w:rPr>
        <w:t>INGRESSO NA DISPENSA ELETRÔNICA E CADASTRAMENTO DA PROPOSTA INICIAL</w:t>
      </w:r>
    </w:p>
    <w:p>
      <w:pPr>
        <w:pStyle w:val="Normal"/>
        <w:numPr>
          <w:ilvl w:val="1"/>
          <w:numId w:val="1"/>
        </w:numPr>
        <w:snapToGrid w:val="false"/>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 ingresso do fornecedor na disputa da dispensa eletrônica se dará com o cadastramento de sua proposta inicial, na forma deste item.</w:t>
      </w:r>
    </w:p>
    <w:p>
      <w:pPr>
        <w:pStyle w:val="Normal"/>
        <w:numPr>
          <w:ilvl w:val="1"/>
          <w:numId w:val="1"/>
        </w:numPr>
        <w:snapToGrid w:val="false"/>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
        <w:numPr>
          <w:ilvl w:val="1"/>
          <w:numId w:val="1"/>
        </w:numPr>
        <w:spacing w:lineRule="auto" w:line="276" w:before="120" w:after="120"/>
        <w:ind w:left="425" w:right="0" w:hanging="0"/>
        <w:jc w:val="both"/>
        <w:rPr>
          <w:rFonts w:ascii="CARLITO" w:hAnsi="CARLITO"/>
          <w:sz w:val="24"/>
          <w:szCs w:val="24"/>
        </w:rPr>
      </w:pPr>
      <w:r>
        <w:rPr>
          <w:rFonts w:cs="Arial" w:ascii="CARLITO" w:hAnsi="CARLITO"/>
          <w:i w:val="false"/>
          <w:iCs w:val="false"/>
          <w:color w:val="000000"/>
          <w:sz w:val="24"/>
          <w:szCs w:val="24"/>
        </w:rPr>
        <w:t>Todas as especificações do objeto contidas na proposta, em especial o preço, vinculam a Contratada.</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Nos valores propostos estarão inclusos todos os custos operacionais, encargos previdenciários, trabalhistas, tributários, comerciais e quaisquer outros que incidam direta ou indiretamente na prestação dos serviços;</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Se o regime tributário da empresa implicar o recolhimento de tributos em percentuais variáveis, a cotação adequada será a que corresponde à média dos efetivos recolhimentos da empresa nos últimos doze meses. </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Independentemente do percentual de tributo inserido na planilha, no pagamento serão retidos na fonte os percentuais estabelecidos na legislação vigente.</w:t>
      </w:r>
    </w:p>
    <w:p>
      <w:pPr>
        <w:pStyle w:val="Normal"/>
        <w:numPr>
          <w:ilvl w:val="1"/>
          <w:numId w:val="1"/>
        </w:numPr>
        <w:spacing w:lineRule="auto" w:line="276" w:before="120" w:after="120"/>
        <w:ind w:left="425" w:right="0" w:hanging="0"/>
        <w:jc w:val="both"/>
        <w:rPr>
          <w:rFonts w:ascii="CARLITO" w:hAnsi="CARLITO"/>
          <w:sz w:val="24"/>
          <w:szCs w:val="24"/>
        </w:rPr>
      </w:pPr>
      <w:r>
        <w:rPr>
          <w:rFonts w:cs="Arial" w:ascii="CARLITO" w:hAnsi="CARLITO"/>
          <w:i w:val="false"/>
          <w:iCs w:val="false"/>
          <w:color w:val="000000"/>
          <w:sz w:val="24"/>
          <w:szCs w:val="24"/>
        </w:rPr>
        <w:t>A apresentação das propostas implica obrigatoriedade do cumprimento das disposições nelas contidas, em conformidade com o que dispõe o Aviso de Dispensa Eletrônica,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ormal"/>
        <w:numPr>
          <w:ilvl w:val="1"/>
          <w:numId w:val="1"/>
        </w:numPr>
        <w:spacing w:lineRule="auto" w:line="276" w:before="120" w:after="120"/>
        <w:ind w:left="425" w:right="0" w:hanging="0"/>
        <w:jc w:val="both"/>
        <w:rPr>
          <w:rFonts w:ascii="CARLITO" w:hAnsi="CARLITO"/>
          <w:sz w:val="24"/>
          <w:szCs w:val="24"/>
        </w:rPr>
      </w:pPr>
      <w:r>
        <w:rPr>
          <w:rFonts w:cs="Arial" w:ascii="CARLITO" w:hAnsi="CARLITO"/>
          <w:i w:val="false"/>
          <w:iCs w:val="false"/>
          <w:color w:val="000000"/>
          <w:sz w:val="24"/>
          <w:szCs w:val="24"/>
        </w:rPr>
        <w:t xml:space="preserve">Uma vez enviada a proposta no sistema, os fornecedores </w:t>
      </w:r>
      <w:r>
        <w:rPr>
          <w:rFonts w:cs="Arial" w:ascii="CARLITO" w:hAnsi="CARLITO"/>
          <w:b/>
          <w:bCs/>
          <w:i w:val="false"/>
          <w:iCs w:val="false"/>
          <w:color w:val="000000"/>
          <w:sz w:val="24"/>
          <w:szCs w:val="24"/>
        </w:rPr>
        <w:t>NÃO</w:t>
      </w:r>
      <w:r>
        <w:rPr>
          <w:rFonts w:cs="Arial" w:ascii="CARLITO" w:hAnsi="CARLITO"/>
          <w:i w:val="false"/>
          <w:iCs w:val="false"/>
          <w:color w:val="000000"/>
          <w:sz w:val="24"/>
          <w:szCs w:val="24"/>
        </w:rPr>
        <w:t xml:space="preserve"> poderão retirá-la, substituí-la ou modificá-la;</w:t>
      </w:r>
    </w:p>
    <w:p>
      <w:pPr>
        <w:pStyle w:val="Normal"/>
        <w:numPr>
          <w:ilvl w:val="1"/>
          <w:numId w:val="1"/>
        </w:numPr>
        <w:spacing w:lineRule="auto" w:line="276" w:before="120" w:after="120"/>
        <w:ind w:left="425" w:right="0" w:hanging="0"/>
        <w:jc w:val="both"/>
        <w:rPr>
          <w:rFonts w:ascii="CARLITO" w:hAnsi="CARLITO"/>
          <w:sz w:val="24"/>
          <w:szCs w:val="24"/>
        </w:rPr>
      </w:pPr>
      <w:r>
        <w:rPr>
          <w:rFonts w:cs="Arial" w:ascii="CARLITO" w:hAnsi="CARLITO"/>
          <w:i w:val="false"/>
          <w:iCs w:val="false"/>
          <w:color w:val="000000"/>
          <w:sz w:val="24"/>
          <w:szCs w:val="24"/>
        </w:rPr>
        <w:t>No cadastramento da proposta inicial, o fornecedor deverá, também, assinalar “sim” ou “não” em campo próprio do sistema eletrônico, às seguintes declarações:</w:t>
      </w:r>
      <w:r>
        <w:rPr>
          <w:rFonts w:eastAsia="Zurich BT" w:cs="Arial" w:ascii="CARLITO" w:hAnsi="CARLITO"/>
          <w:i w:val="false"/>
          <w:iCs w:val="false"/>
          <w:color w:val="000000"/>
          <w:sz w:val="24"/>
          <w:szCs w:val="24"/>
        </w:rPr>
        <w:t xml:space="preserve"> </w:t>
      </w:r>
    </w:p>
    <w:p>
      <w:pPr>
        <w:pStyle w:val="ListParagraph"/>
        <w:numPr>
          <w:ilvl w:val="0"/>
          <w:numId w:val="2"/>
        </w:numPr>
        <w:tabs>
          <w:tab w:val="left" w:pos="1440" w:leader="none"/>
        </w:tabs>
        <w:snapToGrid w:val="false"/>
        <w:spacing w:lineRule="auto" w:line="276" w:before="120" w:after="120"/>
        <w:contextualSpacing/>
        <w:jc w:val="both"/>
        <w:rPr>
          <w:rFonts w:ascii="CARLITO" w:hAnsi="CARLITO" w:cs="Arial"/>
          <w:bCs/>
          <w:i w:val="false"/>
          <w:i w:val="false"/>
          <w:iCs w:val="false"/>
          <w:vanish/>
          <w:color w:val="000000"/>
          <w:sz w:val="24"/>
          <w:szCs w:val="24"/>
        </w:rPr>
      </w:pPr>
      <w:r>
        <w:rPr>
          <w:rFonts w:cs="Arial" w:ascii="CARLITO" w:hAnsi="CARLITO"/>
          <w:bCs/>
          <w:i w:val="false"/>
          <w:iCs w:val="false"/>
          <w:vanish/>
          <w:color w:val="000000"/>
          <w:sz w:val="24"/>
          <w:szCs w:val="24"/>
        </w:rPr>
      </w:r>
    </w:p>
    <w:p>
      <w:pPr>
        <w:pStyle w:val="ListParagraph"/>
        <w:numPr>
          <w:ilvl w:val="1"/>
          <w:numId w:val="2"/>
        </w:numPr>
        <w:tabs>
          <w:tab w:val="left" w:pos="1440" w:leader="none"/>
        </w:tabs>
        <w:snapToGrid w:val="false"/>
        <w:spacing w:lineRule="auto" w:line="276" w:before="120" w:after="120"/>
        <w:contextualSpacing/>
        <w:jc w:val="both"/>
        <w:rPr>
          <w:rFonts w:ascii="CARLITO" w:hAnsi="CARLITO" w:cs="Arial"/>
          <w:bCs/>
          <w:i w:val="false"/>
          <w:i w:val="false"/>
          <w:iCs w:val="false"/>
          <w:vanish/>
          <w:color w:val="000000"/>
          <w:sz w:val="24"/>
          <w:szCs w:val="24"/>
        </w:rPr>
      </w:pPr>
      <w:r>
        <w:rPr>
          <w:rFonts w:cs="Arial" w:ascii="CARLITO" w:hAnsi="CARLITO"/>
          <w:bCs/>
          <w:i w:val="false"/>
          <w:iCs w:val="false"/>
          <w:vanish/>
          <w:color w:val="000000"/>
          <w:sz w:val="24"/>
          <w:szCs w:val="24"/>
        </w:rPr>
      </w:r>
    </w:p>
    <w:p>
      <w:pPr>
        <w:pStyle w:val="ListParagraph"/>
        <w:numPr>
          <w:ilvl w:val="1"/>
          <w:numId w:val="2"/>
        </w:numPr>
        <w:tabs>
          <w:tab w:val="left" w:pos="1440" w:leader="none"/>
        </w:tabs>
        <w:snapToGrid w:val="false"/>
        <w:spacing w:lineRule="auto" w:line="276" w:before="120" w:after="120"/>
        <w:contextualSpacing/>
        <w:jc w:val="both"/>
        <w:rPr>
          <w:rFonts w:ascii="CARLITO" w:hAnsi="CARLITO" w:cs="Arial"/>
          <w:bCs/>
          <w:i w:val="false"/>
          <w:i w:val="false"/>
          <w:iCs w:val="false"/>
          <w:vanish/>
          <w:color w:val="000000"/>
          <w:sz w:val="24"/>
          <w:szCs w:val="24"/>
        </w:rPr>
      </w:pPr>
      <w:r>
        <w:rPr>
          <w:rFonts w:cs="Arial" w:ascii="CARLITO" w:hAnsi="CARLITO"/>
          <w:bCs/>
          <w:i w:val="false"/>
          <w:iCs w:val="false"/>
          <w:vanish/>
          <w:color w:val="000000"/>
          <w:sz w:val="24"/>
          <w:szCs w:val="24"/>
        </w:rPr>
      </w:r>
    </w:p>
    <w:p>
      <w:pPr>
        <w:pStyle w:val="ListParagraph"/>
        <w:numPr>
          <w:ilvl w:val="1"/>
          <w:numId w:val="2"/>
        </w:numPr>
        <w:tabs>
          <w:tab w:val="left" w:pos="1440" w:leader="none"/>
        </w:tabs>
        <w:snapToGrid w:val="false"/>
        <w:spacing w:lineRule="auto" w:line="276" w:before="120" w:after="120"/>
        <w:contextualSpacing/>
        <w:jc w:val="both"/>
        <w:rPr>
          <w:rFonts w:ascii="CARLITO" w:hAnsi="CARLITO" w:cs="Arial"/>
          <w:bCs/>
          <w:i w:val="false"/>
          <w:i w:val="false"/>
          <w:iCs w:val="false"/>
          <w:vanish/>
          <w:color w:val="000000"/>
          <w:sz w:val="24"/>
          <w:szCs w:val="24"/>
        </w:rPr>
      </w:pPr>
      <w:r>
        <w:rPr>
          <w:rFonts w:cs="Arial" w:ascii="CARLITO" w:hAnsi="CARLITO"/>
          <w:bCs/>
          <w:i w:val="false"/>
          <w:iCs w:val="false"/>
          <w:vanish/>
          <w:color w:val="000000"/>
          <w:sz w:val="24"/>
          <w:szCs w:val="24"/>
        </w:rPr>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que inexistem fatos impeditivos para sua habilitação no certame, ciente da obrigatoriedade de declarar ocorrências posteriores;</w:t>
      </w:r>
    </w:p>
    <w:p>
      <w:pPr>
        <w:pStyle w:val="Normal"/>
        <w:numPr>
          <w:ilvl w:val="2"/>
          <w:numId w:val="1"/>
        </w:numPr>
        <w:spacing w:lineRule="auto" w:line="276" w:before="120" w:after="120"/>
        <w:jc w:val="both"/>
        <w:rPr>
          <w:rFonts w:ascii="CARLITO" w:hAnsi="CARLITO"/>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que cumpre os requisitos estabelecidos no artigo 3° da Lei Complementar nº 123, de 2006, estando apto a usufruir do tratamento favorecido estabelecido em seus arts. 42 a 49.</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que está ciente e concorda com as condições contidas no Aviso de Contratação Direta e seus anexos;</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que assume a responsabilidade pelas transações que forem efetuadas no sistema, assumindo como firmes e verdadeiras;</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que cumpre as exigências de reserva de cargos para pessoa com deficiência e para reabilitado da Previdência Social, de que trata o art. 93 da Lei nº 8.213/91.</w:t>
      </w:r>
    </w:p>
    <w:p>
      <w:pPr>
        <w:pStyle w:val="Normal"/>
        <w:numPr>
          <w:ilvl w:val="2"/>
          <w:numId w:val="1"/>
        </w:numPr>
        <w:spacing w:lineRule="auto" w:line="276" w:before="120" w:after="120"/>
        <w:jc w:val="both"/>
        <w:rPr>
          <w:rFonts w:ascii="CARLITO" w:hAnsi="CARLITO"/>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que não emprega menor de 18 anos em trabalho noturno, perigoso ou insalubre e não emprega menor de 16 anos, salvo menor, a partir de 14 anos, na condição de aprendiz, nos termos do artigo 7°, XXXIII, da Constituição;</w:t>
      </w:r>
    </w:p>
    <w:p>
      <w:pPr>
        <w:pStyle w:val="Normal"/>
        <w:numPr>
          <w:ilvl w:val="1"/>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Fica facultado ao fornecedor, ao cadastrar sua proposta inicial, a parametrização de valor final mínimo, com o registro do seu lance final aceitável (menor preço ou maior desconto, conforme o caso).</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Feita essa opção os lances serão enviados automaticamente pelo sistema, respeitados os limites cadastrados pelo fornecedor e o intervalo mínimo entre lances previsto neste aviso. </w:t>
      </w:r>
    </w:p>
    <w:p>
      <w:pPr>
        <w:pStyle w:val="Normal"/>
        <w:numPr>
          <w:ilvl w:val="3"/>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Sem prejuízo do disposto acima, os lances poderão ser enviados manualmente, na forma da seção respectiva deste Aviso de Contratação Direta;</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 valor final mínimo poderá ser alterado pelo fornecedor durante a fase de disputa, desde que não assuma valor superior a lance já registrado por ele no sistema.</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 valor mínimo parametrizado possui caráter sigiloso aos demais participantes do certame e para o órgão ou entidade contratante. Apenas os lances efetivamente enviados poderão ser conhecidos dos fornecedores na forma da seção seguinte deste Aviso.</w:t>
      </w:r>
    </w:p>
    <w:p>
      <w:pPr>
        <w:pStyle w:val="Normal"/>
        <w:spacing w:lineRule="auto" w:line="276" w:before="120" w:after="120"/>
        <w:ind w:left="1224" w:right="0" w:hanging="0"/>
        <w:jc w:val="both"/>
        <w:rPr>
          <w:rFonts w:ascii="CARLITO" w:hAnsi="CARLITO" w:cs="Arial"/>
          <w:color w:val="000000"/>
          <w:sz w:val="24"/>
          <w:szCs w:val="24"/>
        </w:rPr>
      </w:pPr>
      <w:r>
        <w:rPr>
          <w:rFonts w:cs="Arial" w:ascii="CARLITO" w:hAnsi="CARLITO"/>
          <w:color w:val="000000"/>
          <w:sz w:val="24"/>
          <w:szCs w:val="24"/>
        </w:rPr>
      </w:r>
    </w:p>
    <w:p>
      <w:pPr>
        <w:pStyle w:val="PADRO"/>
        <w:keepNext/>
        <w:widowControl/>
        <w:numPr>
          <w:ilvl w:val="0"/>
          <w:numId w:val="1"/>
        </w:numPr>
        <w:shd w:val="clear" w:fill="FFFFFF"/>
        <w:spacing w:before="120" w:after="120"/>
        <w:rPr>
          <w:rFonts w:ascii="CARLITO" w:hAnsi="CARLITO" w:cs="Arial"/>
          <w:b/>
          <w:b/>
          <w:i w:val="false"/>
          <w:i w:val="false"/>
          <w:iCs w:val="false"/>
          <w:color w:val="000000"/>
          <w:sz w:val="24"/>
          <w:szCs w:val="24"/>
        </w:rPr>
      </w:pPr>
      <w:r>
        <w:rPr>
          <w:rFonts w:cs="Arial" w:ascii="CARLITO" w:hAnsi="CARLITO"/>
          <w:b/>
          <w:i w:val="false"/>
          <w:iCs w:val="false"/>
          <w:color w:val="000000"/>
          <w:sz w:val="24"/>
          <w:szCs w:val="24"/>
        </w:rPr>
        <w:t>FASE DE LANCES</w:t>
      </w:r>
    </w:p>
    <w:p>
      <w:pPr>
        <w:pStyle w:val="ListParagraph"/>
        <w:numPr>
          <w:ilvl w:val="1"/>
          <w:numId w:val="1"/>
        </w:numPr>
        <w:spacing w:lineRule="auto" w:line="276" w:before="120" w:after="120"/>
        <w:contextualSpacing/>
        <w:jc w:val="both"/>
        <w:rPr>
          <w:rFonts w:ascii="CARLITO" w:hAnsi="CARLITO"/>
          <w:sz w:val="24"/>
          <w:szCs w:val="24"/>
        </w:rPr>
      </w:pPr>
      <w:r>
        <w:rPr>
          <w:rFonts w:cs="Arial" w:ascii="CARLITO" w:hAnsi="CARLITO"/>
          <w:i w:val="false"/>
          <w:iCs w:val="false"/>
          <w:color w:val="000000"/>
          <w:sz w:val="24"/>
          <w:szCs w:val="24"/>
          <w:lang w:eastAsia="en-US"/>
        </w:rPr>
        <w:t xml:space="preserve">A partir das 8:00h da data estabelecida neste Aviso de Contratação Direta, a sessão pública será automaticamente aberta pelo sistema para o envio de lances públicos e sucessivos, </w:t>
      </w:r>
      <w:r>
        <w:rPr>
          <w:rFonts w:cs="Arial" w:ascii="CARLITO" w:hAnsi="CARLITO"/>
          <w:bCs/>
          <w:i w:val="false"/>
          <w:iCs w:val="false"/>
          <w:color w:val="000000"/>
          <w:sz w:val="24"/>
          <w:szCs w:val="24"/>
          <w:lang w:eastAsia="en-US"/>
        </w:rPr>
        <w:t>exclusivamente por meio do sistema eletrônico</w:t>
      </w:r>
      <w:r>
        <w:rPr>
          <w:rFonts w:cs="Arial" w:ascii="CARLITO" w:hAnsi="CARLITO"/>
          <w:i w:val="false"/>
          <w:iCs w:val="false"/>
          <w:color w:val="000000"/>
          <w:sz w:val="24"/>
          <w:szCs w:val="24"/>
          <w:lang w:eastAsia="en-US"/>
        </w:rPr>
        <w:t>, sendo encerrado no horário de finalização de lances também já previsto neste aviso.</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Iniciada a etapa competitiva, os fornecedores deverão encaminhar lances exclusivamente por meio de sistema eletrônico, sendo imediatamente informados do seu recebimento e do valor consignado no registro. </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 lance deverá ser ofertado pelo valor unitário do item.</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O fornecedor somente poderá oferecer valor inferior ou maior percentual de desconto em relação ao último lance por ele ofertado e registrado pelo sistema.</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ListParagraph"/>
        <w:numPr>
          <w:ilvl w:val="2"/>
          <w:numId w:val="1"/>
        </w:numPr>
        <w:spacing w:lineRule="auto" w:line="276" w:before="120" w:after="120"/>
        <w:contextualSpacing/>
        <w:jc w:val="both"/>
        <w:rPr>
          <w:rFonts w:ascii="CARLITO" w:hAnsi="CARLITO"/>
          <w:sz w:val="24"/>
          <w:szCs w:val="24"/>
        </w:rPr>
      </w:pPr>
      <w:r>
        <w:rPr>
          <w:rFonts w:cs="Arial" w:ascii="CARLITO" w:hAnsi="CARLITO"/>
          <w:i w:val="false"/>
          <w:iCs w:val="false"/>
          <w:color w:val="000000"/>
          <w:sz w:val="24"/>
          <w:szCs w:val="24"/>
        </w:rPr>
        <w:t xml:space="preserve">O intervalo mínimo de diferença de valores ou percentuais entre os lances, que incidirá tanto em relação aos lances intermediários quanto em relação ao que cobrir a melhor oferta é de </w:t>
      </w:r>
      <w:r>
        <w:rPr>
          <w:rFonts w:cs="Arial" w:ascii="CARLITO" w:hAnsi="CARLITO"/>
          <w:i w:val="false"/>
          <w:iCs w:val="false"/>
          <w:color w:val="000000"/>
          <w:sz w:val="24"/>
          <w:szCs w:val="24"/>
          <w:lang w:eastAsia="en-US"/>
        </w:rPr>
        <w:t>R$ 0,01.</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Havendo lances iguais ao menor já ofertado, prevalecerá aquele que for recebido e registrado primeiro no sistema.</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Caso o fornecedor não apresente lances, concorrerá com o valor de sua proposta.</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Durante o procedimento, os fornecedores serão informados, em tempo real, do valor do menor lance registrado, vedada a identificação do fornecedor.</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Imediatamente após o término do prazo estabelecido para a fase de lances, haverá o seu encerramento, com o ordenamento e divulgação dos lances, pelo sistema, em ordem crescente de classificação.</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O encerramento da fase de lances ocorrerá de forma automática pontualmente no horário indicado, sem qualquer possibilidade de prorrogação e não havendo tempo aleatório ou mecanismo similar.</w:t>
      </w:r>
    </w:p>
    <w:p>
      <w:pPr>
        <w:pStyle w:val="ListParagraph"/>
        <w:spacing w:lineRule="auto" w:line="276" w:before="120" w:after="120"/>
        <w:contextualSpacing/>
        <w:jc w:val="both"/>
        <w:rPr>
          <w:rFonts w:ascii="CARLITO" w:hAnsi="CARLITO" w:cs="Arial"/>
          <w:color w:val="000000"/>
          <w:sz w:val="24"/>
          <w:szCs w:val="24"/>
          <w:lang w:eastAsia="en-US"/>
        </w:rPr>
      </w:pPr>
      <w:r>
        <w:rPr>
          <w:rFonts w:cs="Arial" w:ascii="CARLITO" w:hAnsi="CARLITO"/>
          <w:color w:val="000000"/>
          <w:sz w:val="24"/>
          <w:szCs w:val="24"/>
          <w:lang w:eastAsia="en-US"/>
        </w:rPr>
      </w:r>
    </w:p>
    <w:p>
      <w:pPr>
        <w:pStyle w:val="PADRO"/>
        <w:keepNext/>
        <w:widowControl/>
        <w:numPr>
          <w:ilvl w:val="0"/>
          <w:numId w:val="1"/>
        </w:numPr>
        <w:shd w:val="clear" w:fill="FFFFFF"/>
        <w:spacing w:before="120" w:after="120"/>
        <w:rPr>
          <w:rFonts w:ascii="CARLITO" w:hAnsi="CARLITO" w:cs="Arial"/>
          <w:b/>
          <w:b/>
          <w:i w:val="false"/>
          <w:i w:val="false"/>
          <w:iCs w:val="false"/>
          <w:color w:val="000000"/>
          <w:sz w:val="24"/>
          <w:szCs w:val="24"/>
        </w:rPr>
      </w:pPr>
      <w:r>
        <w:rPr>
          <w:rFonts w:cs="Arial" w:ascii="CARLITO" w:hAnsi="CARLITO"/>
          <w:b/>
          <w:i w:val="false"/>
          <w:iCs w:val="false"/>
          <w:color w:val="000000"/>
          <w:sz w:val="24"/>
          <w:szCs w:val="24"/>
        </w:rPr>
        <w:t>JULGAMENTO DAS PROPOSTAS DE PREÇO</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Encerrada a fase de lances, será verificada a conformidade da proposta classificada em primeiro lugar quanto à adequação do objeto e à compatibilidade do preço em relação ao estipulado para a contratação.</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No caso de o preço da proposta vencedora estar acima do estimado pela Administração, poderá haver a negociação de condições mais vantajosas.</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Neste caso, será encaminhada contraproposta ao fornecedor que tenha apresentado o melhor preço, para que seja obtida melhor proposta com preço compatível ao estimado pela Administração.</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Em qualquer caso, concluída a negociação, o resultado será registrado na ata do procedimento da dispensa eletrônica.</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Estando o preço compatível, será solicitado o envio da proposta e, se necessário, de documentos complementares, adequada ao último lance.</w:t>
      </w:r>
    </w:p>
    <w:p>
      <w:pPr>
        <w:pStyle w:val="Normal"/>
        <w:numPr>
          <w:ilvl w:val="1"/>
          <w:numId w:val="1"/>
        </w:numPr>
        <w:spacing w:lineRule="auto" w:line="276" w:before="120" w:after="120"/>
        <w:jc w:val="both"/>
        <w:rPr>
          <w:rFonts w:ascii="CARLITO" w:hAnsi="CARLITO"/>
          <w:sz w:val="24"/>
          <w:szCs w:val="24"/>
        </w:rPr>
      </w:pPr>
      <w:r>
        <w:rPr>
          <w:rFonts w:cs="Arial" w:ascii="CARLITO" w:hAnsi="CARLITO"/>
          <w:i w:val="false"/>
          <w:iCs w:val="false"/>
          <w:color w:val="000000"/>
          <w:sz w:val="24"/>
          <w:szCs w:val="24"/>
        </w:rPr>
        <w:t>O prazo de validade da proposta não será inferior a 15 (quinze) dias</w:t>
      </w:r>
      <w:r>
        <w:rPr>
          <w:rFonts w:cs="Arial" w:ascii="CARLITO" w:hAnsi="CARLITO"/>
          <w:b/>
          <w:bCs/>
          <w:i w:val="false"/>
          <w:iCs w:val="false"/>
          <w:color w:val="000000"/>
          <w:sz w:val="24"/>
          <w:szCs w:val="24"/>
        </w:rPr>
        <w:t>,</w:t>
      </w:r>
      <w:r>
        <w:rPr>
          <w:rFonts w:cs="Arial" w:ascii="CARLITO" w:hAnsi="CARLITO"/>
          <w:i w:val="false"/>
          <w:iCs w:val="false"/>
          <w:color w:val="000000"/>
          <w:sz w:val="24"/>
          <w:szCs w:val="24"/>
        </w:rPr>
        <w:t xml:space="preserve"> a contar da data de sua apresentação.</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 xml:space="preserve">Será desclassificada a proposta vencedora que: </w:t>
      </w:r>
    </w:p>
    <w:p>
      <w:pPr>
        <w:pStyle w:val="ListParagraph"/>
        <w:numPr>
          <w:ilvl w:val="2"/>
          <w:numId w:val="1"/>
        </w:numPr>
        <w:spacing w:lineRule="auto" w:line="276" w:before="120" w:after="120"/>
        <w:contextualSpacing/>
        <w:jc w:val="both"/>
        <w:rPr>
          <w:rFonts w:ascii="CARLITO" w:hAnsi="CARLITO"/>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contiver vícios insanáveis;</w:t>
      </w:r>
    </w:p>
    <w:p>
      <w:pPr>
        <w:pStyle w:val="ListParagraph"/>
        <w:numPr>
          <w:ilvl w:val="2"/>
          <w:numId w:val="1"/>
        </w:numPr>
        <w:spacing w:lineRule="auto" w:line="276" w:before="120" w:after="120"/>
        <w:contextualSpacing/>
        <w:jc w:val="both"/>
        <w:rPr>
          <w:rFonts w:ascii="CARLITO" w:hAnsi="CARLITO"/>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não obedecer às especificações técnicas pormenorizadas neste aviso ou em seus anexos;</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apresentar preços inexequíveis ou permanecerem acima do preço máximo definido para a contratação;</w:t>
      </w:r>
    </w:p>
    <w:p>
      <w:pPr>
        <w:pStyle w:val="ListParagraph"/>
        <w:numPr>
          <w:ilvl w:val="2"/>
          <w:numId w:val="1"/>
        </w:numPr>
        <w:spacing w:lineRule="auto" w:line="276" w:before="120" w:after="120"/>
        <w:contextualSpacing/>
        <w:jc w:val="both"/>
        <w:rPr>
          <w:rFonts w:ascii="CARLITO" w:hAnsi="CARLITO"/>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não tiverem sua exequibilidade demonstrada, quando exigido pela Administração;</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apresentar desconformidade com quaisquer outras exigências deste aviso ou seus anexos, desde que insanável.</w:t>
      </w:r>
    </w:p>
    <w:p>
      <w:pPr>
        <w:pStyle w:val="ListParagraph"/>
        <w:numPr>
          <w:ilvl w:val="1"/>
          <w:numId w:val="1"/>
        </w:numPr>
        <w:spacing w:lineRule="auto" w:line="276" w:before="120" w:after="120"/>
        <w:contextualSpacing/>
        <w:jc w:val="both"/>
        <w:rPr>
          <w:rFonts w:ascii="CARLITO" w:hAnsi="CARLITO"/>
          <w:sz w:val="24"/>
          <w:szCs w:val="24"/>
        </w:rPr>
      </w:pPr>
      <w:r>
        <w:rPr>
          <w:rFonts w:cs="Arial" w:ascii="CARLITO" w:hAnsi="CARLITO"/>
          <w:i w:val="false"/>
          <w:iCs w:val="false"/>
          <w:color w:val="000000"/>
          <w:sz w:val="24"/>
          <w:szCs w:val="24"/>
          <w:lang w:eastAsia="en-US"/>
        </w:rPr>
        <w:t>Quando</w:t>
      </w:r>
      <w:r>
        <w:rPr>
          <w:rFonts w:cs="Arial" w:ascii="CARLITO" w:hAnsi="CARLITO"/>
          <w:i w:val="false"/>
          <w:iCs w:val="false"/>
          <w:color w:val="000000"/>
          <w:sz w:val="24"/>
          <w:szCs w:val="24"/>
        </w:rPr>
        <w:t xml:space="preserve"> o fornecedor não conseguir comprovar que possui ou possuirá recursos suficientes para executar a contento o objeto, será considerada inexequível a proposta de preços ou menor lance que:</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apresentar um ou mais valores da planilha de custo que sejam inferiores àqueles fixados em instrumentos de caráter normativo obrigatório, tais como leis, medidas provisórias e convenções coletivas de trabalho vigentes.</w:t>
      </w:r>
    </w:p>
    <w:p>
      <w:pPr>
        <w:pStyle w:val="ListParagraph"/>
        <w:numPr>
          <w:ilvl w:val="1"/>
          <w:numId w:val="1"/>
        </w:numPr>
        <w:spacing w:lineRule="auto" w:line="276" w:before="120" w:after="120"/>
        <w:ind w:left="792" w:right="-15" w:hanging="432"/>
        <w:contextualSpacing/>
        <w:jc w:val="both"/>
        <w:rPr>
          <w:rFonts w:ascii="CARLITO" w:hAnsi="CARLITO"/>
          <w:sz w:val="24"/>
          <w:szCs w:val="24"/>
        </w:rPr>
      </w:pPr>
      <w:r>
        <w:rPr>
          <w:rFonts w:cs="Arial" w:ascii="CARLITO" w:hAnsi="CARLITO"/>
          <w:i w:val="false"/>
          <w:iCs w:val="false"/>
          <w:color w:val="000000"/>
          <w:sz w:val="24"/>
          <w:szCs w:val="24"/>
          <w:lang w:eastAsia="en-US"/>
        </w:rPr>
        <w:t xml:space="preserve">Se houver indícios de inexequibilidade da proposta de preço, ou em caso da necessidade de esclarecimentos </w:t>
      </w:r>
      <w:r>
        <w:rPr>
          <w:rFonts w:cs="Arial" w:ascii="CARLITO" w:hAnsi="CARLITO"/>
          <w:i w:val="false"/>
          <w:iCs w:val="false"/>
          <w:color w:val="000000"/>
          <w:sz w:val="24"/>
          <w:szCs w:val="24"/>
        </w:rPr>
        <w:t>complementares</w:t>
      </w:r>
      <w:r>
        <w:rPr>
          <w:rFonts w:cs="Arial" w:ascii="CARLITO" w:hAnsi="CARLITO"/>
          <w:i w:val="false"/>
          <w:iCs w:val="false"/>
          <w:color w:val="000000"/>
          <w:sz w:val="24"/>
          <w:szCs w:val="24"/>
          <w:lang w:eastAsia="en-US"/>
        </w:rPr>
        <w:t xml:space="preserve">, poderão ser efetuadas diligências, para que a empresa comprove a exequibilidade da proposta.  </w:t>
      </w:r>
    </w:p>
    <w:p>
      <w:pPr>
        <w:pStyle w:val="ListParagraph"/>
        <w:numPr>
          <w:ilvl w:val="1"/>
          <w:numId w:val="1"/>
        </w:numPr>
        <w:spacing w:lineRule="auto" w:line="276" w:before="120" w:after="120"/>
        <w:contextualSpacing/>
        <w:jc w:val="both"/>
        <w:rPr>
          <w:rFonts w:ascii="CARLITO" w:hAnsi="CARLITO"/>
          <w:sz w:val="24"/>
          <w:szCs w:val="24"/>
        </w:rPr>
      </w:pPr>
      <w:r>
        <w:rPr>
          <w:rFonts w:cs="Arial" w:ascii="CARLITO" w:hAnsi="CARLITO"/>
          <w:i w:val="false"/>
          <w:iCs w:val="false"/>
          <w:color w:val="000000"/>
          <w:sz w:val="24"/>
          <w:szCs w:val="24"/>
          <w:lang w:eastAsia="en-US"/>
        </w:rPr>
        <w:t xml:space="preserve">Erros no preenchimento da planilha não constituem motivo para a desclassificação da proposta. A planilha </w:t>
      </w:r>
      <w:r>
        <w:rPr>
          <w:rFonts w:cs="Arial" w:ascii="CARLITO" w:hAnsi="CARLITO"/>
          <w:i w:val="false"/>
          <w:iCs w:val="false"/>
          <w:color w:val="000000"/>
          <w:sz w:val="24"/>
          <w:szCs w:val="24"/>
        </w:rPr>
        <w:t>poderá́</w:t>
      </w:r>
      <w:r>
        <w:rPr>
          <w:rFonts w:cs="Arial" w:ascii="CARLITO" w:hAnsi="CARLITO"/>
          <w:i w:val="false"/>
          <w:iCs w:val="false"/>
          <w:color w:val="000000"/>
          <w:sz w:val="24"/>
          <w:szCs w:val="24"/>
          <w:lang w:eastAsia="en-US"/>
        </w:rPr>
        <w:t xml:space="preserve"> ser ajustada pelo fornecedor, no prazo indicado pelo sistema, desde que não haja majoração do preço.</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O ajuste de que trata este dispositivo se limita a sanar erros ou falhas que não alterem a substância das propostas;</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Considera-se erro no preenchimento da planilha passível de correção a indicação de recolhimento de impostos e contribuições na forma do Simples Nacional, quando não cabível esse regime.</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Se a proposta ou lance vencedor for desclassificado, será examinada a proposta ou lance subsequente, e, assim sucessivamente, na ordem de classificação.</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Havendo necessidade, a sessão será suspensa, informando-se no “chat” a nova data e horário para a sua continuidade.</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Encerrada a análise quanto à aceitação da proposta, se iniciará a fase de habilitação, observado o disposto neste Aviso de Contratação Direta.</w:t>
      </w:r>
    </w:p>
    <w:p>
      <w:pPr>
        <w:pStyle w:val="ListParagraph"/>
        <w:spacing w:lineRule="auto" w:line="276" w:before="120" w:after="120"/>
        <w:ind w:left="1512" w:right="0" w:hanging="0"/>
        <w:contextualSpacing/>
        <w:jc w:val="both"/>
        <w:rPr>
          <w:rFonts w:ascii="CARLITO" w:hAnsi="CARLITO" w:cs="Arial"/>
          <w:color w:val="000000"/>
          <w:sz w:val="24"/>
          <w:szCs w:val="24"/>
          <w:lang w:eastAsia="en-US"/>
        </w:rPr>
      </w:pPr>
      <w:r>
        <w:rPr>
          <w:rFonts w:cs="Arial" w:ascii="CARLITO" w:hAnsi="CARLITO"/>
          <w:color w:val="000000"/>
          <w:sz w:val="24"/>
          <w:szCs w:val="24"/>
          <w:lang w:eastAsia="en-US"/>
        </w:rPr>
      </w:r>
    </w:p>
    <w:p>
      <w:pPr>
        <w:pStyle w:val="PADRO"/>
        <w:keepNext/>
        <w:widowControl/>
        <w:numPr>
          <w:ilvl w:val="0"/>
          <w:numId w:val="1"/>
        </w:numPr>
        <w:shd w:val="clear" w:fill="FFFFFF"/>
        <w:spacing w:before="120" w:after="120"/>
        <w:rPr>
          <w:rFonts w:ascii="CARLITO" w:hAnsi="CARLITO" w:cs="Arial"/>
          <w:b/>
          <w:b/>
          <w:i w:val="false"/>
          <w:i w:val="false"/>
          <w:iCs w:val="false"/>
          <w:color w:val="000000"/>
          <w:sz w:val="24"/>
          <w:szCs w:val="24"/>
        </w:rPr>
      </w:pPr>
      <w:r>
        <w:rPr>
          <w:rFonts w:cs="Arial" w:ascii="CARLITO" w:hAnsi="CARLITO"/>
          <w:b/>
          <w:i w:val="false"/>
          <w:iCs w:val="false"/>
          <w:color w:val="000000"/>
          <w:sz w:val="24"/>
          <w:szCs w:val="24"/>
        </w:rPr>
        <w:t>HABILITAÇÃO</w:t>
      </w:r>
    </w:p>
    <w:p>
      <w:pPr>
        <w:pStyle w:val="ListParagraph"/>
        <w:numPr>
          <w:ilvl w:val="1"/>
          <w:numId w:val="1"/>
        </w:numPr>
        <w:spacing w:lineRule="auto" w:line="276" w:before="120" w:after="120"/>
        <w:ind w:left="792" w:right="0" w:hanging="574"/>
        <w:contextualSpacing/>
        <w:jc w:val="both"/>
        <w:rPr>
          <w:rFonts w:ascii="CARLITO" w:hAnsi="CARLITO"/>
          <w:sz w:val="24"/>
          <w:szCs w:val="24"/>
        </w:rPr>
      </w:pPr>
      <w:r>
        <w:rPr>
          <w:rFonts w:cs="Arial" w:ascii="CARLITO" w:hAnsi="CARLITO"/>
          <w:i w:val="false"/>
          <w:iCs w:val="false"/>
          <w:color w:val="000000"/>
          <w:sz w:val="24"/>
          <w:szCs w:val="24"/>
          <w:lang w:eastAsia="ar-SA"/>
        </w:rPr>
        <w:t xml:space="preserve">Os </w:t>
      </w:r>
      <w:r>
        <w:rPr>
          <w:rFonts w:cs="Arial" w:ascii="CARLITO" w:hAnsi="CARLITO"/>
          <w:i w:val="false"/>
          <w:iCs w:val="false"/>
          <w:color w:val="000000"/>
          <w:sz w:val="24"/>
          <w:szCs w:val="24"/>
        </w:rPr>
        <w:t>documentos</w:t>
      </w:r>
      <w:r>
        <w:rPr>
          <w:rFonts w:cs="Arial" w:ascii="CARLITO" w:hAnsi="CARLITO"/>
          <w:i w:val="false"/>
          <w:iCs w:val="false"/>
          <w:color w:val="000000"/>
          <w:sz w:val="24"/>
          <w:szCs w:val="24"/>
          <w:lang w:eastAsia="ar-SA"/>
        </w:rPr>
        <w:t xml:space="preserve"> a serem exigidos para fins de habilitação constam do </w:t>
      </w:r>
      <w:r>
        <w:rPr>
          <w:rFonts w:cs="Arial" w:ascii="CARLITO" w:hAnsi="CARLITO"/>
          <w:b/>
          <w:i w:val="false"/>
          <w:iCs w:val="false"/>
          <w:color w:val="000000"/>
          <w:sz w:val="24"/>
          <w:szCs w:val="24"/>
          <w:lang w:eastAsia="ar-SA"/>
        </w:rPr>
        <w:t xml:space="preserve">ANEXO I – DOCUMENTAÇÃO EXIGIDA PARA HABILITAÇÃO </w:t>
      </w:r>
      <w:r>
        <w:rPr>
          <w:rFonts w:cs="Arial" w:ascii="CARLITO" w:hAnsi="CARLITO"/>
          <w:i w:val="false"/>
          <w:iCs w:val="false"/>
          <w:color w:val="000000"/>
          <w:sz w:val="24"/>
          <w:szCs w:val="24"/>
          <w:lang w:eastAsia="ar-SA"/>
        </w:rPr>
        <w:t>deste aviso e serão solicitados do fornecedor mais bem classificado da fase de lances.</w:t>
      </w:r>
    </w:p>
    <w:p>
      <w:pPr>
        <w:pStyle w:val="ListParagraph"/>
        <w:numPr>
          <w:ilvl w:val="1"/>
          <w:numId w:val="1"/>
        </w:numPr>
        <w:spacing w:lineRule="auto" w:line="276" w:before="120" w:after="120"/>
        <w:ind w:left="792" w:right="0" w:hanging="574"/>
        <w:contextualSpacing/>
        <w:jc w:val="both"/>
        <w:rPr>
          <w:rFonts w:ascii="CARLITO" w:hAnsi="CARLITO"/>
          <w:sz w:val="24"/>
          <w:szCs w:val="24"/>
        </w:rPr>
      </w:pPr>
      <w:r>
        <w:rPr>
          <w:rFonts w:cs="Arial" w:ascii="CARLITO" w:hAnsi="CARLITO"/>
          <w:i w:val="false"/>
          <w:iCs w:val="false"/>
          <w:color w:val="000000"/>
          <w:sz w:val="24"/>
          <w:szCs w:val="24"/>
          <w:lang w:eastAsia="ar-SA"/>
        </w:rPr>
        <w:t xml:space="preserve">Como </w:t>
      </w:r>
      <w:r>
        <w:rPr>
          <w:rFonts w:cs="Arial" w:ascii="CARLITO" w:hAnsi="CARLITO"/>
          <w:i w:val="false"/>
          <w:iCs w:val="false"/>
          <w:color w:val="000000"/>
          <w:sz w:val="24"/>
          <w:szCs w:val="24"/>
        </w:rPr>
        <w:t>condição</w:t>
      </w:r>
      <w:r>
        <w:rPr>
          <w:rFonts w:cs="Arial" w:ascii="CARLITO" w:hAnsi="CARLITO"/>
          <w:i w:val="false"/>
          <w:iCs w:val="false"/>
          <w:color w:val="000000"/>
          <w:sz w:val="24"/>
          <w:szCs w:val="24"/>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pPr>
        <w:pStyle w:val="ListParagraph"/>
        <w:spacing w:lineRule="auto" w:line="276" w:before="120" w:after="120"/>
        <w:ind w:left="1134" w:right="0" w:hanging="0"/>
        <w:contextualSpacing/>
        <w:jc w:val="both"/>
        <w:rPr>
          <w:rFonts w:ascii="CARLITO" w:hAnsi="CARLITO" w:cs="Arial"/>
          <w:i w:val="false"/>
          <w:i w:val="false"/>
          <w:iCs w:val="false"/>
          <w:color w:val="000000"/>
          <w:sz w:val="24"/>
          <w:szCs w:val="24"/>
          <w:lang w:eastAsia="ar-SA"/>
        </w:rPr>
      </w:pPr>
      <w:r>
        <w:rPr>
          <w:rFonts w:cs="Arial" w:ascii="CARLITO" w:hAnsi="CARLITO"/>
          <w:i w:val="false"/>
          <w:iCs w:val="false"/>
          <w:color w:val="000000"/>
          <w:sz w:val="24"/>
          <w:szCs w:val="24"/>
          <w:lang w:eastAsia="ar-SA"/>
        </w:rPr>
        <w:t xml:space="preserve">a) SICAF;  </w:t>
      </w:r>
    </w:p>
    <w:p>
      <w:pPr>
        <w:pStyle w:val="ListParagraph"/>
        <w:spacing w:lineRule="auto" w:line="276" w:before="120" w:after="120"/>
        <w:ind w:left="1134" w:right="0" w:hanging="0"/>
        <w:contextualSpacing/>
        <w:jc w:val="both"/>
        <w:rPr/>
      </w:pPr>
      <w:r>
        <w:rPr>
          <w:rFonts w:cs="Arial" w:ascii="CARLITO" w:hAnsi="CARLITO"/>
          <w:i w:val="false"/>
          <w:iCs w:val="false"/>
          <w:color w:val="000000"/>
          <w:sz w:val="24"/>
          <w:szCs w:val="24"/>
          <w:lang w:eastAsia="ar-SA"/>
        </w:rPr>
        <w:t>b) Cadastro Nacional de Empresas Inidôneas e Suspensas - CEIS, mantido pela Controladoria-Geral da União (</w:t>
      </w:r>
      <w:hyperlink r:id="rId3">
        <w:r>
          <w:rPr>
            <w:rStyle w:val="LinkdaInternet"/>
            <w:rFonts w:eastAsia="Calibri" w:cs="Arial" w:ascii="CARLITO" w:hAnsi="CARLITO"/>
            <w:i w:val="false"/>
            <w:iCs w:val="false"/>
            <w:color w:val="000000"/>
            <w:sz w:val="24"/>
            <w:szCs w:val="24"/>
            <w:lang w:eastAsia="ar-SA"/>
          </w:rPr>
          <w:t>www.portaldatransparencia.gov.br/ceis</w:t>
        </w:r>
      </w:hyperlink>
      <w:r>
        <w:rPr>
          <w:rFonts w:cs="Arial" w:ascii="CARLITO" w:hAnsi="CARLITO"/>
          <w:i w:val="false"/>
          <w:iCs w:val="false"/>
          <w:color w:val="000000"/>
          <w:sz w:val="24"/>
          <w:szCs w:val="24"/>
          <w:lang w:eastAsia="ar-SA"/>
        </w:rPr>
        <w:t xml:space="preserve">);  </w:t>
      </w:r>
    </w:p>
    <w:p>
      <w:pPr>
        <w:pStyle w:val="ListParagraph"/>
        <w:spacing w:lineRule="auto" w:line="276" w:before="120" w:after="120"/>
        <w:ind w:left="1134" w:right="0" w:hanging="0"/>
        <w:contextualSpacing/>
        <w:jc w:val="both"/>
        <w:rPr/>
      </w:pPr>
      <w:r>
        <w:rPr>
          <w:rFonts w:cs="Arial" w:ascii="CARLITO" w:hAnsi="CARLITO"/>
          <w:i w:val="false"/>
          <w:iCs w:val="false"/>
          <w:color w:val="000000"/>
          <w:sz w:val="24"/>
          <w:szCs w:val="24"/>
          <w:lang w:eastAsia="ar-SA"/>
        </w:rPr>
        <w:t>c) Cadastro Nacional de Condenações Cíveis por Atos de Improbidade Administrativa, mantido pelo Conselho Nacional de Justiça (</w:t>
      </w:r>
      <w:hyperlink r:id="rId4">
        <w:r>
          <w:rPr>
            <w:rStyle w:val="LinkdaInternet"/>
            <w:rFonts w:eastAsia="Calibri" w:cs="Arial" w:ascii="CARLITO" w:hAnsi="CARLITO"/>
            <w:i w:val="false"/>
            <w:iCs w:val="false"/>
            <w:color w:val="000000"/>
            <w:sz w:val="24"/>
            <w:szCs w:val="24"/>
            <w:lang w:eastAsia="ar-SA"/>
          </w:rPr>
          <w:t>www.cnj.jus.br/improbidade_adm/consultar_requerido.php</w:t>
        </w:r>
      </w:hyperlink>
      <w:r>
        <w:rPr>
          <w:rFonts w:cs="Arial" w:ascii="CARLITO" w:hAnsi="CARLITO"/>
          <w:i w:val="false"/>
          <w:iCs w:val="false"/>
          <w:color w:val="000000"/>
          <w:sz w:val="24"/>
          <w:szCs w:val="24"/>
          <w:lang w:eastAsia="ar-SA"/>
        </w:rPr>
        <w:t xml:space="preserve">).  </w:t>
      </w:r>
    </w:p>
    <w:p>
      <w:pPr>
        <w:pStyle w:val="ListParagraph"/>
        <w:spacing w:lineRule="auto" w:line="276" w:before="120" w:after="120"/>
        <w:ind w:left="1134" w:right="0" w:hanging="0"/>
        <w:contextualSpacing/>
        <w:jc w:val="both"/>
        <w:rPr>
          <w:rFonts w:ascii="CARLITO" w:hAnsi="CARLITO" w:cs="Arial"/>
          <w:i w:val="false"/>
          <w:i w:val="false"/>
          <w:iCs w:val="false"/>
          <w:color w:val="000000"/>
          <w:sz w:val="24"/>
          <w:szCs w:val="24"/>
          <w:lang w:eastAsia="ar-SA"/>
        </w:rPr>
      </w:pPr>
      <w:r>
        <w:rPr>
          <w:rFonts w:cs="Arial" w:ascii="CARLITO" w:hAnsi="CARLITO"/>
          <w:i w:val="false"/>
          <w:iCs w:val="false"/>
          <w:color w:val="000000"/>
          <w:sz w:val="24"/>
          <w:szCs w:val="24"/>
          <w:lang w:eastAsia="ar-SA"/>
        </w:rPr>
        <w:t xml:space="preserve">d) Lista de Inidôneos mantida pelo Tribunal de Contas da União - TCU; </w:t>
      </w:r>
    </w:p>
    <w:p>
      <w:pPr>
        <w:pStyle w:val="ListParagraph"/>
        <w:numPr>
          <w:ilvl w:val="2"/>
          <w:numId w:val="1"/>
        </w:numPr>
        <w:spacing w:lineRule="auto" w:line="276" w:before="120" w:after="120"/>
        <w:contextualSpacing/>
        <w:jc w:val="both"/>
        <w:rPr>
          <w:rFonts w:ascii="CARLITO" w:hAnsi="CARLITO"/>
          <w:sz w:val="24"/>
          <w:szCs w:val="24"/>
        </w:rPr>
      </w:pPr>
      <w:r>
        <w:rPr>
          <w:rFonts w:cs="Arial" w:ascii="CARLITO" w:hAnsi="CARLITO"/>
          <w:i w:val="false"/>
          <w:iCs w:val="false"/>
          <w:color w:val="000000"/>
          <w:sz w:val="24"/>
          <w:szCs w:val="24"/>
          <w:lang w:eastAsia="ar-SA"/>
        </w:rPr>
        <w:t xml:space="preserve">Para a consulta de </w:t>
      </w:r>
      <w:r>
        <w:rPr>
          <w:rFonts w:cs="Arial" w:ascii="CARLITO" w:hAnsi="CARLITO"/>
          <w:i w:val="false"/>
          <w:iCs w:val="false"/>
          <w:color w:val="000000"/>
          <w:sz w:val="24"/>
          <w:szCs w:val="24"/>
        </w:rPr>
        <w:t>fornecedores</w:t>
      </w:r>
      <w:r>
        <w:rPr>
          <w:rFonts w:cs="Arial" w:ascii="CARLITO" w:hAnsi="CARLITO"/>
          <w:i w:val="false"/>
          <w:iCs w:val="false"/>
          <w:color w:val="000000"/>
          <w:sz w:val="24"/>
          <w:szCs w:val="24"/>
          <w:lang w:eastAsia="ar-SA"/>
        </w:rPr>
        <w:t xml:space="preserve"> pessoa jurídica poderá haver a substituição das consultas das alíneas “b”, “c” e “d” acima pela Consulta Consolidada de Pessoa Jurídica do TCU (https://certidoesapf.apps.tcu.gov.br/)</w:t>
      </w:r>
    </w:p>
    <w:p>
      <w:pPr>
        <w:pStyle w:val="ListParagraph"/>
        <w:numPr>
          <w:ilvl w:val="2"/>
          <w:numId w:val="1"/>
        </w:numPr>
        <w:spacing w:lineRule="auto" w:line="276" w:before="120" w:after="120"/>
        <w:contextualSpacing/>
        <w:jc w:val="both"/>
        <w:rPr>
          <w:rFonts w:ascii="CARLITO" w:hAnsi="CARLITO"/>
          <w:sz w:val="24"/>
          <w:szCs w:val="24"/>
        </w:rPr>
      </w:pPr>
      <w:r>
        <w:rPr>
          <w:rFonts w:cs="Arial" w:ascii="CARLITO" w:hAnsi="CARLITO"/>
          <w:i w:val="false"/>
          <w:iCs w:val="false"/>
          <w:color w:val="000000"/>
          <w:sz w:val="24"/>
          <w:szCs w:val="24"/>
        </w:rPr>
        <w:t xml:space="preserve">A consulta aos </w:t>
      </w:r>
      <w:r>
        <w:rPr>
          <w:rFonts w:cs="Arial" w:ascii="CARLITO" w:hAnsi="CARLITO"/>
          <w:i w:val="false"/>
          <w:iCs w:val="false"/>
          <w:color w:val="000000"/>
          <w:sz w:val="24"/>
          <w:szCs w:val="24"/>
          <w:lang w:eastAsia="ar-SA"/>
        </w:rPr>
        <w:t>cadastros</w:t>
      </w:r>
      <w:r>
        <w:rPr>
          <w:rFonts w:cs="Arial" w:ascii="CARLITO" w:hAnsi="CARLITO"/>
          <w:i w:val="false"/>
          <w:iCs w:val="false"/>
          <w:color w:val="000000"/>
          <w:sz w:val="24"/>
          <w:szCs w:val="24"/>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ListParagraph"/>
        <w:numPr>
          <w:ilvl w:val="3"/>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Caso conste na Consulta de Situação do Fornecedor a existência de Ocorrências Impeditivas Indiretas, o gestor diligenciará para verificar se houve fraude por parte das empresas apontadas no Relatório de Ocorrências Impeditivas Indiretas.</w:t>
      </w:r>
    </w:p>
    <w:p>
      <w:pPr>
        <w:pStyle w:val="ListParagraph"/>
        <w:numPr>
          <w:ilvl w:val="4"/>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 tentativa de burla será verificada por meio dos vínculos societários, linhas de fornecimento similares, dentre outros.</w:t>
      </w:r>
    </w:p>
    <w:p>
      <w:pPr>
        <w:pStyle w:val="ListParagraph"/>
        <w:numPr>
          <w:ilvl w:val="4"/>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 fornecedor será convocado para manifestação previamente à sua desclassificação</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Constatada a existência de sanção, o fornecedor será reputado inabilitado, por falta de condição de participação.</w:t>
      </w:r>
    </w:p>
    <w:p>
      <w:pPr>
        <w:pStyle w:val="ListParagraph"/>
        <w:numPr>
          <w:ilvl w:val="1"/>
          <w:numId w:val="1"/>
        </w:numPr>
        <w:spacing w:lineRule="auto" w:line="276" w:before="120" w:after="120"/>
        <w:ind w:left="792" w:right="0" w:hanging="574"/>
        <w:contextualSpacing/>
        <w:jc w:val="both"/>
        <w:rPr>
          <w:rFonts w:ascii="CARLITO" w:hAnsi="CARLITO"/>
          <w:sz w:val="24"/>
          <w:szCs w:val="24"/>
        </w:rPr>
      </w:pPr>
      <w:r>
        <w:rPr>
          <w:rFonts w:cs="Arial" w:ascii="CARLITO" w:hAnsi="CARLITO"/>
          <w:i w:val="false"/>
          <w:iCs w:val="false"/>
          <w:color w:val="000000"/>
          <w:sz w:val="24"/>
          <w:szCs w:val="24"/>
        </w:rPr>
        <w:t>Caso atendidas as condições de participação, a habilitação dos fornecedores será verificada por meio do SICAF, nos documentos por ele abrangidos.</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É dever do fornecedor atualizar previamente as comprovações constantes do SICAF para que estejam vigentes na data da abertura da sessão pública, ou encaminhar, quando solicitado, a respectiva documentação atualizada.</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 descumprimento do subitem acima implicará a inabilitação do fornecedor, exceto se a consulta aos sítios eletrônicos oficiais emissores de certidões lograr êxito em encontrar a(s) certidão(ões) válida(s).</w:t>
      </w:r>
    </w:p>
    <w:p>
      <w:pPr>
        <w:pStyle w:val="ListParagraph"/>
        <w:numPr>
          <w:ilvl w:val="1"/>
          <w:numId w:val="1"/>
        </w:numPr>
        <w:spacing w:lineRule="auto" w:line="276" w:before="120" w:after="120"/>
        <w:ind w:left="792" w:right="0" w:hanging="574"/>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pPr>
        <w:pStyle w:val="ListParagraph"/>
        <w:numPr>
          <w:ilvl w:val="1"/>
          <w:numId w:val="1"/>
        </w:numPr>
        <w:spacing w:lineRule="auto" w:line="276" w:before="120" w:after="120"/>
        <w:ind w:left="792" w:right="0" w:hanging="574"/>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Somente haverá a necessidade de comprovação do preenchimento de requisitos mediante apresentação dos documentos originais não-digitais quando houver dúvida em relação à integridade do documento digital.</w:t>
      </w:r>
    </w:p>
    <w:p>
      <w:pPr>
        <w:pStyle w:val="ListParagraph"/>
        <w:numPr>
          <w:ilvl w:val="1"/>
          <w:numId w:val="1"/>
        </w:numPr>
        <w:spacing w:lineRule="auto" w:line="276" w:before="120" w:after="120"/>
        <w:ind w:left="792" w:right="0" w:hanging="574"/>
        <w:contextualSpacing/>
        <w:jc w:val="both"/>
        <w:rPr>
          <w:rFonts w:ascii="CARLITO" w:hAnsi="CARLITO" w:cs="Arial"/>
          <w:bCs/>
          <w:i w:val="false"/>
          <w:i w:val="false"/>
          <w:iCs w:val="false"/>
          <w:color w:val="000000"/>
          <w:sz w:val="24"/>
          <w:szCs w:val="24"/>
        </w:rPr>
      </w:pPr>
      <w:r>
        <w:rPr>
          <w:rFonts w:cs="Arial" w:ascii="CARLITO" w:hAnsi="CARLITO"/>
          <w:bCs/>
          <w:i w:val="false"/>
          <w:iCs w:val="false"/>
          <w:color w:val="000000"/>
          <w:sz w:val="24"/>
          <w:szCs w:val="24"/>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pPr>
        <w:pStyle w:val="ListParagraph"/>
        <w:numPr>
          <w:ilvl w:val="1"/>
          <w:numId w:val="1"/>
        </w:numPr>
        <w:spacing w:lineRule="auto" w:line="276" w:before="120" w:after="120"/>
        <w:ind w:left="792" w:right="0" w:hanging="574"/>
        <w:contextualSpacing/>
        <w:jc w:val="both"/>
        <w:rPr>
          <w:rFonts w:ascii="CARLITO" w:hAnsi="CARLITO"/>
          <w:sz w:val="24"/>
          <w:szCs w:val="24"/>
        </w:rPr>
      </w:pPr>
      <w:r>
        <w:rPr>
          <w:rFonts w:cs="Arial" w:ascii="CARLITO" w:hAnsi="CARLITO"/>
          <w:bCs/>
          <w:i w:val="false"/>
          <w:iCs w:val="false"/>
          <w:color w:val="000000"/>
          <w:sz w:val="24"/>
          <w:szCs w:val="24"/>
        </w:rPr>
        <w:t xml:space="preserve">Havendo </w:t>
      </w:r>
      <w:r>
        <w:rPr>
          <w:rFonts w:cs="Arial" w:ascii="CARLITO" w:hAnsi="CARLITO"/>
          <w:i w:val="false"/>
          <w:iCs w:val="false"/>
          <w:color w:val="000000"/>
          <w:sz w:val="24"/>
          <w:szCs w:val="24"/>
          <w:lang w:eastAsia="en-US"/>
        </w:rPr>
        <w:t>necessidade</w:t>
      </w:r>
      <w:r>
        <w:rPr>
          <w:rFonts w:cs="Arial" w:ascii="CARLITO" w:hAnsi="CARLITO"/>
          <w:bCs/>
          <w:i w:val="false"/>
          <w:iCs w:val="false"/>
          <w:color w:val="000000"/>
          <w:sz w:val="24"/>
          <w:szCs w:val="24"/>
        </w:rPr>
        <w:t xml:space="preserve"> de analisar minuciosamente os documentos exigidos, a sessão será suspensa, sendo informada a nova data e horário para a sua continuidade.</w:t>
      </w:r>
    </w:p>
    <w:p>
      <w:pPr>
        <w:pStyle w:val="ListParagraph"/>
        <w:numPr>
          <w:ilvl w:val="1"/>
          <w:numId w:val="1"/>
        </w:numPr>
        <w:spacing w:lineRule="auto" w:line="276" w:before="120" w:after="120"/>
        <w:ind w:left="792" w:right="0" w:hanging="574"/>
        <w:contextualSpacing/>
        <w:jc w:val="both"/>
        <w:rPr>
          <w:rFonts w:ascii="CARLITO" w:hAnsi="CARLITO"/>
          <w:sz w:val="24"/>
          <w:szCs w:val="24"/>
        </w:rPr>
      </w:pPr>
      <w:r>
        <w:rPr>
          <w:rFonts w:cs="Arial" w:ascii="CARLITO" w:hAnsi="CARLITO"/>
          <w:i w:val="false"/>
          <w:iCs w:val="false"/>
          <w:color w:val="000000"/>
          <w:sz w:val="24"/>
          <w:szCs w:val="24"/>
        </w:rPr>
        <w:t xml:space="preserve">Será inabilitado o fornecedor que não comprovar sua habilitação, seja por não apresentar </w:t>
      </w:r>
      <w:r>
        <w:rPr>
          <w:rFonts w:cs="Arial" w:ascii="CARLITO" w:hAnsi="CARLITO"/>
          <w:i w:val="false"/>
          <w:iCs w:val="false"/>
          <w:color w:val="000000"/>
          <w:sz w:val="24"/>
          <w:szCs w:val="24"/>
          <w:lang w:eastAsia="en-US"/>
        </w:rPr>
        <w:t>quaisquer</w:t>
      </w:r>
      <w:r>
        <w:rPr>
          <w:rFonts w:cs="Arial" w:ascii="CARLITO" w:hAnsi="CARLITO"/>
          <w:i w:val="false"/>
          <w:iCs w:val="false"/>
          <w:color w:val="000000"/>
          <w:sz w:val="24"/>
          <w:szCs w:val="24"/>
        </w:rPr>
        <w:t xml:space="preserve"> dos </w:t>
      </w:r>
      <w:r>
        <w:rPr>
          <w:rFonts w:cs="Arial" w:ascii="CARLITO" w:hAnsi="CARLITO"/>
          <w:bCs/>
          <w:i w:val="false"/>
          <w:iCs w:val="false"/>
          <w:color w:val="000000"/>
          <w:sz w:val="24"/>
          <w:szCs w:val="24"/>
        </w:rPr>
        <w:t>documentos</w:t>
      </w:r>
      <w:r>
        <w:rPr>
          <w:rFonts w:cs="Arial" w:ascii="CARLITO" w:hAnsi="CARLITO"/>
          <w:i w:val="false"/>
          <w:iCs w:val="false"/>
          <w:color w:val="000000"/>
          <w:sz w:val="24"/>
          <w:szCs w:val="24"/>
        </w:rPr>
        <w:t xml:space="preserve"> exigidos, ou apresentá-los em desacordo com o estabelecido neste Aviso de Contratação Direta.</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1"/>
        </w:numPr>
        <w:spacing w:lineRule="auto" w:line="276" w:before="120" w:after="120"/>
        <w:ind w:left="792" w:right="0" w:hanging="574"/>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Constatado o atendimento às exigências de habilitação, o fornecedor será habilitado.</w:t>
      </w:r>
    </w:p>
    <w:p>
      <w:pPr>
        <w:pStyle w:val="ListParagraph"/>
        <w:spacing w:lineRule="auto" w:line="276" w:before="120" w:after="120"/>
        <w:ind w:left="1010" w:right="0" w:hanging="0"/>
        <w:contextualSpacing/>
        <w:jc w:val="both"/>
        <w:rPr>
          <w:rFonts w:ascii="CARLITO" w:hAnsi="CARLITO" w:cs="Arial"/>
          <w:color w:val="000000"/>
          <w:sz w:val="24"/>
          <w:szCs w:val="24"/>
          <w:lang w:eastAsia="en-US"/>
        </w:rPr>
      </w:pPr>
      <w:r>
        <w:rPr>
          <w:rFonts w:cs="Arial" w:ascii="CARLITO" w:hAnsi="CARLITO"/>
          <w:color w:val="000000"/>
          <w:sz w:val="24"/>
          <w:szCs w:val="24"/>
          <w:lang w:eastAsia="en-US"/>
        </w:rPr>
      </w:r>
    </w:p>
    <w:p>
      <w:pPr>
        <w:pStyle w:val="PADRO"/>
        <w:keepNext/>
        <w:widowControl/>
        <w:numPr>
          <w:ilvl w:val="0"/>
          <w:numId w:val="1"/>
        </w:numPr>
        <w:shd w:val="clear" w:fill="FFFFFF"/>
        <w:spacing w:before="120" w:after="120"/>
        <w:rPr>
          <w:rFonts w:ascii="CARLITO" w:hAnsi="CARLITO" w:cs="Arial"/>
          <w:b/>
          <w:b/>
          <w:i w:val="false"/>
          <w:i w:val="false"/>
          <w:iCs w:val="false"/>
          <w:color w:val="000000"/>
          <w:sz w:val="24"/>
          <w:szCs w:val="24"/>
        </w:rPr>
      </w:pPr>
      <w:r>
        <w:rPr>
          <w:rFonts w:cs="Arial" w:ascii="CARLITO" w:hAnsi="CARLITO"/>
          <w:b/>
          <w:i w:val="false"/>
          <w:iCs w:val="false"/>
          <w:color w:val="000000"/>
          <w:sz w:val="24"/>
          <w:szCs w:val="24"/>
        </w:rPr>
        <w:t>CONTRATAÇÃO</w:t>
      </w:r>
    </w:p>
    <w:p>
      <w:pPr>
        <w:pStyle w:val="Normal"/>
        <w:numPr>
          <w:ilvl w:val="1"/>
          <w:numId w:val="1"/>
        </w:numPr>
        <w:spacing w:lineRule="auto" w:line="276" w:before="63" w:after="63"/>
        <w:ind w:left="425" w:right="0" w:hanging="0"/>
        <w:jc w:val="both"/>
        <w:rPr>
          <w:rFonts w:ascii="CARLITO" w:hAnsi="CARLITO" w:eastAsia="Arial" w:cs="Arial"/>
          <w:i w:val="false"/>
          <w:i w:val="false"/>
          <w:iCs w:val="false"/>
          <w:color w:val="000000"/>
          <w:sz w:val="24"/>
          <w:szCs w:val="24"/>
        </w:rPr>
      </w:pPr>
      <w:r>
        <w:rPr>
          <w:rFonts w:eastAsia="Arial" w:cs="Arial" w:ascii="CARLITO" w:hAnsi="CARLITO"/>
          <w:i w:val="false"/>
          <w:iCs w:val="false"/>
          <w:color w:val="000000"/>
          <w:sz w:val="24"/>
          <w:szCs w:val="24"/>
        </w:rPr>
        <w:t>Após a homologação e adjudicação, caso se conclua pela contratação, será firmado Termo de Contrato ou emitido instrumento equivalente.</w:t>
      </w:r>
    </w:p>
    <w:p>
      <w:pPr>
        <w:pStyle w:val="Normal"/>
        <w:numPr>
          <w:ilvl w:val="1"/>
          <w:numId w:val="1"/>
        </w:numPr>
        <w:spacing w:lineRule="auto" w:line="276" w:before="63" w:after="63"/>
        <w:ind w:left="425" w:right="0" w:hanging="0"/>
        <w:jc w:val="both"/>
        <w:rPr>
          <w:rFonts w:ascii="CARLITO" w:hAnsi="CARLITO" w:eastAsia="Arial" w:cs="Arial"/>
          <w:i w:val="false"/>
          <w:i w:val="false"/>
          <w:iCs w:val="false"/>
          <w:color w:val="000000"/>
          <w:sz w:val="24"/>
          <w:szCs w:val="24"/>
        </w:rPr>
      </w:pPr>
      <w:r>
        <w:rPr>
          <w:rFonts w:eastAsia="Arial" w:cs="Arial" w:ascii="CARLITO" w:hAnsi="CARLITO"/>
          <w:i w:val="false"/>
          <w:iCs w:val="false"/>
          <w:color w:val="000000"/>
          <w:sz w:val="24"/>
          <w:szCs w:val="24"/>
        </w:rPr>
        <w:t xml:space="preserve">O adjudicatário terá o prazo de 3 (três) dias úteis, contados a partir da data de sua convocação, para aceitar instrumento equivalente, conforme Nota de Empenho/Ordem de compra, sob pena de decair do direito à contratação, sem prejuízo das sanções previstas neste Aviso de Contratação Direta. </w:t>
      </w:r>
    </w:p>
    <w:p>
      <w:pPr>
        <w:pStyle w:val="Normal"/>
        <w:numPr>
          <w:ilvl w:val="2"/>
          <w:numId w:val="1"/>
        </w:numPr>
        <w:spacing w:lineRule="auto" w:line="276" w:before="63" w:after="63"/>
        <w:jc w:val="both"/>
        <w:rPr>
          <w:rFonts w:ascii="CARLITO" w:hAnsi="CARLITO"/>
          <w:sz w:val="24"/>
          <w:szCs w:val="24"/>
        </w:rPr>
      </w:pPr>
      <w:r>
        <w:rPr>
          <w:rFonts w:eastAsia="Arial" w:cs="Arial" w:ascii="CARLITO" w:hAnsi="CARLITO"/>
          <w:i w:val="false"/>
          <w:iCs w:val="false"/>
          <w:color w:val="000000"/>
          <w:sz w:val="24"/>
          <w:szCs w:val="24"/>
        </w:rPr>
        <w:t xml:space="preserve">O prazo previsto para assinatura do contrato ou aceitação da nota de empenho ou instrumento equivalente poderá ser prorrogado </w:t>
      </w:r>
      <w:r>
        <w:rPr>
          <w:rFonts w:cs="Times New Roman" w:ascii="CARLITO" w:hAnsi="CARLITO"/>
          <w:bCs/>
          <w:i w:val="false"/>
          <w:iCs w:val="false"/>
          <w:color w:val="000000"/>
          <w:sz w:val="24"/>
          <w:szCs w:val="24"/>
        </w:rPr>
        <w:t>1 (uma) vez</w:t>
      </w:r>
      <w:r>
        <w:rPr>
          <w:rFonts w:eastAsia="Arial" w:cs="Arial" w:ascii="CARLITO" w:hAnsi="CARLITO"/>
          <w:i w:val="false"/>
          <w:iCs w:val="false"/>
          <w:color w:val="000000"/>
          <w:sz w:val="24"/>
          <w:szCs w:val="24"/>
        </w:rPr>
        <w:t>, por igual período, por solicitação justificada do adjudicatário e aceita pela Administração.</w:t>
      </w:r>
    </w:p>
    <w:p>
      <w:pPr>
        <w:pStyle w:val="Normal"/>
        <w:numPr>
          <w:ilvl w:val="1"/>
          <w:numId w:val="1"/>
        </w:numPr>
        <w:spacing w:lineRule="auto" w:line="276" w:before="63" w:after="63"/>
        <w:ind w:left="425" w:right="0" w:hanging="0"/>
        <w:jc w:val="both"/>
        <w:rPr>
          <w:rFonts w:ascii="CARLITO" w:hAnsi="CARLITO" w:eastAsia="Arial" w:cs="Arial"/>
          <w:i w:val="false"/>
          <w:i w:val="false"/>
          <w:iCs w:val="false"/>
          <w:color w:val="000000"/>
          <w:sz w:val="24"/>
          <w:szCs w:val="24"/>
        </w:rPr>
      </w:pPr>
      <w:r>
        <w:rPr>
          <w:rFonts w:eastAsia="Arial" w:cs="Arial" w:ascii="CARLITO" w:hAnsi="CARLITO"/>
          <w:i w:val="false"/>
          <w:iCs w:val="false"/>
          <w:color w:val="000000"/>
          <w:sz w:val="24"/>
          <w:szCs w:val="24"/>
        </w:rPr>
        <w:t>O Aceite da Nota de Empenho ou do instrumento equivalente, emitida à empresa adjudicada, implica no reconhecimento de que:</w:t>
      </w:r>
    </w:p>
    <w:p>
      <w:pPr>
        <w:pStyle w:val="Normal"/>
        <w:numPr>
          <w:ilvl w:val="2"/>
          <w:numId w:val="1"/>
        </w:numPr>
        <w:spacing w:lineRule="auto" w:line="276" w:before="63" w:after="63"/>
        <w:jc w:val="both"/>
        <w:rPr>
          <w:rFonts w:ascii="CARLITO" w:hAnsi="CARLITO" w:eastAsia="Arial" w:cs="Arial"/>
          <w:i w:val="false"/>
          <w:i w:val="false"/>
          <w:iCs w:val="false"/>
          <w:color w:val="000000"/>
          <w:sz w:val="24"/>
          <w:szCs w:val="24"/>
        </w:rPr>
      </w:pPr>
      <w:r>
        <w:rPr>
          <w:rFonts w:eastAsia="Arial" w:cs="Arial" w:ascii="CARLITO" w:hAnsi="CARLITO"/>
          <w:i w:val="false"/>
          <w:iCs w:val="false"/>
          <w:color w:val="000000"/>
          <w:sz w:val="24"/>
          <w:szCs w:val="24"/>
        </w:rPr>
        <w:t xml:space="preserve"> </w:t>
      </w:r>
      <w:r>
        <w:rPr>
          <w:rFonts w:eastAsia="Arial" w:cs="Arial" w:ascii="CARLITO" w:hAnsi="CARLITO"/>
          <w:i w:val="false"/>
          <w:iCs w:val="false"/>
          <w:color w:val="000000"/>
          <w:sz w:val="24"/>
          <w:szCs w:val="24"/>
        </w:rPr>
        <w:t>referida Nota está substituindo o contrato, aplicando-se à relação de negócios ali estabelecida as disposições da Lei nº 14.133, de 2021;</w:t>
      </w:r>
    </w:p>
    <w:p>
      <w:pPr>
        <w:pStyle w:val="Normal"/>
        <w:numPr>
          <w:ilvl w:val="2"/>
          <w:numId w:val="1"/>
        </w:numPr>
        <w:spacing w:lineRule="auto" w:line="276" w:before="63" w:after="63"/>
        <w:jc w:val="both"/>
        <w:rPr>
          <w:rFonts w:ascii="CARLITO" w:hAnsi="CARLITO" w:eastAsia="Arial" w:cs="Arial"/>
          <w:i w:val="false"/>
          <w:i w:val="false"/>
          <w:iCs w:val="false"/>
          <w:color w:val="000000"/>
          <w:sz w:val="24"/>
          <w:szCs w:val="24"/>
        </w:rPr>
      </w:pPr>
      <w:r>
        <w:rPr>
          <w:rFonts w:eastAsia="Arial" w:cs="Arial" w:ascii="CARLITO" w:hAnsi="CARLITO"/>
          <w:i w:val="false"/>
          <w:iCs w:val="false"/>
          <w:color w:val="000000"/>
          <w:sz w:val="24"/>
          <w:szCs w:val="24"/>
        </w:rPr>
        <w:t xml:space="preserve"> </w:t>
      </w:r>
      <w:r>
        <w:rPr>
          <w:rFonts w:eastAsia="Arial" w:cs="Arial" w:ascii="CARLITO" w:hAnsi="CARLITO"/>
          <w:i w:val="false"/>
          <w:iCs w:val="false"/>
          <w:color w:val="000000"/>
          <w:sz w:val="24"/>
          <w:szCs w:val="24"/>
        </w:rPr>
        <w:t>a contratada se vincula à sua proposta e às previsões contidas no Aviso de Contratação Direta e seus anexos;</w:t>
      </w:r>
    </w:p>
    <w:p>
      <w:pPr>
        <w:pStyle w:val="Normal"/>
        <w:numPr>
          <w:ilvl w:val="2"/>
          <w:numId w:val="1"/>
        </w:numPr>
        <w:spacing w:lineRule="auto" w:line="276" w:before="63" w:after="63"/>
        <w:jc w:val="both"/>
        <w:rPr>
          <w:rFonts w:ascii="CARLITO" w:hAnsi="CARLITO" w:eastAsia="Arial" w:cs="Arial"/>
          <w:i w:val="false"/>
          <w:i w:val="false"/>
          <w:iCs w:val="false"/>
          <w:color w:val="000000"/>
          <w:sz w:val="24"/>
          <w:szCs w:val="24"/>
        </w:rPr>
      </w:pPr>
      <w:r>
        <w:rPr>
          <w:rFonts w:eastAsia="Arial" w:cs="Arial" w:ascii="CARLITO" w:hAnsi="CARLITO"/>
          <w:i w:val="false"/>
          <w:iCs w:val="false"/>
          <w:color w:val="000000"/>
          <w:sz w:val="24"/>
          <w:szCs w:val="24"/>
        </w:rPr>
        <w:t xml:space="preserve"> </w:t>
      </w:r>
      <w:r>
        <w:rPr>
          <w:rFonts w:eastAsia="Arial" w:cs="Arial" w:ascii="CARLITO" w:hAnsi="CARLITO"/>
          <w:i w:val="false"/>
          <w:iCs w:val="false"/>
          <w:color w:val="000000"/>
          <w:sz w:val="24"/>
          <w:szCs w:val="24"/>
        </w:rPr>
        <w:t>a contratada reconhece que as hipóteses de rescisão são aquelas previstas nos artigos 137 e 138 da Lei nº 14.133/21 e reconhece os direitos da Administração previstos nos artigos 137 a 139 da mesma Lei.</w:t>
      </w:r>
    </w:p>
    <w:p>
      <w:pPr>
        <w:pStyle w:val="Normal"/>
        <w:numPr>
          <w:ilvl w:val="1"/>
          <w:numId w:val="1"/>
        </w:numPr>
        <w:spacing w:lineRule="auto" w:line="276" w:before="63" w:after="63"/>
        <w:ind w:left="425" w:right="0" w:hanging="0"/>
        <w:jc w:val="both"/>
        <w:rPr>
          <w:rFonts w:ascii="CARLITO" w:hAnsi="CARLITO" w:eastAsia="Arial" w:cs="Arial"/>
          <w:i w:val="false"/>
          <w:i w:val="false"/>
          <w:iCs w:val="false"/>
          <w:color w:val="000000"/>
          <w:sz w:val="24"/>
          <w:szCs w:val="24"/>
        </w:rPr>
      </w:pPr>
      <w:r>
        <w:rPr>
          <w:rFonts w:eastAsia="Arial" w:cs="Arial" w:ascii="CARLITO" w:hAnsi="CARLITO"/>
          <w:i w:val="false"/>
          <w:iCs w:val="false"/>
          <w:color w:val="000000"/>
          <w:sz w:val="24"/>
          <w:szCs w:val="24"/>
        </w:rPr>
        <w:t xml:space="preserve">O prazo de vigência da contratação é de 20 (vinte) dias. </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Na confecção da Nota de empenho será exigida a comprovação das condições de habilitação e contratação consignadas neste aviso, que deverão ser mantidas pelo fornecedor durante a vigência do contrato.</w:t>
      </w:r>
    </w:p>
    <w:p>
      <w:pPr>
        <w:pStyle w:val="Normal"/>
        <w:spacing w:lineRule="auto" w:line="276" w:before="63" w:after="63"/>
        <w:ind w:left="1217" w:right="0" w:hanging="0"/>
        <w:jc w:val="both"/>
        <w:rPr>
          <w:rFonts w:ascii="CARLITO" w:hAnsi="CARLITO" w:cs="Arial"/>
          <w:color w:val="000000"/>
          <w:sz w:val="24"/>
          <w:szCs w:val="24"/>
        </w:rPr>
      </w:pPr>
      <w:r>
        <w:rPr>
          <w:rFonts w:cs="Arial" w:ascii="CARLITO" w:hAnsi="CARLITO"/>
          <w:color w:val="000000"/>
          <w:sz w:val="24"/>
          <w:szCs w:val="24"/>
        </w:rPr>
      </w:r>
    </w:p>
    <w:p>
      <w:pPr>
        <w:pStyle w:val="PADRO"/>
        <w:keepNext/>
        <w:widowControl/>
        <w:numPr>
          <w:ilvl w:val="0"/>
          <w:numId w:val="1"/>
        </w:numPr>
        <w:shd w:val="clear" w:fill="FFFFFF"/>
        <w:spacing w:before="120" w:after="120"/>
        <w:rPr>
          <w:rFonts w:ascii="CARLITO" w:hAnsi="CARLITO" w:cs="Arial"/>
          <w:b/>
          <w:b/>
          <w:i w:val="false"/>
          <w:i w:val="false"/>
          <w:iCs w:val="false"/>
          <w:color w:val="000000"/>
          <w:sz w:val="24"/>
          <w:szCs w:val="24"/>
        </w:rPr>
      </w:pPr>
      <w:r>
        <w:rPr>
          <w:rFonts w:cs="Arial" w:ascii="CARLITO" w:hAnsi="CARLITO"/>
          <w:b/>
          <w:i w:val="false"/>
          <w:iCs w:val="false"/>
          <w:color w:val="000000"/>
          <w:sz w:val="24"/>
          <w:szCs w:val="24"/>
        </w:rPr>
        <w:t>SANÇÕES</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Comete infração administrativa o fornecedor que cometer quaisquer das infrações previstas no art. 155 da Lei nº 14.133, de 2021, quais sejam: </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dar causa à inexecução parcial do contrato;</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dar causa à inexecução parcial do contrato que cause grave dano à Administração, ao funcionamento dos serviços públicos ou ao interesse coletivo;</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dar causa à inexecução total do contrato;</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deixar de entregar a documentação exigida para o certame;</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não manter a proposta, salvo em decorrência de fato superveniente devidamente justificado;</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não celebrar o contrato ou não entregar a documentação exigida para a contratação, quando convocado dentro do prazo de validade de sua proposta;</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ensejar o retardamento da execução ou da entrega do objeto da licitação sem motivo justificado;</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apresentar declaração ou documentação falsa exigida para o certame ou prestar declaração falsa durante a dispensa eletrônica ou a execução do contrato;</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fraudar a dispensa eletrônica ou praticar ato fraudulento na execução do contrato;</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comportar-se de modo inidôneo ou cometer fraude de qualquer natureza;</w:t>
      </w:r>
    </w:p>
    <w:p>
      <w:pPr>
        <w:pStyle w:val="ListParagraph"/>
        <w:numPr>
          <w:ilvl w:val="3"/>
          <w:numId w:val="1"/>
        </w:numPr>
        <w:spacing w:lineRule="auto" w:line="276" w:before="63" w:after="63"/>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praticar atos ilícitos com vistas a frustrar os objetivos deste certame.</w:t>
      </w:r>
    </w:p>
    <w:p>
      <w:pPr>
        <w:pStyle w:val="Normal"/>
        <w:numPr>
          <w:ilvl w:val="2"/>
          <w:numId w:val="1"/>
        </w:numPr>
        <w:spacing w:lineRule="auto" w:line="276" w:before="63" w:after="63"/>
        <w:jc w:val="both"/>
        <w:rPr/>
      </w:pPr>
      <w:r>
        <w:rPr>
          <w:rFonts w:cs="Arial" w:ascii="CARLITO" w:hAnsi="CARLITO"/>
          <w:i w:val="false"/>
          <w:iCs w:val="false"/>
          <w:color w:val="000000"/>
          <w:sz w:val="24"/>
          <w:szCs w:val="24"/>
        </w:rPr>
        <w:t xml:space="preserve">praticar ato lesivo previsto no </w:t>
      </w:r>
      <w:r>
        <w:fldChar w:fldCharType="begin"/>
      </w:r>
      <w:r>
        <w:instrText> HYPERLINK "http://www.planalto.gov.br/ccivil_03/_Ato2011-2014/2013/Lei/L12846.htm" \l "art5"</w:instrText>
      </w:r>
      <w:r>
        <w:fldChar w:fldCharType="separate"/>
      </w:r>
      <w:r>
        <w:rPr>
          <w:rStyle w:val="LinkdaInternet"/>
          <w:rFonts w:ascii="CARLITO" w:hAnsi="CARLITO"/>
          <w:i w:val="false"/>
          <w:iCs w:val="false"/>
          <w:color w:val="000000"/>
          <w:sz w:val="24"/>
          <w:szCs w:val="24"/>
        </w:rPr>
        <w:t>art. 5º da Lei nº 12.846, de 1º de agosto de 2013.</w:t>
      </w:r>
      <w:r>
        <w:fldChar w:fldCharType="end"/>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 fornecedor que cometer qualquer das infrações discriminadas nos subitens anteriores ficará sujeito, sem prejuízo da responsabilidade civil e criminal, às seguintes sanções:</w:t>
      </w:r>
    </w:p>
    <w:p>
      <w:pPr>
        <w:pStyle w:val="Normal"/>
        <w:numPr>
          <w:ilvl w:val="2"/>
          <w:numId w:val="5"/>
        </w:numPr>
        <w:spacing w:lineRule="auto" w:line="276" w:before="63" w:after="63"/>
        <w:jc w:val="both"/>
        <w:rPr>
          <w:rFonts w:ascii="CARLITO" w:hAnsi="CARLITO"/>
          <w:sz w:val="24"/>
          <w:szCs w:val="24"/>
        </w:rPr>
      </w:pPr>
      <w:r>
        <w:rPr>
          <w:rFonts w:cs="Arial" w:ascii="CARLITO" w:hAnsi="CARLITO"/>
          <w:i w:val="false"/>
          <w:iCs w:val="false"/>
          <w:color w:val="000000"/>
          <w:sz w:val="24"/>
          <w:szCs w:val="24"/>
        </w:rPr>
        <w:t>Advertência pela falta do subitem 8.1.1 deste Aviso de Contratação Direta,</w:t>
      </w:r>
      <w:r>
        <w:rPr>
          <w:rFonts w:ascii="CARLITO" w:hAnsi="CARLITO"/>
          <w:i w:val="false"/>
          <w:iCs w:val="false"/>
          <w:color w:val="000000"/>
          <w:sz w:val="24"/>
          <w:szCs w:val="24"/>
        </w:rPr>
        <w:t xml:space="preserve"> </w:t>
      </w:r>
      <w:r>
        <w:rPr>
          <w:rFonts w:cs="Arial" w:ascii="CARLITO" w:hAnsi="CARLITO"/>
          <w:i w:val="false"/>
          <w:iCs w:val="false"/>
          <w:color w:val="000000"/>
          <w:sz w:val="24"/>
          <w:szCs w:val="24"/>
        </w:rPr>
        <w:t>quando não se justificar a imposição de penalidade mais grave;</w:t>
      </w:r>
    </w:p>
    <w:p>
      <w:pPr>
        <w:pStyle w:val="Normal"/>
        <w:numPr>
          <w:ilvl w:val="2"/>
          <w:numId w:val="5"/>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Multa de 0,5% (cinco decimos por cento) sobre o valor estimado do(s) item(s) prejudicado(s) pela conduta do fornecedor, por qualquer das infrações dos subitens 8.1.1 a 8.1.12;</w:t>
      </w:r>
    </w:p>
    <w:p>
      <w:pPr>
        <w:pStyle w:val="Normal"/>
        <w:numPr>
          <w:ilvl w:val="2"/>
          <w:numId w:val="5"/>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pPr>
        <w:pStyle w:val="Normal"/>
        <w:numPr>
          <w:ilvl w:val="2"/>
          <w:numId w:val="5"/>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pPr>
        <w:pStyle w:val="Normal"/>
        <w:numPr>
          <w:ilvl w:val="1"/>
          <w:numId w:val="1"/>
        </w:numPr>
        <w:spacing w:lineRule="auto" w:line="276" w:before="120" w:after="120"/>
        <w:jc w:val="both"/>
        <w:rPr>
          <w:rFonts w:ascii="CARLITO" w:hAnsi="CARLITO" w:cs="Arial"/>
          <w:bCs/>
          <w:i w:val="false"/>
          <w:i w:val="false"/>
          <w:iCs w:val="false"/>
          <w:color w:val="000000"/>
          <w:sz w:val="24"/>
          <w:szCs w:val="24"/>
        </w:rPr>
      </w:pPr>
      <w:r>
        <w:rPr>
          <w:rFonts w:cs="Arial" w:ascii="CARLITO" w:hAnsi="CARLITO"/>
          <w:bCs/>
          <w:i w:val="false"/>
          <w:iCs w:val="false"/>
          <w:color w:val="000000"/>
          <w:sz w:val="24"/>
          <w:szCs w:val="24"/>
        </w:rPr>
        <w:t>Na aplicação das sanções serão considerados:</w:t>
      </w:r>
    </w:p>
    <w:p>
      <w:pPr>
        <w:pStyle w:val="Normal"/>
        <w:numPr>
          <w:ilvl w:val="2"/>
          <w:numId w:val="1"/>
        </w:numPr>
        <w:spacing w:lineRule="auto" w:line="276" w:before="120" w:after="120"/>
        <w:jc w:val="both"/>
        <w:rPr>
          <w:rFonts w:ascii="CARLITO" w:hAnsi="CARLITO" w:cs="Arial"/>
          <w:bCs/>
          <w:i w:val="false"/>
          <w:i w:val="false"/>
          <w:iCs w:val="false"/>
          <w:color w:val="000000"/>
          <w:sz w:val="24"/>
          <w:szCs w:val="24"/>
        </w:rPr>
      </w:pPr>
      <w:r>
        <w:rPr>
          <w:rFonts w:cs="Arial" w:ascii="CARLITO" w:hAnsi="CARLITO"/>
          <w:bCs/>
          <w:i w:val="false"/>
          <w:iCs w:val="false"/>
          <w:color w:val="000000"/>
          <w:sz w:val="24"/>
          <w:szCs w:val="24"/>
        </w:rPr>
        <w:t>a natureza e a gravidade da infração cometida;</w:t>
      </w:r>
    </w:p>
    <w:p>
      <w:pPr>
        <w:pStyle w:val="Normal"/>
        <w:numPr>
          <w:ilvl w:val="2"/>
          <w:numId w:val="1"/>
        </w:numPr>
        <w:spacing w:lineRule="auto" w:line="276" w:before="120" w:after="120"/>
        <w:jc w:val="both"/>
        <w:rPr>
          <w:rFonts w:ascii="CARLITO" w:hAnsi="CARLITO" w:cs="Arial"/>
          <w:bCs/>
          <w:i w:val="false"/>
          <w:i w:val="false"/>
          <w:iCs w:val="false"/>
          <w:color w:val="000000"/>
          <w:sz w:val="24"/>
          <w:szCs w:val="24"/>
        </w:rPr>
      </w:pPr>
      <w:r>
        <w:rPr>
          <w:rFonts w:cs="Arial" w:ascii="CARLITO" w:hAnsi="CARLITO"/>
          <w:bCs/>
          <w:i w:val="false"/>
          <w:iCs w:val="false"/>
          <w:color w:val="000000"/>
          <w:sz w:val="24"/>
          <w:szCs w:val="24"/>
        </w:rPr>
        <w:t xml:space="preserve"> </w:t>
      </w:r>
      <w:r>
        <w:rPr>
          <w:rFonts w:cs="Arial" w:ascii="CARLITO" w:hAnsi="CARLITO"/>
          <w:bCs/>
          <w:i w:val="false"/>
          <w:iCs w:val="false"/>
          <w:color w:val="000000"/>
          <w:sz w:val="24"/>
          <w:szCs w:val="24"/>
        </w:rPr>
        <w:t>as peculiaridades do caso concreto;</w:t>
      </w:r>
    </w:p>
    <w:p>
      <w:pPr>
        <w:pStyle w:val="Normal"/>
        <w:numPr>
          <w:ilvl w:val="2"/>
          <w:numId w:val="1"/>
        </w:numPr>
        <w:spacing w:lineRule="auto" w:line="276" w:before="120" w:after="120"/>
        <w:jc w:val="both"/>
        <w:rPr>
          <w:rFonts w:ascii="CARLITO" w:hAnsi="CARLITO" w:cs="Arial"/>
          <w:bCs/>
          <w:i w:val="false"/>
          <w:i w:val="false"/>
          <w:iCs w:val="false"/>
          <w:color w:val="000000"/>
          <w:sz w:val="24"/>
          <w:szCs w:val="24"/>
        </w:rPr>
      </w:pPr>
      <w:r>
        <w:rPr>
          <w:rFonts w:cs="Arial" w:ascii="CARLITO" w:hAnsi="CARLITO"/>
          <w:bCs/>
          <w:i w:val="false"/>
          <w:iCs w:val="false"/>
          <w:color w:val="000000"/>
          <w:sz w:val="24"/>
          <w:szCs w:val="24"/>
        </w:rPr>
        <w:t xml:space="preserve"> </w:t>
      </w:r>
      <w:r>
        <w:rPr>
          <w:rFonts w:cs="Arial" w:ascii="CARLITO" w:hAnsi="CARLITO"/>
          <w:bCs/>
          <w:i w:val="false"/>
          <w:iCs w:val="false"/>
          <w:color w:val="000000"/>
          <w:sz w:val="24"/>
          <w:szCs w:val="24"/>
        </w:rPr>
        <w:t>as circunstâncias agravantes ou atenuantes;</w:t>
      </w:r>
    </w:p>
    <w:p>
      <w:pPr>
        <w:pStyle w:val="Normal"/>
        <w:numPr>
          <w:ilvl w:val="2"/>
          <w:numId w:val="1"/>
        </w:numPr>
        <w:spacing w:lineRule="auto" w:line="276" w:before="120" w:after="120"/>
        <w:jc w:val="both"/>
        <w:rPr>
          <w:rFonts w:ascii="CARLITO" w:hAnsi="CARLITO" w:cs="Arial"/>
          <w:bCs/>
          <w:i w:val="false"/>
          <w:i w:val="false"/>
          <w:iCs w:val="false"/>
          <w:color w:val="000000"/>
          <w:sz w:val="24"/>
          <w:szCs w:val="24"/>
        </w:rPr>
      </w:pPr>
      <w:r>
        <w:rPr>
          <w:rFonts w:cs="Arial" w:ascii="CARLITO" w:hAnsi="CARLITO"/>
          <w:bCs/>
          <w:i w:val="false"/>
          <w:iCs w:val="false"/>
          <w:color w:val="000000"/>
          <w:sz w:val="24"/>
          <w:szCs w:val="24"/>
        </w:rPr>
        <w:t xml:space="preserve"> </w:t>
      </w:r>
      <w:r>
        <w:rPr>
          <w:rFonts w:cs="Arial" w:ascii="CARLITO" w:hAnsi="CARLITO"/>
          <w:bCs/>
          <w:i w:val="false"/>
          <w:iCs w:val="false"/>
          <w:color w:val="000000"/>
          <w:sz w:val="24"/>
          <w:szCs w:val="24"/>
        </w:rPr>
        <w:t>os danos que dela provierem para a Administração Pública;</w:t>
      </w:r>
    </w:p>
    <w:p>
      <w:pPr>
        <w:pStyle w:val="Normal"/>
        <w:numPr>
          <w:ilvl w:val="2"/>
          <w:numId w:val="1"/>
        </w:numPr>
        <w:spacing w:lineRule="auto" w:line="276" w:before="120" w:after="120"/>
        <w:jc w:val="both"/>
        <w:rPr>
          <w:rFonts w:ascii="CARLITO" w:hAnsi="CARLITO" w:cs="Arial"/>
          <w:bCs/>
          <w:i w:val="false"/>
          <w:i w:val="false"/>
          <w:iCs w:val="false"/>
          <w:color w:val="000000"/>
          <w:sz w:val="24"/>
          <w:szCs w:val="24"/>
        </w:rPr>
      </w:pPr>
      <w:r>
        <w:rPr>
          <w:rFonts w:cs="Arial" w:ascii="CARLITO" w:hAnsi="CARLITO"/>
          <w:bCs/>
          <w:i w:val="false"/>
          <w:iCs w:val="false"/>
          <w:color w:val="000000"/>
          <w:sz w:val="24"/>
          <w:szCs w:val="24"/>
        </w:rPr>
        <w:t xml:space="preserve"> </w:t>
      </w:r>
      <w:r>
        <w:rPr>
          <w:rFonts w:cs="Arial" w:ascii="CARLITO" w:hAnsi="CARLITO"/>
          <w:bCs/>
          <w:i w:val="false"/>
          <w:iCs w:val="false"/>
          <w:color w:val="000000"/>
          <w:sz w:val="24"/>
          <w:szCs w:val="24"/>
        </w:rPr>
        <w:t>a implantação ou o aperfeiçoamento de programa de integridade, conforme normas e orientações dos órgãos de controle.</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bookmarkStart w:id="1" w:name="art156%25252525252525C2%25252525252525A7"/>
      <w:bookmarkStart w:id="2" w:name="art156%25252525252525C2%25252525252525A72"/>
      <w:bookmarkStart w:id="3" w:name="art156%25252525252525C2%25252525252525A71"/>
      <w:bookmarkEnd w:id="1"/>
      <w:bookmarkEnd w:id="2"/>
      <w:bookmarkEnd w:id="3"/>
      <w:r>
        <w:rPr>
          <w:rFonts w:cs="Arial" w:ascii="CARLITO" w:hAnsi="CARLITO"/>
          <w:i w:val="false"/>
          <w:iCs w:val="false"/>
          <w:color w:val="000000"/>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bookmarkStart w:id="4" w:name="art156%25252525252525C2%25252525252525A73"/>
      <w:bookmarkEnd w:id="4"/>
      <w:r>
        <w:rPr>
          <w:rFonts w:cs="Arial" w:ascii="CARLITO" w:hAnsi="CARLITO"/>
          <w:i w:val="false"/>
          <w:iCs w:val="false"/>
          <w:color w:val="000000"/>
          <w:sz w:val="24"/>
          <w:szCs w:val="24"/>
        </w:rPr>
        <w:t>A aplicação das sanções previstas neste Aviso de Contratação Direta, em hipótese alguma, a obrigação de reparação integral do dano causado à Administração Pública.</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 penalidade de multa pode ser aplicada cumulativamente com as demais sanções.</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pPr>
        <w:pStyle w:val="Normal"/>
        <w:numPr>
          <w:ilvl w:val="1"/>
          <w:numId w:val="1"/>
        </w:numPr>
        <w:spacing w:lineRule="auto" w:line="276" w:before="120" w:after="120"/>
        <w:ind w:left="425" w:right="0" w:hanging="0"/>
        <w:jc w:val="both"/>
        <w:rPr>
          <w:rFonts w:ascii="CARLITO" w:hAnsi="CARLITO"/>
          <w:sz w:val="24"/>
          <w:szCs w:val="24"/>
        </w:rPr>
      </w:pPr>
      <w:r>
        <w:rPr>
          <w:rFonts w:cs="Arial" w:ascii="CARLITO" w:hAnsi="CARLITO"/>
          <w:i w:val="false"/>
          <w:iCs w:val="false"/>
          <w:color w:val="000000"/>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As sanções por atos praticados no decorrer da contratação estão previstas nos anexos a este Aviso.</w:t>
      </w:r>
    </w:p>
    <w:p>
      <w:pPr>
        <w:pStyle w:val="Normal"/>
        <w:spacing w:lineRule="auto" w:line="276" w:before="120" w:after="120"/>
        <w:ind w:left="1217" w:right="0" w:hanging="0"/>
        <w:jc w:val="both"/>
        <w:rPr>
          <w:rFonts w:ascii="CARLITO" w:hAnsi="CARLITO" w:cs="Arial"/>
          <w:color w:val="000000"/>
          <w:sz w:val="24"/>
          <w:szCs w:val="24"/>
        </w:rPr>
      </w:pPr>
      <w:r>
        <w:rPr>
          <w:rFonts w:cs="Arial" w:ascii="CARLITO" w:hAnsi="CARLITO"/>
          <w:color w:val="000000"/>
          <w:sz w:val="24"/>
          <w:szCs w:val="24"/>
        </w:rPr>
      </w:r>
    </w:p>
    <w:p>
      <w:pPr>
        <w:pStyle w:val="PADRO"/>
        <w:keepNext/>
        <w:widowControl/>
        <w:numPr>
          <w:ilvl w:val="0"/>
          <w:numId w:val="1"/>
        </w:numPr>
        <w:shd w:val="clear" w:fill="FFFFFF"/>
        <w:spacing w:before="120" w:after="120"/>
        <w:rPr>
          <w:rFonts w:ascii="CARLITO" w:hAnsi="CARLITO" w:cs="Arial"/>
          <w:b/>
          <w:b/>
          <w:i w:val="false"/>
          <w:i w:val="false"/>
          <w:iCs w:val="false"/>
          <w:color w:val="000000"/>
          <w:sz w:val="24"/>
          <w:szCs w:val="24"/>
        </w:rPr>
      </w:pPr>
      <w:r>
        <w:rPr>
          <w:rFonts w:cs="Arial" w:ascii="CARLITO" w:hAnsi="CARLITO"/>
          <w:b/>
          <w:i w:val="false"/>
          <w:iCs w:val="false"/>
          <w:color w:val="000000"/>
          <w:sz w:val="24"/>
          <w:szCs w:val="24"/>
        </w:rPr>
        <w:t>DAS DISPOSIÇÕES GERAIS</w:t>
      </w:r>
    </w:p>
    <w:p>
      <w:pPr>
        <w:pStyle w:val="Normal"/>
        <w:numPr>
          <w:ilvl w:val="1"/>
          <w:numId w:val="1"/>
        </w:numPr>
        <w:snapToGrid w:val="false"/>
        <w:spacing w:lineRule="auto" w:line="276"/>
        <w:ind w:left="425" w:right="0" w:hanging="0"/>
        <w:jc w:val="both"/>
        <w:rPr>
          <w:rFonts w:ascii="CARLITO" w:hAnsi="CARLITO"/>
          <w:i w:val="false"/>
          <w:i w:val="false"/>
          <w:iCs w:val="false"/>
          <w:color w:val="000000"/>
          <w:sz w:val="24"/>
          <w:szCs w:val="24"/>
        </w:rPr>
      </w:pPr>
      <w:r>
        <w:rPr>
          <w:rFonts w:ascii="CARLITO" w:hAnsi="CARLITO"/>
          <w:i w:val="false"/>
          <w:iCs w:val="false"/>
          <w:color w:val="000000"/>
          <w:sz w:val="24"/>
          <w:szCs w:val="24"/>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No caso de todos os fornecedores restarem desclassificados ou inabilitados (procedimento fracassado), a Administração poderá:</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republicar o presente aviso com uma nova data;</w:t>
      </w:r>
    </w:p>
    <w:p>
      <w:pPr>
        <w:pStyle w:val="Normal"/>
        <w:numPr>
          <w:ilvl w:val="2"/>
          <w:numId w:val="1"/>
        </w:numPr>
        <w:spacing w:lineRule="auto" w:line="276"/>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valer-se, para a contratação, de proposta obtida na pesquisa de preços que serviu de base ao procedimento, se houver, privilegiando-se os menores preços, sempre que possível, e desde que atendidas às condições de habilitação exigidas.</w:t>
      </w:r>
    </w:p>
    <w:p>
      <w:pPr>
        <w:pStyle w:val="Normal"/>
        <w:numPr>
          <w:ilvl w:val="3"/>
          <w:numId w:val="1"/>
        </w:numPr>
        <w:spacing w:lineRule="auto" w:line="276" w:before="6" w:after="6"/>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No caso do subitem anterior, a contratação será operacionalizada fora deste procedimento.</w:t>
      </w:r>
    </w:p>
    <w:p>
      <w:pPr>
        <w:pStyle w:val="Normal"/>
        <w:numPr>
          <w:ilvl w:val="2"/>
          <w:numId w:val="1"/>
        </w:numPr>
        <w:spacing w:lineRule="auto" w:line="276" w:before="6" w:after="6"/>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fixar prazo para que possa haver adequação das propostas ou da documentação de habilitação, conforme o caso.</w:t>
      </w:r>
    </w:p>
    <w:p>
      <w:pPr>
        <w:pStyle w:val="Normal"/>
        <w:numPr>
          <w:ilvl w:val="1"/>
          <w:numId w:val="1"/>
        </w:numPr>
        <w:spacing w:lineRule="auto" w:line="276" w:before="6" w:after="6"/>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As providências dos subitens 9.2.1 e 9.2.2 acima poderão ser utilizadas se não houver o comparecimento de quaisquer fornecedores interessados (procedimento deserto)</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ormal"/>
        <w:numPr>
          <w:ilvl w:val="1"/>
          <w:numId w:val="1"/>
        </w:numPr>
        <w:spacing w:lineRule="auto" w:line="276" w:before="63" w:after="63"/>
        <w:ind w:left="425" w:right="0" w:hanging="0"/>
        <w:jc w:val="both"/>
        <w:rPr>
          <w:rFonts w:ascii="CARLITO" w:hAnsi="CARLITO"/>
          <w:sz w:val="24"/>
          <w:szCs w:val="24"/>
        </w:rPr>
      </w:pPr>
      <w:r>
        <w:rPr>
          <w:rFonts w:cs="Arial" w:ascii="CARLITO" w:hAnsi="CARLITO"/>
          <w:i w:val="false"/>
          <w:iCs w:val="false"/>
          <w:color w:val="000000"/>
          <w:sz w:val="24"/>
          <w:szCs w:val="24"/>
        </w:rPr>
        <w:t>Caberá ao fornecedor acompanhar as operações, ficando responsável pelo ônus decorrente da perda do negócio diante da inobservância de quaisquer mensagens emitidas pela Administração ou de sua desconexão.</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Os horários estabelecidos na divulgação deste procedimento e durante o envio de lances observarão o horário de Brasília-DF, inclusive para contagem de tempo e registro no Sistema e na documentação relativa ao procedimento.</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Em caso de divergência entre disposições deste Aviso de Contratação Direta e de seus anexos ou demais peças que compõem o processo, prevalecerá as deste Aviso.</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Da sessão pública será divulgada Ata no sistema eletrônico.</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Integram este Aviso de Contratação Direta, para todos os fins e efeitos, os seguintes anexos:</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ANEXO I – Documentação exigida para Habilitação</w:t>
      </w:r>
    </w:p>
    <w:p>
      <w:pPr>
        <w:pStyle w:val="Normal"/>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r>
    </w:p>
    <w:p>
      <w:pPr>
        <w:pStyle w:val="Normal"/>
        <w:spacing w:lineRule="auto" w:line="276" w:before="120" w:after="120"/>
        <w:jc w:val="center"/>
        <w:rPr>
          <w:rFonts w:ascii="CARLITO" w:hAnsi="CARLITO"/>
          <w:i w:val="false"/>
          <w:i w:val="false"/>
          <w:iCs w:val="false"/>
          <w:color w:val="000000"/>
          <w:sz w:val="24"/>
          <w:szCs w:val="24"/>
        </w:rPr>
      </w:pPr>
      <w:r>
        <w:rPr>
          <w:rFonts w:ascii="CARLITO" w:hAnsi="CARLITO"/>
          <w:i w:val="false"/>
          <w:iCs w:val="false"/>
          <w:color w:val="000000"/>
          <w:sz w:val="24"/>
          <w:szCs w:val="24"/>
        </w:rPr>
        <w:t>Rio Grande - RS, ____ de ________________ de 2022</w:t>
      </w:r>
    </w:p>
    <w:p>
      <w:pPr>
        <w:pStyle w:val="Normal"/>
        <w:spacing w:lineRule="auto" w:line="276" w:before="0" w:after="120"/>
        <w:ind w:left="360" w:right="-15"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r>
    </w:p>
    <w:p>
      <w:pPr>
        <w:pStyle w:val="Normal"/>
        <w:spacing w:lineRule="auto" w:line="276" w:before="0" w:after="120"/>
        <w:ind w:left="360" w:right="-15"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r>
    </w:p>
    <w:p>
      <w:pPr>
        <w:pStyle w:val="Normal"/>
        <w:spacing w:lineRule="auto" w:line="276"/>
        <w:ind w:left="360" w:right="-15" w:hanging="0"/>
        <w:jc w:val="center"/>
        <w:rPr>
          <w:rFonts w:ascii="CARLITO" w:hAnsi="CARLITO" w:cs="Arial"/>
          <w:b w:val="false"/>
          <w:b w:val="false"/>
          <w:bCs w:val="false"/>
          <w:i w:val="false"/>
          <w:i w:val="false"/>
          <w:iCs w:val="false"/>
          <w:color w:val="000000"/>
          <w:sz w:val="24"/>
          <w:szCs w:val="24"/>
        </w:rPr>
      </w:pPr>
      <w:r>
        <w:rPr>
          <w:rFonts w:cs="Arial" w:ascii="CARLITO" w:hAnsi="CARLITO"/>
          <w:b w:val="false"/>
          <w:bCs w:val="false"/>
          <w:i w:val="false"/>
          <w:iCs w:val="false"/>
          <w:color w:val="000000"/>
          <w:sz w:val="24"/>
          <w:szCs w:val="24"/>
        </w:rPr>
        <w:t>BRUNNO FANARA DE SOUZA</w:t>
      </w:r>
    </w:p>
    <w:p>
      <w:pPr>
        <w:pStyle w:val="Normal"/>
        <w:spacing w:lineRule="auto" w:line="276"/>
        <w:ind w:left="360" w:right="-15" w:hanging="0"/>
        <w:jc w:val="center"/>
        <w:rPr>
          <w:rFonts w:ascii="CARLITO" w:hAnsi="CARLITO" w:cs="Arial"/>
          <w:b w:val="false"/>
          <w:b w:val="false"/>
          <w:bCs w:val="false"/>
          <w:i w:val="false"/>
          <w:i w:val="false"/>
          <w:iCs w:val="false"/>
          <w:color w:val="000000"/>
          <w:sz w:val="24"/>
          <w:szCs w:val="24"/>
        </w:rPr>
      </w:pPr>
      <w:r>
        <w:rPr>
          <w:rFonts w:cs="Arial" w:ascii="CARLITO" w:hAnsi="CARLITO"/>
          <w:b w:val="false"/>
          <w:bCs w:val="false"/>
          <w:i w:val="false"/>
          <w:iCs w:val="false"/>
          <w:color w:val="000000"/>
          <w:sz w:val="24"/>
          <w:szCs w:val="24"/>
        </w:rPr>
        <w:t>Capitão de Fragata (FN)</w:t>
      </w:r>
    </w:p>
    <w:p>
      <w:pPr>
        <w:pStyle w:val="Normal"/>
        <w:spacing w:lineRule="auto" w:line="276" w:before="0" w:after="120"/>
        <w:ind w:left="360" w:right="-15" w:hanging="0"/>
        <w:jc w:val="center"/>
        <w:rPr>
          <w:rFonts w:ascii="CARLITO" w:hAnsi="CARLITO" w:cs="Arial"/>
          <w:b w:val="false"/>
          <w:b w:val="false"/>
          <w:bCs w:val="false"/>
          <w:i w:val="false"/>
          <w:i w:val="false"/>
          <w:iCs w:val="false"/>
          <w:color w:val="000000"/>
          <w:sz w:val="24"/>
          <w:szCs w:val="24"/>
        </w:rPr>
      </w:pPr>
      <w:r>
        <w:rPr>
          <w:rFonts w:cs="Arial" w:ascii="CARLITO" w:hAnsi="CARLITO"/>
          <w:b w:val="false"/>
          <w:bCs w:val="false"/>
          <w:i w:val="false"/>
          <w:iCs w:val="false"/>
          <w:color w:val="000000"/>
          <w:sz w:val="24"/>
          <w:szCs w:val="24"/>
        </w:rPr>
        <w:t>Ordenador de Despesas</w:t>
      </w:r>
    </w:p>
    <w:p>
      <w:pPr>
        <w:pStyle w:val="Normal"/>
        <w:spacing w:lineRule="auto" w:line="276" w:before="0" w:after="120"/>
        <w:ind w:left="360" w:right="-15" w:hanging="0"/>
        <w:jc w:val="center"/>
        <w:rPr>
          <w:rFonts w:ascii="CARLITO" w:hAnsi="CARLITO" w:cs="Arial"/>
          <w:color w:val="000000"/>
          <w:sz w:val="24"/>
          <w:szCs w:val="24"/>
        </w:rPr>
      </w:pPr>
      <w:r>
        <w:rPr>
          <w:rFonts w:cs="Arial" w:ascii="CARLITO" w:hAnsi="CARLITO"/>
          <w:color w:val="000000"/>
          <w:sz w:val="24"/>
          <w:szCs w:val="24"/>
        </w:rPr>
      </w:r>
    </w:p>
    <w:p>
      <w:pPr>
        <w:pStyle w:val="Normal"/>
        <w:spacing w:lineRule="auto" w:line="276" w:before="0" w:after="120"/>
        <w:ind w:left="360" w:right="-15" w:hanging="0"/>
        <w:jc w:val="center"/>
        <w:rPr>
          <w:rFonts w:ascii="CARLITO" w:hAnsi="CARLITO" w:cs="Arial"/>
          <w:color w:val="000000"/>
          <w:sz w:val="24"/>
          <w:szCs w:val="24"/>
        </w:rPr>
      </w:pPr>
      <w:r>
        <w:rPr>
          <w:rFonts w:cs="Arial" w:ascii="CARLITO" w:hAnsi="CARLITO"/>
          <w:color w:val="000000"/>
          <w:sz w:val="24"/>
          <w:szCs w:val="24"/>
        </w:rPr>
      </w:r>
    </w:p>
    <w:p>
      <w:pPr>
        <w:pStyle w:val="Normal"/>
        <w:spacing w:lineRule="auto" w:line="276" w:before="0" w:after="120"/>
        <w:ind w:left="360" w:right="-15" w:hanging="0"/>
        <w:jc w:val="center"/>
        <w:rPr>
          <w:rFonts w:ascii="CARLITO" w:hAnsi="CARLITO" w:cs="Arial"/>
          <w:color w:val="000000"/>
          <w:sz w:val="24"/>
          <w:szCs w:val="24"/>
        </w:rPr>
      </w:pPr>
      <w:r>
        <w:rPr>
          <w:rFonts w:cs="Arial" w:ascii="CARLITO" w:hAnsi="CARLITO"/>
          <w:color w:val="000000"/>
          <w:sz w:val="24"/>
          <w:szCs w:val="24"/>
        </w:rPr>
      </w:r>
    </w:p>
    <w:p>
      <w:pPr>
        <w:pStyle w:val="Normal"/>
        <w:spacing w:lineRule="auto" w:line="276" w:before="0" w:after="120"/>
        <w:ind w:left="360" w:right="-15" w:hanging="0"/>
        <w:jc w:val="center"/>
        <w:rPr>
          <w:rFonts w:ascii="CARLITO" w:hAnsi="CARLITO" w:cs="Arial"/>
          <w:color w:val="000000"/>
          <w:sz w:val="24"/>
          <w:szCs w:val="24"/>
        </w:rPr>
      </w:pPr>
      <w:r>
        <w:rPr>
          <w:rFonts w:cs="Arial" w:ascii="CARLITO" w:hAnsi="CARLITO"/>
          <w:color w:val="000000"/>
          <w:sz w:val="24"/>
          <w:szCs w:val="24"/>
        </w:rPr>
      </w:r>
    </w:p>
    <w:p>
      <w:pPr>
        <w:pStyle w:val="Normal"/>
        <w:spacing w:lineRule="auto" w:line="276" w:before="0" w:after="120"/>
        <w:ind w:left="360" w:right="-15" w:hanging="0"/>
        <w:jc w:val="center"/>
        <w:rPr>
          <w:rFonts w:ascii="CARLITO" w:hAnsi="CARLITO" w:cs="Arial"/>
          <w:color w:val="000000"/>
          <w:sz w:val="24"/>
          <w:szCs w:val="24"/>
        </w:rPr>
      </w:pPr>
      <w:r>
        <w:rPr>
          <w:rFonts w:cs="Arial" w:ascii="CARLITO" w:hAnsi="CARLITO"/>
          <w:color w:val="000000"/>
          <w:sz w:val="24"/>
          <w:szCs w:val="24"/>
        </w:rPr>
      </w:r>
    </w:p>
    <w:p>
      <w:pPr>
        <w:pStyle w:val="Normal"/>
        <w:spacing w:lineRule="auto" w:line="276" w:before="0" w:after="120"/>
        <w:ind w:left="360" w:right="-15" w:hanging="0"/>
        <w:jc w:val="center"/>
        <w:rPr>
          <w:rFonts w:ascii="CARLITO" w:hAnsi="CARLITO" w:cs="Arial"/>
          <w:color w:val="000000"/>
          <w:sz w:val="24"/>
          <w:szCs w:val="24"/>
        </w:rPr>
      </w:pPr>
      <w:r>
        <w:rPr>
          <w:rFonts w:cs="Arial" w:ascii="CARLITO" w:hAnsi="CARLITO"/>
          <w:color w:val="000000"/>
          <w:sz w:val="24"/>
          <w:szCs w:val="24"/>
        </w:rPr>
      </w:r>
    </w:p>
    <w:p>
      <w:pPr>
        <w:pStyle w:val="Normal"/>
        <w:spacing w:lineRule="auto" w:line="276" w:before="0" w:after="120"/>
        <w:ind w:left="360" w:right="-15" w:hanging="0"/>
        <w:jc w:val="center"/>
        <w:rPr>
          <w:rFonts w:ascii="CARLITO" w:hAnsi="CARLITO" w:cs="Arial"/>
          <w:color w:val="000000"/>
          <w:sz w:val="24"/>
          <w:szCs w:val="24"/>
        </w:rPr>
      </w:pPr>
      <w:r>
        <w:rPr>
          <w:rFonts w:cs="Arial" w:ascii="CARLITO" w:hAnsi="CARLITO"/>
          <w:color w:val="000000"/>
          <w:sz w:val="24"/>
          <w:szCs w:val="24"/>
        </w:rPr>
      </w:r>
    </w:p>
    <w:p>
      <w:pPr>
        <w:pStyle w:val="Normal"/>
        <w:spacing w:lineRule="auto" w:line="276" w:before="0" w:after="120"/>
        <w:ind w:left="360" w:right="-15" w:hanging="0"/>
        <w:jc w:val="center"/>
        <w:rPr>
          <w:rFonts w:ascii="CARLITO" w:hAnsi="CARLITO" w:cs="Arial"/>
          <w:color w:val="000000"/>
          <w:sz w:val="24"/>
          <w:szCs w:val="24"/>
        </w:rPr>
      </w:pPr>
      <w:r>
        <w:rPr>
          <w:rFonts w:cs="Arial" w:ascii="CARLITO" w:hAnsi="CARLITO"/>
          <w:color w:val="000000"/>
          <w:sz w:val="24"/>
          <w:szCs w:val="24"/>
        </w:rPr>
      </w:r>
    </w:p>
    <w:p>
      <w:pPr>
        <w:pStyle w:val="Normal"/>
        <w:jc w:val="center"/>
        <w:rPr>
          <w:rFonts w:ascii="CARLITO" w:hAnsi="CARLITO" w:cs="Arial"/>
          <w:b/>
          <w:b/>
          <w:bCs/>
          <w:i w:val="false"/>
          <w:i w:val="false"/>
          <w:iCs w:val="false"/>
          <w:color w:val="000000"/>
          <w:sz w:val="24"/>
          <w:szCs w:val="24"/>
          <w:lang w:eastAsia="en-US"/>
        </w:rPr>
      </w:pPr>
      <w:r>
        <w:rPr>
          <w:rFonts w:cs="Arial" w:ascii="CARLITO" w:hAnsi="CARLITO"/>
          <w:b/>
          <w:bCs/>
          <w:i w:val="false"/>
          <w:iCs w:val="false"/>
          <w:color w:val="000000"/>
          <w:sz w:val="24"/>
          <w:szCs w:val="24"/>
          <w:lang w:eastAsia="en-US"/>
        </w:rPr>
        <w:t>ANEXO I – DOCUMENTAÇÃO EXIGIDA PARA HABILITAÇÃO</w:t>
      </w:r>
    </w:p>
    <w:p>
      <w:pPr>
        <w:pStyle w:val="Normal"/>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r>
    </w:p>
    <w:p>
      <w:pPr>
        <w:pStyle w:val="PADRO"/>
        <w:keepNext/>
        <w:widowControl/>
        <w:numPr>
          <w:ilvl w:val="0"/>
          <w:numId w:val="3"/>
        </w:numPr>
        <w:shd w:val="clear" w:fill="FFFFFF"/>
        <w:spacing w:before="120" w:after="120"/>
        <w:rPr>
          <w:rFonts w:ascii="CARLITO" w:hAnsi="CARLITO" w:cs="Arial"/>
          <w:b/>
          <w:b/>
          <w:bCs/>
          <w:i w:val="false"/>
          <w:i w:val="false"/>
          <w:iCs w:val="false"/>
          <w:color w:val="000000"/>
          <w:sz w:val="24"/>
          <w:szCs w:val="24"/>
        </w:rPr>
      </w:pPr>
      <w:r>
        <w:rPr>
          <w:rFonts w:cs="Arial" w:ascii="CARLITO" w:hAnsi="CARLITO"/>
          <w:b/>
          <w:bCs/>
          <w:i w:val="false"/>
          <w:iCs w:val="false"/>
          <w:color w:val="000000"/>
          <w:sz w:val="24"/>
          <w:szCs w:val="24"/>
        </w:rPr>
        <w:t xml:space="preserve"> </w:t>
      </w:r>
      <w:r>
        <w:rPr>
          <w:rFonts w:cs="Arial" w:ascii="CARLITO" w:hAnsi="CARLITO"/>
          <w:b/>
          <w:bCs/>
          <w:i w:val="false"/>
          <w:iCs w:val="false"/>
          <w:color w:val="000000"/>
          <w:sz w:val="24"/>
          <w:szCs w:val="24"/>
        </w:rPr>
        <w:t>Regularidade fiscal, social e trabalhista:</w:t>
      </w:r>
    </w:p>
    <w:p>
      <w:pPr>
        <w:pStyle w:val="Normal"/>
        <w:numPr>
          <w:ilvl w:val="1"/>
          <w:numId w:val="3"/>
        </w:numPr>
        <w:tabs>
          <w:tab w:val="left" w:pos="1440" w:leader="none"/>
        </w:tabs>
        <w:snapToGrid w:val="false"/>
        <w:spacing w:lineRule="auto" w:line="276" w:before="120" w:after="120"/>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prova de inscrição no Cadastro Nacional de Pessoas Jurídicas ou no Cadastro de Pessoas Físicas, conforme o caso;</w:t>
      </w:r>
    </w:p>
    <w:p>
      <w:pPr>
        <w:pStyle w:val="Normal"/>
        <w:numPr>
          <w:ilvl w:val="1"/>
          <w:numId w:val="3"/>
        </w:numPr>
        <w:tabs>
          <w:tab w:val="left" w:pos="1440" w:leader="none"/>
        </w:tabs>
        <w:snapToGrid w:val="false"/>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pPr>
        <w:pStyle w:val="Normal"/>
        <w:numPr>
          <w:ilvl w:val="1"/>
          <w:numId w:val="3"/>
        </w:numPr>
        <w:tabs>
          <w:tab w:val="left" w:pos="1440" w:leader="none"/>
        </w:tabs>
        <w:snapToGrid w:val="false"/>
        <w:spacing w:lineRule="auto" w:line="276" w:before="120" w:after="120"/>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prova de regularidade com o Fundo de Garantia do Tempo de Serviço (FGTS);</w:t>
      </w:r>
    </w:p>
    <w:p>
      <w:pPr>
        <w:pStyle w:val="Normal"/>
        <w:numPr>
          <w:ilvl w:val="1"/>
          <w:numId w:val="3"/>
        </w:numPr>
        <w:tabs>
          <w:tab w:val="left" w:pos="1440" w:leader="none"/>
        </w:tabs>
        <w:snapToGrid w:val="false"/>
        <w:spacing w:lineRule="auto" w:line="276" w:before="120" w:after="120"/>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ormal"/>
        <w:numPr>
          <w:ilvl w:val="1"/>
          <w:numId w:val="3"/>
        </w:numPr>
        <w:tabs>
          <w:tab w:val="left" w:pos="1440" w:leader="none"/>
        </w:tabs>
        <w:snapToGrid w:val="false"/>
        <w:spacing w:lineRule="auto" w:line="276" w:before="120" w:after="120"/>
        <w:jc w:val="both"/>
        <w:rPr>
          <w:rFonts w:ascii="CARLITO" w:hAnsi="CARLITO"/>
          <w:sz w:val="24"/>
          <w:szCs w:val="24"/>
        </w:rPr>
      </w:pPr>
      <w:r>
        <w:rPr>
          <w:rFonts w:cs="Arial" w:ascii="CARLITO" w:hAnsi="CARLITO"/>
          <w:bCs/>
          <w:i w:val="false"/>
          <w:iCs w:val="false"/>
          <w:color w:val="000000"/>
          <w:sz w:val="24"/>
          <w:szCs w:val="24"/>
        </w:rPr>
        <w:t xml:space="preserve">prova de </w:t>
      </w:r>
      <w:r>
        <w:rPr>
          <w:rFonts w:cs="Arial" w:ascii="CARLITO" w:hAnsi="CARLITO"/>
          <w:i w:val="false"/>
          <w:iCs w:val="false"/>
          <w:color w:val="000000"/>
          <w:sz w:val="24"/>
          <w:szCs w:val="24"/>
        </w:rPr>
        <w:t>inscrição no cadastro de contribuintes estadual, relativo ao domicílio ou sede do fornecedor, pertinente ao seu ramo de atividade e compatível com o objeto contratual</w:t>
      </w:r>
      <w:r>
        <w:rPr>
          <w:rFonts w:cs="Arial" w:ascii="CARLITO" w:hAnsi="CARLITO"/>
          <w:bCs/>
          <w:i w:val="false"/>
          <w:iCs w:val="false"/>
          <w:color w:val="000000"/>
          <w:sz w:val="24"/>
          <w:szCs w:val="24"/>
        </w:rPr>
        <w:t xml:space="preserve">; </w:t>
      </w:r>
    </w:p>
    <w:p>
      <w:pPr>
        <w:pStyle w:val="Normal"/>
        <w:numPr>
          <w:ilvl w:val="1"/>
          <w:numId w:val="3"/>
        </w:numPr>
        <w:tabs>
          <w:tab w:val="left" w:pos="1440" w:leader="none"/>
        </w:tabs>
        <w:snapToGrid w:val="false"/>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prova de regularidade com a Fazenda Estadual do domicílio ou sede do fornecedor, relativa à atividade em cujo exercício contrata ou concorre; </w:t>
      </w:r>
    </w:p>
    <w:p>
      <w:pPr>
        <w:pStyle w:val="Normal"/>
        <w:numPr>
          <w:ilvl w:val="1"/>
          <w:numId w:val="3"/>
        </w:numPr>
        <w:tabs>
          <w:tab w:val="left" w:pos="1440" w:leader="none"/>
        </w:tabs>
        <w:snapToGrid w:val="false"/>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caso o fornecedor seja considerado isento dos tributos estaduais relacionados ao objeto contratual, deverá comprovar tal condição mediante a apresentação de declaração da Fazenda respectiva do seu domicílio ou sede, ou outra equivalente, na forma da lei; </w:t>
      </w:r>
    </w:p>
    <w:p>
      <w:pPr>
        <w:pStyle w:val="PADRO"/>
        <w:keepNext/>
        <w:widowControl/>
        <w:shd w:val="clear" w:fill="FFFFFF"/>
        <w:spacing w:before="120" w:after="120"/>
        <w:ind w:left="2421" w:right="0" w:hanging="0"/>
        <w:rPr/>
      </w:pPr>
      <w:r>
        <w:rPr/>
      </w:r>
    </w:p>
    <w:sectPr>
      <w:footerReference w:type="default" r:id="rId5"/>
      <w:type w:val="nextPage"/>
      <w:pgSz w:w="11906" w:h="16838"/>
      <w:pgMar w:left="1701" w:right="850" w:header="0" w:top="850" w:footer="850" w:bottom="1559" w:gutter="0"/>
      <w:pgNumType w:fmt="decimal"/>
      <w:formProt w:val="false"/>
      <w:textDirection w:val="lrTb"/>
      <w:docGrid w:type="default" w:linePitch="360" w:charSpace="20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Calibri Light">
    <w:charset w:val="01"/>
    <w:family w:val="roman"/>
    <w:pitch w:val="variable"/>
  </w:font>
  <w:font w:name="Ecofont_Spranq_eco_Sans">
    <w:charset w:val="01"/>
    <w:family w:val="roman"/>
    <w:pitch w:val="variable"/>
  </w:font>
  <w:font w:name="Segoe UI">
    <w:charset w:val="01"/>
    <w:family w:val="roman"/>
    <w:pitch w:val="variable"/>
  </w:font>
  <w:font w:name="CARLITO">
    <w:altName w:val="Calibri"/>
    <w:charset w:val="01"/>
    <w:family w:val="roman"/>
    <w:pitch w:val="variable"/>
  </w:font>
  <w:font w:name="Liberation Sans">
    <w:altName w:val="Arial"/>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sz w:val="12"/>
        <w:szCs w:val="12"/>
      </w:rPr>
    </w:pPr>
    <w:r>
      <w:rPr>
        <w:sz w:val="12"/>
        <w:szCs w:val="12"/>
      </w:rPr>
      <w:t>Câmara Nacional de Modelos de Licitações e Contratos – CNMLC/CGU/AGU</w:t>
    </w:r>
  </w:p>
  <w:p>
    <w:pPr>
      <w:pStyle w:val="Rodap"/>
      <w:rPr>
        <w:sz w:val="12"/>
        <w:szCs w:val="12"/>
      </w:rPr>
    </w:pPr>
    <w:r>
      <w:rPr>
        <w:sz w:val="12"/>
        <w:szCs w:val="12"/>
      </w:rPr>
      <w:t>Aviso de Dispensa Eletrônica – Lei nº 14.133/21 e IN SEGES/ME nº 67/2021</w:t>
    </w:r>
  </w:p>
  <w:p>
    <w:pPr>
      <w:pStyle w:val="Rodap"/>
      <w:rPr>
        <w:sz w:val="12"/>
        <w:szCs w:val="12"/>
      </w:rPr>
    </w:pPr>
    <w:r>
      <w:rPr>
        <w:sz w:val="12"/>
        <w:szCs w:val="12"/>
      </w:rPr>
      <w:t>Versão: Agosto/2021</w:t>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360" w:hanging="360"/>
      </w:pPr>
      <w:rPr>
        <w:sz w:val="24"/>
        <w:b/>
        <w:szCs w:val="24"/>
        <w:rFonts w:ascii="CARLITO" w:hAnsi="CARLITO"/>
      </w:rPr>
    </w:lvl>
    <w:lvl w:ilvl="1">
      <w:start w:val="1"/>
      <w:numFmt w:val="decimal"/>
      <w:lvlText w:val="%1.%2."/>
      <w:lvlJc w:val="left"/>
      <w:pPr>
        <w:ind w:left="792" w:hanging="432"/>
      </w:pPr>
      <w:rPr>
        <w:sz w:val="24"/>
        <w:i w:val="false"/>
        <w:b/>
        <w:iCs/>
        <w:rFonts w:ascii="CARLITO" w:hAnsi="CARLITO"/>
        <w:color w:val="00000A"/>
      </w:rPr>
    </w:lvl>
    <w:lvl w:ilvl="2">
      <w:start w:val="1"/>
      <w:numFmt w:val="decimal"/>
      <w:lvlText w:val="%1.%2.%3."/>
      <w:lvlJc w:val="left"/>
      <w:pPr>
        <w:ind w:left="1224" w:hanging="504"/>
      </w:pPr>
      <w:rPr>
        <w:sz w:val="24"/>
        <w:i w:val="false"/>
        <w:b/>
        <w:iCs/>
        <w:rFonts w:ascii="CARLITO" w:hAnsi="CARLITO" w:cs="Arial"/>
        <w:color w:val="00000A"/>
      </w:rPr>
    </w:lvl>
    <w:lvl w:ilvl="3">
      <w:start w:val="1"/>
      <w:numFmt w:val="decimal"/>
      <w:lvlText w:val="%1.%2.%3.%4."/>
      <w:lvlJc w:val="left"/>
      <w:pPr>
        <w:ind w:left="1728" w:hanging="648"/>
      </w:pPr>
      <w:rPr>
        <w:sz w:val="24"/>
        <w:b/>
        <w:bCs/>
        <w:rFonts w:ascii="CARLITO" w:hAnsi="CARLITO"/>
        <w:color w:val="00000A"/>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
    <w:lvl w:ilvl="0">
      <w:start w:val="1"/>
      <w:numFmt w:val="decimal"/>
      <w:lvlText w:val="%1"/>
      <w:lvlJc w:val="left"/>
      <w:pPr>
        <w:ind w:left="360" w:hanging="360"/>
      </w:pPr>
    </w:lvl>
    <w:lvl w:ilvl="1">
      <w:start w:val="1"/>
      <w:numFmt w:val="decimal"/>
      <w:lvlText w:val="%1.%2"/>
      <w:lvlJc w:val="left"/>
      <w:pPr>
        <w:ind w:left="927" w:hanging="360"/>
      </w:pPr>
      <w:rPr>
        <w:sz w:val="24"/>
        <w:b/>
        <w:rFonts w:ascii="CARLITO" w:hAnsi="CARLITO"/>
      </w:rPr>
    </w:lvl>
    <w:lvl w:ilvl="2">
      <w:start w:val="1"/>
      <w:numFmt w:val="decimal"/>
      <w:lvlText w:val="%1.%2.%3"/>
      <w:lvlJc w:val="left"/>
      <w:pPr>
        <w:ind w:left="1854" w:hanging="720"/>
      </w:pPr>
      <w:rPr>
        <w:b/>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4">
    <w:lvl w:ilvl="0">
      <w:start w:val="1"/>
      <w:numFmt w:val="decimal"/>
      <w:lvlText w:val="%1."/>
      <w:lvlJc w:val="left"/>
      <w:pPr>
        <w:ind w:left="360" w:hanging="360"/>
      </w:pPr>
      <w:rPr>
        <w:b/>
      </w:rPr>
    </w:lvl>
    <w:lvl w:ilvl="1">
      <w:start w:val="1"/>
      <w:numFmt w:val="decimal"/>
      <w:lvlText w:val="%1.%2."/>
      <w:lvlJc w:val="left"/>
      <w:pPr>
        <w:ind w:left="792" w:hanging="432"/>
      </w:pPr>
      <w:rPr>
        <w:i w:val="false"/>
        <w:b w:val="false"/>
        <w:iCs/>
      </w:rPr>
    </w:lvl>
    <w:lvl w:ilvl="2">
      <w:start w:val="1"/>
      <w:numFmt w:val="decimal"/>
      <w:lvlText w:val="%1.%2.%3."/>
      <w:lvlJc w:val="left"/>
      <w:pPr>
        <w:ind w:left="1224" w:hanging="504"/>
      </w:pPr>
      <w:rPr>
        <w:i w:val="false"/>
        <w:b w:val="false"/>
        <w:iCs/>
        <w:rFonts w:cs="Arial"/>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lvl w:ilvl="0">
      <w:start w:val="1"/>
      <w:numFmt w:val="decimal"/>
      <w:lvlText w:val="%1."/>
      <w:lvlJc w:val="left"/>
      <w:pPr>
        <w:ind w:left="360" w:hanging="360"/>
      </w:pPr>
      <w:rPr>
        <w:b/>
      </w:rPr>
    </w:lvl>
    <w:lvl w:ilvl="1">
      <w:start w:val="1"/>
      <w:numFmt w:val="decimal"/>
      <w:lvlText w:val="%1.%2."/>
      <w:lvlJc w:val="left"/>
      <w:pPr>
        <w:ind w:left="792" w:hanging="432"/>
      </w:pPr>
      <w:rPr>
        <w:i w:val="false"/>
        <w:b w:val="false"/>
        <w:iCs/>
      </w:rPr>
    </w:lvl>
    <w:lvl w:ilvl="2">
      <w:start w:val="1"/>
      <w:numFmt w:val="lowerLetter"/>
      <w:lvlText w:val="%3)"/>
      <w:lvlJc w:val="left"/>
      <w:pPr>
        <w:ind w:left="1224" w:hanging="504"/>
      </w:pPr>
      <w:rPr>
        <w:sz w:val="24"/>
        <w:i w:val="false"/>
        <w:b w:val="false"/>
        <w:iCs/>
        <w:rFonts w:ascii="CARLITO" w:hAnsi="CARLITO"/>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85"/>
  <w:defaultTabStop w:val="708"/>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DejaVu Sans"/>
        <w:szCs w:val="22"/>
        <w:lang w:val="pt-BR" w:eastAsia="en-US" w:bidi="ar-SA"/>
      </w:rPr>
    </w:rPrDefault>
    <w:pPrDefault>
      <w:pPr/>
    </w:pPrDefault>
  </w:docDefaults>
  <w:style w:type="paragraph" w:styleId="Normal">
    <w:name w:val="Normal"/>
    <w:qFormat/>
    <w:pPr>
      <w:widowControl/>
      <w:suppressAutoHyphens w:val="true"/>
      <w:overflowPunct w:val="false"/>
      <w:bidi w:val="0"/>
      <w:spacing w:before="0" w:after="0"/>
      <w:jc w:val="left"/>
    </w:pPr>
    <w:rPr>
      <w:rFonts w:ascii="Arial" w:hAnsi="Arial" w:eastAsia="Times New Roman" w:cs="Tahoma"/>
      <w:color w:val="00000A"/>
      <w:sz w:val="20"/>
      <w:szCs w:val="24"/>
      <w:lang w:val="pt-BR" w:eastAsia="pt-BR" w:bidi="ar-SA"/>
    </w:rPr>
  </w:style>
  <w:style w:type="paragraph" w:styleId="Ttulo1">
    <w:name w:val="Heading 1"/>
    <w:basedOn w:val="Normal"/>
    <w:next w:val="Normal"/>
    <w:qFormat/>
    <w:pPr>
      <w:keepNext/>
      <w:keepLines/>
      <w:spacing w:before="240" w:after="0"/>
      <w:outlineLvl w:val="0"/>
    </w:pPr>
    <w:rPr>
      <w:rFonts w:ascii="Calibri Light" w:hAnsi="Calibri Light" w:eastAsia="Calibri" w:cs="DejaVu Sans"/>
      <w:color w:val="2F5496"/>
      <w:sz w:val="32"/>
      <w:szCs w:val="32"/>
    </w:rPr>
  </w:style>
  <w:style w:type="character" w:styleId="DefaultParagraphFont">
    <w:name w:val="Default Paragraph Font"/>
    <w:qFormat/>
    <w:rPr/>
  </w:style>
  <w:style w:type="character" w:styleId="CitaoChar">
    <w:name w:val="Citação Char"/>
    <w:basedOn w:val="DefaultParagraphFont"/>
    <w:qFormat/>
    <w:rPr>
      <w:rFonts w:ascii="Arial" w:hAnsi="Arial" w:eastAsia="Calibri" w:cs="Tahoma"/>
      <w:i/>
      <w:iCs/>
      <w:color w:val="000000"/>
      <w:sz w:val="20"/>
      <w:szCs w:val="24"/>
      <w:highlight w:val="yellow"/>
    </w:rPr>
  </w:style>
  <w:style w:type="character" w:styleId="Nivel01Char">
    <w:name w:val="Nivel 01 Char"/>
    <w:qFormat/>
    <w:rPr>
      <w:rFonts w:ascii="Arial" w:hAnsi="Arial" w:eastAsia="Calibri" w:cs="Times New Roman"/>
      <w:b/>
      <w:bCs/>
      <w:color w:val="000000"/>
      <w:sz w:val="20"/>
      <w:szCs w:val="20"/>
      <w:lang w:eastAsia="pt-BR"/>
    </w:rPr>
  </w:style>
  <w:style w:type="character" w:styleId="Ttulo1Char">
    <w:name w:val="Título 1 Char"/>
    <w:basedOn w:val="DefaultParagraphFont"/>
    <w:qFormat/>
    <w:rPr>
      <w:rFonts w:ascii="Calibri Light" w:hAnsi="Calibri Light" w:eastAsia="Calibri" w:cs="DejaVu Sans"/>
      <w:color w:val="2F5496"/>
      <w:sz w:val="32"/>
      <w:szCs w:val="32"/>
      <w:lang w:eastAsia="pt-BR"/>
    </w:rPr>
  </w:style>
  <w:style w:type="character" w:styleId="Citao2Char">
    <w:name w:val="citação 2 Char"/>
    <w:basedOn w:val="CitaoChar"/>
    <w:qFormat/>
    <w:rPr>
      <w:rFonts w:ascii="Arial" w:hAnsi="Arial" w:eastAsia="Calibri" w:cs="Tahoma"/>
      <w:i/>
      <w:iCs/>
      <w:color w:val="000000"/>
      <w:sz w:val="20"/>
      <w:szCs w:val="20"/>
      <w:highlight w:val="yellow"/>
    </w:rPr>
  </w:style>
  <w:style w:type="character" w:styleId="QuoteChar">
    <w:name w:val="Quote Char"/>
    <w:basedOn w:val="DefaultParagraphFont"/>
    <w:qFormat/>
    <w:rPr>
      <w:rFonts w:ascii="Ecofont_Spranq_eco_Sans" w:hAnsi="Ecofont_Spranq_eco_Sans" w:eastAsia="Calibri" w:cs="Tahoma"/>
      <w:i/>
      <w:iCs/>
      <w:color w:val="000000"/>
      <w:highlight w:val="yellow"/>
    </w:rPr>
  </w:style>
  <w:style w:type="character" w:styleId="Annotationreference">
    <w:name w:val="annotation reference"/>
    <w:basedOn w:val="DefaultParagraphFont"/>
    <w:qFormat/>
    <w:rPr>
      <w:sz w:val="16"/>
      <w:szCs w:val="16"/>
    </w:rPr>
  </w:style>
  <w:style w:type="character" w:styleId="TextodecomentrioChar">
    <w:name w:val="Texto de comentário Char"/>
    <w:basedOn w:val="DefaultParagraphFont"/>
    <w:qFormat/>
    <w:rPr>
      <w:rFonts w:ascii="Arial" w:hAnsi="Arial" w:eastAsia="Times New Roman" w:cs="Tahoma"/>
      <w:sz w:val="20"/>
      <w:szCs w:val="20"/>
      <w:lang w:eastAsia="pt-BR"/>
    </w:rPr>
  </w:style>
  <w:style w:type="character" w:styleId="AssuntodocomentrioChar">
    <w:name w:val="Assunto do comentário Char"/>
    <w:basedOn w:val="TextodecomentrioChar"/>
    <w:qFormat/>
    <w:rPr>
      <w:rFonts w:ascii="Arial" w:hAnsi="Arial" w:eastAsia="Times New Roman" w:cs="Tahoma"/>
      <w:b/>
      <w:bCs/>
      <w:sz w:val="20"/>
      <w:szCs w:val="20"/>
      <w:lang w:eastAsia="pt-BR"/>
    </w:rPr>
  </w:style>
  <w:style w:type="character" w:styleId="LinkdaInternet">
    <w:name w:val="Link da Internet"/>
    <w:rPr>
      <w:color w:val="000080"/>
      <w:u w:val="single"/>
    </w:rPr>
  </w:style>
  <w:style w:type="character" w:styleId="Nivel4Char">
    <w:name w:val="Nivel 4 Char"/>
    <w:basedOn w:val="DefaultParagraphFont"/>
    <w:qFormat/>
    <w:rPr>
      <w:rFonts w:ascii="Ecofont_Spranq_eco_Sans" w:hAnsi="Ecofont_Spranq_eco_Sans" w:eastAsia="Arial Unicode MS" w:cs="Arial"/>
      <w:sz w:val="20"/>
      <w:szCs w:val="20"/>
      <w:lang w:eastAsia="pt-BR"/>
    </w:rPr>
  </w:style>
  <w:style w:type="character" w:styleId="TextodebaloChar">
    <w:name w:val="Texto de balão Char"/>
    <w:basedOn w:val="DefaultParagraphFont"/>
    <w:qFormat/>
    <w:rPr>
      <w:rFonts w:ascii="Segoe UI" w:hAnsi="Segoe UI" w:eastAsia="Times New Roman" w:cs="Segoe UI"/>
      <w:sz w:val="18"/>
      <w:szCs w:val="18"/>
      <w:lang w:eastAsia="pt-BR"/>
    </w:rPr>
  </w:style>
  <w:style w:type="character" w:styleId="CabealhoChar">
    <w:name w:val="Cabeçalho Char"/>
    <w:basedOn w:val="DefaultParagraphFont"/>
    <w:qFormat/>
    <w:rPr>
      <w:rFonts w:ascii="Arial" w:hAnsi="Arial" w:eastAsia="Times New Roman" w:cs="Tahoma"/>
      <w:sz w:val="20"/>
      <w:szCs w:val="24"/>
      <w:lang w:eastAsia="pt-BR"/>
    </w:rPr>
  </w:style>
  <w:style w:type="character" w:styleId="RodapChar">
    <w:name w:val="Rodapé Char"/>
    <w:basedOn w:val="DefaultParagraphFont"/>
    <w:qFormat/>
    <w:rPr>
      <w:rFonts w:ascii="Arial" w:hAnsi="Arial" w:eastAsia="Times New Roman" w:cs="Tahoma"/>
      <w:sz w:val="20"/>
      <w:szCs w:val="24"/>
      <w:lang w:eastAsia="pt-BR"/>
    </w:rPr>
  </w:style>
  <w:style w:type="character" w:styleId="ListLabel1">
    <w:name w:val="ListLabel 1"/>
    <w:qFormat/>
    <w:rPr>
      <w:b/>
      <w:sz w:val="24"/>
      <w:szCs w:val="24"/>
    </w:rPr>
  </w:style>
  <w:style w:type="character" w:styleId="ListLabel2">
    <w:name w:val="ListLabel 2"/>
    <w:qFormat/>
    <w:rPr>
      <w:b/>
      <w:i w:val="false"/>
      <w:iCs/>
      <w:color w:val="00000A"/>
    </w:rPr>
  </w:style>
  <w:style w:type="character" w:styleId="ListLabel3">
    <w:name w:val="ListLabel 3"/>
    <w:qFormat/>
    <w:rPr>
      <w:rFonts w:cs="Arial"/>
      <w:b/>
      <w:i w:val="false"/>
      <w:iCs/>
      <w:color w:val="00000A"/>
    </w:rPr>
  </w:style>
  <w:style w:type="character" w:styleId="ListLabel4">
    <w:name w:val="ListLabel 4"/>
    <w:qFormat/>
    <w:rPr>
      <w:b/>
      <w:bCs/>
      <w:color w:val="00000A"/>
    </w:rPr>
  </w:style>
  <w:style w:type="character" w:styleId="ListLabel5">
    <w:name w:val="ListLabel 5"/>
    <w:qFormat/>
    <w:rPr>
      <w:b/>
    </w:rPr>
  </w:style>
  <w:style w:type="character" w:styleId="ListLabel6">
    <w:name w:val="ListLabel 6"/>
    <w:qFormat/>
    <w:rPr>
      <w:b/>
    </w:rPr>
  </w:style>
  <w:style w:type="character" w:styleId="ListLabel7">
    <w:name w:val="ListLabel 7"/>
    <w:qFormat/>
    <w:rPr>
      <w:b/>
    </w:rPr>
  </w:style>
  <w:style w:type="character" w:styleId="ListLabel8">
    <w:name w:val="ListLabel 8"/>
    <w:qFormat/>
    <w:rPr>
      <w:b w:val="false"/>
      <w:i w:val="false"/>
      <w:iCs/>
    </w:rPr>
  </w:style>
  <w:style w:type="character" w:styleId="ListLabel9">
    <w:name w:val="ListLabel 9"/>
    <w:qFormat/>
    <w:rPr>
      <w:rFonts w:cs="Arial"/>
      <w:b w:val="false"/>
      <w:i w:val="false"/>
      <w:iCs/>
      <w:color w:val="00000A"/>
    </w:rPr>
  </w:style>
  <w:style w:type="character" w:styleId="ListLabel10">
    <w:name w:val="ListLabel 10"/>
    <w:qFormat/>
    <w:rPr>
      <w:b/>
    </w:rPr>
  </w:style>
  <w:style w:type="character" w:styleId="ListLabel11">
    <w:name w:val="ListLabel 11"/>
    <w:qFormat/>
    <w:rPr>
      <w:b w:val="false"/>
      <w:i w:val="false"/>
      <w:iCs/>
    </w:rPr>
  </w:style>
  <w:style w:type="character" w:styleId="ListLabel12">
    <w:name w:val="ListLabel 12"/>
    <w:qFormat/>
    <w:rPr>
      <w:b w:val="false"/>
      <w:i w:val="false"/>
      <w:iCs/>
      <w:color w:val="00000A"/>
    </w:rPr>
  </w:style>
  <w:style w:type="character" w:styleId="ListLabel13">
    <w:name w:val="ListLabel 13"/>
    <w:qFormat/>
    <w:rPr>
      <w:b/>
      <w:sz w:val="24"/>
      <w:szCs w:val="24"/>
    </w:rPr>
  </w:style>
  <w:style w:type="character" w:styleId="ListLabel14">
    <w:name w:val="ListLabel 14"/>
    <w:qFormat/>
    <w:rPr>
      <w:b/>
      <w:i w:val="false"/>
      <w:iCs/>
      <w:color w:val="00000A"/>
    </w:rPr>
  </w:style>
  <w:style w:type="character" w:styleId="ListLabel15">
    <w:name w:val="ListLabel 15"/>
    <w:qFormat/>
    <w:rPr>
      <w:rFonts w:cs="Arial"/>
      <w:b/>
      <w:i w:val="false"/>
      <w:iCs/>
      <w:color w:val="00000A"/>
    </w:rPr>
  </w:style>
  <w:style w:type="character" w:styleId="ListLabel16">
    <w:name w:val="ListLabel 16"/>
    <w:qFormat/>
    <w:rPr>
      <w:b/>
      <w:bCs/>
      <w:color w:val="00000A"/>
    </w:rPr>
  </w:style>
  <w:style w:type="character" w:styleId="ListLabel17">
    <w:name w:val="ListLabel 17"/>
    <w:qFormat/>
    <w:rPr>
      <w:b/>
    </w:rPr>
  </w:style>
  <w:style w:type="character" w:styleId="ListLabel18">
    <w:name w:val="ListLabel 18"/>
    <w:qFormat/>
    <w:rPr>
      <w:b/>
    </w:rPr>
  </w:style>
  <w:style w:type="character" w:styleId="ListLabel19">
    <w:name w:val="ListLabel 19"/>
    <w:qFormat/>
    <w:rPr>
      <w:b/>
    </w:rPr>
  </w:style>
  <w:style w:type="character" w:styleId="ListLabel20">
    <w:name w:val="ListLabel 20"/>
    <w:qFormat/>
    <w:rPr>
      <w:b w:val="false"/>
      <w:i w:val="false"/>
      <w:iCs/>
    </w:rPr>
  </w:style>
  <w:style w:type="character" w:styleId="ListLabel21">
    <w:name w:val="ListLabel 21"/>
    <w:qFormat/>
    <w:rPr>
      <w:rFonts w:cs="Arial"/>
      <w:b w:val="false"/>
      <w:i w:val="false"/>
      <w:iCs/>
      <w:color w:val="00000A"/>
    </w:rPr>
  </w:style>
  <w:style w:type="character" w:styleId="ListLabel22">
    <w:name w:val="ListLabel 22"/>
    <w:qFormat/>
    <w:rPr>
      <w:b/>
    </w:rPr>
  </w:style>
  <w:style w:type="character" w:styleId="ListLabel23">
    <w:name w:val="ListLabel 23"/>
    <w:qFormat/>
    <w:rPr>
      <w:b w:val="false"/>
      <w:i w:val="false"/>
      <w:iCs/>
    </w:rPr>
  </w:style>
  <w:style w:type="character" w:styleId="ListLabel24">
    <w:name w:val="ListLabel 24"/>
    <w:qFormat/>
    <w:rPr>
      <w:b w:val="false"/>
      <w:i w:val="false"/>
      <w:iCs/>
      <w:color w:val="00000A"/>
    </w:rPr>
  </w:style>
  <w:style w:type="character" w:styleId="ListLabel25">
    <w:name w:val="ListLabel 25"/>
    <w:qFormat/>
    <w:rPr>
      <w:b/>
      <w:sz w:val="24"/>
      <w:szCs w:val="24"/>
    </w:rPr>
  </w:style>
  <w:style w:type="character" w:styleId="ListLabel26">
    <w:name w:val="ListLabel 26"/>
    <w:qFormat/>
    <w:rPr>
      <w:b/>
      <w:i w:val="false"/>
      <w:iCs/>
      <w:color w:val="00000A"/>
    </w:rPr>
  </w:style>
  <w:style w:type="character" w:styleId="ListLabel27">
    <w:name w:val="ListLabel 27"/>
    <w:qFormat/>
    <w:rPr>
      <w:rFonts w:cs="Arial"/>
      <w:b/>
      <w:i w:val="false"/>
      <w:iCs/>
      <w:color w:val="00000A"/>
    </w:rPr>
  </w:style>
  <w:style w:type="character" w:styleId="ListLabel28">
    <w:name w:val="ListLabel 28"/>
    <w:qFormat/>
    <w:rPr>
      <w:b/>
      <w:bCs/>
      <w:color w:val="00000A"/>
    </w:rPr>
  </w:style>
  <w:style w:type="character" w:styleId="ListLabel29">
    <w:name w:val="ListLabel 29"/>
    <w:qFormat/>
    <w:rPr>
      <w:b/>
    </w:rPr>
  </w:style>
  <w:style w:type="character" w:styleId="ListLabel30">
    <w:name w:val="ListLabel 30"/>
    <w:qFormat/>
    <w:rPr>
      <w:b/>
    </w:rPr>
  </w:style>
  <w:style w:type="character" w:styleId="ListLabel31">
    <w:name w:val="ListLabel 31"/>
    <w:qFormat/>
    <w:rPr>
      <w:b/>
    </w:rPr>
  </w:style>
  <w:style w:type="character" w:styleId="ListLabel32">
    <w:name w:val="ListLabel 32"/>
    <w:qFormat/>
    <w:rPr>
      <w:b w:val="false"/>
      <w:i w:val="false"/>
      <w:iCs/>
    </w:rPr>
  </w:style>
  <w:style w:type="character" w:styleId="ListLabel33">
    <w:name w:val="ListLabel 33"/>
    <w:qFormat/>
    <w:rPr>
      <w:rFonts w:cs="Arial"/>
      <w:b w:val="false"/>
      <w:i w:val="false"/>
      <w:iCs/>
      <w:color w:val="00000A"/>
    </w:rPr>
  </w:style>
  <w:style w:type="character" w:styleId="ListLabel34">
    <w:name w:val="ListLabel 34"/>
    <w:qFormat/>
    <w:rPr>
      <w:b/>
    </w:rPr>
  </w:style>
  <w:style w:type="character" w:styleId="ListLabel35">
    <w:name w:val="ListLabel 35"/>
    <w:qFormat/>
    <w:rPr>
      <w:b w:val="false"/>
      <w:i w:val="false"/>
      <w:iCs/>
    </w:rPr>
  </w:style>
  <w:style w:type="character" w:styleId="ListLabel36">
    <w:name w:val="ListLabel 36"/>
    <w:qFormat/>
    <w:rPr>
      <w:b w:val="false"/>
      <w:i w:val="false"/>
      <w:iCs/>
      <w:color w:val="00000A"/>
    </w:rPr>
  </w:style>
  <w:style w:type="character" w:styleId="ListLabel37">
    <w:name w:val="ListLabel 37"/>
    <w:qFormat/>
    <w:rPr>
      <w:b/>
      <w:sz w:val="24"/>
      <w:szCs w:val="24"/>
    </w:rPr>
  </w:style>
  <w:style w:type="character" w:styleId="ListLabel38">
    <w:name w:val="ListLabel 38"/>
    <w:qFormat/>
    <w:rPr>
      <w:b/>
      <w:i w:val="false"/>
      <w:iCs/>
      <w:color w:val="00000A"/>
    </w:rPr>
  </w:style>
  <w:style w:type="character" w:styleId="ListLabel39">
    <w:name w:val="ListLabel 39"/>
    <w:qFormat/>
    <w:rPr>
      <w:rFonts w:cs="Arial"/>
      <w:b/>
      <w:i w:val="false"/>
      <w:iCs/>
      <w:color w:val="00000A"/>
    </w:rPr>
  </w:style>
  <w:style w:type="character" w:styleId="ListLabel40">
    <w:name w:val="ListLabel 40"/>
    <w:qFormat/>
    <w:rPr>
      <w:b/>
      <w:bCs/>
      <w:color w:val="00000A"/>
    </w:rPr>
  </w:style>
  <w:style w:type="character" w:styleId="ListLabel41">
    <w:name w:val="ListLabel 41"/>
    <w:qFormat/>
    <w:rPr>
      <w:b/>
    </w:rPr>
  </w:style>
  <w:style w:type="character" w:styleId="ListLabel42">
    <w:name w:val="ListLabel 42"/>
    <w:qFormat/>
    <w:rPr>
      <w:b/>
    </w:rPr>
  </w:style>
  <w:style w:type="character" w:styleId="ListLabel43">
    <w:name w:val="ListLabel 43"/>
    <w:qFormat/>
    <w:rPr>
      <w:b/>
    </w:rPr>
  </w:style>
  <w:style w:type="character" w:styleId="ListLabel44">
    <w:name w:val="ListLabel 44"/>
    <w:qFormat/>
    <w:rPr>
      <w:b w:val="false"/>
      <w:i w:val="false"/>
      <w:iCs/>
    </w:rPr>
  </w:style>
  <w:style w:type="character" w:styleId="ListLabel45">
    <w:name w:val="ListLabel 45"/>
    <w:qFormat/>
    <w:rPr>
      <w:rFonts w:cs="Arial"/>
      <w:b w:val="false"/>
      <w:i w:val="false"/>
      <w:iCs/>
      <w:color w:val="00000A"/>
    </w:rPr>
  </w:style>
  <w:style w:type="character" w:styleId="ListLabel46">
    <w:name w:val="ListLabel 46"/>
    <w:qFormat/>
    <w:rPr>
      <w:b/>
    </w:rPr>
  </w:style>
  <w:style w:type="character" w:styleId="ListLabel47">
    <w:name w:val="ListLabel 47"/>
    <w:qFormat/>
    <w:rPr>
      <w:b w:val="false"/>
      <w:i w:val="false"/>
      <w:iCs/>
    </w:rPr>
  </w:style>
  <w:style w:type="character" w:styleId="ListLabel48">
    <w:name w:val="ListLabel 48"/>
    <w:qFormat/>
    <w:rPr>
      <w:b w:val="false"/>
      <w:i w:val="false"/>
      <w:iCs/>
      <w:color w:val="00000A"/>
    </w:rPr>
  </w:style>
  <w:style w:type="character" w:styleId="ListLabel49">
    <w:name w:val="ListLabel 49"/>
    <w:qFormat/>
    <w:rPr>
      <w:b/>
      <w:sz w:val="24"/>
      <w:szCs w:val="24"/>
    </w:rPr>
  </w:style>
  <w:style w:type="character" w:styleId="ListLabel50">
    <w:name w:val="ListLabel 50"/>
    <w:qFormat/>
    <w:rPr>
      <w:b/>
      <w:i w:val="false"/>
      <w:iCs/>
      <w:color w:val="00000A"/>
    </w:rPr>
  </w:style>
  <w:style w:type="character" w:styleId="ListLabel51">
    <w:name w:val="ListLabel 51"/>
    <w:qFormat/>
    <w:rPr>
      <w:rFonts w:cs="Arial"/>
      <w:b/>
      <w:i w:val="false"/>
      <w:iCs/>
      <w:color w:val="00000A"/>
    </w:rPr>
  </w:style>
  <w:style w:type="character" w:styleId="ListLabel52">
    <w:name w:val="ListLabel 52"/>
    <w:qFormat/>
    <w:rPr>
      <w:b/>
      <w:bCs/>
      <w:color w:val="00000A"/>
    </w:rPr>
  </w:style>
  <w:style w:type="character" w:styleId="ListLabel53">
    <w:name w:val="ListLabel 53"/>
    <w:qFormat/>
    <w:rPr>
      <w:b/>
    </w:rPr>
  </w:style>
  <w:style w:type="character" w:styleId="ListLabel54">
    <w:name w:val="ListLabel 54"/>
    <w:qFormat/>
    <w:rPr>
      <w:b/>
    </w:rPr>
  </w:style>
  <w:style w:type="character" w:styleId="ListLabel55">
    <w:name w:val="ListLabel 55"/>
    <w:qFormat/>
    <w:rPr>
      <w:b/>
    </w:rPr>
  </w:style>
  <w:style w:type="character" w:styleId="ListLabel56">
    <w:name w:val="ListLabel 56"/>
    <w:qFormat/>
    <w:rPr>
      <w:b w:val="false"/>
      <w:i w:val="false"/>
      <w:iCs/>
    </w:rPr>
  </w:style>
  <w:style w:type="character" w:styleId="ListLabel57">
    <w:name w:val="ListLabel 57"/>
    <w:qFormat/>
    <w:rPr>
      <w:rFonts w:cs="Arial"/>
      <w:b w:val="false"/>
      <w:i w:val="false"/>
      <w:iCs/>
      <w:color w:val="00000A"/>
    </w:rPr>
  </w:style>
  <w:style w:type="character" w:styleId="ListLabel58">
    <w:name w:val="ListLabel 58"/>
    <w:qFormat/>
    <w:rPr>
      <w:b/>
    </w:rPr>
  </w:style>
  <w:style w:type="character" w:styleId="ListLabel59">
    <w:name w:val="ListLabel 59"/>
    <w:qFormat/>
    <w:rPr>
      <w:b w:val="false"/>
      <w:i w:val="false"/>
      <w:iCs/>
    </w:rPr>
  </w:style>
  <w:style w:type="character" w:styleId="ListLabel60">
    <w:name w:val="ListLabel 60"/>
    <w:qFormat/>
    <w:rPr>
      <w:b w:val="false"/>
      <w:i w:val="false"/>
      <w:iCs/>
      <w:color w:val="00000A"/>
    </w:rPr>
  </w:style>
  <w:style w:type="character" w:styleId="ListLabel61">
    <w:name w:val="ListLabel 61"/>
    <w:qFormat/>
    <w:rPr>
      <w:b/>
      <w:sz w:val="24"/>
      <w:szCs w:val="24"/>
    </w:rPr>
  </w:style>
  <w:style w:type="character" w:styleId="ListLabel62">
    <w:name w:val="ListLabel 62"/>
    <w:qFormat/>
    <w:rPr>
      <w:b/>
      <w:i w:val="false"/>
      <w:iCs/>
      <w:color w:val="00000A"/>
    </w:rPr>
  </w:style>
  <w:style w:type="character" w:styleId="ListLabel63">
    <w:name w:val="ListLabel 63"/>
    <w:qFormat/>
    <w:rPr>
      <w:rFonts w:cs="Arial"/>
      <w:b/>
      <w:i w:val="false"/>
      <w:iCs/>
      <w:color w:val="00000A"/>
    </w:rPr>
  </w:style>
  <w:style w:type="character" w:styleId="ListLabel64">
    <w:name w:val="ListLabel 64"/>
    <w:qFormat/>
    <w:rPr>
      <w:b/>
      <w:bCs/>
      <w:color w:val="00000A"/>
    </w:rPr>
  </w:style>
  <w:style w:type="character" w:styleId="ListLabel65">
    <w:name w:val="ListLabel 65"/>
    <w:qFormat/>
    <w:rPr>
      <w:b/>
    </w:rPr>
  </w:style>
  <w:style w:type="character" w:styleId="ListLabel66">
    <w:name w:val="ListLabel 66"/>
    <w:qFormat/>
    <w:rPr>
      <w:b/>
    </w:rPr>
  </w:style>
  <w:style w:type="character" w:styleId="ListLabel67">
    <w:name w:val="ListLabel 67"/>
    <w:qFormat/>
    <w:rPr>
      <w:b/>
    </w:rPr>
  </w:style>
  <w:style w:type="character" w:styleId="ListLabel68">
    <w:name w:val="ListLabel 68"/>
    <w:qFormat/>
    <w:rPr>
      <w:b w:val="false"/>
      <w:i w:val="false"/>
      <w:iCs/>
    </w:rPr>
  </w:style>
  <w:style w:type="character" w:styleId="ListLabel69">
    <w:name w:val="ListLabel 69"/>
    <w:qFormat/>
    <w:rPr>
      <w:rFonts w:cs="Arial"/>
      <w:b w:val="false"/>
      <w:i w:val="false"/>
      <w:iCs/>
      <w:color w:val="00000A"/>
    </w:rPr>
  </w:style>
  <w:style w:type="character" w:styleId="ListLabel70">
    <w:name w:val="ListLabel 70"/>
    <w:qFormat/>
    <w:rPr>
      <w:b/>
    </w:rPr>
  </w:style>
  <w:style w:type="character" w:styleId="ListLabel71">
    <w:name w:val="ListLabel 71"/>
    <w:qFormat/>
    <w:rPr>
      <w:b w:val="false"/>
      <w:i w:val="false"/>
      <w:iCs/>
    </w:rPr>
  </w:style>
  <w:style w:type="character" w:styleId="ListLabel72">
    <w:name w:val="ListLabel 72"/>
    <w:qFormat/>
    <w:rPr>
      <w:b w:val="false"/>
      <w:i w:val="false"/>
      <w:iCs/>
      <w:color w:val="00000A"/>
    </w:rPr>
  </w:style>
  <w:style w:type="character" w:styleId="ListLabel73">
    <w:name w:val="ListLabel 73"/>
    <w:qFormat/>
    <w:rPr>
      <w:b/>
      <w:sz w:val="24"/>
      <w:szCs w:val="24"/>
    </w:rPr>
  </w:style>
  <w:style w:type="character" w:styleId="ListLabel74">
    <w:name w:val="ListLabel 74"/>
    <w:qFormat/>
    <w:rPr>
      <w:b/>
      <w:i w:val="false"/>
      <w:iCs/>
      <w:color w:val="00000A"/>
    </w:rPr>
  </w:style>
  <w:style w:type="character" w:styleId="ListLabel75">
    <w:name w:val="ListLabel 75"/>
    <w:qFormat/>
    <w:rPr>
      <w:rFonts w:cs="Arial"/>
      <w:b/>
      <w:i w:val="false"/>
      <w:iCs/>
      <w:color w:val="00000A"/>
    </w:rPr>
  </w:style>
  <w:style w:type="character" w:styleId="ListLabel76">
    <w:name w:val="ListLabel 76"/>
    <w:qFormat/>
    <w:rPr>
      <w:b/>
      <w:bCs/>
      <w:color w:val="00000A"/>
    </w:rPr>
  </w:style>
  <w:style w:type="character" w:styleId="ListLabel77">
    <w:name w:val="ListLabel 77"/>
    <w:qFormat/>
    <w:rPr>
      <w:b/>
    </w:rPr>
  </w:style>
  <w:style w:type="character" w:styleId="ListLabel78">
    <w:name w:val="ListLabel 78"/>
    <w:qFormat/>
    <w:rPr>
      <w:b/>
    </w:rPr>
  </w:style>
  <w:style w:type="character" w:styleId="ListLabel79">
    <w:name w:val="ListLabel 79"/>
    <w:qFormat/>
    <w:rPr>
      <w:b/>
    </w:rPr>
  </w:style>
  <w:style w:type="character" w:styleId="ListLabel80">
    <w:name w:val="ListLabel 80"/>
    <w:qFormat/>
    <w:rPr>
      <w:b w:val="false"/>
      <w:i w:val="false"/>
      <w:iCs/>
    </w:rPr>
  </w:style>
  <w:style w:type="character" w:styleId="ListLabel81">
    <w:name w:val="ListLabel 81"/>
    <w:qFormat/>
    <w:rPr>
      <w:rFonts w:cs="Arial"/>
      <w:b w:val="false"/>
      <w:i w:val="false"/>
      <w:iCs/>
      <w:color w:val="00000A"/>
    </w:rPr>
  </w:style>
  <w:style w:type="character" w:styleId="ListLabel82">
    <w:name w:val="ListLabel 82"/>
    <w:qFormat/>
    <w:rPr>
      <w:b/>
    </w:rPr>
  </w:style>
  <w:style w:type="character" w:styleId="ListLabel83">
    <w:name w:val="ListLabel 83"/>
    <w:qFormat/>
    <w:rPr>
      <w:b w:val="false"/>
      <w:i w:val="false"/>
      <w:iCs/>
    </w:rPr>
  </w:style>
  <w:style w:type="character" w:styleId="ListLabel84">
    <w:name w:val="ListLabel 84"/>
    <w:qFormat/>
    <w:rPr>
      <w:b w:val="false"/>
      <w:i w:val="false"/>
      <w:iCs/>
      <w:color w:val="00000A"/>
    </w:rPr>
  </w:style>
  <w:style w:type="character" w:styleId="ListLabel85">
    <w:name w:val="ListLabel 85"/>
    <w:qFormat/>
    <w:rPr>
      <w:rFonts w:ascii="CARLITO" w:hAnsi="CARLITO"/>
      <w:b/>
      <w:sz w:val="24"/>
      <w:szCs w:val="24"/>
    </w:rPr>
  </w:style>
  <w:style w:type="character" w:styleId="ListLabel86">
    <w:name w:val="ListLabel 86"/>
    <w:qFormat/>
    <w:rPr>
      <w:rFonts w:ascii="CARLITO" w:hAnsi="CARLITO"/>
      <w:b/>
      <w:i w:val="false"/>
      <w:iCs/>
      <w:color w:val="00000A"/>
      <w:sz w:val="24"/>
    </w:rPr>
  </w:style>
  <w:style w:type="character" w:styleId="ListLabel87">
    <w:name w:val="ListLabel 87"/>
    <w:qFormat/>
    <w:rPr>
      <w:rFonts w:ascii="CARLITO" w:hAnsi="CARLITO" w:cs="Arial"/>
      <w:b/>
      <w:i w:val="false"/>
      <w:iCs/>
      <w:color w:val="00000A"/>
      <w:sz w:val="24"/>
    </w:rPr>
  </w:style>
  <w:style w:type="character" w:styleId="ListLabel88">
    <w:name w:val="ListLabel 88"/>
    <w:qFormat/>
    <w:rPr>
      <w:rFonts w:ascii="CARLITO" w:hAnsi="CARLITO"/>
      <w:b/>
      <w:bCs/>
      <w:color w:val="00000A"/>
      <w:sz w:val="24"/>
    </w:rPr>
  </w:style>
  <w:style w:type="character" w:styleId="ListLabel89">
    <w:name w:val="ListLabel 89"/>
    <w:qFormat/>
    <w:rPr>
      <w:rFonts w:ascii="CARLITO" w:hAnsi="CARLITO"/>
      <w:b/>
      <w:sz w:val="24"/>
    </w:rPr>
  </w:style>
  <w:style w:type="character" w:styleId="ListLabel90">
    <w:name w:val="ListLabel 90"/>
    <w:qFormat/>
    <w:rPr>
      <w:b/>
    </w:rPr>
  </w:style>
  <w:style w:type="character" w:styleId="ListLabel91">
    <w:name w:val="ListLabel 91"/>
    <w:qFormat/>
    <w:rPr>
      <w:b/>
    </w:rPr>
  </w:style>
  <w:style w:type="character" w:styleId="ListLabel92">
    <w:name w:val="ListLabel 92"/>
    <w:qFormat/>
    <w:rPr>
      <w:b w:val="false"/>
      <w:i w:val="false"/>
      <w:iCs/>
    </w:rPr>
  </w:style>
  <w:style w:type="character" w:styleId="ListLabel93">
    <w:name w:val="ListLabel 93"/>
    <w:qFormat/>
    <w:rPr>
      <w:rFonts w:cs="Arial"/>
      <w:b w:val="false"/>
      <w:i w:val="false"/>
      <w:iCs/>
      <w:color w:val="00000A"/>
    </w:rPr>
  </w:style>
  <w:style w:type="character" w:styleId="ListLabel94">
    <w:name w:val="ListLabel 94"/>
    <w:qFormat/>
    <w:rPr>
      <w:b/>
    </w:rPr>
  </w:style>
  <w:style w:type="character" w:styleId="ListLabel95">
    <w:name w:val="ListLabel 95"/>
    <w:qFormat/>
    <w:rPr>
      <w:b w:val="false"/>
      <w:i w:val="false"/>
      <w:iCs/>
    </w:rPr>
  </w:style>
  <w:style w:type="character" w:styleId="ListLabel96">
    <w:name w:val="ListLabel 96"/>
    <w:qFormat/>
    <w:rPr>
      <w:rFonts w:ascii="CARLITO" w:hAnsi="CARLITO"/>
      <w:b w:val="false"/>
      <w:i w:val="false"/>
      <w:iCs/>
      <w:color w:val="00000A"/>
      <w:sz w:val="24"/>
    </w:rPr>
  </w:style>
  <w:style w:type="paragraph" w:styleId="Ttulo">
    <w:name w:val="Título"/>
    <w:basedOn w:val="Normal"/>
    <w:next w:val="Corpodetexto"/>
    <w:qFormat/>
    <w:pPr>
      <w:keepNext/>
      <w:spacing w:before="240" w:after="120"/>
    </w:pPr>
    <w:rPr>
      <w:rFonts w:ascii="Liberation Sans" w:hAnsi="Liberation Sans" w:eastAsia="Noto Sans CJK SC" w:cs="Lohit Devanagari"/>
      <w:sz w:val="28"/>
      <w:szCs w:val="28"/>
    </w:rPr>
  </w:style>
  <w:style w:type="paragraph" w:styleId="Corpodetexto">
    <w:name w:val="Body Text"/>
    <w:basedOn w:val="Normal"/>
    <w:pPr>
      <w:spacing w:lineRule="auto" w:line="276" w:before="0" w:after="140"/>
    </w:pPr>
    <w:rPr/>
  </w:style>
  <w:style w:type="paragraph" w:styleId="Lista">
    <w:name w:val="List"/>
    <w:basedOn w:val="Corpodetexto"/>
    <w:pPr/>
    <w:rPr>
      <w:rFonts w:cs="Lohit Devanagari"/>
    </w:rPr>
  </w:style>
  <w:style w:type="paragraph" w:styleId="Legenda">
    <w:name w:val="Caption"/>
    <w:basedOn w:val="Normal"/>
    <w:qFormat/>
    <w:pPr>
      <w:suppressLineNumbers/>
      <w:spacing w:before="120" w:after="120"/>
    </w:pPr>
    <w:rPr>
      <w:rFonts w:cs="Lohit Devanagari"/>
      <w:i/>
      <w:iCs/>
      <w:sz w:val="24"/>
      <w:szCs w:val="24"/>
    </w:rPr>
  </w:style>
  <w:style w:type="paragraph" w:styleId="Ndice">
    <w:name w:val="Índice"/>
    <w:basedOn w:val="Normal"/>
    <w:qFormat/>
    <w:pPr>
      <w:suppressLineNumbers/>
    </w:pPr>
    <w:rPr>
      <w:rFonts w:cs="Lohit Devanagari"/>
    </w:rPr>
  </w:style>
  <w:style w:type="paragraph" w:styleId="Ttulododocumento">
    <w:name w:val="Title"/>
    <w:basedOn w:val="Normal"/>
    <w:qFormat/>
    <w:pPr>
      <w:keepNext/>
      <w:spacing w:before="240" w:after="120"/>
    </w:pPr>
    <w:rPr>
      <w:rFonts w:ascii="Liberation Sans" w:hAnsi="Liberation Sans" w:eastAsia="Noto Sans CJK SC" w:cs="Lohit Devanagari"/>
      <w:sz w:val="28"/>
      <w:szCs w:val="28"/>
    </w:rPr>
  </w:style>
  <w:style w:type="paragraph" w:styleId="Caption">
    <w:name w:val="caption"/>
    <w:basedOn w:val="Normal"/>
    <w:qFormat/>
    <w:pPr>
      <w:suppressLineNumbers/>
      <w:spacing w:before="120" w:after="120"/>
    </w:pPr>
    <w:rPr>
      <w:rFonts w:cs="Lohit Devanagari"/>
      <w:i/>
      <w:iCs/>
      <w:sz w:val="24"/>
    </w:rPr>
  </w:style>
  <w:style w:type="paragraph" w:styleId="Quote">
    <w:name w:val="Quote"/>
    <w:basedOn w:val="Normal"/>
    <w:next w:val="Normal"/>
    <w:qFormat/>
    <w:pPr>
      <w:pBdr>
        <w:top w:val="single" w:sz="4" w:space="1" w:color="1F497D"/>
        <w:left w:val="single" w:sz="4" w:space="4" w:color="1F497D"/>
        <w:bottom w:val="single" w:sz="4" w:space="1" w:color="1F497D"/>
        <w:right w:val="single" w:sz="4" w:space="4" w:color="1F497D"/>
      </w:pBdr>
      <w:shd w:val="clear" w:fill="FFFFCC"/>
      <w:spacing w:before="120" w:after="0"/>
      <w:jc w:val="both"/>
    </w:pPr>
    <w:rPr>
      <w:rFonts w:eastAsia="Calibri"/>
      <w:i/>
      <w:iCs/>
      <w:color w:val="000000"/>
      <w:lang w:eastAsia="en-US"/>
    </w:rPr>
  </w:style>
  <w:style w:type="paragraph" w:styleId="Nivel01">
    <w:name w:val="Nivel 01"/>
    <w:basedOn w:val="Ttulo1"/>
    <w:next w:val="Normal"/>
    <w:qFormat/>
    <w:pPr>
      <w:spacing w:lineRule="auto" w:line="276" w:before="480" w:after="120"/>
      <w:ind w:left="0" w:right="-15" w:hanging="0"/>
      <w:jc w:val="both"/>
    </w:pPr>
    <w:rPr>
      <w:rFonts w:ascii="Arial" w:hAnsi="Arial" w:cs="Times New Roman"/>
      <w:b/>
      <w:bCs/>
      <w:color w:val="000000"/>
      <w:sz w:val="20"/>
      <w:szCs w:val="20"/>
    </w:rPr>
  </w:style>
  <w:style w:type="paragraph" w:styleId="PADRO">
    <w:name w:val="PADRÃO"/>
    <w:qFormat/>
    <w:pPr>
      <w:keepNext/>
      <w:widowControl w:val="false"/>
      <w:shd w:val="clear" w:fill="FFFFFF"/>
      <w:overflowPunct w:val="false"/>
      <w:bidi w:val="0"/>
      <w:spacing w:lineRule="auto" w:line="276" w:before="119" w:after="119"/>
      <w:ind w:left="0" w:right="0" w:firstLine="567"/>
      <w:jc w:val="both"/>
      <w:textAlignment w:val="baseline"/>
    </w:pPr>
    <w:rPr>
      <w:rFonts w:ascii="Ecofont_Spranq_eco_Sans" w:hAnsi="Ecofont_Spranq_eco_Sans" w:eastAsia="WenQuanYi Micro Hei" w:cs="Lohit Hindi"/>
      <w:color w:val="00000A"/>
      <w:sz w:val="20"/>
      <w:szCs w:val="24"/>
      <w:lang w:val="pt-BR" w:eastAsia="zh-CN" w:bidi="hi-IN"/>
    </w:rPr>
  </w:style>
  <w:style w:type="paragraph" w:styleId="ListParagraph">
    <w:name w:val="List Paragraph"/>
    <w:basedOn w:val="Normal"/>
    <w:qFormat/>
    <w:pPr>
      <w:spacing w:before="0" w:after="0"/>
      <w:ind w:left="720" w:right="0" w:hanging="0"/>
      <w:contextualSpacing/>
    </w:pPr>
    <w:rPr/>
  </w:style>
  <w:style w:type="paragraph" w:styleId="Citao2">
    <w:name w:val="citação 2"/>
    <w:basedOn w:val="Quote"/>
    <w:qFormat/>
    <w:pPr>
      <w:shd w:val="clear" w:fill="FFFFCC"/>
    </w:pPr>
    <w:rPr>
      <w:szCs w:val="20"/>
    </w:rPr>
  </w:style>
  <w:style w:type="paragraph" w:styleId="Citao1">
    <w:name w:val="Citação1"/>
    <w:basedOn w:val="Normal"/>
    <w:next w:val="Normal"/>
    <w:qFormat/>
    <w:pPr>
      <w:pBdr>
        <w:top w:val="single" w:sz="4" w:space="1" w:color="1F497D"/>
        <w:left w:val="single" w:sz="4" w:space="4" w:color="1F497D"/>
        <w:bottom w:val="single" w:sz="4" w:space="1" w:color="1F497D"/>
        <w:right w:val="single" w:sz="4" w:space="4" w:color="1F497D"/>
      </w:pBdr>
      <w:shd w:val="clear"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qFormat/>
    <w:pPr/>
    <w:rPr>
      <w:szCs w:val="20"/>
    </w:rPr>
  </w:style>
  <w:style w:type="paragraph" w:styleId="Annotationsubject">
    <w:name w:val="annotation subject"/>
    <w:basedOn w:val="Annotationtext"/>
    <w:qFormat/>
    <w:pPr/>
    <w:rPr>
      <w:b/>
      <w:bCs/>
    </w:rPr>
  </w:style>
  <w:style w:type="paragraph" w:styleId="Nivel1">
    <w:name w:val="Nivel1"/>
    <w:basedOn w:val="Ttulo1"/>
    <w:qFormat/>
    <w:pPr>
      <w:spacing w:lineRule="auto" w:line="276" w:before="480" w:after="0"/>
      <w:ind w:left="644" w:right="0" w:hanging="360"/>
      <w:jc w:val="both"/>
    </w:pPr>
    <w:rPr>
      <w:rFonts w:ascii="Arial" w:hAnsi="Arial" w:cs="Times New Roman"/>
      <w:b/>
      <w:color w:val="000000"/>
      <w:sz w:val="20"/>
      <w:szCs w:val="20"/>
    </w:rPr>
  </w:style>
  <w:style w:type="paragraph" w:styleId="Nivel2">
    <w:name w:val="Nivel 2"/>
    <w:qFormat/>
    <w:pPr>
      <w:widowControl/>
      <w:overflowPunct w:val="false"/>
      <w:bidi w:val="0"/>
      <w:spacing w:lineRule="auto" w:line="276" w:before="120" w:after="120"/>
      <w:jc w:val="both"/>
    </w:pPr>
    <w:rPr>
      <w:rFonts w:ascii="Ecofont_Spranq_eco_Sans" w:hAnsi="Ecofont_Spranq_eco_Sans" w:eastAsia="Arial Unicode MS" w:cs="Times New Roman"/>
      <w:color w:val="00000A"/>
      <w:sz w:val="20"/>
      <w:szCs w:val="20"/>
      <w:lang w:val="pt-BR" w:eastAsia="pt-BR" w:bidi="ar-SA"/>
    </w:rPr>
  </w:style>
  <w:style w:type="paragraph" w:styleId="Nivel11">
    <w:name w:val="Nivel 1"/>
    <w:basedOn w:val="Nivel2"/>
    <w:qFormat/>
    <w:pPr/>
    <w:rPr>
      <w:rFonts w:cs="Arial"/>
      <w:b/>
    </w:rPr>
  </w:style>
  <w:style w:type="paragraph" w:styleId="Nivel3">
    <w:name w:val="Nivel 3"/>
    <w:basedOn w:val="Nivel2"/>
    <w:qFormat/>
    <w:pPr/>
    <w:rPr>
      <w:rFonts w:cs="Arial"/>
      <w:color w:val="000000"/>
    </w:rPr>
  </w:style>
  <w:style w:type="paragraph" w:styleId="Nivel4">
    <w:name w:val="Nivel 4"/>
    <w:basedOn w:val="Nivel3"/>
    <w:qFormat/>
    <w:pPr/>
    <w:rPr>
      <w:color w:val="00000A"/>
    </w:rPr>
  </w:style>
  <w:style w:type="paragraph" w:styleId="Nivel5">
    <w:name w:val="Nivel 5"/>
    <w:basedOn w:val="Nivel4"/>
    <w:qFormat/>
    <w:pPr>
      <w:tabs>
        <w:tab w:val="left" w:pos="360" w:leader="none"/>
      </w:tabs>
    </w:pPr>
    <w:rPr/>
  </w:style>
  <w:style w:type="paragraph" w:styleId="BalloonText">
    <w:name w:val="Balloon Text"/>
    <w:basedOn w:val="Normal"/>
    <w:qFormat/>
    <w:pPr/>
    <w:rPr>
      <w:rFonts w:ascii="Segoe UI" w:hAnsi="Segoe UI" w:cs="Segoe UI"/>
      <w:sz w:val="18"/>
      <w:szCs w:val="18"/>
    </w:rPr>
  </w:style>
  <w:style w:type="paragraph" w:styleId="CabealhoeRodap">
    <w:name w:val="Cabeçalho e Rodapé"/>
    <w:basedOn w:val="Normal"/>
    <w:qFormat/>
    <w:pPr/>
    <w:rPr/>
  </w:style>
  <w:style w:type="paragraph" w:styleId="Cabealho">
    <w:name w:val="Header"/>
    <w:basedOn w:val="Normal"/>
    <w:pPr>
      <w:tabs>
        <w:tab w:val="center" w:pos="4252" w:leader="none"/>
        <w:tab w:val="right" w:pos="8504" w:leader="none"/>
      </w:tabs>
    </w:pPr>
    <w:rPr/>
  </w:style>
  <w:style w:type="paragraph" w:styleId="Rodap">
    <w:name w:val="Footer"/>
    <w:basedOn w:val="Normal"/>
    <w:pPr>
      <w:tabs>
        <w:tab w:val="center" w:pos="4252" w:leader="none"/>
        <w:tab w:val="right" w:pos="8504" w:leader="none"/>
      </w:tabs>
    </w:pPr>
    <w:rPr/>
  </w:style>
  <w:style w:type="paragraph" w:styleId="Contedodatabela">
    <w:name w:val="Conteúdo da tabela"/>
    <w:basedOn w:val="Normal"/>
    <w:qFormat/>
    <w:pPr/>
    <w:rPr/>
  </w:style>
  <w:style w:type="paragraph" w:styleId="Ttulodetabela">
    <w:name w:val="Título de tabela"/>
    <w:basedOn w:val="Contedodatabela"/>
    <w:qFormat/>
    <w:pPr/>
    <w:rPr/>
  </w:style>
  <w:style w:type="numbering" w:styleId="NoList">
    <w:name w:val="No List"/>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lanalto.gov.br/ccivil_03/LEIS/L6404consol.htm" TargetMode="External"/><Relationship Id="rId3" Type="http://schemas.openxmlformats.org/officeDocument/2006/relationships/hyperlink" Target="http://www.portaldatransparencia.gov.br/ceis" TargetMode="External"/><Relationship Id="rId4" Type="http://schemas.openxmlformats.org/officeDocument/2006/relationships/hyperlink" Target="http://www.cnj.jus.br/improbidade_adm/consultar_requerido.php" TargetMode="Externa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950</TotalTime>
  <Application>LibreOffice/5.1.6.2$Linux_x86 LibreOffice_project/10m0$Build-2</Application>
  <Pages>15</Pages>
  <Words>4748</Words>
  <Characters>27176</Characters>
  <CharactersWithSpaces>31601</CharactersWithSpaces>
  <Paragraphs>223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2022-05-04T22:03:00Z</dcterms:created>
  <dc:creator>Hugo Sales</dc:creator>
  <dc:description/>
  <dc:language>pt-BR</dc:language>
  <cp:lastModifiedBy/>
  <cp:lastPrinted>2022-09-15T13:38:53Z</cp:lastPrinted>
  <dcterms:modified xsi:type="dcterms:W3CDTF">2022-09-27T13:31:52Z</dcterms:modified>
  <cp:revision>66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