
<file path=[Content_Types].xml><?xml version="1.0" encoding="utf-8"?>
<Types xmlns="http://schemas.openxmlformats.org/package/2006/content-types">
  <Override PartName="/_rels/.rels" ContentType="application/vnd.openxmlformats-package.relationships+xml"/>
  <Override PartName="/customXml/itemProps4.xml" ContentType="application/vnd.openxmlformats-officedocument.customXmlProperties+xml"/>
  <Override PartName="/customXml/item1.xml" ContentType="application/xml"/>
  <Override PartName="/customXml/itemProps1.xml" ContentType="application/vnd.openxmlformats-officedocument.customXmlProperties+xml"/>
  <Override PartName="/customXml/item2.xml" ContentType="application/xml"/>
  <Override PartName="/customXml/item4.xml" ContentType="application/xml"/>
  <Override PartName="/customXml/itemProps3.xml" ContentType="application/vnd.openxmlformats-officedocument.customXmlProperties+xml"/>
  <Override PartName="/customXml/_rels/item4.xml.rels" ContentType="application/vnd.openxmlformats-package.relationships+xml"/>
  <Override PartName="/customXml/_rels/item3.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Override PartName="/customXml/item3.xml" ContentType="application/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center"/>
        <w:rPr/>
      </w:pPr>
      <w:r>
        <w:rPr>
          <w:rFonts w:cs="Arial"/>
          <w:b/>
          <w:bCs/>
          <w:i w:val="false"/>
          <w:iCs w:val="false"/>
          <w:color w:val="000000"/>
          <w:sz w:val="24"/>
          <w:szCs w:val="24"/>
        </w:rPr>
        <w:t>ESCOLA DE APRENDIZES MARINHEIROS DO CEARÁ</w:t>
      </w:r>
    </w:p>
    <w:p>
      <w:pPr>
        <w:pStyle w:val="Normal"/>
        <w:spacing w:lineRule="auto" w:line="240" w:before="0" w:after="0"/>
        <w:contextualSpacing/>
        <w:jc w:val="center"/>
        <w:rPr/>
      </w:pPr>
      <w:r>
        <w:rPr>
          <w:rFonts w:cs="Arial"/>
          <w:b/>
          <w:bCs/>
          <w:i w:val="false"/>
          <w:iCs w:val="false"/>
          <w:color w:val="000000" w:themeColor="text1"/>
          <w:sz w:val="24"/>
          <w:szCs w:val="24"/>
        </w:rPr>
        <w:t xml:space="preserve">AVISO DE DISPENSA ELETRÔNICA Nº </w:t>
      </w:r>
      <w:r>
        <w:rPr>
          <w:rFonts w:eastAsia="Times New Roman" w:cs="Arial"/>
          <w:b/>
          <w:bCs/>
          <w:i w:val="false"/>
          <w:iCs w:val="false"/>
          <w:color w:val="auto"/>
          <w:sz w:val="24"/>
          <w:szCs w:val="24"/>
          <w:lang w:eastAsia="pt-BR"/>
        </w:rPr>
        <w:t>15</w:t>
      </w:r>
      <w:r>
        <w:rPr>
          <w:rFonts w:cs="Arial"/>
          <w:b/>
          <w:bCs/>
          <w:i w:val="false"/>
          <w:iCs w:val="false"/>
          <w:color w:val="auto"/>
          <w:sz w:val="24"/>
          <w:szCs w:val="24"/>
        </w:rPr>
        <w:t>/2022</w:t>
      </w:r>
    </w:p>
    <w:p>
      <w:pPr>
        <w:pStyle w:val="Normal"/>
        <w:spacing w:lineRule="auto" w:line="240" w:before="0" w:after="0"/>
        <w:ind w:right="-15" w:hanging="0"/>
        <w:contextualSpacing/>
        <w:jc w:val="center"/>
        <w:rPr/>
      </w:pPr>
      <w:r>
        <w:rPr>
          <w:rFonts w:cs="Arial"/>
          <w:b/>
          <w:bCs/>
          <w:i w:val="false"/>
          <w:iCs w:val="false"/>
          <w:color w:val="000000" w:themeColor="text1"/>
          <w:sz w:val="24"/>
          <w:szCs w:val="24"/>
        </w:rPr>
        <w:t>(Processo Administrativo n.°</w:t>
      </w:r>
      <w:r>
        <w:rPr>
          <w:rFonts w:cs="Arial"/>
          <w:b/>
          <w:bCs/>
          <w:i w:val="false"/>
          <w:iCs w:val="false"/>
          <w:color w:val="auto"/>
          <w:sz w:val="24"/>
          <w:szCs w:val="24"/>
        </w:rPr>
        <w:t>63116.003210/2022-96</w:t>
      </w:r>
      <w:r>
        <w:rPr>
          <w:rFonts w:cs="Arial"/>
          <w:b/>
          <w:bCs/>
          <w:i w:val="false"/>
          <w:iCs w:val="false"/>
          <w:color w:val="000000" w:themeColor="text1"/>
          <w:sz w:val="24"/>
          <w:szCs w:val="24"/>
        </w:rPr>
        <w:t>)</w:t>
      </w:r>
    </w:p>
    <w:p>
      <w:pPr>
        <w:pStyle w:val="Normal"/>
        <w:spacing w:before="0" w:after="0"/>
        <w:contextualSpacing/>
        <w:rPr>
          <w:rFonts w:cs="Arial"/>
          <w:sz w:val="24"/>
        </w:rPr>
      </w:pPr>
      <w:r>
        <w:rPr>
          <w:rFonts w:cs="Arial"/>
          <w:sz w:val="24"/>
        </w:rPr>
      </w:r>
    </w:p>
    <w:p>
      <w:pPr>
        <w:pStyle w:val="Normal"/>
        <w:snapToGrid w:val="false"/>
        <w:spacing w:lineRule="auto" w:line="276" w:before="0" w:after="0"/>
        <w:ind w:right="-30" w:firstLine="540"/>
        <w:contextualSpacing/>
        <w:jc w:val="both"/>
        <w:rPr/>
      </w:pPr>
      <w:r>
        <w:rPr>
          <w:rFonts w:cs="Arial"/>
          <w:color w:val="000000" w:themeColor="text1"/>
          <w:sz w:val="24"/>
        </w:rPr>
        <w:t xml:space="preserve">Torna-se público que </w:t>
      </w:r>
      <w:r>
        <w:rPr>
          <w:rFonts w:cs="Arial"/>
          <w:i w:val="false"/>
          <w:iCs w:val="false"/>
          <w:color w:val="000000"/>
          <w:sz w:val="24"/>
          <w:szCs w:val="24"/>
        </w:rPr>
        <w:t>a</w:t>
      </w:r>
      <w:r>
        <w:rPr>
          <w:rFonts w:eastAsia="Arial" w:cs="Arial"/>
          <w:i w:val="false"/>
          <w:iCs w:val="false"/>
          <w:color w:val="000000"/>
          <w:sz w:val="24"/>
          <w:szCs w:val="24"/>
        </w:rPr>
        <w:t xml:space="preserve"> </w:t>
      </w:r>
      <w:r>
        <w:rPr>
          <w:rFonts w:cs="Arial"/>
          <w:i w:val="false"/>
          <w:iCs w:val="false"/>
          <w:color w:val="000000"/>
          <w:sz w:val="24"/>
          <w:szCs w:val="24"/>
        </w:rPr>
        <w:t>Escola de Aprendizes-Marinheiros do Ceará</w:t>
      </w:r>
      <w:r>
        <w:rPr>
          <w:rFonts w:cs="Arial"/>
          <w:color w:val="000000" w:themeColor="text1"/>
          <w:sz w:val="24"/>
        </w:rPr>
        <w:t xml:space="preserve">, por meio </w:t>
      </w:r>
      <w:r>
        <w:rPr>
          <w:rFonts w:cs="Arial"/>
          <w:i w:val="false"/>
          <w:iCs w:val="false"/>
          <w:color w:val="000000"/>
          <w:sz w:val="24"/>
          <w:szCs w:val="24"/>
        </w:rPr>
        <w:t>da Divisão de Obtenção</w:t>
      </w:r>
      <w:r>
        <w:rPr>
          <w:rFonts w:cs="Arial"/>
          <w:color w:val="000000" w:themeColor="text1"/>
          <w:sz w:val="24"/>
        </w:rPr>
        <w:t xml:space="preserve">, realizará Dispensa Eletrônica, </w:t>
      </w:r>
      <w:r>
        <w:rPr>
          <w:rFonts w:cs="Arial"/>
          <w:bCs/>
          <w:color w:val="000000" w:themeColor="text1"/>
          <w:sz w:val="24"/>
        </w:rPr>
        <w:t>com critério de julgamento</w:t>
      </w:r>
      <w:r>
        <w:rPr>
          <w:rFonts w:cs="Arial"/>
          <w:b/>
          <w:bCs/>
          <w:color w:val="000000" w:themeColor="text1"/>
          <w:sz w:val="24"/>
        </w:rPr>
        <w:t xml:space="preserve"> </w:t>
      </w:r>
      <w:r>
        <w:rPr>
          <w:rFonts w:cs="Arial"/>
          <w:i/>
          <w:color w:val="auto"/>
          <w:sz w:val="24"/>
        </w:rPr>
        <w:t>menor preço</w:t>
      </w:r>
      <w:r>
        <w:rPr>
          <w:rFonts w:cs="Arial"/>
          <w:b/>
          <w:bCs/>
          <w:i/>
          <w:color w:val="auto"/>
          <w:sz w:val="24"/>
        </w:rPr>
        <w:t xml:space="preserve">, </w:t>
      </w:r>
      <w:r>
        <w:rPr>
          <w:rFonts w:cs="Arial"/>
          <w:color w:val="000000" w:themeColor="text1"/>
          <w:sz w:val="24"/>
        </w:rPr>
        <w:t>na hipótese do art. 75</w:t>
      </w:r>
      <w:r>
        <w:rPr>
          <w:rFonts w:cs="Arial"/>
          <w:i/>
          <w:iCs/>
          <w:color w:val="000000" w:themeColor="text1"/>
          <w:sz w:val="24"/>
        </w:rPr>
        <w:t>,</w:t>
      </w:r>
      <w:r>
        <w:rPr>
          <w:rFonts w:cs="Arial"/>
          <w:i/>
          <w:iCs/>
          <w:color w:val="auto"/>
          <w:sz w:val="24"/>
        </w:rPr>
        <w:t xml:space="preserve"> inciso </w:t>
      </w:r>
      <w:r>
        <w:rPr>
          <w:rFonts w:cs="Arial"/>
          <w:b w:val="false"/>
          <w:bCs w:val="false"/>
          <w:i/>
          <w:iCs/>
          <w:color w:val="auto"/>
          <w:sz w:val="24"/>
        </w:rPr>
        <w:t>II</w:t>
      </w:r>
      <w:r>
        <w:rPr>
          <w:rFonts w:cs="Arial"/>
          <w:i/>
          <w:iCs/>
          <w:color w:val="auto"/>
          <w:sz w:val="24"/>
        </w:rPr>
        <w:t>,</w:t>
      </w:r>
      <w:r>
        <w:rPr>
          <w:rFonts w:cs="Arial"/>
          <w:color w:val="auto"/>
          <w:sz w:val="24"/>
        </w:rPr>
        <w:t xml:space="preserve"> </w:t>
      </w:r>
      <w:r>
        <w:rPr>
          <w:rFonts w:cs="Arial"/>
          <w:bCs/>
          <w:color w:val="000000"/>
          <w:sz w:val="24"/>
        </w:rPr>
        <w:t>nos termos da Lei nº 14.133, de 1º de abril de 2021, da Instrução Normativa SEGES/ME nº 67/2021 e demais legislação aplicável</w:t>
      </w:r>
      <w:r>
        <w:rPr>
          <w:rFonts w:cs="Arial"/>
          <w:color w:val="000000"/>
          <w:sz w:val="24"/>
        </w:rPr>
        <w:t>.</w:t>
      </w:r>
    </w:p>
    <w:p>
      <w:pPr>
        <w:pStyle w:val="Normal"/>
        <w:spacing w:lineRule="auto" w:line="276" w:before="0" w:after="0"/>
        <w:contextualSpacing/>
        <w:jc w:val="both"/>
        <w:rPr>
          <w:rFonts w:cs="Arial"/>
          <w:color w:val="000000" w:themeColor="text1"/>
          <w:sz w:val="24"/>
        </w:rPr>
      </w:pPr>
      <w:r>
        <w:rPr>
          <w:rFonts w:cs="Arial"/>
          <w:color w:val="000000" w:themeColor="text1"/>
          <w:sz w:val="24"/>
        </w:rPr>
      </w:r>
    </w:p>
    <w:p>
      <w:pPr>
        <w:pStyle w:val="Normal"/>
        <w:spacing w:lineRule="auto" w:line="276" w:before="0" w:after="0"/>
        <w:contextualSpacing/>
        <w:jc w:val="both"/>
        <w:rPr/>
      </w:pPr>
      <w:r>
        <w:rPr>
          <w:rFonts w:cs="Arial"/>
          <w:color w:val="000000" w:themeColor="text1"/>
          <w:sz w:val="24"/>
        </w:rPr>
        <w:t xml:space="preserve">Data da sessão: </w:t>
      </w:r>
      <w:r>
        <w:rPr>
          <w:rFonts w:cs="Arial"/>
          <w:color w:val="000000" w:themeColor="text1"/>
          <w:sz w:val="24"/>
        </w:rPr>
        <w:t>10/10/2022</w:t>
      </w:r>
    </w:p>
    <w:p>
      <w:pPr>
        <w:pStyle w:val="Normal"/>
        <w:spacing w:before="0" w:after="0"/>
        <w:contextualSpacing/>
        <w:rPr/>
      </w:pPr>
      <w:r>
        <w:rPr>
          <w:rFonts w:cs="Arial"/>
          <w:color w:val="000000" w:themeColor="text1"/>
          <w:sz w:val="24"/>
        </w:rPr>
        <w:t>Horário da Fase de Lances: 8:00 às 14:00</w:t>
      </w:r>
    </w:p>
    <w:p>
      <w:pPr>
        <w:pStyle w:val="Normal"/>
        <w:spacing w:before="0" w:after="0"/>
        <w:contextualSpacing/>
        <w:rPr>
          <w:rFonts w:cs="Arial"/>
          <w:i/>
          <w:i/>
          <w:color w:val="000000" w:themeColor="text1"/>
          <w:sz w:val="24"/>
        </w:rPr>
      </w:pPr>
      <w:r>
        <w:rPr>
          <w:rFonts w:cs="Arial"/>
          <w:i/>
          <w:color w:val="000000" w:themeColor="text1"/>
          <w:sz w:val="24"/>
        </w:rPr>
      </w:r>
    </w:p>
    <w:p>
      <w:pPr>
        <w:pStyle w:val="Ttulo1"/>
        <w:numPr>
          <w:ilvl w:val="0"/>
          <w:numId w:val="1"/>
        </w:numPr>
        <w:spacing w:before="0" w:after="0"/>
        <w:contextualSpacing/>
        <w:rPr/>
      </w:pPr>
      <w:bookmarkStart w:id="0" w:name="_Toc104906818"/>
      <w:r>
        <w:rPr>
          <w:rFonts w:cs="Arial" w:ascii="Arial" w:hAnsi="Arial"/>
          <w:color w:val="auto"/>
          <w:sz w:val="24"/>
          <w:szCs w:val="24"/>
        </w:rPr>
        <w:t>OBJETO DA CONTRATAÇÃO DIRETA</w:t>
      </w:r>
      <w:bookmarkEnd w:id="0"/>
    </w:p>
    <w:p>
      <w:pPr>
        <w:pStyle w:val="PADRO"/>
        <w:keepNext w:val="false"/>
        <w:widowControl/>
        <w:numPr>
          <w:ilvl w:val="1"/>
          <w:numId w:val="1"/>
        </w:numPr>
        <w:shd w:val="clear" w:color="auto" w:fill="auto"/>
        <w:spacing w:before="0" w:after="0"/>
        <w:contextualSpacing/>
        <w:rPr/>
      </w:pPr>
      <w:r>
        <w:rPr>
          <w:rFonts w:cs="Arial" w:ascii="Arial" w:hAnsi="Arial"/>
          <w:color w:val="000000" w:themeColor="text1"/>
          <w:sz w:val="24"/>
        </w:rPr>
        <w:t xml:space="preserve">O objeto da presente dispensa é a escolha da proposta mais vantajosa para a </w:t>
      </w:r>
      <w:r>
        <w:rPr>
          <w:rFonts w:cs="Arial" w:ascii="Arial" w:hAnsi="Arial"/>
          <w:color w:val="auto"/>
          <w:sz w:val="24"/>
        </w:rPr>
        <w:t>contratação</w:t>
      </w:r>
      <w:r>
        <w:rPr>
          <w:rFonts w:cs="Arial" w:ascii="Arial" w:hAnsi="Arial"/>
          <w:color w:val="000000" w:themeColor="text1"/>
          <w:sz w:val="24"/>
        </w:rPr>
        <w:t xml:space="preserve"> por dispensa de licitação de</w:t>
      </w:r>
      <w:r>
        <w:rPr>
          <w:rFonts w:cs="Arial" w:ascii="Arial" w:hAnsi="Arial"/>
          <w:color w:val="FF0000"/>
          <w:sz w:val="24"/>
        </w:rPr>
        <w:t xml:space="preserve">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0"/>
          <w:szCs w:val="20"/>
          <w:u w:val="none"/>
          <w:em w:val="none"/>
          <w:lang w:val="pt-BR" w:eastAsia="pt-BR" w:bidi="hi-IN"/>
        </w:rPr>
        <w:t xml:space="preserve">A </w:t>
      </w:r>
      <w:r>
        <w:rPr>
          <w:rFonts w:eastAsia="Times New Roman" w:cs="Times New Roman" w:ascii="Arial" w:hAnsi="Arial"/>
          <w:b w:val="false"/>
          <w:bCs w:val="false"/>
          <w:i w:val="false"/>
          <w:iCs w:val="false"/>
          <w:caps w:val="false"/>
          <w:smallCaps w:val="false"/>
          <w:strike w:val="false"/>
          <w:dstrike w:val="false"/>
          <w:outline w:val="false"/>
          <w:shadow w:val="false"/>
          <w:color w:val="000000"/>
          <w:spacing w:val="0"/>
          <w:kern w:val="2"/>
          <w:sz w:val="24"/>
          <w:szCs w:val="24"/>
          <w:u w:val="none"/>
          <w:em w:val="none"/>
          <w:lang w:val="pt-BR" w:eastAsia="pt-BR" w:bidi="hi-IN"/>
        </w:rPr>
        <w:t>aquisi</w:t>
      </w:r>
      <w:r>
        <w:rPr>
          <w:rFonts w:cs="Arial" w:ascii="Arial" w:hAnsi="Arial"/>
          <w:b w:val="false"/>
          <w:i w:val="false"/>
          <w:strike w:val="false"/>
          <w:dstrike w:val="false"/>
          <w:outline w:val="false"/>
          <w:shadow w:val="false"/>
          <w:color w:val="000000"/>
          <w:sz w:val="24"/>
          <w:szCs w:val="24"/>
          <w:u w:val="none"/>
          <w:em w:val="none"/>
        </w:rPr>
        <w:t>ção de microcomputadores para modernização do laboratório de informática</w:t>
      </w:r>
      <w:r>
        <w:rPr>
          <w:rFonts w:cs="Arial" w:ascii="Arial" w:hAnsi="Arial"/>
          <w:b/>
          <w:bCs/>
          <w:color w:val="000000" w:themeColor="text1"/>
          <w:sz w:val="24"/>
        </w:rPr>
        <w:t>,</w:t>
      </w:r>
      <w:r>
        <w:rPr>
          <w:rFonts w:cs="Arial" w:ascii="Arial" w:hAnsi="Arial"/>
          <w:color w:val="000000" w:themeColor="text1"/>
          <w:sz w:val="24"/>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before="0" w:after="0"/>
        <w:contextualSpacing/>
        <w:rPr>
          <w:i w:val="false"/>
          <w:i w:val="false"/>
          <w:iCs w:val="false"/>
          <w:color w:val="auto"/>
        </w:rPr>
      </w:pPr>
      <w:r>
        <w:rPr>
          <w:rFonts w:cs="Arial" w:ascii="Arial" w:hAnsi="Arial"/>
          <w:i w:val="false"/>
          <w:iCs w:val="false"/>
          <w:color w:val="auto"/>
          <w:sz w:val="24"/>
        </w:rPr>
        <w:t>A contratação será dividida em itens</w:t>
      </w:r>
      <w:r>
        <w:rPr>
          <w:rFonts w:cs="Arial" w:ascii="Arial" w:hAnsi="Arial"/>
          <w:b/>
          <w:bCs/>
          <w:i w:val="false"/>
          <w:iCs w:val="false"/>
          <w:color w:val="auto"/>
          <w:sz w:val="24"/>
        </w:rPr>
        <w:t>,</w:t>
      </w:r>
      <w:r>
        <w:rPr>
          <w:rFonts w:cs="Arial" w:ascii="Arial" w:hAnsi="Arial"/>
          <w:i w:val="false"/>
          <w:iCs w:val="false"/>
          <w:color w:val="auto"/>
          <w:sz w:val="24"/>
        </w:rPr>
        <w:t xml:space="preserve"> conforme tabela constante abaixo.</w:t>
      </w:r>
    </w:p>
    <w:tbl>
      <w:tblPr>
        <w:tblW w:w="10035" w:type="dxa"/>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630"/>
        <w:gridCol w:w="3000"/>
        <w:gridCol w:w="1022"/>
        <w:gridCol w:w="959"/>
        <w:gridCol w:w="795"/>
        <w:gridCol w:w="1305"/>
        <w:gridCol w:w="1188"/>
        <w:gridCol w:w="1134"/>
      </w:tblGrid>
      <w:tr>
        <w:trPr/>
        <w:tc>
          <w:tcPr>
            <w:tcW w:w="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ITEM</w:t>
            </w:r>
          </w:p>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r>
          </w:p>
        </w:tc>
        <w:tc>
          <w:tcPr>
            <w:tcW w:w="30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center"/>
              <w:rPr>
                <w:rFonts w:cs="Arial"/>
                <w:b/>
                <w:b/>
                <w:bCs/>
                <w:color w:val="000000"/>
                <w:sz w:val="16"/>
                <w:szCs w:val="16"/>
              </w:rPr>
            </w:pPr>
            <w:r>
              <w:rPr>
                <w:rFonts w:cs="Arial"/>
                <w:b/>
                <w:bCs/>
                <w:color w:val="000000"/>
                <w:sz w:val="16"/>
                <w:szCs w:val="16"/>
              </w:rPr>
              <w:t>DESCRIÇÃO/</w:t>
            </w:r>
          </w:p>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ESPECIFICAÇÃO</w:t>
            </w:r>
          </w:p>
        </w:tc>
        <w:tc>
          <w:tcPr>
            <w:tcW w:w="102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CATSER/</w:t>
            </w:r>
          </w:p>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CATMAT</w:t>
            </w:r>
          </w:p>
        </w:tc>
        <w:tc>
          <w:tcPr>
            <w:tcW w:w="9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UNIDADE DE MEDIDA</w:t>
            </w:r>
          </w:p>
        </w:tc>
        <w:tc>
          <w:tcPr>
            <w:tcW w:w="7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pPr>
            <w:r>
              <w:rPr>
                <w:rFonts w:cs="Arial"/>
                <w:b/>
                <w:bCs/>
                <w:color w:val="000000"/>
                <w:sz w:val="16"/>
                <w:szCs w:val="16"/>
              </w:rPr>
              <w:t>QUANT</w:t>
            </w:r>
          </w:p>
        </w:tc>
        <w:tc>
          <w:tcPr>
            <w:tcW w:w="13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PREÇO ESTIMADO</w:t>
            </w:r>
          </w:p>
        </w:tc>
        <w:tc>
          <w:tcPr>
            <w:tcW w:w="11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LOCAL DE EXECUÇÃO</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before="0" w:after="0"/>
              <w:contextualSpacing/>
              <w:jc w:val="center"/>
              <w:rPr>
                <w:rFonts w:cs="Arial"/>
                <w:b/>
                <w:b/>
                <w:bCs/>
                <w:color w:val="000000"/>
                <w:sz w:val="16"/>
                <w:szCs w:val="16"/>
              </w:rPr>
            </w:pPr>
            <w:r>
              <w:rPr>
                <w:rFonts w:cs="Arial"/>
                <w:b/>
                <w:bCs/>
                <w:color w:val="000000"/>
                <w:sz w:val="16"/>
                <w:szCs w:val="16"/>
              </w:rPr>
              <w:t>PRAZO DE EXECUÇÃO</w:t>
            </w:r>
          </w:p>
        </w:tc>
      </w:tr>
      <w:tr>
        <w:trPr/>
        <w:tc>
          <w:tcPr>
            <w:tcW w:w="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0"/>
              <w:contextualSpacing/>
              <w:jc w:val="center"/>
              <w:rPr>
                <w:rFonts w:cs="Arial"/>
                <w:b/>
                <w:b/>
                <w:color w:val="000000"/>
                <w:sz w:val="24"/>
              </w:rPr>
            </w:pPr>
            <w:r>
              <w:rPr>
                <w:rFonts w:cs="Arial"/>
                <w:b/>
                <w:color w:val="000000"/>
                <w:sz w:val="24"/>
              </w:rPr>
              <w:t>1</w:t>
            </w:r>
          </w:p>
        </w:tc>
        <w:tc>
          <w:tcPr>
            <w:tcW w:w="30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bidi w:val="0"/>
              <w:spacing w:lineRule="auto" w:line="276" w:before="0" w:after="0"/>
              <w:contextualSpacing/>
              <w:jc w:val="both"/>
              <w:rPr>
                <w:rFonts w:cs="Arial"/>
                <w:color w:val="000000"/>
                <w:sz w:val="24"/>
              </w:rPr>
            </w:pPr>
            <w:r>
              <w:rPr>
                <w:rFonts w:cs="Arial" w:ascii="Calibri" w:hAnsi="Calibri"/>
                <w:b w:val="false"/>
                <w:bCs w:val="false"/>
                <w:i w:val="false"/>
                <w:strike w:val="false"/>
                <w:dstrike w:val="false"/>
                <w:outline w:val="false"/>
                <w:shadow w:val="false"/>
                <w:color w:val="000000"/>
                <w:sz w:val="20"/>
                <w:szCs w:val="20"/>
                <w:u w:val="none"/>
                <w:em w:val="none"/>
              </w:rPr>
              <w:t>Microcomputador desktop (Processador Intel Core i7 de 2,9 GHz 10ª geração ou superior; memória RAM superiora a 8 GB  instalada; Gravador DVD-RW interno; placa de vídeo AMD Radeon RX 570 4GB DDR5; SSD até 2 TB sata 3.0 ou superior; HD 1TB sata 3.0; Monitor LCD com retroiluminação LED – 21 a 29pol, Full HD (1080p) 1920</w:t>
            </w:r>
            <w:r>
              <w:rPr>
                <w:rFonts w:cs="Arial" w:ascii="Calibri" w:hAnsi="Calibri"/>
                <w:b w:val="false"/>
                <w:bCs w:val="false"/>
                <w:i w:val="false"/>
                <w:strike w:val="false"/>
                <w:dstrike w:val="false"/>
                <w:outline w:val="false"/>
                <w:shadow w:val="false"/>
                <w:color w:val="auto"/>
                <w:sz w:val="20"/>
                <w:szCs w:val="20"/>
                <w:u w:val="none"/>
                <w:em w:val="none"/>
              </w:rPr>
              <w:t xml:space="preserve"> x 1080 a 60 Hz, Conectividade: 1 conector HDMI / 1 conector VGA, </w:t>
            </w:r>
            <w:r>
              <w:rPr>
                <w:rFonts w:cs="Arial" w:ascii="Calibri" w:hAnsi="Calibri"/>
                <w:color w:val="auto"/>
                <w:sz w:val="20"/>
                <w:szCs w:val="20"/>
              </w:rPr>
              <w:t>componentes adicionais: com teclado e mouse</w:t>
            </w:r>
            <w:r>
              <w:rPr>
                <w:rFonts w:cs="Arial" w:ascii="Calibri" w:hAnsi="Calibri"/>
                <w:b w:val="false"/>
                <w:bCs w:val="false"/>
                <w:i w:val="false"/>
                <w:strike w:val="false"/>
                <w:dstrike w:val="false"/>
                <w:outline w:val="false"/>
                <w:shadow w:val="false"/>
                <w:color w:val="auto"/>
                <w:sz w:val="20"/>
                <w:szCs w:val="20"/>
                <w:u w:val="none"/>
                <w:em w:val="none"/>
              </w:rPr>
              <w:t>; garantia on-site de 12 meses.</w:t>
            </w:r>
          </w:p>
        </w:tc>
        <w:tc>
          <w:tcPr>
            <w:tcW w:w="102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0"/>
              <w:contextualSpacing/>
              <w:rPr>
                <w:rFonts w:cs="Arial"/>
                <w:color w:val="000000"/>
                <w:sz w:val="24"/>
              </w:rPr>
            </w:pPr>
            <w:r>
              <w:rPr>
                <w:rFonts w:cs="Arial" w:ascii="Calibri" w:hAnsi="Calibri"/>
                <w:b/>
                <w:i w:val="false"/>
                <w:strike w:val="false"/>
                <w:dstrike w:val="false"/>
                <w:outline w:val="false"/>
                <w:shadow w:val="false"/>
                <w:color w:val="000000"/>
                <w:sz w:val="17"/>
                <w:u w:val="none"/>
                <w:em w:val="none"/>
              </w:rPr>
              <w:t>482463</w:t>
            </w:r>
          </w:p>
          <w:p>
            <w:pPr>
              <w:pStyle w:val="Normal"/>
              <w:widowControl w:val="false"/>
              <w:suppressAutoHyphens w:val="true"/>
              <w:spacing w:lineRule="auto" w:line="276" w:before="0" w:after="0"/>
              <w:contextualSpacing/>
              <w:rPr>
                <w:rFonts w:cs="Arial"/>
                <w:color w:val="000000"/>
                <w:sz w:val="24"/>
              </w:rPr>
            </w:pPr>
            <w:r>
              <w:rPr>
                <w:rFonts w:cs="Arial"/>
                <w:color w:val="000000"/>
                <w:sz w:val="24"/>
              </w:rPr>
            </w:r>
          </w:p>
        </w:tc>
        <w:tc>
          <w:tcPr>
            <w:tcW w:w="9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0"/>
              <w:contextualSpacing/>
              <w:jc w:val="center"/>
              <w:rPr>
                <w:rFonts w:ascii="Calibri" w:hAnsi="Calibri" w:cs="Arial"/>
                <w:b w:val="false"/>
                <w:b w:val="false"/>
                <w:bCs w:val="false"/>
                <w:color w:val="000000"/>
                <w:sz w:val="20"/>
                <w:szCs w:val="20"/>
              </w:rPr>
            </w:pPr>
            <w:r>
              <w:rPr>
                <w:rFonts w:cs="Arial" w:ascii="Calibri" w:hAnsi="Calibri"/>
                <w:b w:val="false"/>
                <w:bCs w:val="false"/>
                <w:color w:val="000000"/>
                <w:sz w:val="20"/>
                <w:szCs w:val="20"/>
              </w:rPr>
              <w:t>UN</w:t>
            </w:r>
          </w:p>
        </w:tc>
        <w:tc>
          <w:tcPr>
            <w:tcW w:w="7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0"/>
              <w:contextualSpacing/>
              <w:jc w:val="center"/>
              <w:rPr>
                <w:rFonts w:ascii="Calibri" w:hAnsi="Calibri" w:cs="Arial"/>
                <w:b w:val="false"/>
                <w:b w:val="false"/>
                <w:bCs w:val="false"/>
                <w:color w:val="000000"/>
                <w:sz w:val="20"/>
                <w:szCs w:val="20"/>
              </w:rPr>
            </w:pPr>
            <w:r>
              <w:rPr>
                <w:rFonts w:cs="Arial" w:ascii="Calibri" w:hAnsi="Calibri"/>
                <w:b w:val="false"/>
                <w:bCs w:val="false"/>
                <w:color w:val="000000"/>
                <w:sz w:val="20"/>
                <w:szCs w:val="20"/>
              </w:rPr>
              <w:t>10</w:t>
            </w:r>
          </w:p>
        </w:tc>
        <w:tc>
          <w:tcPr>
            <w:tcW w:w="13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0"/>
              <w:contextualSpacing/>
              <w:rPr>
                <w:rFonts w:cs="Arial"/>
                <w:color w:val="000000"/>
                <w:sz w:val="24"/>
              </w:rPr>
            </w:pPr>
            <w:r>
              <w:rPr>
                <w:rFonts w:cs="Arial" w:ascii="Calibri" w:hAnsi="Calibri"/>
                <w:b/>
                <w:i w:val="false"/>
                <w:strike w:val="false"/>
                <w:dstrike w:val="false"/>
                <w:outline w:val="false"/>
                <w:shadow w:val="false"/>
                <w:color w:val="000000"/>
                <w:sz w:val="17"/>
                <w:u w:val="none"/>
                <w:em w:val="none"/>
              </w:rPr>
              <w:t>R$ 4963,67</w:t>
            </w:r>
          </w:p>
          <w:p>
            <w:pPr>
              <w:pStyle w:val="Normal"/>
              <w:widowControl w:val="false"/>
              <w:suppressAutoHyphens w:val="true"/>
              <w:spacing w:lineRule="auto" w:line="276" w:before="0" w:after="0"/>
              <w:contextualSpacing/>
              <w:rPr>
                <w:rFonts w:cs="Arial"/>
                <w:color w:val="000000"/>
                <w:sz w:val="24"/>
              </w:rPr>
            </w:pPr>
            <w:r>
              <w:rPr>
                <w:rFonts w:cs="Arial"/>
                <w:color w:val="000000"/>
                <w:sz w:val="24"/>
              </w:rPr>
            </w:r>
          </w:p>
        </w:tc>
        <w:tc>
          <w:tcPr>
            <w:tcW w:w="11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extDirection w:val="btLr"/>
            <w:vAlign w:val="center"/>
          </w:tcPr>
          <w:p>
            <w:pPr>
              <w:pStyle w:val="Normal"/>
              <w:widowControl w:val="false"/>
              <w:suppressAutoHyphens w:val="true"/>
              <w:spacing w:lineRule="auto" w:line="240" w:before="0" w:after="0"/>
              <w:ind w:left="0" w:hanging="0"/>
              <w:contextualSpacing/>
              <w:jc w:val="center"/>
              <w:rPr>
                <w:rFonts w:ascii="Arial" w:hAnsi="Arial" w:cs="Arial"/>
                <w:i w:val="false"/>
                <w:i w:val="false"/>
                <w:iCs w:val="false"/>
                <w:color w:val="000000"/>
                <w:sz w:val="20"/>
                <w:szCs w:val="20"/>
              </w:rPr>
            </w:pPr>
            <w:r>
              <w:rPr>
                <w:rFonts w:cs="Arial"/>
                <w:i w:val="false"/>
                <w:iCs w:val="false"/>
                <w:color w:val="000000"/>
                <w:sz w:val="20"/>
                <w:szCs w:val="20"/>
              </w:rPr>
            </w:r>
          </w:p>
          <w:p>
            <w:pPr>
              <w:pStyle w:val="Normal"/>
              <w:widowControl w:val="false"/>
              <w:suppressAutoHyphens w:val="true"/>
              <w:spacing w:lineRule="auto" w:line="240" w:before="0" w:after="0"/>
              <w:ind w:left="0" w:hanging="0"/>
              <w:contextualSpacing/>
              <w:jc w:val="center"/>
              <w:rPr/>
            </w:pPr>
            <w:r>
              <w:rPr>
                <w:rFonts w:cs="Arial"/>
                <w:i w:val="false"/>
                <w:iCs w:val="false"/>
                <w:color w:val="000000"/>
                <w:sz w:val="20"/>
                <w:szCs w:val="20"/>
              </w:rPr>
              <w:t>Av. Filomeno Gomes, 30 – Jacareganga, Fortaleza/CE</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0"/>
              <w:contextualSpacing/>
              <w:jc w:val="center"/>
              <w:rPr>
                <w:rFonts w:cs="Arial"/>
                <w:color w:val="000000"/>
                <w:sz w:val="24"/>
              </w:rPr>
            </w:pPr>
            <w:r>
              <w:rPr>
                <w:rFonts w:cs="Arial"/>
                <w:color w:val="000000"/>
                <w:sz w:val="24"/>
              </w:rPr>
              <w:t>10 DIAS</w:t>
            </w:r>
          </w:p>
        </w:tc>
      </w:tr>
    </w:tbl>
    <w:p>
      <w:pPr>
        <w:pStyle w:val="PADRO"/>
        <w:keepNext w:val="false"/>
        <w:widowControl/>
        <w:numPr>
          <w:ilvl w:val="2"/>
          <w:numId w:val="1"/>
        </w:numPr>
        <w:shd w:val="clear" w:color="auto" w:fill="auto"/>
        <w:spacing w:before="0" w:after="0"/>
        <w:contextualSpacing/>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sectPr>
          <w:type w:val="nextPage"/>
          <w:pgSz w:w="11906" w:h="16838"/>
          <w:pgMar w:left="1080" w:right="1080" w:header="0" w:top="1440" w:footer="0" w:bottom="1440" w:gutter="0"/>
          <w:pgNumType w:fmt="decimal"/>
          <w:formProt w:val="false"/>
          <w:textDirection w:val="lrTb"/>
          <w:docGrid w:type="default" w:linePitch="360" w:charSpace="0"/>
        </w:sectPr>
        <w:pStyle w:val="PADRO"/>
        <w:keepNext w:val="false"/>
        <w:widowControl/>
        <w:numPr>
          <w:ilvl w:val="1"/>
          <w:numId w:val="1"/>
        </w:numPr>
        <w:shd w:val="clear" w:color="auto" w:fill="auto"/>
        <w:spacing w:before="0" w:after="0"/>
        <w:contextualSpacing/>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auto"/>
          <w:sz w:val="24"/>
        </w:rPr>
        <w:t>menor preço</w:t>
      </w:r>
      <w:r>
        <w:rPr>
          <w:rFonts w:cs="Arial" w:ascii="Arial" w:hAnsi="Arial"/>
          <w:i/>
          <w:iCs/>
          <w:color w:val="auto"/>
          <w:sz w:val="24"/>
        </w:rPr>
        <w:t>,</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p>
    <w:p>
      <w:pPr>
        <w:pStyle w:val="Ttulo1"/>
        <w:numPr>
          <w:ilvl w:val="0"/>
          <w:numId w:val="1"/>
        </w:numPr>
        <w:spacing w:before="0" w:after="0"/>
        <w:contextualSpacing/>
        <w:rPr>
          <w:rFonts w:ascii="Arial" w:hAnsi="Arial" w:cs="Arial"/>
          <w:color w:val="auto"/>
          <w:sz w:val="24"/>
          <w:szCs w:val="24"/>
        </w:rPr>
      </w:pPr>
      <w:bookmarkStart w:id="1" w:name="_Toc104906819"/>
      <w:r>
        <w:rPr>
          <w:rFonts w:cs="Arial" w:ascii="Arial" w:hAnsi="Arial"/>
          <w:color w:val="auto"/>
          <w:sz w:val="24"/>
          <w:szCs w:val="24"/>
        </w:rPr>
        <w:t>PARTICIPAÇÃO NA DISPENSA ELETRÔNICA.</w:t>
      </w:r>
      <w:bookmarkEnd w:id="1"/>
    </w:p>
    <w:p>
      <w:pPr>
        <w:pStyle w:val="Normal"/>
        <w:numPr>
          <w:ilvl w:val="1"/>
          <w:numId w:val="1"/>
        </w:numPr>
        <w:snapToGrid w:val="false"/>
        <w:spacing w:lineRule="auto" w:line="276" w:before="0" w:after="0"/>
        <w:contextualSpacing/>
        <w:jc w:val="both"/>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bCs/>
          <w:i w:val="false"/>
          <w:iCs w:val="false"/>
          <w:color w:val="000000"/>
          <w:sz w:val="24"/>
          <w:szCs w:val="24"/>
        </w:rPr>
        <w:t>www.gov.br/compras/pt-br</w:t>
      </w:r>
      <w:r>
        <w:rPr>
          <w:rFonts w:cs="Arial"/>
          <w:bCs/>
          <w:sz w:val="24"/>
        </w:rPr>
        <w:t>.</w:t>
      </w:r>
    </w:p>
    <w:p>
      <w:pPr>
        <w:pStyle w:val="Normal"/>
        <w:numPr>
          <w:ilvl w:val="2"/>
          <w:numId w:val="1"/>
        </w:numPr>
        <w:snapToGrid w:val="false"/>
        <w:spacing w:lineRule="auto" w:line="276" w:before="0" w:after="0"/>
        <w:contextualSpacing/>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0" w:after="0"/>
        <w:contextualSpacing/>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0" w:after="0"/>
        <w:ind w:left="425" w:hanging="0"/>
        <w:contextualSpacing/>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se enquadrem nas seguintes vedações:</w:t>
      </w:r>
    </w:p>
    <w:p>
      <w:pPr>
        <w:pStyle w:val="Normal"/>
        <w:numPr>
          <w:ilvl w:val="3"/>
          <w:numId w:val="4"/>
        </w:numPr>
        <w:spacing w:lineRule="auto" w:line="276" w:before="0" w:after="0"/>
        <w:contextualSpacing/>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0" w:after="0"/>
        <w:contextualSpacing/>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0" w:after="0"/>
        <w:contextualSpacing/>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4"/>
        </w:numPr>
        <w:spacing w:lineRule="auto" w:line="276" w:before="0" w:after="0"/>
        <w:contextualSpacing/>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0" w:after="0"/>
        <w:contextualSpacing/>
        <w:jc w:val="both"/>
        <w:rPr/>
      </w:pPr>
      <w:r>
        <w:rPr>
          <w:rFonts w:cs="Arial"/>
          <w:color w:val="000000"/>
          <w:sz w:val="24"/>
        </w:rPr>
        <w:t>empresas controladoras, controladas ou coligadas, nos termos da </w:t>
      </w:r>
      <w:hyperlink r:id="rId2">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4"/>
        </w:numPr>
        <w:spacing w:lineRule="auto" w:line="276" w:before="0" w:after="0"/>
        <w:contextualSpacing/>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0" w:after="0"/>
        <w:contextualSpacing/>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0" w:after="0"/>
        <w:contextualSpacing/>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0" w:after="0"/>
        <w:contextualSpacing/>
        <w:jc w:val="both"/>
        <w:rPr/>
      </w:pPr>
      <w:r>
        <w:rPr>
          <w:rFonts w:cs="Arial"/>
          <w:color w:val="000000"/>
          <w:sz w:val="24"/>
        </w:rPr>
        <w:t>organizações da Sociedade Civil de Interesse Público - OSCIP, atuando nessa condição (Acórdão nº 746/2014-TCU-Plenário); e</w:t>
      </w:r>
    </w:p>
    <w:p>
      <w:pPr>
        <w:pStyle w:val="Normal"/>
        <w:numPr>
          <w:ilvl w:val="0"/>
          <w:numId w:val="0"/>
        </w:numPr>
        <w:spacing w:lineRule="auto" w:line="276" w:before="0" w:after="0"/>
        <w:ind w:left="1224" w:hanging="0"/>
        <w:contextualSpacing/>
        <w:jc w:val="both"/>
        <w:rPr>
          <w:rFonts w:cs="Arial"/>
          <w:color w:val="000000"/>
          <w:sz w:val="24"/>
        </w:rPr>
      </w:pPr>
      <w:r>
        <w:rPr>
          <w:rFonts w:cs="Arial"/>
          <w:color w:val="000000"/>
          <w:sz w:val="24"/>
        </w:rPr>
      </w:r>
    </w:p>
    <w:p>
      <w:pPr>
        <w:pStyle w:val="Ttulo1"/>
        <w:numPr>
          <w:ilvl w:val="0"/>
          <w:numId w:val="1"/>
        </w:numPr>
        <w:spacing w:before="0" w:after="0"/>
        <w:contextualSpacing/>
        <w:rPr/>
      </w:pPr>
      <w:bookmarkStart w:id="2" w:name="_Toc104906820"/>
      <w:r>
        <w:rPr>
          <w:rFonts w:cs="Arial" w:ascii="Arial" w:hAnsi="Arial"/>
          <w:color w:val="auto"/>
          <w:sz w:val="24"/>
          <w:szCs w:val="24"/>
        </w:rPr>
        <w:t>INGRESSO NA DISPENSA ELETRÔNICA E CADASTRAMENTO DA PROPOSTA INICIAL</w:t>
      </w:r>
      <w:bookmarkEnd w:id="2"/>
    </w:p>
    <w:p>
      <w:pPr>
        <w:pStyle w:val="Normal"/>
        <w:numPr>
          <w:ilvl w:val="1"/>
          <w:numId w:val="1"/>
        </w:numPr>
        <w:snapToGrid w:val="false"/>
        <w:spacing w:lineRule="auto" w:line="276" w:before="0" w:after="0"/>
        <w:ind w:left="857" w:hanging="432"/>
        <w:contextualSpacing/>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0" w:after="0"/>
        <w:ind w:left="425" w:hanging="0"/>
        <w:contextualSpacing/>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0" w:after="0"/>
        <w:contextualSpacing/>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0" w:after="0"/>
        <w:ind w:left="425" w:hanging="0"/>
        <w:contextualSpacing/>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0" w:after="0"/>
        <w:ind w:left="425" w:hanging="0"/>
        <w:contextualSpacing/>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0" w:after="0"/>
        <w:contextualSpacing/>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0" w:after="0"/>
        <w:ind w:left="425" w:hanging="0"/>
        <w:contextualSpacing/>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0" w:after="0"/>
        <w:ind w:left="425" w:hanging="0"/>
        <w:contextualSpacing/>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0" w:after="0"/>
        <w:ind w:left="425" w:hanging="0"/>
        <w:contextualSpacing/>
        <w:jc w:val="both"/>
        <w:rPr/>
      </w:pPr>
      <w:r>
        <w:rPr>
          <w:rFonts w:cs="Arial"/>
          <w:sz w:val="24"/>
        </w:rPr>
        <w:t xml:space="preserve">A apresentação das propostas implica obrigatoriedade do cumprimento das disposições nelas contidas, em conformidade com o que dispõe o </w:t>
      </w:r>
      <w:r>
        <w:rPr>
          <w:rFonts w:cs="Arial"/>
          <w:i w:val="false"/>
          <w:iCs w:val="false"/>
          <w:color w:val="auto"/>
          <w:sz w:val="24"/>
        </w:rPr>
        <w:t>Termo de Referência</w:t>
      </w:r>
      <w:r>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0" w:after="0"/>
        <w:ind w:left="425" w:hanging="0"/>
        <w:contextualSpacing/>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pPr>
        <w:pStyle w:val="Normal"/>
        <w:numPr>
          <w:ilvl w:val="1"/>
          <w:numId w:val="1"/>
        </w:numPr>
        <w:spacing w:lineRule="auto" w:line="276" w:before="0" w:after="0"/>
        <w:ind w:left="425" w:hanging="0"/>
        <w:contextualSpacing/>
        <w:jc w:val="both"/>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left" w:pos="1440" w:leader="none"/>
        </w:tabs>
        <w:snapToGrid w:val="false"/>
        <w:spacing w:lineRule="auto" w:line="276" w:before="0" w:after="0"/>
        <w:contextualSpacing/>
        <w:jc w:val="both"/>
        <w:rPr>
          <w:rFonts w:cs="Arial"/>
          <w:bCs/>
          <w:vanish/>
          <w:color w:val="000000"/>
          <w:sz w:val="24"/>
        </w:rPr>
      </w:pPr>
      <w:r>
        <w:rPr>
          <w:rFonts w:cs="Arial"/>
          <w:bCs/>
          <w:vanish/>
          <w:color w:val="000000"/>
          <w:sz w:val="24"/>
        </w:rPr>
      </w:r>
    </w:p>
    <w:p>
      <w:pPr>
        <w:pStyle w:val="ListParagraph"/>
        <w:numPr>
          <w:ilvl w:val="1"/>
          <w:numId w:val="2"/>
        </w:numPr>
        <w:tabs>
          <w:tab w:val="left" w:pos="1440" w:leader="none"/>
        </w:tabs>
        <w:snapToGrid w:val="false"/>
        <w:spacing w:lineRule="auto" w:line="276" w:before="0" w:after="0"/>
        <w:contextualSpacing/>
        <w:jc w:val="both"/>
        <w:rPr>
          <w:rFonts w:cs="Arial"/>
          <w:bCs/>
          <w:vanish/>
          <w:color w:val="000000"/>
          <w:sz w:val="24"/>
        </w:rPr>
      </w:pPr>
      <w:r>
        <w:rPr>
          <w:rFonts w:cs="Arial"/>
          <w:bCs/>
          <w:vanish/>
          <w:color w:val="000000"/>
          <w:sz w:val="24"/>
        </w:rPr>
      </w:r>
    </w:p>
    <w:p>
      <w:pPr>
        <w:pStyle w:val="ListParagraph"/>
        <w:numPr>
          <w:ilvl w:val="1"/>
          <w:numId w:val="2"/>
        </w:numPr>
        <w:tabs>
          <w:tab w:val="left" w:pos="1440" w:leader="none"/>
        </w:tabs>
        <w:snapToGrid w:val="false"/>
        <w:spacing w:lineRule="auto" w:line="276" w:before="0" w:after="0"/>
        <w:contextualSpacing/>
        <w:jc w:val="both"/>
        <w:rPr>
          <w:rFonts w:cs="Arial"/>
          <w:bCs/>
          <w:vanish/>
          <w:color w:val="000000"/>
          <w:sz w:val="24"/>
        </w:rPr>
      </w:pPr>
      <w:r>
        <w:rPr>
          <w:rFonts w:cs="Arial"/>
          <w:bCs/>
          <w:vanish/>
          <w:color w:val="000000"/>
          <w:sz w:val="24"/>
        </w:rPr>
      </w:r>
    </w:p>
    <w:p>
      <w:pPr>
        <w:pStyle w:val="ListParagraph"/>
        <w:numPr>
          <w:ilvl w:val="1"/>
          <w:numId w:val="2"/>
        </w:numPr>
        <w:tabs>
          <w:tab w:val="left" w:pos="1440" w:leader="none"/>
        </w:tabs>
        <w:snapToGrid w:val="false"/>
        <w:spacing w:lineRule="auto" w:line="276" w:before="0" w:after="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0" w:after="0"/>
        <w:contextualSpacing/>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0" w:after="0"/>
        <w:contextualSpacing/>
        <w:jc w:val="both"/>
        <w:rPr>
          <w:rFonts w:cs="Arial"/>
          <w:i/>
          <w:i/>
          <w:color w:val="FF0000"/>
          <w:sz w:val="24"/>
        </w:rPr>
      </w:pPr>
      <w:r>
        <w:rPr>
          <w:rFonts w:cs="Arial"/>
          <w:i/>
          <w:color w:val="auto"/>
          <w:sz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0" w:after="0"/>
        <w:contextualSpacing/>
        <w:jc w:val="both"/>
        <w:rPr>
          <w:rFonts w:cs="Arial"/>
          <w:i/>
          <w:i/>
          <w:color w:val="FF0000"/>
          <w:sz w:val="24"/>
        </w:rPr>
      </w:pPr>
      <w:r>
        <w:rPr>
          <w:rFonts w:cs="Arial"/>
          <w:i/>
          <w:color w:val="auto"/>
          <w:sz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0" w:after="0"/>
        <w:contextualSpacing/>
        <w:jc w:val="both"/>
        <w:rPr>
          <w:rFonts w:cs="Arial"/>
          <w:i/>
          <w:i/>
          <w:color w:val="FF0000"/>
          <w:sz w:val="24"/>
        </w:rPr>
      </w:pPr>
      <w:r>
        <w:rPr>
          <w:rFonts w:cs="Arial"/>
          <w:i/>
          <w:color w:val="auto"/>
          <w:sz w:val="24"/>
        </w:rPr>
        <w:t>Sem prejuízo do disposto acima, os lances poderão ser enviados manualmente, na forma da seção respectiva deste Aviso de Contratação Direta;</w:t>
      </w:r>
    </w:p>
    <w:p>
      <w:pPr>
        <w:pStyle w:val="Normal"/>
        <w:numPr>
          <w:ilvl w:val="2"/>
          <w:numId w:val="1"/>
        </w:numPr>
        <w:spacing w:lineRule="auto" w:line="276" w:before="0" w:after="0"/>
        <w:contextualSpacing/>
        <w:jc w:val="both"/>
        <w:rPr>
          <w:rFonts w:cs="Arial"/>
          <w:i/>
          <w:i/>
          <w:color w:val="FF0000"/>
          <w:sz w:val="24"/>
        </w:rPr>
      </w:pPr>
      <w:r>
        <w:rPr>
          <w:rFonts w:cs="Arial"/>
          <w:i/>
          <w:color w:val="auto"/>
          <w:sz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0" w:after="0"/>
        <w:contextualSpacing/>
        <w:jc w:val="both"/>
        <w:rPr>
          <w:color w:val="auto"/>
        </w:rPr>
      </w:pPr>
      <w:r>
        <w:rPr>
          <w:rFonts w:cs="Arial"/>
          <w:i/>
          <w:color w:val="auto"/>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numPr>
          <w:ilvl w:val="0"/>
          <w:numId w:val="0"/>
        </w:numPr>
        <w:spacing w:lineRule="auto" w:line="276" w:before="0" w:after="0"/>
        <w:ind w:left="1224" w:hanging="0"/>
        <w:contextualSpacing/>
        <w:jc w:val="both"/>
        <w:rPr>
          <w:rFonts w:cs="Arial"/>
          <w:i/>
          <w:i/>
          <w:sz w:val="24"/>
        </w:rPr>
      </w:pPr>
      <w:r>
        <w:rPr>
          <w:rFonts w:cs="Arial"/>
          <w:i/>
          <w:sz w:val="24"/>
        </w:rPr>
      </w:r>
    </w:p>
    <w:p>
      <w:pPr>
        <w:pStyle w:val="Ttulo1"/>
        <w:numPr>
          <w:ilvl w:val="0"/>
          <w:numId w:val="1"/>
        </w:numPr>
        <w:spacing w:before="0" w:after="0"/>
        <w:contextualSpacing/>
        <w:rPr/>
      </w:pPr>
      <w:bookmarkStart w:id="3" w:name="_Toc104906821"/>
      <w:r>
        <w:rPr>
          <w:rFonts w:cs="Arial" w:ascii="Arial" w:hAnsi="Arial"/>
          <w:color w:val="auto"/>
          <w:sz w:val="24"/>
          <w:szCs w:val="24"/>
        </w:rPr>
        <w:t>FASE DE LANCES</w:t>
      </w:r>
      <w:bookmarkEnd w:id="3"/>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0" w:after="0"/>
        <w:contextualSpacing/>
        <w:jc w:val="both"/>
        <w:rPr>
          <w:i w:val="false"/>
          <w:i w:val="false"/>
          <w:iCs w:val="false"/>
          <w:color w:val="auto"/>
        </w:rPr>
      </w:pPr>
      <w:r>
        <w:rPr>
          <w:rFonts w:cs="Arial"/>
          <w:i w:val="false"/>
          <w:iCs w:val="false"/>
          <w:color w:val="auto"/>
          <w:sz w:val="24"/>
        </w:rPr>
        <w:t>O lance deverá ser ofertado pelo valor unitário do item.</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0" w:after="0"/>
        <w:contextualSpacing/>
        <w:jc w:val="both"/>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eastAsia="Times New Roman" w:cs="Arial"/>
          <w:i w:val="false"/>
          <w:iCs w:val="false"/>
          <w:color w:val="000000"/>
          <w:sz w:val="24"/>
          <w:szCs w:val="24"/>
          <w:lang w:eastAsia="pt-BR"/>
        </w:rPr>
        <w:t>0,01</w:t>
      </w:r>
      <w:r>
        <w:rPr>
          <w:rFonts w:cs="Arial"/>
          <w:i w:val="false"/>
          <w:iCs w:val="false"/>
          <w:color w:val="000000"/>
          <w:sz w:val="24"/>
          <w:szCs w:val="24"/>
          <w:lang w:eastAsia="en-US"/>
        </w:rPr>
        <w:t xml:space="preserve"> (</w:t>
      </w:r>
      <w:r>
        <w:rPr>
          <w:rFonts w:eastAsia="Times New Roman" w:cs="Arial"/>
          <w:i w:val="false"/>
          <w:iCs w:val="false"/>
          <w:color w:val="000000"/>
          <w:sz w:val="24"/>
          <w:szCs w:val="24"/>
          <w:lang w:eastAsia="pt-BR"/>
        </w:rPr>
        <w:t>hum centavo</w:t>
      </w:r>
      <w:r>
        <w:rPr>
          <w:rFonts w:cs="Arial"/>
          <w:i w:val="false"/>
          <w:iCs w:val="false"/>
          <w:color w:val="000000"/>
          <w:sz w:val="24"/>
          <w:szCs w:val="24"/>
          <w:lang w:eastAsia="en-US"/>
        </w:rPr>
        <w:t>).</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0" w:after="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0" w:after="0"/>
        <w:ind w:left="720" w:hanging="0"/>
        <w:contextualSpacing/>
        <w:jc w:val="both"/>
        <w:rPr>
          <w:rFonts w:cs="Arial"/>
          <w:sz w:val="24"/>
        </w:rPr>
      </w:pPr>
      <w:r>
        <w:rPr>
          <w:rFonts w:cs="Arial"/>
          <w:sz w:val="24"/>
        </w:rPr>
      </w:r>
    </w:p>
    <w:p>
      <w:pPr>
        <w:pStyle w:val="Ttulo1"/>
        <w:numPr>
          <w:ilvl w:val="0"/>
          <w:numId w:val="1"/>
        </w:numPr>
        <w:spacing w:before="0" w:after="0"/>
        <w:contextualSpacing/>
        <w:rPr>
          <w:rFonts w:ascii="Arial" w:hAnsi="Arial" w:cs="Arial"/>
          <w:color w:val="auto"/>
          <w:sz w:val="24"/>
          <w:szCs w:val="24"/>
        </w:rPr>
      </w:pPr>
      <w:bookmarkStart w:id="4" w:name="_Toc104906822"/>
      <w:r>
        <w:rPr>
          <w:rFonts w:cs="Arial" w:ascii="Arial" w:hAnsi="Arial"/>
          <w:color w:val="auto"/>
          <w:sz w:val="24"/>
          <w:szCs w:val="24"/>
        </w:rPr>
        <w:t>JULGAMENTO DAS PROPOSTAS DE PREÇO</w:t>
      </w:r>
      <w:bookmarkEnd w:id="4"/>
    </w:p>
    <w:p>
      <w:pPr>
        <w:pStyle w:val="ListParagraph"/>
        <w:numPr>
          <w:ilvl w:val="1"/>
          <w:numId w:val="1"/>
        </w:numPr>
        <w:spacing w:lineRule="auto" w:line="276" w:before="0" w:after="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0" w:after="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0" w:after="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0" w:after="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0" w:after="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0" w:after="0"/>
        <w:contextualSpacing/>
        <w:jc w:val="both"/>
        <w:rPr/>
      </w:pPr>
      <w:r>
        <w:rPr>
          <w:rFonts w:cs="Arial"/>
          <w:sz w:val="24"/>
        </w:rPr>
        <w:t>Estando o preço compatível, será solicitado o envio da proposta e, se necessário, de documentos complementares, adequada ao último lance.</w:t>
      </w:r>
    </w:p>
    <w:p>
      <w:pPr>
        <w:pStyle w:val="Normal"/>
        <w:numPr>
          <w:ilvl w:val="1"/>
          <w:numId w:val="1"/>
        </w:numPr>
        <w:spacing w:lineRule="auto" w:line="276" w:before="0" w:after="0"/>
        <w:contextualSpacing/>
        <w:jc w:val="both"/>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w:t>
      </w:r>
      <w:r>
        <w:rPr>
          <w:rFonts w:eastAsia="Times New Roman" w:cs="Arial"/>
          <w:i w:val="false"/>
          <w:iCs w:val="false"/>
          <w:color w:val="000000"/>
          <w:sz w:val="24"/>
          <w:szCs w:val="24"/>
          <w:lang w:eastAsia="pt-BR"/>
        </w:rPr>
        <w:t>60</w:t>
      </w:r>
      <w:r>
        <w:rPr>
          <w:rFonts w:cs="Arial"/>
          <w:i w:val="false"/>
          <w:iCs w:val="false"/>
          <w:color w:val="000000"/>
          <w:sz w:val="24"/>
          <w:szCs w:val="24"/>
        </w:rPr>
        <w:t xml:space="preserve"> (</w:t>
      </w:r>
      <w:r>
        <w:rPr>
          <w:rFonts w:eastAsia="Times New Roman" w:cs="Arial"/>
          <w:i w:val="false"/>
          <w:iCs w:val="false"/>
          <w:color w:val="000000"/>
          <w:sz w:val="24"/>
          <w:szCs w:val="24"/>
          <w:lang w:eastAsia="pt-BR"/>
        </w:rPr>
        <w:t>sessenta</w:t>
      </w:r>
      <w:r>
        <w:rPr>
          <w:rFonts w:cs="Arial"/>
          <w:i w:val="false"/>
          <w:iCs w:val="false"/>
          <w:color w:val="000000"/>
          <w:sz w:val="24"/>
          <w:szCs w:val="24"/>
        </w:rPr>
        <w:t>)</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pPr>
        <w:pStyle w:val="ListParagraph"/>
        <w:numPr>
          <w:ilvl w:val="1"/>
          <w:numId w:val="1"/>
        </w:numPr>
        <w:spacing w:lineRule="auto" w:line="276" w:before="0" w:after="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0" w:after="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0" w:after="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0" w:after="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0" w:after="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0" w:after="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0" w:after="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0" w:after="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0" w:after="0"/>
        <w:contextualSpacing/>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0"/>
          <w:numId w:val="0"/>
        </w:numPr>
        <w:spacing w:lineRule="auto" w:line="276" w:before="0" w:after="0"/>
        <w:ind w:left="1944" w:right="-15" w:hanging="0"/>
        <w:contextualSpacing/>
        <w:jc w:val="both"/>
        <w:rPr>
          <w:rFonts w:cs="Arial"/>
          <w:i/>
          <w:i/>
          <w:color w:val="FF0000"/>
          <w:sz w:val="24"/>
        </w:rPr>
      </w:pPr>
      <w:r>
        <w:rPr>
          <w:rFonts w:cs="Arial"/>
          <w:i/>
          <w:color w:val="FF0000"/>
          <w:sz w:val="24"/>
        </w:rPr>
      </w:r>
    </w:p>
    <w:p>
      <w:pPr>
        <w:pStyle w:val="ListParagraph"/>
        <w:numPr>
          <w:ilvl w:val="1"/>
          <w:numId w:val="1"/>
        </w:numPr>
        <w:spacing w:lineRule="auto" w:line="276" w:before="0" w:after="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0" w:after="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0" w:after="0"/>
        <w:contextualSpacing/>
        <w:jc w:val="both"/>
        <w:rPr/>
      </w:pPr>
      <w:r>
        <w:rPr>
          <w:rFonts w:cs="Arial"/>
          <w:color w:val="000000" w:themeColor="text1"/>
          <w:sz w:val="24"/>
          <w:lang w:eastAsia="en-US"/>
        </w:rPr>
        <w:t>Encerrada a análise quanto à aceitação da proposta, se iniciará a fase de habilitação, observado o disposto neste Aviso de Contratação Direta.</w:t>
      </w:r>
    </w:p>
    <w:p>
      <w:pPr>
        <w:pStyle w:val="ListParagraph"/>
        <w:numPr>
          <w:ilvl w:val="0"/>
          <w:numId w:val="0"/>
        </w:numPr>
        <w:spacing w:lineRule="auto" w:line="276" w:before="0" w:after="0"/>
        <w:ind w:left="1512" w:hanging="0"/>
        <w:contextualSpacing/>
        <w:jc w:val="both"/>
        <w:rPr>
          <w:rFonts w:cs="Arial"/>
          <w:color w:val="000000" w:themeColor="text1"/>
          <w:sz w:val="24"/>
          <w:lang w:eastAsia="en-US"/>
        </w:rPr>
      </w:pPr>
      <w:r>
        <w:rPr>
          <w:rFonts w:cs="Arial"/>
          <w:color w:val="000000" w:themeColor="text1"/>
          <w:sz w:val="24"/>
          <w:lang w:eastAsia="en-US"/>
        </w:rPr>
      </w:r>
    </w:p>
    <w:p>
      <w:pPr>
        <w:pStyle w:val="Ttulo1"/>
        <w:numPr>
          <w:ilvl w:val="0"/>
          <w:numId w:val="1"/>
        </w:numPr>
        <w:spacing w:before="0" w:after="0"/>
        <w:contextualSpacing/>
        <w:rPr>
          <w:rFonts w:ascii="Arial" w:hAnsi="Arial" w:cs="Arial"/>
          <w:color w:val="auto"/>
          <w:sz w:val="24"/>
          <w:szCs w:val="24"/>
        </w:rPr>
      </w:pPr>
      <w:bookmarkStart w:id="5" w:name="_Toc104906823"/>
      <w:r>
        <w:rPr>
          <w:rFonts w:cs="Arial" w:ascii="Arial" w:hAnsi="Arial"/>
          <w:color w:val="auto"/>
          <w:sz w:val="24"/>
          <w:szCs w:val="24"/>
        </w:rPr>
        <w:t>HABILITAÇÃO</w:t>
      </w:r>
      <w:bookmarkEnd w:id="5"/>
    </w:p>
    <w:p>
      <w:pPr>
        <w:pStyle w:val="ListParagraph"/>
        <w:numPr>
          <w:ilvl w:val="1"/>
          <w:numId w:val="1"/>
        </w:numPr>
        <w:spacing w:lineRule="auto" w:line="276" w:before="0" w:after="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0" w:after="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0" w:after="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0" w:after="0"/>
        <w:ind w:left="1134" w:hanging="0"/>
        <w:contextualSpacing/>
        <w:jc w:val="both"/>
        <w:rPr/>
      </w:pPr>
      <w:r>
        <w:rPr>
          <w:rFonts w:cs="Arial"/>
          <w:sz w:val="24"/>
          <w:lang w:eastAsia="ar-SA"/>
        </w:rPr>
        <w:t>b) Cadastro Nacional de Empresas Inidôneas e Suspensas - CEIS, mantido pela Controladoria-Geral da União (</w:t>
      </w:r>
      <w:hyperlink r:id="rId3">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0" w:after="0"/>
        <w:ind w:left="1134" w:hanging="0"/>
        <w:contextualSpacing/>
        <w:jc w:val="both"/>
        <w:rPr/>
      </w:pPr>
      <w:r>
        <w:rPr>
          <w:rFonts w:cs="Arial"/>
          <w:sz w:val="24"/>
          <w:lang w:eastAsia="ar-SA"/>
        </w:rPr>
        <w:t>c) Cadastro Nacional de Condenações Cíveis por Atos de Improbidade Administrativa, mantido pelo Conselho Nacional de Justiça (</w:t>
      </w:r>
      <w:hyperlink r:id="rId4">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0" w:after="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0" w:after="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0" w:after="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0" w:after="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0" w:after="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0" w:after="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0" w:after="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0" w:after="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0" w:after="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0" w:after="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0" w:after="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0" w:after="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0" w:after="0"/>
        <w:ind w:left="792" w:hanging="574"/>
        <w:contextualSpacing/>
        <w:jc w:val="both"/>
        <w:rPr>
          <w:rFonts w:cs="Arial"/>
          <w:b/>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0" w:after="0"/>
        <w:ind w:left="792" w:hanging="574"/>
        <w:contextualSpacing/>
        <w:jc w:val="both"/>
        <w:rPr>
          <w:rFonts w:cs="Arial"/>
          <w:i/>
          <w:i/>
          <w:color w:val="FF0000"/>
          <w:sz w:val="24"/>
        </w:rPr>
      </w:pPr>
      <w:r>
        <w:rPr>
          <w:rFonts w:cs="Arial"/>
          <w:i w:val="false"/>
          <w:iCs w:val="false"/>
          <w:color w:val="auto"/>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0" w:after="0"/>
        <w:contextualSpacing/>
        <w:jc w:val="both"/>
        <w:rPr>
          <w:i w:val="false"/>
          <w:i w:val="false"/>
          <w:iCs w:val="false"/>
          <w:color w:val="auto"/>
        </w:rPr>
      </w:pPr>
      <w:r>
        <w:rPr>
          <w:rFonts w:cs="Arial"/>
          <w:i w:val="false"/>
          <w:iCs w:val="false"/>
          <w:color w:val="auto"/>
          <w:sz w:val="24"/>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0" w:after="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0" w:after="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0" w:after="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0" w:after="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0" w:after="0"/>
        <w:ind w:left="218" w:hanging="0"/>
        <w:contextualSpacing/>
        <w:jc w:val="both"/>
        <w:rPr>
          <w:rFonts w:cs="Arial"/>
          <w:iCs/>
          <w:sz w:val="24"/>
          <w:lang w:eastAsia="en-US"/>
        </w:rPr>
      </w:pPr>
      <w:r>
        <w:rPr>
          <w:rFonts w:cs="Arial"/>
          <w:iCs/>
          <w:sz w:val="24"/>
          <w:lang w:eastAsia="en-US"/>
        </w:rPr>
      </w:r>
    </w:p>
    <w:p>
      <w:pPr>
        <w:pStyle w:val="Ttulo1"/>
        <w:numPr>
          <w:ilvl w:val="0"/>
          <w:numId w:val="1"/>
        </w:numPr>
        <w:spacing w:before="0" w:after="0"/>
        <w:contextualSpacing/>
        <w:rPr>
          <w:rFonts w:ascii="Arial" w:hAnsi="Arial" w:cs="Arial"/>
          <w:color w:val="auto"/>
          <w:sz w:val="24"/>
          <w:szCs w:val="24"/>
        </w:rPr>
      </w:pPr>
      <w:bookmarkStart w:id="6" w:name="_Toc104906824"/>
      <w:r>
        <w:rPr>
          <w:rFonts w:cs="Arial" w:ascii="Arial" w:hAnsi="Arial"/>
          <w:color w:val="auto"/>
          <w:sz w:val="24"/>
          <w:szCs w:val="24"/>
        </w:rPr>
        <w:t>CONTRATAÇÃO</w:t>
      </w:r>
      <w:bookmarkEnd w:id="6"/>
    </w:p>
    <w:p>
      <w:pPr>
        <w:pStyle w:val="Normal"/>
        <w:numPr>
          <w:ilvl w:val="1"/>
          <w:numId w:val="1"/>
        </w:numPr>
        <w:spacing w:lineRule="auto" w:line="276" w:before="0" w:after="0"/>
        <w:ind w:left="857" w:hanging="432"/>
        <w:contextualSpacing/>
        <w:jc w:val="both"/>
        <w:rPr/>
      </w:pPr>
      <w:r>
        <w:rPr>
          <w:rFonts w:eastAsia="Arial" w:cs="Arial"/>
          <w:color w:val="000000"/>
          <w:sz w:val="24"/>
        </w:rPr>
        <w:t>Após a homologação e adjudicação, caso se conclua pela contratação, será firmado Termo de Contrato ou emitido instrumento equivalente.</w:t>
      </w:r>
    </w:p>
    <w:p>
      <w:pPr>
        <w:pStyle w:val="Normal"/>
        <w:numPr>
          <w:ilvl w:val="1"/>
          <w:numId w:val="1"/>
        </w:numPr>
        <w:spacing w:lineRule="auto" w:line="276" w:before="0" w:after="0"/>
        <w:contextualSpacing/>
        <w:jc w:val="both"/>
        <w:rPr>
          <w:color w:val="auto"/>
        </w:rPr>
      </w:pPr>
      <w:r>
        <w:rPr>
          <w:rFonts w:eastAsia="Arial" w:cs="Arial"/>
          <w:color w:val="auto"/>
          <w:sz w:val="24"/>
        </w:rPr>
        <w:t xml:space="preserve">O adjudicatário terá o prazo de </w:t>
      </w:r>
      <w:r>
        <w:rPr>
          <w:rFonts w:eastAsia="Arial" w:cs="Arial"/>
          <w:i w:val="false"/>
          <w:iCs w:val="false"/>
          <w:color w:val="auto"/>
          <w:sz w:val="24"/>
          <w:szCs w:val="24"/>
          <w:lang w:eastAsia="pt-BR"/>
        </w:rPr>
        <w:t xml:space="preserve">5 </w:t>
      </w:r>
      <w:r>
        <w:rPr>
          <w:rFonts w:eastAsia="Arial" w:cs="Arial"/>
          <w:i w:val="false"/>
          <w:iCs w:val="false"/>
          <w:color w:val="auto"/>
          <w:sz w:val="24"/>
          <w:szCs w:val="24"/>
        </w:rPr>
        <w:t>(</w:t>
      </w:r>
      <w:r>
        <w:rPr>
          <w:rFonts w:eastAsia="Arial" w:cs="Arial"/>
          <w:i w:val="false"/>
          <w:iCs w:val="false"/>
          <w:color w:val="auto"/>
          <w:sz w:val="24"/>
          <w:szCs w:val="24"/>
          <w:lang w:eastAsia="pt-BR"/>
        </w:rPr>
        <w:t>cinco</w:t>
      </w:r>
      <w:r>
        <w:rPr>
          <w:rFonts w:eastAsia="Arial" w:cs="Arial"/>
          <w:i w:val="false"/>
          <w:iCs w:val="false"/>
          <w:color w:val="auto"/>
          <w:sz w:val="24"/>
          <w:szCs w:val="24"/>
        </w:rPr>
        <w:t>)</w:t>
      </w:r>
      <w:r>
        <w:rPr>
          <w:rFonts w:eastAsia="Arial" w:cs="Arial"/>
          <w:color w:val="auto"/>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0" w:after="0"/>
        <w:contextualSpacing/>
        <w:jc w:val="both"/>
        <w:rPr>
          <w:i w:val="false"/>
          <w:i w:val="false"/>
          <w:iCs w:val="false"/>
          <w:color w:val="auto"/>
        </w:rPr>
      </w:pPr>
      <w:r>
        <w:rPr>
          <w:rFonts w:eastAsia="Arial" w:cs="Arial"/>
          <w:i w:val="false"/>
          <w:iCs w:val="false"/>
          <w:color w:val="auto"/>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Pr>
          <w:rFonts w:eastAsia="Arial" w:cs="Arial"/>
          <w:i w:val="false"/>
          <w:iCs w:val="false"/>
          <w:color w:val="auto"/>
          <w:sz w:val="24"/>
          <w:szCs w:val="24"/>
          <w:lang w:eastAsia="pt-BR"/>
        </w:rPr>
        <w:t xml:space="preserve">5 </w:t>
      </w:r>
      <w:r>
        <w:rPr>
          <w:rFonts w:eastAsia="Arial" w:cs="Arial"/>
          <w:i w:val="false"/>
          <w:iCs w:val="false"/>
          <w:color w:val="auto"/>
          <w:sz w:val="24"/>
          <w:szCs w:val="24"/>
        </w:rPr>
        <w:t>(</w:t>
      </w:r>
      <w:r>
        <w:rPr>
          <w:rFonts w:eastAsia="Arial" w:cs="Arial"/>
          <w:i w:val="false"/>
          <w:iCs w:val="false"/>
          <w:color w:val="auto"/>
          <w:sz w:val="24"/>
          <w:szCs w:val="24"/>
          <w:lang w:eastAsia="pt-BR"/>
        </w:rPr>
        <w:t>cinco</w:t>
      </w:r>
      <w:r>
        <w:rPr>
          <w:rFonts w:eastAsia="Arial" w:cs="Arial"/>
          <w:i w:val="false"/>
          <w:iCs w:val="false"/>
          <w:color w:val="auto"/>
          <w:sz w:val="24"/>
          <w:szCs w:val="24"/>
        </w:rPr>
        <w:t xml:space="preserve">) </w:t>
      </w:r>
      <w:r>
        <w:rPr>
          <w:rFonts w:eastAsia="Arial" w:cs="Arial"/>
          <w:i w:val="false"/>
          <w:iCs w:val="false"/>
          <w:color w:val="auto"/>
          <w:sz w:val="24"/>
        </w:rPr>
        <w:t xml:space="preserve">dias, a contar da data de seu recebimento. </w:t>
      </w:r>
    </w:p>
    <w:p>
      <w:pPr>
        <w:pStyle w:val="Normal"/>
        <w:numPr>
          <w:ilvl w:val="2"/>
          <w:numId w:val="1"/>
        </w:numPr>
        <w:spacing w:lineRule="auto" w:line="276" w:before="0" w:after="0"/>
        <w:contextualSpacing/>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0" w:after="0"/>
        <w:ind w:left="425" w:hanging="0"/>
        <w:contextualSpacing/>
        <w:jc w:val="both"/>
        <w:rPr>
          <w:rFonts w:eastAsia="Arial" w:cs="Arial"/>
          <w:i/>
          <w:i/>
          <w:color w:val="FF0000"/>
          <w:sz w:val="24"/>
        </w:rPr>
      </w:pPr>
      <w:r>
        <w:rPr>
          <w:rFonts w:eastAsia="Arial" w:cs="Arial"/>
          <w:i w:val="false"/>
          <w:iCs w:val="false"/>
          <w:color w:val="auto"/>
          <w:sz w:val="24"/>
        </w:rPr>
        <w:t>O Aceite da Nota de Empenho ou do instrumento equivalente, emitida à empresa adjudicada, implica no reconhecimento de que:</w:t>
      </w:r>
    </w:p>
    <w:p>
      <w:pPr>
        <w:pStyle w:val="Normal"/>
        <w:numPr>
          <w:ilvl w:val="2"/>
          <w:numId w:val="1"/>
        </w:numPr>
        <w:spacing w:lineRule="auto" w:line="276" w:before="0" w:after="0"/>
        <w:contextualSpacing/>
        <w:jc w:val="both"/>
        <w:rPr>
          <w:rFonts w:eastAsia="Arial" w:cs="Arial"/>
          <w:i/>
          <w:i/>
          <w:color w:val="FF0000"/>
          <w:sz w:val="24"/>
        </w:rPr>
      </w:pPr>
      <w:r>
        <w:rPr>
          <w:rFonts w:eastAsia="Arial" w:cs="Arial"/>
          <w:i w:val="false"/>
          <w:iCs w:val="false"/>
          <w:color w:val="auto"/>
          <w:sz w:val="24"/>
        </w:rPr>
        <w:t>referida Nota está substituindo o contrato, aplicando-se à relação de negócios ali estabelecida as disposições da Lei nº 14.133, de 2021;</w:t>
      </w:r>
    </w:p>
    <w:p>
      <w:pPr>
        <w:pStyle w:val="Normal"/>
        <w:numPr>
          <w:ilvl w:val="2"/>
          <w:numId w:val="1"/>
        </w:numPr>
        <w:spacing w:lineRule="auto" w:line="276" w:before="0" w:after="0"/>
        <w:contextualSpacing/>
        <w:jc w:val="both"/>
        <w:rPr>
          <w:rFonts w:eastAsia="Arial" w:cs="Arial"/>
          <w:i/>
          <w:i/>
          <w:color w:val="FF0000"/>
          <w:sz w:val="24"/>
        </w:rPr>
      </w:pPr>
      <w:r>
        <w:rPr>
          <w:rFonts w:eastAsia="Arial" w:cs="Arial"/>
          <w:i w:val="false"/>
          <w:iCs w:val="false"/>
          <w:color w:val="auto"/>
          <w:sz w:val="24"/>
        </w:rPr>
        <w:t>a contratada se vincula à sua proposta e às previsões contidas no Aviso de Contratação Direta e seus anexos;</w:t>
      </w:r>
    </w:p>
    <w:p>
      <w:pPr>
        <w:pStyle w:val="Normal"/>
        <w:numPr>
          <w:ilvl w:val="2"/>
          <w:numId w:val="1"/>
        </w:numPr>
        <w:spacing w:lineRule="auto" w:line="276" w:before="0" w:after="0"/>
        <w:contextualSpacing/>
        <w:jc w:val="both"/>
        <w:rPr>
          <w:i w:val="false"/>
          <w:i w:val="false"/>
          <w:iCs w:val="false"/>
          <w:color w:val="auto"/>
        </w:rPr>
      </w:pPr>
      <w:r>
        <w:rPr>
          <w:rFonts w:eastAsia="Arial" w:cs="Arial"/>
          <w:i w:val="false"/>
          <w:iCs w:val="false"/>
          <w:color w:val="auto"/>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0" w:after="0"/>
        <w:contextualSpacing/>
        <w:jc w:val="both"/>
        <w:rPr/>
      </w:pPr>
      <w:r>
        <w:rPr>
          <w:rFonts w:eastAsia="Arial" w:cs="Arial"/>
          <w:color w:val="000000"/>
          <w:sz w:val="24"/>
        </w:rPr>
        <w:t>O prazo de vigência da contratação é de</w:t>
      </w:r>
      <w:r>
        <w:rPr>
          <w:rFonts w:eastAsia="Arial" w:cs="Arial"/>
          <w:color w:val="FF0000"/>
          <w:sz w:val="24"/>
        </w:rPr>
        <w:t xml:space="preserve"> </w:t>
      </w:r>
      <w:r>
        <w:rPr>
          <w:rFonts w:eastAsia="Arial" w:cs="Arial"/>
          <w:color w:val="000000"/>
          <w:sz w:val="24"/>
        </w:rPr>
        <w:t xml:space="preserve">12 meses prorrogável conforme previsão nos anexos a este Aviso de Contratação Direta. </w:t>
      </w:r>
    </w:p>
    <w:p>
      <w:pPr>
        <w:pStyle w:val="Normal"/>
        <w:numPr>
          <w:ilvl w:val="1"/>
          <w:numId w:val="1"/>
        </w:numPr>
        <w:spacing w:lineRule="auto" w:line="276" w:before="0" w:after="0"/>
        <w:ind w:left="425" w:hanging="0"/>
        <w:contextualSpacing/>
        <w:jc w:val="both"/>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76" w:before="0" w:after="0"/>
        <w:ind w:left="1217" w:hanging="0"/>
        <w:contextualSpacing/>
        <w:jc w:val="both"/>
        <w:rPr>
          <w:rFonts w:cs="Arial"/>
          <w:color w:val="000000"/>
          <w:sz w:val="24"/>
        </w:rPr>
      </w:pPr>
      <w:r>
        <w:rPr>
          <w:rFonts w:cs="Arial"/>
          <w:color w:val="000000"/>
          <w:sz w:val="24"/>
        </w:rPr>
      </w:r>
    </w:p>
    <w:p>
      <w:pPr>
        <w:pStyle w:val="Ttulo1"/>
        <w:numPr>
          <w:ilvl w:val="0"/>
          <w:numId w:val="1"/>
        </w:numPr>
        <w:spacing w:before="0" w:after="0"/>
        <w:contextualSpacing/>
        <w:rPr>
          <w:rFonts w:ascii="Arial" w:hAnsi="Arial" w:cs="Arial"/>
          <w:color w:val="auto"/>
          <w:sz w:val="24"/>
          <w:szCs w:val="24"/>
        </w:rPr>
      </w:pPr>
      <w:bookmarkStart w:id="7" w:name="_Toc104906825"/>
      <w:r>
        <w:rPr>
          <w:rFonts w:cs="Arial" w:ascii="Arial" w:hAnsi="Arial"/>
          <w:color w:val="auto"/>
          <w:sz w:val="24"/>
          <w:szCs w:val="24"/>
        </w:rPr>
        <w:t>SANÇÕES</w:t>
      </w:r>
      <w:bookmarkEnd w:id="7"/>
    </w:p>
    <w:p>
      <w:pPr>
        <w:pStyle w:val="Normal"/>
        <w:numPr>
          <w:ilvl w:val="1"/>
          <w:numId w:val="1"/>
        </w:numPr>
        <w:spacing w:lineRule="auto" w:line="276" w:before="0" w:after="0"/>
        <w:ind w:left="857" w:hanging="432"/>
        <w:contextualSpacing/>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0" w:after="0"/>
        <w:contextualSpacing/>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0" w:after="0"/>
        <w:contextualSpacing/>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0" w:after="0"/>
        <w:contextualSpacing/>
        <w:jc w:val="both"/>
        <w:rPr>
          <w:rFonts w:cs="Arial"/>
          <w:sz w:val="24"/>
        </w:rPr>
      </w:pPr>
      <w:r>
        <w:rPr>
          <w:rFonts w:cs="Arial"/>
          <w:color w:val="000000"/>
          <w:sz w:val="24"/>
        </w:rPr>
        <w:t>dar causa à inexecução total do contrato;</w:t>
      </w:r>
    </w:p>
    <w:p>
      <w:pPr>
        <w:pStyle w:val="Normal"/>
        <w:numPr>
          <w:ilvl w:val="2"/>
          <w:numId w:val="1"/>
        </w:numPr>
        <w:spacing w:lineRule="auto" w:line="276" w:before="0" w:after="0"/>
        <w:contextualSpacing/>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0" w:after="0"/>
        <w:contextualSpacing/>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0" w:after="0"/>
        <w:contextualSpacing/>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0" w:after="0"/>
        <w:contextualSpacing/>
        <w:jc w:val="both"/>
        <w:rPr/>
      </w:pPr>
      <w:r>
        <w:rPr>
          <w:rFonts w:cs="Arial"/>
          <w:color w:val="000000"/>
          <w:sz w:val="24"/>
        </w:rPr>
        <w:t>ensejar o retardamento da execução ou da entrega do objeto da licitação sem motivo justificado;</w:t>
      </w:r>
    </w:p>
    <w:p>
      <w:pPr>
        <w:pStyle w:val="Normal"/>
        <w:numPr>
          <w:ilvl w:val="2"/>
          <w:numId w:val="1"/>
        </w:numPr>
        <w:spacing w:lineRule="auto" w:line="276" w:before="0" w:after="0"/>
        <w:contextualSpacing/>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0" w:after="0"/>
        <w:contextualSpacing/>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0" w:after="0"/>
        <w:contextualSpacing/>
        <w:jc w:val="both"/>
        <w:rPr/>
      </w:pPr>
      <w:r>
        <w:rPr>
          <w:rFonts w:cs="Arial"/>
          <w:color w:val="000000"/>
          <w:sz w:val="24"/>
        </w:rPr>
        <w:t>comportar-se de modo inidôneo ou cometer fraude de qualquer natureza;</w:t>
      </w:r>
    </w:p>
    <w:p>
      <w:pPr>
        <w:pStyle w:val="ListParagraph"/>
        <w:numPr>
          <w:ilvl w:val="3"/>
          <w:numId w:val="1"/>
        </w:numPr>
        <w:spacing w:lineRule="auto" w:line="276" w:before="0" w:after="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0" w:after="0"/>
        <w:contextualSpacing/>
        <w:jc w:val="both"/>
        <w:rPr/>
      </w:pPr>
      <w:r>
        <w:rPr>
          <w:rFonts w:cs="Arial"/>
          <w:color w:val="000000"/>
          <w:sz w:val="24"/>
        </w:rPr>
        <w:t>praticar atos ilícitos com vistas a frustrar os objetivos deste certame.</w:t>
      </w:r>
    </w:p>
    <w:p>
      <w:pPr>
        <w:pStyle w:val="Normal"/>
        <w:numPr>
          <w:ilvl w:val="2"/>
          <w:numId w:val="1"/>
        </w:numPr>
        <w:spacing w:lineRule="auto" w:line="276" w:before="0" w:after="0"/>
        <w:contextualSpacing/>
        <w:jc w:val="both"/>
        <w:rPr/>
      </w:pPr>
      <w:r>
        <w:rPr>
          <w:rFonts w:cs="Arial"/>
          <w:color w:val="000000"/>
          <w:sz w:val="24"/>
        </w:rPr>
        <w:t>praticar ato lesivo previsto no </w:t>
      </w:r>
      <w:r>
        <w:fldChar w:fldCharType="begin"/>
      </w:r>
      <w:r>
        <w:rPr>
          <w:rStyle w:val="ListLabel74"/>
          <w:sz w:val="24"/>
          <w:rFonts w:cs="Arial"/>
        </w:rPr>
        <w:instrText> HYPERLINK "http://www.planalto.gov.br/ccivil_03/_Ato2011-2014/2013/Lei/L12846.htm" \l "art5"</w:instrText>
      </w:r>
      <w:r>
        <w:rPr>
          <w:rStyle w:val="ListLabel74"/>
          <w:sz w:val="24"/>
          <w:rFonts w:cs="Arial"/>
        </w:rPr>
        <w:fldChar w:fldCharType="separate"/>
      </w:r>
      <w:r>
        <w:rPr>
          <w:rStyle w:val="ListLabel74"/>
          <w:rFonts w:cs="Arial"/>
          <w:color w:val="000000"/>
          <w:sz w:val="24"/>
        </w:rPr>
        <w:t>art. 5º da Lei nº 12.846, de 1º de agosto de 2013.</w:t>
      </w:r>
      <w:r>
        <w:rPr>
          <w:rStyle w:val="ListLabel74"/>
          <w:sz w:val="24"/>
          <w:rFonts w:cs="Arial"/>
        </w:rPr>
        <w:fldChar w:fldCharType="end"/>
      </w:r>
    </w:p>
    <w:p>
      <w:pPr>
        <w:pStyle w:val="Normal"/>
        <w:numPr>
          <w:ilvl w:val="1"/>
          <w:numId w:val="1"/>
        </w:numPr>
        <w:spacing w:lineRule="auto" w:line="276" w:before="0" w:after="0"/>
        <w:ind w:left="425" w:hanging="0"/>
        <w:contextualSpacing/>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0" w:after="0"/>
        <w:contextualSpacing/>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5"/>
        </w:numPr>
        <w:spacing w:lineRule="auto" w:line="276" w:before="0" w:after="0"/>
        <w:contextualSpacing/>
        <w:jc w:val="both"/>
        <w:rPr/>
      </w:pPr>
      <w:r>
        <w:rPr>
          <w:rFonts w:cs="Arial"/>
          <w:sz w:val="24"/>
        </w:rPr>
        <w:t xml:space="preserve">Multa de </w:t>
      </w:r>
      <w:r>
        <w:rPr>
          <w:rFonts w:cs="Arial"/>
          <w:i w:val="false"/>
          <w:iCs w:val="false"/>
          <w:color w:val="000000"/>
          <w:sz w:val="24"/>
          <w:szCs w:val="24"/>
        </w:rPr>
        <w:t>2% (dois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5"/>
        </w:numPr>
        <w:spacing w:lineRule="auto" w:line="276" w:before="0" w:after="0"/>
        <w:contextualSpacing/>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5"/>
        </w:numPr>
        <w:spacing w:lineRule="auto" w:line="276" w:before="0" w:after="0"/>
        <w:contextualSpacing/>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0" w:after="0"/>
        <w:contextualSpacing/>
        <w:jc w:val="both"/>
        <w:rPr>
          <w:rFonts w:cs="Arial"/>
          <w:bCs/>
          <w:sz w:val="24"/>
        </w:rPr>
      </w:pPr>
      <w:r>
        <w:rPr>
          <w:rFonts w:cs="Arial"/>
          <w:bCs/>
          <w:sz w:val="24"/>
        </w:rPr>
        <w:t>Na aplicação das sanções serão considerados:</w:t>
      </w:r>
    </w:p>
    <w:p>
      <w:pPr>
        <w:pStyle w:val="Normal"/>
        <w:numPr>
          <w:ilvl w:val="2"/>
          <w:numId w:val="1"/>
        </w:numPr>
        <w:spacing w:lineRule="auto" w:line="276" w:before="0" w:after="0"/>
        <w:contextualSpacing/>
        <w:jc w:val="both"/>
        <w:rPr>
          <w:rFonts w:cs="Arial"/>
          <w:bCs/>
          <w:sz w:val="24"/>
        </w:rPr>
      </w:pPr>
      <w:r>
        <w:rPr>
          <w:rFonts w:cs="Arial"/>
          <w:bCs/>
          <w:sz w:val="24"/>
        </w:rPr>
        <w:t>a natureza e a gravidade da infração cometida;</w:t>
      </w:r>
    </w:p>
    <w:p>
      <w:pPr>
        <w:pStyle w:val="Normal"/>
        <w:numPr>
          <w:ilvl w:val="2"/>
          <w:numId w:val="1"/>
        </w:numPr>
        <w:spacing w:lineRule="auto" w:line="276" w:before="0" w:after="0"/>
        <w:contextualSpacing/>
        <w:jc w:val="both"/>
        <w:rPr>
          <w:rFonts w:cs="Arial"/>
          <w:bCs/>
          <w:sz w:val="24"/>
        </w:rPr>
      </w:pPr>
      <w:r>
        <w:rPr>
          <w:rFonts w:cs="Arial"/>
          <w:bCs/>
          <w:sz w:val="24"/>
        </w:rPr>
        <w:t>as peculiaridades do caso concreto;</w:t>
      </w:r>
    </w:p>
    <w:p>
      <w:pPr>
        <w:pStyle w:val="Normal"/>
        <w:numPr>
          <w:ilvl w:val="2"/>
          <w:numId w:val="1"/>
        </w:numPr>
        <w:spacing w:lineRule="auto" w:line="276" w:before="0" w:after="0"/>
        <w:contextualSpacing/>
        <w:jc w:val="both"/>
        <w:rPr>
          <w:rFonts w:cs="Arial"/>
          <w:bCs/>
          <w:sz w:val="24"/>
        </w:rPr>
      </w:pPr>
      <w:r>
        <w:rPr>
          <w:rFonts w:cs="Arial"/>
          <w:bCs/>
          <w:sz w:val="24"/>
        </w:rPr>
        <w:t>as circunstâncias agravantes ou atenuantes;</w:t>
      </w:r>
    </w:p>
    <w:p>
      <w:pPr>
        <w:pStyle w:val="Normal"/>
        <w:numPr>
          <w:ilvl w:val="2"/>
          <w:numId w:val="1"/>
        </w:numPr>
        <w:spacing w:lineRule="auto" w:line="276" w:before="0" w:after="0"/>
        <w:contextualSpacing/>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0" w:after="0"/>
        <w:contextualSpacing/>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0" w:after="0"/>
        <w:ind w:left="425" w:hanging="0"/>
        <w:contextualSpacing/>
        <w:jc w:val="both"/>
        <w:rPr>
          <w:rFonts w:cs="Arial"/>
          <w:sz w:val="24"/>
        </w:rPr>
      </w:pPr>
      <w:bookmarkStart w:id="8" w:name="art156%25252525C2%25252525A77"/>
      <w:bookmarkStart w:id="9" w:name="art156%25252525C2%25252525A76"/>
      <w:bookmarkStart w:id="10" w:name="art156%25252525C2%25252525A78"/>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0" w:after="0"/>
        <w:ind w:left="425" w:hanging="0"/>
        <w:contextualSpacing/>
        <w:jc w:val="both"/>
        <w:rPr>
          <w:rFonts w:cs="Arial"/>
          <w:sz w:val="24"/>
        </w:rPr>
      </w:pPr>
      <w:bookmarkStart w:id="11" w:name="art156%25252525C2%25252525A79"/>
      <w:bookmarkEnd w:id="11"/>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0" w:after="0"/>
        <w:ind w:left="425" w:hanging="0"/>
        <w:contextualSpacing/>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0" w:after="0"/>
        <w:ind w:left="425" w:hanging="0"/>
        <w:contextualSpacing/>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0" w:after="0"/>
        <w:ind w:left="425" w:hanging="0"/>
        <w:contextualSpacing/>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0" w:after="0"/>
        <w:ind w:left="425" w:hanging="0"/>
        <w:contextualSpacing/>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0" w:after="0"/>
        <w:ind w:left="425" w:hanging="0"/>
        <w:contextualSpacing/>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0" w:after="0"/>
        <w:ind w:left="425" w:hanging="0"/>
        <w:contextualSpacing/>
        <w:jc w:val="both"/>
        <w:rPr>
          <w:rFonts w:cs="Arial"/>
          <w:sz w:val="24"/>
        </w:rPr>
      </w:pPr>
      <w:r>
        <w:rPr>
          <w:rFonts w:cs="Arial"/>
          <w:sz w:val="24"/>
        </w:rPr>
        <w:t>As sanções por atos praticados no decorrer da contratação estão previstas nos anexos a este Aviso.</w:t>
      </w:r>
    </w:p>
    <w:p>
      <w:pPr>
        <w:pStyle w:val="Normal"/>
        <w:spacing w:lineRule="auto" w:line="276" w:before="0" w:after="0"/>
        <w:ind w:left="425" w:hanging="0"/>
        <w:contextualSpacing/>
        <w:jc w:val="both"/>
        <w:rPr>
          <w:rFonts w:cs="Arial"/>
          <w:sz w:val="24"/>
        </w:rPr>
      </w:pPr>
      <w:r>
        <w:rPr>
          <w:rFonts w:cs="Arial"/>
          <w:sz w:val="24"/>
        </w:rPr>
      </w:r>
    </w:p>
    <w:p>
      <w:pPr>
        <w:pStyle w:val="Ttulo1"/>
        <w:numPr>
          <w:ilvl w:val="0"/>
          <w:numId w:val="1"/>
        </w:numPr>
        <w:spacing w:before="0" w:after="0"/>
        <w:contextualSpacing/>
        <w:rPr>
          <w:rFonts w:ascii="Arial" w:hAnsi="Arial" w:cs="Arial"/>
          <w:color w:val="auto"/>
          <w:sz w:val="24"/>
          <w:szCs w:val="24"/>
        </w:rPr>
      </w:pPr>
      <w:bookmarkStart w:id="12" w:name="_Toc104906826"/>
      <w:r>
        <w:rPr>
          <w:rFonts w:cs="Arial" w:ascii="Arial" w:hAnsi="Arial"/>
          <w:color w:val="auto"/>
          <w:sz w:val="24"/>
          <w:szCs w:val="24"/>
        </w:rPr>
        <w:t>DAS DISPOSIÇÕES GERAIS</w:t>
      </w:r>
      <w:bookmarkEnd w:id="12"/>
    </w:p>
    <w:p>
      <w:pPr>
        <w:pStyle w:val="Normal"/>
        <w:numPr>
          <w:ilvl w:val="1"/>
          <w:numId w:val="1"/>
        </w:numPr>
        <w:snapToGrid w:val="false"/>
        <w:spacing w:lineRule="auto" w:line="276" w:before="0" w:after="0"/>
        <w:ind w:left="857" w:hanging="432"/>
        <w:contextualSpacing/>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0" w:after="0"/>
        <w:contextualSpacing/>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0" w:after="0"/>
        <w:contextualSpacing/>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0" w:after="0"/>
        <w:contextualSpacing/>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0" w:after="0"/>
        <w:contextualSpacing/>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0" w:after="0"/>
        <w:ind w:left="425" w:hanging="0"/>
        <w:contextualSpacing/>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0" w:after="0"/>
        <w:ind w:left="425" w:hanging="0"/>
        <w:contextualSpacing/>
        <w:jc w:val="both"/>
        <w:rPr>
          <w:rFonts w:cs="Arial"/>
          <w:color w:val="000000"/>
          <w:sz w:val="24"/>
        </w:rPr>
      </w:pPr>
      <w:r>
        <w:rPr>
          <w:rFonts w:cs="Arial"/>
          <w:color w:val="000000"/>
          <w:sz w:val="24"/>
        </w:rPr>
        <w:t>Integram este Aviso de Contratação Direta, para todos os fins e efeitos, os seguintes anexos:</w:t>
      </w:r>
    </w:p>
    <w:p>
      <w:pPr>
        <w:pStyle w:val="Normal"/>
        <w:numPr>
          <w:ilvl w:val="2"/>
          <w:numId w:val="1"/>
        </w:numPr>
        <w:spacing w:lineRule="auto" w:line="276" w:before="0" w:after="0"/>
        <w:contextualSpacing/>
        <w:jc w:val="both"/>
        <w:rPr/>
      </w:pPr>
      <w:r>
        <w:rPr>
          <w:rFonts w:cs="Arial"/>
          <w:color w:val="000000"/>
          <w:sz w:val="24"/>
        </w:rPr>
        <w:t>ANEXO I – Documentação exigida para Habilitação.</w:t>
      </w:r>
    </w:p>
    <w:p>
      <w:pPr>
        <w:pStyle w:val="Normal"/>
        <w:numPr>
          <w:ilvl w:val="0"/>
          <w:numId w:val="0"/>
        </w:numPr>
        <w:spacing w:lineRule="auto" w:line="276" w:before="0" w:after="0"/>
        <w:ind w:left="1728" w:hanging="0"/>
        <w:contextualSpacing/>
        <w:jc w:val="both"/>
        <w:rPr>
          <w:rFonts w:cs="Arial"/>
          <w:i/>
          <w:i/>
          <w:iCs/>
          <w:color w:val="FF0000"/>
          <w:sz w:val="24"/>
        </w:rPr>
      </w:pPr>
      <w:r>
        <w:rPr>
          <w:rFonts w:cs="Arial"/>
          <w:i/>
          <w:iCs/>
          <w:color w:val="FF0000"/>
          <w:sz w:val="24"/>
        </w:rPr>
      </w:r>
    </w:p>
    <w:p>
      <w:pPr>
        <w:pStyle w:val="Normal"/>
        <w:spacing w:lineRule="auto" w:line="276" w:before="0" w:after="0"/>
        <w:ind w:left="360" w:right="-15" w:hanging="0"/>
        <w:contextualSpacing/>
        <w:jc w:val="center"/>
        <w:rPr>
          <w:rFonts w:cs="Arial"/>
          <w:color w:val="000000"/>
          <w:sz w:val="24"/>
        </w:rPr>
      </w:pPr>
      <w:r>
        <w:rPr>
          <w:rFonts w:cs="Arial"/>
          <w:color w:val="000000"/>
          <w:sz w:val="24"/>
        </w:rPr>
      </w:r>
    </w:p>
    <w:p>
      <w:pPr>
        <w:pStyle w:val="Normal"/>
        <w:spacing w:lineRule="auto" w:line="240" w:before="0" w:after="0"/>
        <w:ind w:left="360" w:right="-15" w:hanging="0"/>
        <w:contextualSpacing/>
        <w:jc w:val="right"/>
        <w:rPr/>
      </w:pPr>
      <w:r>
        <w:rPr>
          <w:rFonts w:cs="Arial"/>
          <w:i w:val="false"/>
          <w:iCs w:val="false"/>
          <w:color w:val="000000"/>
          <w:sz w:val="24"/>
          <w:szCs w:val="24"/>
        </w:rPr>
        <w:t xml:space="preserve">Fortaleza - CE, </w:t>
      </w:r>
      <w:r>
        <w:rPr>
          <w:rFonts w:eastAsia="Times New Roman" w:cs="Arial"/>
          <w:i w:val="false"/>
          <w:iCs w:val="false"/>
          <w:color w:val="auto"/>
          <w:sz w:val="24"/>
          <w:szCs w:val="24"/>
          <w:lang w:eastAsia="pt-BR"/>
        </w:rPr>
        <w:t>04</w:t>
      </w:r>
      <w:r>
        <w:rPr>
          <w:rFonts w:cs="Arial"/>
          <w:i w:val="false"/>
          <w:iCs w:val="false"/>
          <w:color w:val="auto"/>
          <w:sz w:val="24"/>
          <w:szCs w:val="24"/>
        </w:rPr>
        <w:t xml:space="preserve"> </w:t>
      </w:r>
      <w:r>
        <w:rPr>
          <w:rFonts w:cs="Arial"/>
          <w:i w:val="false"/>
          <w:iCs w:val="false"/>
          <w:color w:val="000000"/>
          <w:sz w:val="24"/>
          <w:szCs w:val="24"/>
        </w:rPr>
        <w:t>de outubro de 2022</w:t>
      </w:r>
    </w:p>
    <w:p>
      <w:pPr>
        <w:pStyle w:val="Normal"/>
        <w:spacing w:lineRule="auto" w:line="276" w:before="0" w:after="0"/>
        <w:contextualSpacing/>
        <w:jc w:val="center"/>
        <w:rPr>
          <w:rFonts w:cs="Arial"/>
          <w:b/>
          <w:b/>
          <w:bCs/>
          <w:iCs/>
          <w:color w:val="000000"/>
          <w:sz w:val="24"/>
        </w:rPr>
      </w:pPr>
      <w:r>
        <w:rPr>
          <w:rFonts w:cs="Arial"/>
          <w:b/>
          <w:bCs/>
          <w:iCs/>
          <w:color w:val="000000"/>
          <w:sz w:val="24"/>
        </w:rPr>
      </w:r>
    </w:p>
    <w:p>
      <w:pPr>
        <w:pStyle w:val="Normal"/>
        <w:spacing w:lineRule="auto" w:line="276" w:before="0" w:after="0"/>
        <w:contextualSpacing/>
        <w:jc w:val="center"/>
        <w:rPr>
          <w:rFonts w:cs="Arial"/>
          <w:b/>
          <w:b/>
          <w:bCs/>
          <w:iCs/>
          <w:color w:val="000000"/>
          <w:sz w:val="24"/>
        </w:rPr>
      </w:pPr>
      <w:r>
        <w:rPr>
          <w:rFonts w:cs="Arial"/>
          <w:b/>
          <w:bCs/>
          <w:iCs/>
          <w:color w:val="000000"/>
          <w:sz w:val="24"/>
        </w:rPr>
      </w:r>
    </w:p>
    <w:p>
      <w:pPr>
        <w:pStyle w:val="Normal"/>
        <w:spacing w:lineRule="auto" w:line="276" w:before="0" w:after="0"/>
        <w:contextualSpacing/>
        <w:jc w:val="center"/>
        <w:rPr>
          <w:rFonts w:cs="Arial"/>
          <w:b/>
          <w:b/>
          <w:bCs/>
          <w:iCs/>
          <w:color w:val="000000"/>
          <w:sz w:val="24"/>
        </w:rPr>
      </w:pPr>
      <w:r>
        <w:rPr>
          <w:rFonts w:cs="Arial"/>
          <w:b/>
          <w:bCs/>
          <w:iCs/>
          <w:color w:val="000000"/>
          <w:sz w:val="24"/>
        </w:rPr>
      </w:r>
    </w:p>
    <w:p>
      <w:pPr>
        <w:pStyle w:val="Normal"/>
        <w:spacing w:lineRule="auto" w:line="240" w:before="0" w:after="0"/>
        <w:ind w:left="360" w:right="-15" w:hanging="0"/>
        <w:contextualSpacing/>
        <w:jc w:val="center"/>
        <w:rPr/>
      </w:pPr>
      <w:r>
        <w:rPr>
          <w:rFonts w:eastAsia="Times New Roman" w:cs="Arial"/>
          <w:b w:val="false"/>
          <w:bCs w:val="false"/>
          <w:i w:val="false"/>
          <w:iCs w:val="false"/>
          <w:color w:val="000000"/>
          <w:sz w:val="24"/>
          <w:szCs w:val="24"/>
          <w:lang w:eastAsia="pt-BR"/>
        </w:rPr>
        <w:t>DANIEL ROCHA</w:t>
      </w:r>
    </w:p>
    <w:p>
      <w:pPr>
        <w:pStyle w:val="Normal"/>
        <w:spacing w:lineRule="auto" w:line="240" w:before="0" w:after="0"/>
        <w:ind w:left="360" w:right="-15" w:hanging="0"/>
        <w:contextualSpacing/>
        <w:jc w:val="center"/>
        <w:rPr/>
      </w:pPr>
      <w:r>
        <w:rPr>
          <w:rFonts w:eastAsia="Times New Roman" w:cs="Arial"/>
          <w:b w:val="false"/>
          <w:bCs w:val="false"/>
          <w:i w:val="false"/>
          <w:iCs w:val="false"/>
          <w:color w:val="000000"/>
          <w:sz w:val="24"/>
          <w:szCs w:val="24"/>
          <w:lang w:eastAsia="pt-BR"/>
        </w:rPr>
        <w:t xml:space="preserve">Capitão de Fragata </w:t>
      </w:r>
    </w:p>
    <w:p>
      <w:pPr>
        <w:pStyle w:val="Normal"/>
        <w:spacing w:lineRule="auto" w:line="240" w:before="0" w:after="0"/>
        <w:ind w:left="360" w:right="-15" w:hanging="0"/>
        <w:contextualSpacing/>
        <w:jc w:val="center"/>
        <w:rPr/>
      </w:pPr>
      <w:r>
        <w:rPr>
          <w:rFonts w:eastAsia="Times New Roman" w:cs="Arial"/>
          <w:b w:val="false"/>
          <w:bCs w:val="false"/>
          <w:i w:val="false"/>
          <w:iCs w:val="false"/>
          <w:color w:val="000000"/>
          <w:sz w:val="24"/>
          <w:szCs w:val="24"/>
          <w:lang w:eastAsia="pt-BR"/>
        </w:rPr>
        <w:t xml:space="preserve">Ordenador de Depesas </w:t>
      </w:r>
    </w:p>
    <w:p>
      <w:pPr>
        <w:pStyle w:val="Normal"/>
        <w:spacing w:lineRule="auto" w:line="259" w:before="0" w:after="0"/>
        <w:contextualSpacing/>
        <w:rPr>
          <w:rFonts w:cs="Arial"/>
          <w:b/>
          <w:b/>
          <w:bCs/>
          <w:iCs/>
          <w:color w:val="000000"/>
          <w:sz w:val="24"/>
        </w:rPr>
      </w:pPr>
      <w:r>
        <w:rPr>
          <w:rFonts w:cs="Arial"/>
          <w:b/>
          <w:bCs/>
          <w:iCs/>
          <w:color w:val="000000"/>
          <w:sz w:val="24"/>
        </w:rPr>
      </w:r>
      <w:r>
        <w:br w:type="page"/>
      </w:r>
    </w:p>
    <w:p>
      <w:pPr>
        <w:pStyle w:val="Normal"/>
        <w:spacing w:lineRule="auto" w:line="276" w:before="0" w:after="0"/>
        <w:contextualSpacing/>
        <w:jc w:val="center"/>
        <w:rPr>
          <w:rFonts w:cs="Arial"/>
          <w:sz w:val="24"/>
        </w:rPr>
      </w:pPr>
      <w:r>
        <w:rPr>
          <w:rFonts w:cs="Arial"/>
          <w:sz w:val="24"/>
        </w:rPr>
      </w:r>
    </w:p>
    <w:p>
      <w:pPr>
        <w:pStyle w:val="Ttulododocumento"/>
        <w:spacing w:before="0" w:after="0"/>
        <w:contextualSpacing/>
        <w:jc w:val="center"/>
        <w:rPr/>
      </w:pPr>
      <w:r>
        <w:rPr>
          <w:rFonts w:cs="Arial" w:ascii="Arial" w:hAnsi="Arial"/>
          <w:sz w:val="24"/>
          <w:szCs w:val="24"/>
        </w:rPr>
        <w:t>ANEXO I – DOCUMENTAÇÃO EXIGIDA PARA HABILITAÇÃO</w:t>
      </w:r>
    </w:p>
    <w:p>
      <w:pPr>
        <w:pStyle w:val="Normal"/>
        <w:spacing w:before="0" w:after="0"/>
        <w:contextualSpacing/>
        <w:rPr>
          <w:rFonts w:cs="Arial"/>
          <w:sz w:val="24"/>
          <w:lang w:eastAsia="en-US"/>
        </w:rPr>
      </w:pPr>
      <w:r>
        <w:rPr>
          <w:rFonts w:cs="Arial"/>
          <w:sz w:val="24"/>
          <w:lang w:eastAsia="en-US"/>
        </w:rPr>
      </w:r>
    </w:p>
    <w:p>
      <w:pPr>
        <w:pStyle w:val="Normal"/>
        <w:spacing w:before="0" w:after="0"/>
        <w:contextualSpacing/>
        <w:rPr>
          <w:rFonts w:cs="Arial"/>
          <w:sz w:val="24"/>
          <w:lang w:eastAsia="en-US"/>
        </w:rPr>
      </w:pPr>
      <w:r>
        <w:rPr>
          <w:rFonts w:cs="Arial"/>
          <w:sz w:val="24"/>
          <w:lang w:eastAsia="en-US"/>
        </w:rPr>
      </w:r>
    </w:p>
    <w:p>
      <w:pPr>
        <w:pStyle w:val="PADRO"/>
        <w:keepNext w:val="false"/>
        <w:widowControl/>
        <w:numPr>
          <w:ilvl w:val="0"/>
          <w:numId w:val="3"/>
        </w:numPr>
        <w:shd w:val="clear" w:fill="FFFFFF"/>
        <w:spacing w:before="0" w:after="0"/>
        <w:contextualSpacing/>
        <w:rPr>
          <w:rFonts w:ascii="Arial" w:hAnsi="Arial" w:cs="Arial"/>
          <w:sz w:val="24"/>
        </w:rPr>
      </w:pPr>
      <w:r>
        <w:rPr>
          <w:rFonts w:cs="Arial" w:ascii="Arial" w:hAnsi="Arial"/>
          <w:b/>
          <w:bCs/>
          <w:color w:val="000000"/>
          <w:sz w:val="24"/>
        </w:rPr>
        <w:t xml:space="preserve">Habilitação jurídica: </w:t>
      </w:r>
    </w:p>
    <w:p>
      <w:pPr>
        <w:pStyle w:val="Normal"/>
        <w:numPr>
          <w:ilvl w:val="1"/>
          <w:numId w:val="3"/>
        </w:numPr>
        <w:tabs>
          <w:tab w:val="left" w:pos="1440" w:leader="none"/>
        </w:tabs>
        <w:snapToGrid w:val="false"/>
        <w:spacing w:lineRule="auto" w:line="276" w:before="0" w:after="0"/>
        <w:contextualSpacing/>
        <w:jc w:val="both"/>
        <w:rPr>
          <w:rFonts w:cs="Arial"/>
          <w:sz w:val="24"/>
        </w:rPr>
      </w:pPr>
      <w:r>
        <w:rPr>
          <w:rFonts w:cs="Arial"/>
          <w:sz w:val="24"/>
        </w:rPr>
        <w:t>no caso de empresário individual, inscrição no Registro Público de Empresas Mercantis, a cargo da Junta Comercial da respectiva sede;</w:t>
      </w:r>
    </w:p>
    <w:p>
      <w:pPr>
        <w:pStyle w:val="ListParagraph"/>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inscrição no Registro Público de Empresas Mercantis onde opera, com averbação no Registro onde tem sede a matriz, no caso de ser o participante sucursal, filial ou agência;</w:t>
      </w:r>
    </w:p>
    <w:p>
      <w:pPr>
        <w:pStyle w:val="Normal"/>
        <w:numPr>
          <w:ilvl w:val="1"/>
          <w:numId w:val="3"/>
        </w:numPr>
        <w:tabs>
          <w:tab w:val="left" w:pos="1440" w:leader="none"/>
        </w:tabs>
        <w:snapToGrid w:val="false"/>
        <w:spacing w:lineRule="auto" w:line="276" w:before="0" w:after="0"/>
        <w:contextualSpacing/>
        <w:jc w:val="both"/>
        <w:rPr>
          <w:rFonts w:cs="Arial"/>
          <w:sz w:val="24"/>
        </w:rPr>
      </w:pPr>
      <w:r>
        <w:rPr>
          <w:rFonts w:cs="Arial"/>
          <w:color w:val="000000"/>
          <w:sz w:val="24"/>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left" w:pos="1440" w:leader="none"/>
        </w:tabs>
        <w:snapToGrid w:val="false"/>
        <w:spacing w:lineRule="auto" w:line="276" w:before="0" w:after="0"/>
        <w:contextualSpacing/>
        <w:jc w:val="both"/>
        <w:rPr/>
      </w:pPr>
      <w:r>
        <w:rPr>
          <w:rFonts w:cs="Arial"/>
          <w:color w:val="000000"/>
          <w:sz w:val="24"/>
        </w:rPr>
        <w:t>decreto de autorização, em se tratando de sociedade empresária estrangeira em funcionamento no País;</w:t>
      </w:r>
    </w:p>
    <w:p>
      <w:pPr>
        <w:pStyle w:val="Normal"/>
        <w:spacing w:before="0" w:after="0"/>
        <w:contextualSpacing/>
        <w:rPr>
          <w:rFonts w:cs="Arial"/>
          <w:i/>
          <w:i/>
          <w:iCs/>
          <w:color w:val="FF0000"/>
          <w:sz w:val="24"/>
          <w:highlight w:val="green"/>
        </w:rPr>
      </w:pPr>
      <w:r>
        <w:rPr>
          <w:rFonts w:cs="Arial"/>
          <w:i/>
          <w:iCs/>
          <w:color w:val="FF0000"/>
          <w:sz w:val="24"/>
          <w:highlight w:val="green"/>
        </w:rPr>
      </w:r>
    </w:p>
    <w:p>
      <w:pPr>
        <w:pStyle w:val="ListParagraph"/>
        <w:numPr>
          <w:ilvl w:val="1"/>
          <w:numId w:val="3"/>
        </w:numPr>
        <w:spacing w:lineRule="auto" w:line="276" w:before="0" w:after="0"/>
        <w:contextualSpacing/>
        <w:jc w:val="both"/>
        <w:rPr/>
      </w:pPr>
      <w:r>
        <w:rPr>
          <w:rFonts w:cs="Arial"/>
          <w:bCs/>
          <w:color w:val="000000"/>
          <w:sz w:val="24"/>
        </w:rPr>
        <w:t>Os documentos acima deverão estar acompanhados de todas as alterações ou da consolidação respectiva.</w:t>
      </w:r>
    </w:p>
    <w:p>
      <w:pPr>
        <w:pStyle w:val="ListParagraph"/>
        <w:numPr>
          <w:ilvl w:val="0"/>
          <w:numId w:val="0"/>
        </w:numPr>
        <w:spacing w:lineRule="auto" w:line="276" w:before="0" w:after="0"/>
        <w:ind w:left="1647" w:hanging="0"/>
        <w:contextualSpacing/>
        <w:jc w:val="both"/>
        <w:rPr>
          <w:rFonts w:cs="Arial"/>
          <w:bCs/>
          <w:color w:val="000000"/>
          <w:sz w:val="24"/>
        </w:rPr>
      </w:pPr>
      <w:r>
        <w:rPr>
          <w:rFonts w:cs="Arial"/>
          <w:bCs/>
          <w:color w:val="000000"/>
          <w:sz w:val="24"/>
        </w:rPr>
      </w:r>
    </w:p>
    <w:p>
      <w:pPr>
        <w:pStyle w:val="PADRO"/>
        <w:keepNext w:val="false"/>
        <w:widowControl/>
        <w:numPr>
          <w:ilvl w:val="0"/>
          <w:numId w:val="3"/>
        </w:numPr>
        <w:shd w:val="clear" w:fill="FFFFFF"/>
        <w:spacing w:before="0" w:after="0"/>
        <w:contextualSpacing/>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3"/>
        </w:numPr>
        <w:tabs>
          <w:tab w:val="left" w:pos="1440" w:leader="none"/>
        </w:tabs>
        <w:snapToGrid w:val="false"/>
        <w:spacing w:lineRule="auto" w:line="276" w:before="0" w:after="0"/>
        <w:contextualSpacing/>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0" w:after="0"/>
        <w:contextualSpacing/>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0" w:after="0"/>
        <w:contextualSpacing/>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0" w:after="0"/>
        <w:contextualSpacing/>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i w:val="false"/>
          <w:iCs w:val="false"/>
          <w:color w:val="auto"/>
          <w:sz w:val="24"/>
        </w:rPr>
        <w:t>estadual e/ou municipal</w:t>
      </w:r>
      <w:r>
        <w:rPr>
          <w:rFonts w:cs="Arial"/>
          <w:color w:val="auto"/>
          <w:sz w:val="24"/>
        </w:rPr>
        <w:t>,</w:t>
      </w:r>
      <w:r>
        <w:rPr>
          <w:rFonts w:cs="Arial"/>
          <w:color w:val="000000"/>
          <w:sz w:val="24"/>
        </w:rPr>
        <w:t xml:space="preserve"> relativo ao domicílio ou sede do fornecedor, pertinente ao seu ramo de atividade e compatível com o objeto contratual</w:t>
      </w:r>
      <w:r>
        <w:rPr>
          <w:rFonts w:cs="Arial"/>
          <w:bCs/>
          <w:sz w:val="24"/>
        </w:rPr>
        <w:t xml:space="preserve">; </w:t>
      </w:r>
    </w:p>
    <w:p>
      <w:pPr>
        <w:pStyle w:val="Normal"/>
        <w:numPr>
          <w:ilvl w:val="1"/>
          <w:numId w:val="3"/>
        </w:numPr>
        <w:tabs>
          <w:tab w:val="left" w:pos="1440" w:leader="none"/>
        </w:tabs>
        <w:snapToGrid w:val="false"/>
        <w:spacing w:lineRule="auto" w:line="276" w:before="0" w:after="0"/>
        <w:contextualSpacing/>
        <w:jc w:val="both"/>
        <w:rPr/>
      </w:pPr>
      <w:r>
        <w:rPr>
          <w:rFonts w:cs="Arial"/>
          <w:sz w:val="24"/>
        </w:rPr>
        <w:t xml:space="preserve">prova de regularidade com a Fazenda </w:t>
      </w:r>
      <w:r>
        <w:rPr>
          <w:rFonts w:cs="Arial"/>
          <w:i w:val="false"/>
          <w:iCs w:val="false"/>
          <w:color w:val="auto"/>
          <w:sz w:val="24"/>
        </w:rPr>
        <w:t xml:space="preserve">Estadual e/ou Municipal </w:t>
      </w:r>
      <w:r>
        <w:rPr>
          <w:rFonts w:cs="Arial"/>
          <w:sz w:val="24"/>
        </w:rPr>
        <w:t xml:space="preserve">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0" w:after="0"/>
        <w:contextualSpacing/>
        <w:jc w:val="both"/>
        <w:rPr/>
      </w:pPr>
      <w:r>
        <w:rPr>
          <w:rFonts w:cs="Arial"/>
          <w:sz w:val="24"/>
        </w:rPr>
        <w:t xml:space="preserve">caso o fornecedor seja considerado isento dos tributos </w:t>
      </w:r>
      <w:r>
        <w:rPr>
          <w:rFonts w:cs="Arial"/>
          <w:i w:val="false"/>
          <w:iCs w:val="false"/>
          <w:color w:val="auto"/>
          <w:sz w:val="24"/>
        </w:rPr>
        <w:t xml:space="preserve">estaduais </w:t>
      </w:r>
      <w:r>
        <w:rPr>
          <w:rFonts w:cs="Arial"/>
          <w:b/>
          <w:i w:val="false"/>
          <w:iCs w:val="false"/>
          <w:color w:val="auto"/>
          <w:sz w:val="24"/>
          <w:u w:val="single"/>
        </w:rPr>
        <w:t>ou</w:t>
      </w:r>
      <w:r>
        <w:rPr>
          <w:rFonts w:cs="Arial"/>
          <w:i w:val="false"/>
          <w:iCs w:val="false"/>
          <w:color w:val="auto"/>
          <w:sz w:val="24"/>
        </w:rPr>
        <w:t xml:space="preserve"> municipais</w:t>
      </w:r>
      <w:r>
        <w:rPr>
          <w:rFonts w:cs="Arial"/>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Normal"/>
        <w:numPr>
          <w:ilvl w:val="0"/>
          <w:numId w:val="0"/>
        </w:numPr>
        <w:tabs>
          <w:tab w:val="left" w:pos="1440" w:leader="none"/>
        </w:tabs>
        <w:snapToGrid w:val="false"/>
        <w:spacing w:lineRule="auto" w:line="276" w:before="0" w:after="0"/>
        <w:ind w:left="927" w:hanging="0"/>
        <w:contextualSpacing/>
        <w:jc w:val="both"/>
        <w:rPr>
          <w:rFonts w:cs="Arial"/>
          <w:b/>
          <w:b/>
          <w:sz w:val="24"/>
        </w:rPr>
      </w:pPr>
      <w:r>
        <w:rPr>
          <w:rFonts w:cs="Arial"/>
          <w:b/>
          <w:sz w:val="24"/>
        </w:rPr>
      </w:r>
    </w:p>
    <w:p>
      <w:pPr>
        <w:pStyle w:val="PADRO"/>
        <w:keepNext w:val="false"/>
        <w:widowControl/>
        <w:numPr>
          <w:ilvl w:val="0"/>
          <w:numId w:val="3"/>
        </w:numPr>
        <w:shd w:val="clear" w:fill="FFFFFF"/>
        <w:spacing w:before="0" w:after="0"/>
        <w:contextualSpacing/>
        <w:rPr/>
      </w:pPr>
      <w:r>
        <w:rPr>
          <w:rFonts w:cs="Arial" w:ascii="Arial" w:hAnsi="Arial"/>
          <w:b/>
          <w:color w:val="000000"/>
          <w:sz w:val="24"/>
        </w:rPr>
        <w:t>Qualificação Econômico-Financeira:</w:t>
      </w:r>
      <w:r>
        <w:rPr>
          <w:rFonts w:cs="Arial" w:ascii="Arial" w:hAnsi="Arial"/>
          <w:b/>
          <w:bCs/>
          <w:iCs/>
          <w:color w:val="000000"/>
          <w:sz w:val="24"/>
        </w:rPr>
        <w:t xml:space="preserve"> </w:t>
      </w:r>
    </w:p>
    <w:p>
      <w:pPr>
        <w:pStyle w:val="ListParagraph"/>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certidão negativa de falência expedida pelo distribuidor da sede do fornecedor;</w:t>
      </w:r>
    </w:p>
    <w:p>
      <w:pPr>
        <w:pStyle w:val="Normal"/>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balanço patrimonial, demonstração de resultado de exercício e demais demonstrações contábeis dos 2 (dois) últimos exercícios sociais;</w:t>
      </w:r>
    </w:p>
    <w:p>
      <w:pPr>
        <w:pStyle w:val="Normal"/>
        <w:numPr>
          <w:ilvl w:val="2"/>
          <w:numId w:val="3"/>
        </w:numPr>
        <w:spacing w:lineRule="auto" w:line="276" w:before="0" w:after="0"/>
        <w:contextualSpacing/>
        <w:jc w:val="both"/>
        <w:rPr>
          <w:rFonts w:cs="Arial"/>
          <w:color w:val="000000"/>
          <w:sz w:val="24"/>
        </w:rPr>
      </w:pPr>
      <w:r>
        <w:rPr>
          <w:rFonts w:cs="Arial"/>
          <w:color w:val="000000"/>
          <w:sz w:val="24"/>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0" w:after="0"/>
        <w:contextualSpacing/>
        <w:jc w:val="both"/>
        <w:rPr/>
      </w:pPr>
      <w:r>
        <w:rPr>
          <w:rFonts w:cs="Arial"/>
          <w:color w:val="000000"/>
          <w:sz w:val="24"/>
        </w:rPr>
        <w:t>Os documentos referidos acima limitar-se-ão ao último exercício no caso de a pessoa jurídica ter sido constituída há menos de 2 (dois) anos.</w:t>
      </w:r>
    </w:p>
    <w:p>
      <w:pPr>
        <w:pStyle w:val="Normal"/>
        <w:numPr>
          <w:ilvl w:val="1"/>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CellMar>
          <w:top w:w="0" w:type="dxa"/>
          <w:left w:w="128" w:type="dxa"/>
          <w:bottom w:w="0" w:type="dxa"/>
          <w:right w:w="108" w:type="dxa"/>
        </w:tblCellMar>
        <w:tblLook w:noVBand="1" w:val="04a0" w:noHBand="0" w:lastColumn="0" w:firstColumn="1" w:lastRow="0" w:firstRow="1"/>
      </w:tblPr>
      <w:tblGrid>
        <w:gridCol w:w="2234"/>
        <w:gridCol w:w="4252"/>
      </w:tblGrid>
      <w:tr>
        <w:trPr/>
        <w:tc>
          <w:tcPr>
            <w:tcW w:w="2234"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LG =</w:t>
            </w:r>
          </w:p>
        </w:tc>
        <w:tc>
          <w:tcPr>
            <w:tcW w:w="4252" w:type="dxa"/>
            <w:tcBorders>
              <w:top w:val="nil"/>
              <w:left w:val="nil"/>
              <w:right w:val="nil"/>
              <w:insideV w:val="nil"/>
            </w:tcBorders>
            <w:shd w:fill="auto" w:val="clear"/>
            <w:vAlign w:val="bottom"/>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Ativo Circulante + Realizável a Longo Prazo</w:t>
            </w:r>
          </w:p>
        </w:tc>
      </w:tr>
      <w:tr>
        <w:trPr/>
        <w:tc>
          <w:tcPr>
            <w:tcW w:w="2234"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contextualSpacing/>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4252"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Passivo Circulante + Passivo Não Circulante</w:t>
            </w:r>
          </w:p>
        </w:tc>
      </w:tr>
    </w:tbl>
    <w:p>
      <w:pPr>
        <w:pStyle w:val="Normal"/>
        <w:tabs>
          <w:tab w:val="left" w:pos="1440" w:leader="none"/>
        </w:tabs>
        <w:snapToGrid w:val="false"/>
        <w:spacing w:lineRule="auto" w:line="276" w:before="0" w:after="0"/>
        <w:ind w:left="1134" w:hanging="0"/>
        <w:contextualSpacing/>
        <w:jc w:val="both"/>
        <w:rPr>
          <w:rFonts w:cs="Arial"/>
          <w:color w:val="000000"/>
          <w:sz w:val="24"/>
        </w:rPr>
      </w:pPr>
      <w:r>
        <w:rPr>
          <w:rFonts w:cs="Arial"/>
          <w:color w:val="000000"/>
          <w:sz w:val="24"/>
        </w:rPr>
      </w:r>
    </w:p>
    <w:tbl>
      <w:tblPr>
        <w:tblStyle w:val="Tabelacomgrade"/>
        <w:tblW w:w="6629" w:type="dxa"/>
        <w:jc w:val="left"/>
        <w:tblInd w:w="1134" w:type="dxa"/>
        <w:tblCellMar>
          <w:top w:w="0" w:type="dxa"/>
          <w:left w:w="128" w:type="dxa"/>
          <w:bottom w:w="0" w:type="dxa"/>
          <w:right w:w="108" w:type="dxa"/>
        </w:tblCellMar>
        <w:tblLook w:noVBand="1" w:val="04a0" w:noHBand="0" w:lastColumn="0" w:firstColumn="1" w:lastRow="0" w:firstRow="1"/>
      </w:tblPr>
      <w:tblGrid>
        <w:gridCol w:w="2234"/>
        <w:gridCol w:w="4394"/>
      </w:tblGrid>
      <w:tr>
        <w:trPr>
          <w:cantSplit w:val="true"/>
        </w:trPr>
        <w:tc>
          <w:tcPr>
            <w:tcW w:w="2234"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SG =</w:t>
            </w:r>
          </w:p>
        </w:tc>
        <w:tc>
          <w:tcPr>
            <w:tcW w:w="4394" w:type="dxa"/>
            <w:tcBorders>
              <w:top w:val="nil"/>
              <w:left w:val="nil"/>
              <w:right w:val="nil"/>
              <w:insideV w:val="nil"/>
            </w:tcBorders>
            <w:shd w:fill="auto" w:val="clear"/>
            <w:vAlign w:val="bottom"/>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Ativo Total</w:t>
            </w:r>
          </w:p>
        </w:tc>
      </w:tr>
      <w:tr>
        <w:trPr>
          <w:cantSplit w:val="true"/>
        </w:trPr>
        <w:tc>
          <w:tcPr>
            <w:tcW w:w="2234"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contextualSpacing/>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4394"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Passivo Circulante + Passivo Não Circulante</w:t>
            </w:r>
          </w:p>
        </w:tc>
      </w:tr>
    </w:tbl>
    <w:p>
      <w:pPr>
        <w:pStyle w:val="Normal"/>
        <w:tabs>
          <w:tab w:val="left" w:pos="1440" w:leader="none"/>
        </w:tabs>
        <w:snapToGrid w:val="false"/>
        <w:spacing w:lineRule="auto" w:line="276" w:before="0" w:after="0"/>
        <w:ind w:left="1134" w:hanging="0"/>
        <w:contextualSpacing/>
        <w:jc w:val="both"/>
        <w:rPr>
          <w:rFonts w:cs="Arial"/>
          <w:color w:val="000000"/>
          <w:sz w:val="24"/>
        </w:rPr>
      </w:pPr>
      <w:r>
        <w:rPr>
          <w:rFonts w:cs="Arial"/>
          <w:color w:val="000000"/>
          <w:sz w:val="24"/>
        </w:rPr>
      </w:r>
    </w:p>
    <w:tbl>
      <w:tblPr>
        <w:tblStyle w:val="Tabelacomgrade"/>
        <w:tblW w:w="4786" w:type="dxa"/>
        <w:jc w:val="left"/>
        <w:tblInd w:w="1134" w:type="dxa"/>
        <w:tblCellMar>
          <w:top w:w="0" w:type="dxa"/>
          <w:left w:w="128" w:type="dxa"/>
          <w:bottom w:w="0" w:type="dxa"/>
          <w:right w:w="108" w:type="dxa"/>
        </w:tblCellMar>
        <w:tblLook w:noVBand="1" w:val="04a0" w:noHBand="0" w:lastColumn="0" w:firstColumn="1" w:lastRow="0" w:firstRow="1"/>
      </w:tblPr>
      <w:tblGrid>
        <w:gridCol w:w="2235"/>
        <w:gridCol w:w="2550"/>
      </w:tblGrid>
      <w:tr>
        <w:trPr/>
        <w:tc>
          <w:tcPr>
            <w:tcW w:w="2235"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LC =</w:t>
            </w:r>
          </w:p>
        </w:tc>
        <w:tc>
          <w:tcPr>
            <w:tcW w:w="2550" w:type="dxa"/>
            <w:tcBorders>
              <w:top w:val="nil"/>
              <w:left w:val="nil"/>
              <w:right w:val="nil"/>
              <w:insideV w:val="nil"/>
            </w:tcBorders>
            <w:shd w:fill="auto" w:val="clear"/>
            <w:vAlign w:val="bottom"/>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Ativo Circulante</w:t>
            </w:r>
          </w:p>
        </w:tc>
      </w:tr>
      <w:tr>
        <w:trPr/>
        <w:tc>
          <w:tcPr>
            <w:tcW w:w="2235"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contextualSpacing/>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2550"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contextualSpacing/>
              <w:jc w:val="both"/>
              <w:rPr>
                <w:rFonts w:cs="Arial"/>
                <w:color w:val="000000"/>
                <w:sz w:val="24"/>
              </w:rPr>
            </w:pPr>
            <w:r>
              <w:rPr>
                <w:rFonts w:eastAsia="" w:cs="Arial" w:ascii="Times New Roman" w:hAnsi="Times New Roman"/>
                <w:color w:val="000000"/>
                <w:sz w:val="24"/>
                <w:szCs w:val="20"/>
              </w:rPr>
              <w:t>Passivo Circulante</w:t>
            </w:r>
          </w:p>
        </w:tc>
      </w:tr>
    </w:tbl>
    <w:p>
      <w:pPr>
        <w:pStyle w:val="Normal"/>
        <w:numPr>
          <w:ilvl w:val="2"/>
          <w:numId w:val="3"/>
        </w:numPr>
        <w:tabs>
          <w:tab w:val="left" w:pos="1440" w:leader="none"/>
        </w:tabs>
        <w:snapToGrid w:val="false"/>
        <w:spacing w:lineRule="auto" w:line="276" w:before="0" w:after="0"/>
        <w:contextualSpacing/>
        <w:jc w:val="both"/>
        <w:rPr>
          <w:rFonts w:cs="Arial"/>
          <w:color w:val="000000"/>
          <w:sz w:val="24"/>
        </w:rPr>
      </w:pPr>
      <w:r>
        <w:rPr>
          <w:rFonts w:cs="Arial"/>
          <w:color w:val="000000"/>
          <w:sz w:val="24"/>
        </w:rPr>
        <w:t>As empresas, que apresentarem resultado inferior ou igual a 1(um) em qualquer dos índices de Liquidez Geral (LG), Solvência Geral (SG) e Liquidez Corrente (LC), deverão comprovar capital ou patrimônio líquido mínimo de</w:t>
      </w:r>
      <w:r>
        <w:rPr>
          <w:rFonts w:cs="Arial"/>
          <w:i/>
          <w:iCs/>
          <w:color w:val="FF0000"/>
          <w:sz w:val="24"/>
        </w:rPr>
        <w:t xml:space="preserve"> </w:t>
      </w:r>
      <w:r>
        <w:rPr>
          <w:rFonts w:cs="Arial"/>
          <w:i w:val="false"/>
          <w:iCs w:val="false"/>
          <w:color w:val="000000"/>
          <w:sz w:val="24"/>
          <w:szCs w:val="24"/>
        </w:rPr>
        <w:t>10% (dez por cento)</w:t>
      </w:r>
      <w:r>
        <w:rPr>
          <w:rFonts w:cs="Arial"/>
          <w:i/>
          <w:iCs/>
          <w:color w:val="FF0000"/>
          <w:sz w:val="24"/>
        </w:rPr>
        <w:t xml:space="preserve"> </w:t>
      </w:r>
      <w:r>
        <w:rPr>
          <w:rFonts w:cs="Arial"/>
          <w:color w:val="000000"/>
          <w:sz w:val="24"/>
        </w:rPr>
        <w:t xml:space="preserve">do valor total estimado da contratação ou do item pertinente. </w:t>
      </w:r>
    </w:p>
    <w:p>
      <w:pPr>
        <w:pStyle w:val="Normal"/>
        <w:numPr>
          <w:ilvl w:val="2"/>
          <w:numId w:val="3"/>
        </w:numPr>
        <w:tabs>
          <w:tab w:val="left" w:pos="1440" w:leader="none"/>
        </w:tabs>
        <w:snapToGrid w:val="false"/>
        <w:spacing w:lineRule="auto" w:line="276" w:before="0" w:after="0"/>
        <w:contextualSpacing/>
        <w:jc w:val="both"/>
        <w:rPr>
          <w:i w:val="false"/>
          <w:i w:val="false"/>
          <w:iCs w:val="false"/>
          <w:color w:val="auto"/>
        </w:rPr>
      </w:pPr>
      <w:r>
        <w:rPr>
          <w:rFonts w:cs="Arial"/>
          <w:i w:val="false"/>
          <w:iCs w:val="false"/>
          <w:color w:val="auto"/>
          <w:sz w:val="24"/>
          <w:lang w:eastAsia="en-US"/>
        </w:rPr>
        <w:t>O atendimento dos índices econômicos previstos neste item deverá ser atestado mediante declaração assinada por profissional habilitado da área contábil, apresentada pelo fornecedor.</w:t>
      </w:r>
    </w:p>
    <w:p>
      <w:pPr>
        <w:pStyle w:val="Normal"/>
        <w:spacing w:before="0" w:after="0"/>
        <w:contextualSpacing/>
        <w:rPr>
          <w:rFonts w:cs="Arial"/>
          <w:sz w:val="24"/>
          <w:lang w:eastAsia="en-US"/>
        </w:rPr>
      </w:pPr>
      <w:r>
        <w:rPr>
          <w:rFonts w:cs="Arial"/>
          <w:sz w:val="24"/>
          <w:lang w:eastAsia="en-US"/>
        </w:rPr>
      </w:r>
    </w:p>
    <w:p>
      <w:pPr>
        <w:pStyle w:val="PADRO"/>
        <w:keepNext w:val="false"/>
        <w:widowControl/>
        <w:numPr>
          <w:ilvl w:val="0"/>
          <w:numId w:val="3"/>
        </w:numPr>
        <w:shd w:val="clear" w:fill="FFFFFF"/>
        <w:spacing w:before="0" w:after="0"/>
        <w:contextualSpacing/>
        <w:rPr/>
      </w:pPr>
      <w:r>
        <w:rPr>
          <w:rFonts w:cs="Arial" w:ascii="Arial" w:hAnsi="Arial"/>
          <w:b/>
          <w:color w:val="000000"/>
          <w:sz w:val="24"/>
        </w:rPr>
        <w:t>Qualificação</w:t>
      </w:r>
      <w:r>
        <w:rPr>
          <w:rFonts w:cs="Arial" w:ascii="Arial" w:hAnsi="Arial"/>
          <w:b/>
          <w:sz w:val="24"/>
        </w:rPr>
        <w:t xml:space="preserve"> Técnica</w:t>
      </w:r>
    </w:p>
    <w:p>
      <w:pPr>
        <w:pStyle w:val="PADRO"/>
        <w:keepNext w:val="false"/>
        <w:widowControl/>
        <w:numPr>
          <w:ilvl w:val="1"/>
          <w:numId w:val="3"/>
        </w:numPr>
        <w:shd w:val="clear" w:fill="FFFFFF"/>
        <w:spacing w:before="0" w:after="0"/>
        <w:contextualSpacing/>
        <w:rPr>
          <w:rFonts w:ascii="Arial" w:hAnsi="Arial" w:cs="Arial"/>
          <w:bCs/>
          <w:color w:val="000000"/>
          <w:sz w:val="24"/>
        </w:rPr>
      </w:pPr>
      <w:bookmarkStart w:id="13" w:name="_Hlk519176340"/>
      <w:bookmarkEnd w:id="13"/>
      <w:r>
        <w:rPr>
          <w:rFonts w:cs="Arial" w:ascii="Arial" w:hAnsi="Arial"/>
          <w:color w:val="000000"/>
          <w:sz w:val="24"/>
        </w:rPr>
        <w:t xml:space="preserve">Comprovação de aptidão para a prestação dos serviços em características, quantidades e prazos </w:t>
      </w:r>
      <w:r>
        <w:rPr>
          <w:rFonts w:cs="Arial" w:ascii="Arial" w:hAnsi="Arial"/>
          <w:sz w:val="24"/>
        </w:rPr>
        <w:t>compatíveis</w:t>
      </w:r>
      <w:r>
        <w:rPr>
          <w:rFonts w:cs="Arial" w:ascii="Arial" w:hAnsi="Arial"/>
          <w:color w:val="000000"/>
          <w:sz w:val="24"/>
        </w:rPr>
        <w:t xml:space="preserve"> com o objeto desta dispensa, ou com o item pertinente, mediante a apresentação de atestado(s) fornecido(s) por pessoas jurídicas de direito público ou privado. </w:t>
      </w:r>
    </w:p>
    <w:p>
      <w:pPr>
        <w:pStyle w:val="PADRO"/>
        <w:keepNext w:val="false"/>
        <w:widowControl/>
        <w:numPr>
          <w:ilvl w:val="2"/>
          <w:numId w:val="3"/>
        </w:numPr>
        <w:shd w:val="clear" w:fill="FFFFFF"/>
        <w:spacing w:before="0" w:after="0"/>
        <w:contextualSpacing/>
        <w:rPr/>
      </w:pPr>
      <w:r>
        <w:rPr>
          <w:rFonts w:cs="Arial" w:ascii="Arial" w:hAnsi="Arial"/>
          <w:color w:val="000000"/>
          <w:sz w:val="24"/>
        </w:rPr>
        <w:t>Para fins da comprovação de que trata este subitem, os atestados deverão dizer respeito a contratos executados com as seguintes características mínimas:</w:t>
      </w:r>
    </w:p>
    <w:p>
      <w:pPr>
        <w:pStyle w:val="PADRO"/>
        <w:keepNext w:val="false"/>
        <w:widowControl/>
        <w:numPr>
          <w:ilvl w:val="3"/>
          <w:numId w:val="3"/>
        </w:numPr>
        <w:shd w:val="clear" w:fill="FFFFFF"/>
        <w:spacing w:before="0" w:after="0"/>
        <w:contextualSpacing/>
        <w:rPr>
          <w:rFonts w:ascii="Arial" w:hAnsi="Arial" w:cs="Arial"/>
          <w:color w:val="000000"/>
          <w:sz w:val="24"/>
        </w:rPr>
      </w:pPr>
      <w:bookmarkStart w:id="14" w:name="_Hlk5191763401"/>
      <w:bookmarkEnd w:id="14"/>
      <w:r>
        <w:rPr>
          <w:rFonts w:cs="Arial" w:ascii="Arial" w:hAnsi="Arial"/>
          <w:color w:val="000000"/>
          <w:sz w:val="24"/>
        </w:rPr>
        <w:t xml:space="preserve">Os atestados deverão referir-se a serviços prestados no âmbito de sua atividade econômica principal ou secundária especificadas no contrato social vigente; </w:t>
      </w:r>
      <w:bookmarkStart w:id="15" w:name="_Hlk519177818"/>
      <w:bookmarkEnd w:id="15"/>
    </w:p>
    <w:p>
      <w:pPr>
        <w:pStyle w:val="PADRO"/>
        <w:keepNext w:val="false"/>
        <w:widowControl/>
        <w:numPr>
          <w:ilvl w:val="3"/>
          <w:numId w:val="3"/>
        </w:numPr>
        <w:shd w:val="clear" w:fill="FFFFFF"/>
        <w:spacing w:before="0" w:after="0"/>
        <w:contextualSpacing/>
        <w:rPr>
          <w:rFonts w:ascii="Arial" w:hAnsi="Arial" w:cs="Arial"/>
          <w:i/>
          <w:i/>
          <w:color w:val="FF0000"/>
          <w:sz w:val="24"/>
        </w:rPr>
      </w:pPr>
      <w:r>
        <w:rPr>
          <w:rFonts w:cs="Arial" w:ascii="Arial" w:hAnsi="Arial"/>
          <w:i w:val="false"/>
          <w:iCs w:val="false"/>
          <w:color w:val="auto"/>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6" w:name="_Hlk519177062"/>
      <w:bookmarkEnd w:id="16"/>
    </w:p>
    <w:p>
      <w:pPr>
        <w:pStyle w:val="PADRO"/>
        <w:keepNext w:val="false"/>
        <w:widowControl/>
        <w:numPr>
          <w:ilvl w:val="3"/>
          <w:numId w:val="3"/>
        </w:numPr>
        <w:shd w:val="clear" w:fill="FFFFFF"/>
        <w:spacing w:before="0" w:after="0"/>
        <w:contextualSpacing/>
        <w:rPr/>
      </w:pPr>
      <w:r>
        <w:rPr>
          <w:rFonts w:cs="Arial" w:ascii="Arial" w:hAnsi="Arial"/>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type w:val="nextPage"/>
      <w:pgSz w:w="11906" w:h="16838"/>
      <w:pgMar w:left="1080" w:right="1080" w:header="0" w:top="708" w:footer="0" w:bottom="70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rFonts w:ascii="Arial" w:hAnsi="Arial"/>
      </w:rPr>
    </w:lvl>
    <w:lvl w:ilvl="1">
      <w:start w:val="1"/>
      <w:numFmt w:val="decimal"/>
      <w:lvlText w:val="%1.%2."/>
      <w:lvlJc w:val="left"/>
      <w:pPr>
        <w:ind w:left="792" w:hanging="432"/>
      </w:pPr>
      <w:rPr>
        <w:sz w:val="24"/>
        <w:i w:val="false"/>
        <w:b/>
        <w:iCs/>
      </w:rPr>
    </w:lvl>
    <w:lvl w:ilvl="2">
      <w:start w:val="1"/>
      <w:numFmt w:val="decimal"/>
      <w:lvlText w:val="%1.%2.%3."/>
      <w:lvlJc w:val="left"/>
      <w:pPr>
        <w:ind w:left="1224" w:hanging="504"/>
      </w:pPr>
      <w:rPr>
        <w:sz w:val="24"/>
        <w:i w:val="false"/>
        <w:b/>
        <w:iCs/>
        <w:rFonts w:ascii="Arial" w:hAnsi="Arial" w:cs="Arial"/>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Arial" w:hAnsi="Arial"/>
      </w:rPr>
    </w:lvl>
    <w:lvl w:ilvl="2">
      <w:start w:val="1"/>
      <w:numFmt w:val="decimal"/>
      <w:lvlText w:val="%1.%2.%3"/>
      <w:lvlJc w:val="left"/>
      <w:pPr>
        <w:ind w:left="1854" w:hanging="720"/>
      </w:pPr>
      <w:rPr>
        <w:sz w:val="24"/>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30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ListLabel1">
    <w:name w:val="ListLabel 1"/>
    <w:qFormat/>
    <w:rPr>
      <w:rFonts w:ascii="Arial" w:hAnsi="Arial"/>
      <w:b/>
      <w:sz w:val="24"/>
    </w:rPr>
  </w:style>
  <w:style w:type="character" w:styleId="ListLabel2">
    <w:name w:val="ListLabel 2"/>
    <w:qFormat/>
    <w:rPr>
      <w:rFonts w:ascii="Arial" w:hAnsi="Arial"/>
      <w:b/>
      <w:i w:val="false"/>
      <w:iCs/>
      <w:sz w:val="24"/>
    </w:rPr>
  </w:style>
  <w:style w:type="character" w:styleId="ListLabel3">
    <w:name w:val="ListLabel 3"/>
    <w:qFormat/>
    <w:rPr>
      <w:rFonts w:ascii="Arial" w:hAnsi="Arial" w:cs="Arial"/>
      <w:b/>
      <w:i w:val="false"/>
      <w:iCs/>
      <w:color w:val="auto"/>
      <w:sz w:val="24"/>
    </w:rPr>
  </w:style>
  <w:style w:type="character" w:styleId="ListLabel4">
    <w:name w:val="ListLabel 4"/>
    <w:qFormat/>
    <w:rPr>
      <w:rFonts w:cs="Arial"/>
    </w:rPr>
  </w:style>
  <w:style w:type="character" w:styleId="ListLabel5">
    <w:name w:val="ListLabel 5"/>
    <w:qFormat/>
    <w:rPr>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auto"/>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auto"/>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auto"/>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auto"/>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auto"/>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auto"/>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sz w:val="24"/>
    </w:rPr>
  </w:style>
  <w:style w:type="character" w:styleId="ListLabel49">
    <w:name w:val="ListLabel 49"/>
    <w:qFormat/>
    <w:rPr>
      <w:rFonts w:ascii="Arial" w:hAnsi="Arial"/>
      <w:b/>
      <w:sz w:val="24"/>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auto"/>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auto"/>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auto"/>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auto"/>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auto"/>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auto"/>
      <w:sz w:val="24"/>
    </w:rPr>
  </w:style>
  <w:style w:type="character" w:styleId="ListLabel71">
    <w:name w:val="ListLabel 71"/>
    <w:qFormat/>
    <w:rPr>
      <w:i/>
      <w:iCs/>
    </w:rPr>
  </w:style>
  <w:style w:type="character" w:styleId="ListLabel72">
    <w:name w:val="ListLabel 72"/>
    <w:qFormat/>
    <w:rPr>
      <w:rFonts w:eastAsia="Calibri" w:cs="Arial"/>
      <w:sz w:val="24"/>
    </w:rPr>
  </w:style>
  <w:style w:type="character" w:styleId="ListLabel73">
    <w:name w:val="ListLabel 73"/>
    <w:qFormat/>
    <w:rPr>
      <w:rFonts w:eastAsia="Calibri" w:cs="Arial"/>
      <w:sz w:val="24"/>
      <w:lang w:eastAsia="ar-SA"/>
    </w:rPr>
  </w:style>
  <w:style w:type="character" w:styleId="ListLabel74">
    <w:name w:val="ListLabel 74"/>
    <w:qFormat/>
    <w:rPr>
      <w:rFonts w:cs="Arial"/>
      <w:color w:val="000000"/>
      <w:sz w:val="24"/>
    </w:rPr>
  </w:style>
  <w:style w:type="character" w:styleId="Vnculodendice">
    <w:name w:val="Vínculo de índice"/>
    <w:qFormat/>
    <w:rPr/>
  </w:style>
  <w:style w:type="character" w:styleId="ListLabel75">
    <w:name w:val="ListLabel 75"/>
    <w:qFormat/>
    <w:rPr>
      <w:rFonts w:ascii="Arial" w:hAnsi="Arial"/>
      <w:b/>
      <w:sz w:val="24"/>
    </w:rPr>
  </w:style>
  <w:style w:type="character" w:styleId="ListLabel76">
    <w:name w:val="ListLabel 76"/>
    <w:qFormat/>
    <w:rPr>
      <w:rFonts w:ascii="Arial" w:hAnsi="Arial"/>
      <w:b/>
      <w:i w:val="false"/>
      <w:iCs/>
      <w:sz w:val="24"/>
    </w:rPr>
  </w:style>
  <w:style w:type="character" w:styleId="ListLabel77">
    <w:name w:val="ListLabel 77"/>
    <w:qFormat/>
    <w:rPr>
      <w:rFonts w:ascii="Arial" w:hAnsi="Arial" w:cs="Arial"/>
      <w:b/>
      <w:i w:val="false"/>
      <w:iCs/>
      <w:color w:val="auto"/>
      <w:sz w:val="24"/>
    </w:rPr>
  </w:style>
  <w:style w:type="character" w:styleId="ListLabel78">
    <w:name w:val="ListLabel 78"/>
    <w:qFormat/>
    <w:rPr>
      <w:rFonts w:ascii="Arial" w:hAnsi="Arial"/>
      <w:b/>
      <w:sz w:val="24"/>
    </w:rPr>
  </w:style>
  <w:style w:type="character" w:styleId="ListLabel79">
    <w:name w:val="ListLabel 79"/>
    <w:qFormat/>
    <w:rPr>
      <w:rFonts w:ascii="Arial" w:hAnsi="Arial"/>
      <w:b/>
      <w:sz w:val="24"/>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auto"/>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auto"/>
      <w:sz w:val="24"/>
    </w:rPr>
  </w:style>
  <w:style w:type="character" w:styleId="ListLabel86">
    <w:name w:val="ListLabel 86"/>
    <w:qFormat/>
    <w:rPr>
      <w:rFonts w:eastAsia="Calibri" w:cs="Arial"/>
      <w:sz w:val="24"/>
    </w:rPr>
  </w:style>
  <w:style w:type="character" w:styleId="ListLabel87">
    <w:name w:val="ListLabel 87"/>
    <w:qFormat/>
    <w:rPr>
      <w:rFonts w:eastAsia="Calibri" w:cs="Arial"/>
      <w:sz w:val="24"/>
      <w:lang w:eastAsia="ar-SA"/>
    </w:rPr>
  </w:style>
  <w:style w:type="character" w:styleId="ListLabel88">
    <w:name w:val="ListLabel 88"/>
    <w:qFormat/>
    <w:rPr>
      <w:rFonts w:cs="Arial"/>
      <w:color w:val="000000"/>
      <w:sz w:val="24"/>
    </w:rPr>
  </w:style>
  <w:style w:type="character" w:styleId="ListLabel89">
    <w:name w:val="ListLabel 89"/>
    <w:qFormat/>
    <w:rPr>
      <w:rFonts w:ascii="Arial" w:hAnsi="Arial"/>
      <w:b/>
      <w:sz w:val="24"/>
    </w:rPr>
  </w:style>
  <w:style w:type="character" w:styleId="ListLabel90">
    <w:name w:val="ListLabel 90"/>
    <w:qFormat/>
    <w:rPr>
      <w:b/>
      <w:i w:val="false"/>
      <w:iCs/>
      <w:sz w:val="24"/>
    </w:rPr>
  </w:style>
  <w:style w:type="character" w:styleId="ListLabel91">
    <w:name w:val="ListLabel 91"/>
    <w:qFormat/>
    <w:rPr>
      <w:rFonts w:ascii="Arial" w:hAnsi="Arial" w:cs="Arial"/>
      <w:b/>
      <w:i w:val="false"/>
      <w:iCs/>
      <w:color w:val="auto"/>
      <w:sz w:val="24"/>
    </w:rPr>
  </w:style>
  <w:style w:type="character" w:styleId="ListLabel92">
    <w:name w:val="ListLabel 92"/>
    <w:qFormat/>
    <w:rPr>
      <w:rFonts w:ascii="Arial" w:hAnsi="Arial"/>
      <w:b/>
      <w:sz w:val="24"/>
    </w:rPr>
  </w:style>
  <w:style w:type="character" w:styleId="ListLabel93">
    <w:name w:val="ListLabel 93"/>
    <w:qFormat/>
    <w:rPr>
      <w:b/>
      <w:sz w:val="24"/>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cs="Arial"/>
      <w:b w:val="false"/>
      <w:i w:val="false"/>
      <w:iCs/>
      <w:color w:val="auto"/>
    </w:rPr>
  </w:style>
  <w:style w:type="character" w:styleId="ListLabel97">
    <w:name w:val="ListLabel 97"/>
    <w:qFormat/>
    <w:rPr>
      <w:b/>
    </w:rPr>
  </w:style>
  <w:style w:type="character" w:styleId="ListLabel98">
    <w:name w:val="ListLabel 98"/>
    <w:qFormat/>
    <w:rPr>
      <w:b w:val="false"/>
      <w:i w:val="false"/>
      <w:iCs/>
    </w:rPr>
  </w:style>
  <w:style w:type="character" w:styleId="ListLabel99">
    <w:name w:val="ListLabel 99"/>
    <w:qFormat/>
    <w:rPr>
      <w:b w:val="false"/>
      <w:i w:val="false"/>
      <w:iCs/>
      <w:color w:val="auto"/>
      <w:sz w:val="24"/>
    </w:rPr>
  </w:style>
  <w:style w:type="character" w:styleId="ListLabel100">
    <w:name w:val="ListLabel 100"/>
    <w:qFormat/>
    <w:rPr>
      <w:rFonts w:eastAsia="Calibri" w:cs="Arial"/>
      <w:sz w:val="24"/>
    </w:rPr>
  </w:style>
  <w:style w:type="character" w:styleId="ListLabel101">
    <w:name w:val="ListLabel 101"/>
    <w:qFormat/>
    <w:rPr>
      <w:rFonts w:eastAsia="Calibri" w:cs="Arial"/>
      <w:sz w:val="24"/>
      <w:lang w:eastAsia="ar-SA"/>
    </w:rPr>
  </w:style>
  <w:style w:type="character" w:styleId="ListLabel102">
    <w:name w:val="ListLabel 102"/>
    <w:qFormat/>
    <w:rPr>
      <w:rFonts w:cs="Arial"/>
      <w:color w:val="000000"/>
      <w:sz w:val="24"/>
    </w:rPr>
  </w:style>
  <w:style w:type="character" w:styleId="ListLabel103">
    <w:name w:val="ListLabel 103"/>
    <w:qFormat/>
    <w:rPr>
      <w:rFonts w:ascii="Arial" w:hAnsi="Arial"/>
      <w:b/>
      <w:sz w:val="24"/>
    </w:rPr>
  </w:style>
  <w:style w:type="character" w:styleId="ListLabel104">
    <w:name w:val="ListLabel 104"/>
    <w:qFormat/>
    <w:rPr>
      <w:b/>
      <w:i w:val="false"/>
      <w:iCs/>
      <w:sz w:val="24"/>
    </w:rPr>
  </w:style>
  <w:style w:type="character" w:styleId="ListLabel105">
    <w:name w:val="ListLabel 105"/>
    <w:qFormat/>
    <w:rPr>
      <w:rFonts w:ascii="Arial" w:hAnsi="Arial" w:cs="Arial"/>
      <w:b/>
      <w:i w:val="false"/>
      <w:iCs/>
      <w:color w:val="auto"/>
      <w:sz w:val="24"/>
    </w:rPr>
  </w:style>
  <w:style w:type="character" w:styleId="ListLabel106">
    <w:name w:val="ListLabel 106"/>
    <w:qFormat/>
    <w:rPr>
      <w:rFonts w:ascii="Arial" w:hAnsi="Arial"/>
      <w:b/>
      <w:sz w:val="24"/>
    </w:rPr>
  </w:style>
  <w:style w:type="character" w:styleId="ListLabel107">
    <w:name w:val="ListLabel 107"/>
    <w:qFormat/>
    <w:rPr>
      <w:b/>
      <w:sz w:val="24"/>
    </w:rPr>
  </w:style>
  <w:style w:type="character" w:styleId="ListLabel108">
    <w:name w:val="ListLabel 108"/>
    <w:qFormat/>
    <w:rPr>
      <w:b/>
    </w:rPr>
  </w:style>
  <w:style w:type="character" w:styleId="ListLabel109">
    <w:name w:val="ListLabel 109"/>
    <w:qFormat/>
    <w:rPr>
      <w:b w:val="false"/>
      <w:i w:val="false"/>
      <w:iCs/>
    </w:rPr>
  </w:style>
  <w:style w:type="character" w:styleId="ListLabel110">
    <w:name w:val="ListLabel 110"/>
    <w:qFormat/>
    <w:rPr>
      <w:rFonts w:cs="Arial"/>
      <w:b w:val="false"/>
      <w:i w:val="false"/>
      <w:iCs/>
      <w:color w:val="auto"/>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b w:val="false"/>
      <w:i w:val="false"/>
      <w:iCs/>
      <w:color w:val="auto"/>
      <w:sz w:val="24"/>
    </w:rPr>
  </w:style>
  <w:style w:type="character" w:styleId="ListLabel114">
    <w:name w:val="ListLabel 114"/>
    <w:qFormat/>
    <w:rPr>
      <w:rFonts w:eastAsia="Calibri" w:cs="Arial"/>
      <w:sz w:val="24"/>
    </w:rPr>
  </w:style>
  <w:style w:type="character" w:styleId="ListLabel115">
    <w:name w:val="ListLabel 115"/>
    <w:qFormat/>
    <w:rPr>
      <w:rFonts w:eastAsia="Calibri" w:cs="Arial"/>
      <w:sz w:val="24"/>
      <w:lang w:eastAsia="ar-SA"/>
    </w:rPr>
  </w:style>
  <w:style w:type="character" w:styleId="ListLabel116">
    <w:name w:val="ListLabel 116"/>
    <w:qFormat/>
    <w:rPr>
      <w:rFonts w:cs="Arial"/>
      <w:color w:val="000000"/>
      <w:sz w:val="24"/>
    </w:rPr>
  </w:style>
  <w:style w:type="character" w:styleId="ListLabel117">
    <w:name w:val="ListLabel 117"/>
    <w:qFormat/>
    <w:rPr>
      <w:rFonts w:ascii="Arial" w:hAnsi="Arial"/>
      <w:b/>
      <w:sz w:val="24"/>
    </w:rPr>
  </w:style>
  <w:style w:type="character" w:styleId="ListLabel118">
    <w:name w:val="ListLabel 118"/>
    <w:qFormat/>
    <w:rPr>
      <w:b/>
      <w:i w:val="false"/>
      <w:iCs/>
      <w:sz w:val="24"/>
    </w:rPr>
  </w:style>
  <w:style w:type="character" w:styleId="ListLabel119">
    <w:name w:val="ListLabel 119"/>
    <w:qFormat/>
    <w:rPr>
      <w:rFonts w:ascii="Arial" w:hAnsi="Arial" w:cs="Arial"/>
      <w:b/>
      <w:i w:val="false"/>
      <w:iCs/>
      <w:color w:val="auto"/>
      <w:sz w:val="24"/>
    </w:rPr>
  </w:style>
  <w:style w:type="character" w:styleId="ListLabel120">
    <w:name w:val="ListLabel 120"/>
    <w:qFormat/>
    <w:rPr>
      <w:rFonts w:ascii="Arial" w:hAnsi="Arial"/>
      <w:b/>
      <w:sz w:val="24"/>
    </w:rPr>
  </w:style>
  <w:style w:type="character" w:styleId="ListLabel121">
    <w:name w:val="ListLabel 121"/>
    <w:qFormat/>
    <w:rPr>
      <w:b/>
      <w:sz w:val="24"/>
    </w:rPr>
  </w:style>
  <w:style w:type="character" w:styleId="ListLabel122">
    <w:name w:val="ListLabel 122"/>
    <w:qFormat/>
    <w:rPr>
      <w:b/>
    </w:rPr>
  </w:style>
  <w:style w:type="character" w:styleId="ListLabel123">
    <w:name w:val="ListLabel 123"/>
    <w:qFormat/>
    <w:rPr>
      <w:b w:val="false"/>
      <w:i w:val="false"/>
      <w:iCs/>
    </w:rPr>
  </w:style>
  <w:style w:type="character" w:styleId="ListLabel124">
    <w:name w:val="ListLabel 124"/>
    <w:qFormat/>
    <w:rPr>
      <w:rFonts w:cs="Arial"/>
      <w:b w:val="false"/>
      <w:i w:val="false"/>
      <w:iCs/>
      <w:color w:val="auto"/>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b w:val="false"/>
      <w:i w:val="false"/>
      <w:iCs/>
      <w:color w:val="auto"/>
      <w:sz w:val="24"/>
    </w:rPr>
  </w:style>
  <w:style w:type="character" w:styleId="ListLabel128">
    <w:name w:val="ListLabel 128"/>
    <w:qFormat/>
    <w:rPr>
      <w:rFonts w:eastAsia="Calibri" w:cs="Arial"/>
      <w:sz w:val="24"/>
    </w:rPr>
  </w:style>
  <w:style w:type="character" w:styleId="ListLabel129">
    <w:name w:val="ListLabel 129"/>
    <w:qFormat/>
    <w:rPr>
      <w:rFonts w:eastAsia="Calibri" w:cs="Arial"/>
      <w:sz w:val="24"/>
      <w:lang w:eastAsia="ar-SA"/>
    </w:rPr>
  </w:style>
  <w:style w:type="character" w:styleId="ListLabel130">
    <w:name w:val="ListLabel 130"/>
    <w:qFormat/>
    <w:rPr>
      <w:rFonts w:cs="Arial"/>
      <w:color w:val="000000"/>
      <w:sz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Relationship Id="rId11" Type="http://schemas.openxmlformats.org/officeDocument/2006/relationships/customXml" Target="../customXml/item3.xml"/><Relationship Id="rId12" Type="http://schemas.openxmlformats.org/officeDocument/2006/relationships/customXml" Target="../customXml/item4.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Application>LibreOffice/6.0.7.3$Linux_X86_64 LibreOffice_project/00m0$Build-3</Application>
  <Pages>14</Pages>
  <Words>5483</Words>
  <Characters>31615</Characters>
  <CharactersWithSpaces>36706</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2022-10-05T10:18:22Z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