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pPr>
      <w:r>
        <w:rPr>
          <w:rFonts w:cs="Arial"/>
          <w:b/>
          <w:bCs/>
          <w:i/>
          <w:iCs/>
          <w:color w:val="000000" w:themeColor="text1"/>
          <w:szCs w:val="20"/>
        </w:rPr>
        <w:t>MARINHA DO BRASIL</w:t>
      </w:r>
    </w:p>
    <w:p>
      <w:pPr>
        <w:pStyle w:val="Normal"/>
        <w:spacing w:lineRule="auto" w:line="276"/>
        <w:jc w:val="center"/>
        <w:rPr/>
      </w:pPr>
      <w:r>
        <w:rPr>
          <w:rFonts w:cs="Arial"/>
          <w:b/>
          <w:bCs/>
          <w:i/>
          <w:iCs/>
          <w:color w:val="000000" w:themeColor="text1"/>
          <w:szCs w:val="20"/>
        </w:rPr>
        <w:t>CENTRO DE INTENDÊNCIA DA MARINHA EM RIO GRANDE</w:t>
      </w:r>
    </w:p>
    <w:p>
      <w:pPr>
        <w:pStyle w:val="Normal"/>
        <w:spacing w:lineRule="auto" w:line="276"/>
        <w:jc w:val="center"/>
        <w:rPr/>
      </w:pPr>
      <w:r>
        <w:rPr>
          <w:rFonts w:cs="Arial"/>
          <w:b/>
          <w:bCs/>
          <w:i/>
          <w:iCs/>
          <w:color w:val="000000" w:themeColor="text1"/>
          <w:szCs w:val="20"/>
        </w:rPr>
        <w:t>GRUPAMENTO DE FUZILEIROS NAVAIS DO RIO GRANDE</w:t>
      </w:r>
    </w:p>
    <w:p>
      <w:pPr>
        <w:pStyle w:val="Normal"/>
        <w:spacing w:lineRule="auto" w:line="276"/>
        <w:jc w:val="center"/>
        <w:rPr/>
      </w:pPr>
      <w:r>
        <w:rPr>
          <w:rFonts w:cs="Arial"/>
          <w:b/>
          <w:bCs/>
          <w:i/>
          <w:iCs/>
          <w:color w:val="000000" w:themeColor="text1"/>
          <w:szCs w:val="20"/>
        </w:rPr>
        <w:t>AVISO DE DISPENSA ELETRÔNICA No 30001/2022</w:t>
      </w:r>
    </w:p>
    <w:p>
      <w:pPr>
        <w:pStyle w:val="Normal"/>
        <w:rPr>
          <w:rFonts w:cs="Arial"/>
        </w:rPr>
      </w:pPr>
      <w:r>
        <w:rPr>
          <w:rFonts w:cs="Arial"/>
        </w:rPr>
      </w:r>
    </w:p>
    <w:p>
      <w:pPr>
        <w:pStyle w:val="Normal"/>
        <w:snapToGrid w:val="false"/>
        <w:spacing w:lineRule="auto" w:line="276" w:before="0" w:after="120"/>
        <w:ind w:right="-30" w:firstLine="540"/>
        <w:jc w:val="both"/>
        <w:rPr/>
      </w:pPr>
      <w:r>
        <w:rPr>
          <w:rFonts w:cs="Arial"/>
          <w:color w:val="000000" w:themeColor="text1"/>
          <w:szCs w:val="20"/>
        </w:rPr>
        <w:t xml:space="preserve">Torna-se público que o centro de intendência da marinha em rio grande, realizará Dispensa Eletrônica, </w:t>
      </w:r>
      <w:r>
        <w:rPr>
          <w:rFonts w:cs="Arial"/>
          <w:bCs/>
          <w:color w:val="000000" w:themeColor="text1"/>
          <w:szCs w:val="20"/>
        </w:rPr>
        <w:t>com critério de julgamento</w:t>
      </w:r>
      <w:r>
        <w:rPr>
          <w:rFonts w:cs="Arial"/>
          <w:b/>
          <w:bCs/>
          <w:color w:val="000000" w:themeColor="text1"/>
          <w:szCs w:val="20"/>
        </w:rPr>
        <w:t xml:space="preserve"> </w:t>
      </w:r>
      <w:r>
        <w:rPr>
          <w:rFonts w:cs="Arial"/>
          <w:i/>
          <w:color w:val="000000"/>
          <w:szCs w:val="20"/>
        </w:rPr>
        <w:t>menor preço</w:t>
      </w:r>
      <w:r>
        <w:rPr>
          <w:rFonts w:cs="Arial"/>
          <w:b/>
          <w:bCs/>
          <w:i/>
          <w:color w:val="000000"/>
          <w:szCs w:val="20"/>
        </w:rPr>
        <w:t>,</w:t>
      </w:r>
      <w:r>
        <w:rPr>
          <w:rFonts w:cs="Arial"/>
          <w:b/>
          <w:bCs/>
          <w:i/>
          <w:color w:val="FF0000"/>
          <w:szCs w:val="20"/>
        </w:rPr>
        <w:t xml:space="preserve"> </w:t>
      </w:r>
      <w:r>
        <w:rPr>
          <w:rFonts w:cs="Arial"/>
          <w:color w:val="000000" w:themeColor="text1"/>
          <w:szCs w:val="20"/>
        </w:rPr>
        <w:t>na hipótese do art. 75</w:t>
      </w:r>
      <w:r>
        <w:rPr>
          <w:rFonts w:cs="Arial"/>
          <w:i/>
          <w:iCs/>
          <w:color w:val="000000" w:themeColor="text1"/>
          <w:szCs w:val="20"/>
        </w:rPr>
        <w:t xml:space="preserve">, </w:t>
      </w:r>
      <w:r>
        <w:rPr>
          <w:rFonts w:cs="Arial"/>
          <w:i/>
          <w:iCs/>
          <w:color w:val="000000"/>
          <w:szCs w:val="20"/>
        </w:rPr>
        <w:t xml:space="preserve">inciso </w:t>
      </w:r>
      <w:r>
        <w:rPr>
          <w:rFonts w:cs="Arial"/>
          <w:b/>
          <w:i/>
          <w:iCs/>
          <w:color w:val="000000"/>
          <w:szCs w:val="20"/>
        </w:rPr>
        <w:t>II</w:t>
      </w:r>
      <w:r>
        <w:rPr>
          <w:rFonts w:cs="Arial"/>
          <w:i/>
          <w:iCs/>
          <w:color w:val="000000"/>
          <w:szCs w:val="20"/>
        </w:rPr>
        <w:t>,</w:t>
      </w:r>
      <w:r>
        <w:rPr>
          <w:rFonts w:cs="Arial"/>
          <w:color w:val="FF0000"/>
          <w:szCs w:val="20"/>
        </w:rPr>
        <w:t xml:space="preserve"> </w:t>
      </w:r>
      <w:r>
        <w:rPr>
          <w:rFonts w:cs="Arial"/>
          <w:bCs/>
          <w:szCs w:val="20"/>
        </w:rPr>
        <w:t>nos termos da Lei nº 14.133, de 1º de abril de 2021, da Instrução Normativa SEGES/ME nº 67/2021 e demais legislação aplicável</w:t>
      </w:r>
      <w:r>
        <w:rPr>
          <w:rFonts w:cs="Arial"/>
          <w:color w:val="000000"/>
          <w:szCs w:val="20"/>
        </w:rPr>
        <w:t>.</w:t>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pPr>
      <w:r>
        <w:rPr>
          <w:rFonts w:cs="Arial"/>
          <w:color w:val="000000" w:themeColor="text1"/>
          <w:szCs w:val="20"/>
        </w:rPr>
        <w:t xml:space="preserve">Data da sessão: </w:t>
      </w:r>
    </w:p>
    <w:p>
      <w:pPr>
        <w:pStyle w:val="Normal"/>
        <w:rPr/>
      </w:pPr>
      <w:r>
        <w:rPr>
          <w:rFonts w:cs="Arial"/>
          <w:color w:val="000000" w:themeColor="text1"/>
          <w:szCs w:val="20"/>
        </w:rPr>
        <w:t xml:space="preserve">Horário da Fase de Lances: 8:00 às </w:t>
      </w:r>
      <w:r>
        <w:rPr>
          <w:rFonts w:cs="Arial"/>
          <w:color w:val="000000" w:themeColor="text1"/>
          <w:szCs w:val="20"/>
        </w:rPr>
        <w:t>17</w:t>
      </w:r>
      <w:r>
        <w:rPr>
          <w:rFonts w:cs="Arial"/>
          <w:color w:val="000000" w:themeColor="text1"/>
          <w:szCs w:val="20"/>
        </w:rPr>
        <w:t>:00hs</w:t>
      </w:r>
    </w:p>
    <w:p>
      <w:pPr>
        <w:pStyle w:val="PADRO"/>
        <w:keepNext w:val="false"/>
        <w:widowControl/>
        <w:shd w:val="clear" w:color="auto" w:fill="auto"/>
        <w:spacing w:before="120" w:after="120"/>
        <w:ind w:left="360" w:hanging="0"/>
        <w:rPr>
          <w:rFonts w:ascii="Arial" w:hAnsi="Arial" w:cs="Arial"/>
          <w:b/>
          <w:b/>
        </w:rPr>
      </w:pPr>
      <w:r>
        <w:rPr>
          <w:rFonts w:cs="Arial" w:ascii="Arial" w:hAnsi="Arial"/>
          <w:b/>
        </w:rPr>
      </w:r>
    </w:p>
    <w:p>
      <w:pPr>
        <w:pStyle w:val="PADRO"/>
        <w:keepNext w:val="false"/>
        <w:widowControl/>
        <w:numPr>
          <w:ilvl w:val="0"/>
          <w:numId w:val="1"/>
        </w:numPr>
        <w:shd w:val="clear" w:color="auto" w:fill="auto"/>
        <w:spacing w:before="120" w:after="120"/>
        <w:rPr/>
      </w:pPr>
      <w:r>
        <w:rPr>
          <w:rFonts w:cs="Arial" w:ascii="Arial" w:hAnsi="Arial"/>
          <w:b/>
        </w:rPr>
        <w:t>OBJETO DA CONTRATAÇÃO DIRETA</w:t>
      </w:r>
      <w:bookmarkStart w:id="0" w:name="_GoBack"/>
      <w:bookmarkEnd w:id="0"/>
    </w:p>
    <w:p>
      <w:pPr>
        <w:pStyle w:val="PADRO"/>
        <w:keepNext w:val="false"/>
        <w:widowControl/>
        <w:numPr>
          <w:ilvl w:val="1"/>
          <w:numId w:val="1"/>
        </w:numPr>
        <w:shd w:val="clear" w:color="auto" w:fill="auto"/>
        <w:spacing w:before="120" w:after="120"/>
        <w:rPr/>
      </w:pPr>
      <w:r>
        <w:rPr>
          <w:rFonts w:cs="Arial" w:ascii="Arial" w:hAnsi="Arial"/>
          <w:color w:val="000000" w:themeColor="text1"/>
          <w:szCs w:val="20"/>
        </w:rPr>
        <w:t>Calibração Balanças Médio Porte (101Kg – 500Kg) – Taxa de Atendimento e Deslocamento.</w:t>
      </w:r>
    </w:p>
    <w:p>
      <w:pPr>
        <w:pStyle w:val="PADRO"/>
        <w:widowControl/>
        <w:numPr>
          <w:ilvl w:val="0"/>
          <w:numId w:val="0"/>
        </w:numPr>
        <w:shd w:val="clear" w:color="auto" w:fill="auto"/>
        <w:spacing w:before="0" w:after="0"/>
        <w:ind w:left="792" w:hanging="0"/>
        <w:rPr/>
      </w:pPr>
      <w:r>
        <w:rPr>
          <w:rFonts w:cs="Arial" w:ascii="Arial" w:hAnsi="Arial"/>
          <w:i/>
          <w:iCs/>
          <w:color w:val="000000" w:themeColor="text1"/>
          <w:szCs w:val="20"/>
        </w:rPr>
        <w:t>Calibração com pesos padrão para balanças industriais:</w:t>
      </w:r>
      <w:r>
        <w:rPr>
          <w:rFonts w:cs="Arial" w:ascii="Arial" w:hAnsi="Arial"/>
          <w:color w:val="000000" w:themeColor="text1"/>
          <w:szCs w:val="20"/>
        </w:rPr>
        <w:t xml:space="preserve"> </w:t>
      </w:r>
    </w:p>
    <w:p>
      <w:pPr>
        <w:pStyle w:val="PADRO"/>
        <w:widowControl/>
        <w:numPr>
          <w:ilvl w:val="0"/>
          <w:numId w:val="0"/>
        </w:numPr>
        <w:shd w:val="clear" w:color="auto" w:fill="auto"/>
        <w:spacing w:before="0" w:after="0"/>
        <w:ind w:left="792" w:hanging="0"/>
        <w:rPr/>
      </w:pPr>
      <w:r>
        <w:rPr>
          <w:rFonts w:cs="Arial" w:ascii="Arial" w:hAnsi="Arial"/>
          <w:color w:val="000000" w:themeColor="text1"/>
          <w:szCs w:val="20"/>
        </w:rPr>
        <w:t xml:space="preserve">* atendimento técnico especializado com certificação ISO 17025 </w:t>
      </w:r>
    </w:p>
    <w:p>
      <w:pPr>
        <w:pStyle w:val="PADRO"/>
        <w:widowControl/>
        <w:numPr>
          <w:ilvl w:val="0"/>
          <w:numId w:val="0"/>
        </w:numPr>
        <w:shd w:val="clear" w:color="auto" w:fill="auto"/>
        <w:spacing w:before="0" w:after="0"/>
        <w:ind w:left="792" w:hanging="0"/>
        <w:rPr/>
      </w:pPr>
      <w:r>
        <w:rPr>
          <w:rFonts w:cs="Arial" w:ascii="Arial" w:hAnsi="Arial"/>
          <w:color w:val="000000" w:themeColor="text1"/>
          <w:szCs w:val="20"/>
        </w:rPr>
        <w:t>* Inspeção visual, verificação da deterioração e corrosão da plataforma</w:t>
      </w:r>
    </w:p>
    <w:p>
      <w:pPr>
        <w:pStyle w:val="PADRO"/>
        <w:widowControl/>
        <w:numPr>
          <w:ilvl w:val="0"/>
          <w:numId w:val="0"/>
        </w:numPr>
        <w:shd w:val="clear" w:color="auto" w:fill="auto"/>
        <w:spacing w:before="0" w:after="0"/>
        <w:ind w:left="792" w:hanging="0"/>
        <w:rPr/>
      </w:pPr>
      <w:r>
        <w:rPr>
          <w:rFonts w:cs="Arial" w:ascii="Arial" w:hAnsi="Arial"/>
          <w:color w:val="000000" w:themeColor="text1"/>
          <w:szCs w:val="20"/>
        </w:rPr>
        <w:t>* Inspeção visual dos limitadores, batentes e para-choques</w:t>
      </w:r>
    </w:p>
    <w:p>
      <w:pPr>
        <w:pStyle w:val="PADRO"/>
        <w:widowControl/>
        <w:numPr>
          <w:ilvl w:val="0"/>
          <w:numId w:val="0"/>
        </w:numPr>
        <w:shd w:val="clear" w:color="auto" w:fill="auto"/>
        <w:spacing w:before="0" w:after="0"/>
        <w:ind w:left="792" w:hanging="0"/>
        <w:rPr/>
      </w:pPr>
      <w:r>
        <w:rPr>
          <w:rFonts w:cs="Arial" w:ascii="Arial" w:hAnsi="Arial"/>
          <w:color w:val="000000" w:themeColor="text1"/>
          <w:szCs w:val="20"/>
        </w:rPr>
        <w:t>* Inspeção visual das condições de cabeamento</w:t>
      </w:r>
    </w:p>
    <w:p>
      <w:pPr>
        <w:pStyle w:val="PADRO"/>
        <w:widowControl/>
        <w:numPr>
          <w:ilvl w:val="0"/>
          <w:numId w:val="0"/>
        </w:numPr>
        <w:shd w:val="clear" w:color="auto" w:fill="auto"/>
        <w:spacing w:before="0" w:after="0"/>
        <w:ind w:left="792" w:hanging="0"/>
        <w:rPr/>
      </w:pPr>
      <w:r>
        <w:rPr>
          <w:rFonts w:cs="Arial" w:ascii="Arial" w:hAnsi="Arial"/>
          <w:color w:val="000000" w:themeColor="text1"/>
          <w:szCs w:val="20"/>
        </w:rPr>
        <w:t>* Inspeção visual das células de carga e castanhas</w:t>
      </w:r>
    </w:p>
    <w:p>
      <w:pPr>
        <w:pStyle w:val="PADRO"/>
        <w:widowControl/>
        <w:numPr>
          <w:ilvl w:val="0"/>
          <w:numId w:val="0"/>
        </w:numPr>
        <w:shd w:val="clear" w:color="auto" w:fill="auto"/>
        <w:spacing w:before="0" w:after="0"/>
        <w:ind w:left="792" w:hanging="0"/>
        <w:rPr/>
      </w:pPr>
      <w:r>
        <w:rPr>
          <w:rFonts w:cs="Arial" w:ascii="Arial" w:hAnsi="Arial"/>
          <w:color w:val="000000" w:themeColor="text1"/>
          <w:szCs w:val="20"/>
        </w:rPr>
        <w:t>* Inspeção visual sobre a caixa de junção e aterramento</w:t>
      </w:r>
    </w:p>
    <w:p>
      <w:pPr>
        <w:pStyle w:val="PADRO"/>
        <w:widowControl/>
        <w:numPr>
          <w:ilvl w:val="0"/>
          <w:numId w:val="0"/>
        </w:numPr>
        <w:shd w:val="clear" w:color="auto" w:fill="auto"/>
        <w:spacing w:before="0" w:after="0"/>
        <w:ind w:left="792" w:hanging="0"/>
        <w:rPr/>
      </w:pPr>
      <w:r>
        <w:rPr>
          <w:rFonts w:cs="Arial" w:ascii="Arial" w:hAnsi="Arial"/>
          <w:color w:val="000000" w:themeColor="text1"/>
          <w:szCs w:val="20"/>
        </w:rPr>
        <w:t>* Verificação de existência de sujeira e acúmulo de resíduos no fosso da balança( quando aplicado)</w:t>
      </w:r>
    </w:p>
    <w:p>
      <w:pPr>
        <w:pStyle w:val="PADRO"/>
        <w:widowControl/>
        <w:numPr>
          <w:ilvl w:val="0"/>
          <w:numId w:val="0"/>
        </w:numPr>
        <w:shd w:val="clear" w:color="auto" w:fill="auto"/>
        <w:spacing w:before="0" w:after="0"/>
        <w:ind w:left="792" w:hanging="0"/>
        <w:rPr/>
      </w:pPr>
      <w:r>
        <w:rPr>
          <w:rFonts w:cs="Arial" w:ascii="Arial" w:hAnsi="Arial"/>
          <w:color w:val="000000" w:themeColor="text1"/>
          <w:szCs w:val="20"/>
        </w:rPr>
        <w:t>* Registro das condições do equipamento</w:t>
      </w:r>
    </w:p>
    <w:p>
      <w:pPr>
        <w:pStyle w:val="PADRO"/>
        <w:widowControl/>
        <w:numPr>
          <w:ilvl w:val="0"/>
          <w:numId w:val="0"/>
        </w:numPr>
        <w:shd w:val="clear" w:color="auto" w:fill="auto"/>
        <w:spacing w:before="0" w:after="0"/>
        <w:ind w:left="792" w:hanging="0"/>
        <w:rPr/>
      </w:pPr>
      <w:r>
        <w:rPr>
          <w:rFonts w:cs="Arial" w:ascii="Arial" w:hAnsi="Arial"/>
          <w:color w:val="000000" w:themeColor="text1"/>
          <w:szCs w:val="20"/>
        </w:rPr>
        <w:t>* Movimentações de pesos padrão até 500Kg</w:t>
      </w:r>
    </w:p>
    <w:p>
      <w:pPr>
        <w:pStyle w:val="PADRO"/>
        <w:widowControl/>
        <w:numPr>
          <w:ilvl w:val="0"/>
          <w:numId w:val="0"/>
        </w:numPr>
        <w:shd w:val="clear" w:color="auto" w:fill="auto"/>
        <w:spacing w:before="0" w:after="0"/>
        <w:ind w:left="792" w:hanging="0"/>
        <w:rPr/>
      </w:pPr>
      <w:r>
        <w:rPr>
          <w:rFonts w:cs="Arial" w:ascii="Arial" w:hAnsi="Arial"/>
          <w:color w:val="000000" w:themeColor="text1"/>
          <w:szCs w:val="20"/>
        </w:rPr>
        <w:t>* Calibração com peso padrão</w:t>
      </w:r>
    </w:p>
    <w:p>
      <w:pPr>
        <w:pStyle w:val="PADRO"/>
        <w:widowControl/>
        <w:numPr>
          <w:ilvl w:val="0"/>
          <w:numId w:val="0"/>
        </w:numPr>
        <w:shd w:val="clear" w:color="auto" w:fill="auto"/>
        <w:spacing w:before="0" w:after="0"/>
        <w:ind w:left="792" w:hanging="0"/>
        <w:rPr/>
      </w:pPr>
      <w:r>
        <w:rPr>
          <w:rFonts w:cs="Arial" w:ascii="Arial" w:hAnsi="Arial"/>
          <w:color w:val="000000" w:themeColor="text1"/>
          <w:szCs w:val="20"/>
        </w:rPr>
        <w:t>* Teste de fidelidade, linearidade, excentricidade e leitura</w:t>
      </w:r>
    </w:p>
    <w:p>
      <w:pPr>
        <w:pStyle w:val="PADRO"/>
        <w:widowControl/>
        <w:numPr>
          <w:ilvl w:val="0"/>
          <w:numId w:val="0"/>
        </w:numPr>
        <w:shd w:val="clear" w:color="auto" w:fill="auto"/>
        <w:spacing w:before="0" w:after="0"/>
        <w:ind w:left="792" w:hanging="0"/>
        <w:rPr/>
      </w:pPr>
      <w:r>
        <w:rPr>
          <w:rFonts w:cs="Arial" w:ascii="Arial" w:hAnsi="Arial"/>
          <w:color w:val="000000" w:themeColor="text1"/>
          <w:szCs w:val="20"/>
        </w:rPr>
        <w:t>* Verificação e registro dos desvio encontrados</w:t>
      </w:r>
    </w:p>
    <w:p>
      <w:pPr>
        <w:pStyle w:val="PADRO"/>
        <w:widowControl/>
        <w:numPr>
          <w:ilvl w:val="0"/>
          <w:numId w:val="0"/>
        </w:numPr>
        <w:shd w:val="clear" w:color="auto" w:fill="auto"/>
        <w:spacing w:before="0" w:after="0"/>
        <w:ind w:left="792" w:hanging="0"/>
        <w:rPr/>
      </w:pPr>
      <w:r>
        <w:rPr>
          <w:rFonts w:cs="Arial" w:ascii="Arial" w:hAnsi="Arial"/>
          <w:color w:val="000000" w:themeColor="text1"/>
          <w:szCs w:val="20"/>
        </w:rPr>
        <w:t>* emissão de certificado padrão ISO 17025 pela REDE METROLÓGICA DO RS.</w:t>
      </w:r>
    </w:p>
    <w:p>
      <w:pPr>
        <w:pStyle w:val="PADRO"/>
        <w:widowControl/>
        <w:numPr>
          <w:ilvl w:val="0"/>
          <w:numId w:val="0"/>
        </w:numPr>
        <w:shd w:val="clear" w:color="auto" w:fill="auto"/>
        <w:spacing w:before="0" w:after="0"/>
        <w:ind w:left="792" w:hanging="0"/>
        <w:rPr/>
      </w:pPr>
      <w:r>
        <w:rPr>
          <w:rFonts w:cs="Arial" w:ascii="Arial" w:hAnsi="Arial"/>
          <w:color w:val="000000" w:themeColor="text1"/>
          <w:szCs w:val="20"/>
        </w:rPr>
        <w:t>*Ajustes de excentricidade e ajustes gerais dentro das condições apresentadas do equipamento</w:t>
      </w:r>
    </w:p>
    <w:p>
      <w:pPr>
        <w:pStyle w:val="PADRO"/>
        <w:widowControl/>
        <w:numPr>
          <w:ilvl w:val="0"/>
          <w:numId w:val="0"/>
        </w:numPr>
        <w:shd w:val="clear" w:color="auto" w:fill="auto"/>
        <w:spacing w:before="0" w:after="0"/>
        <w:ind w:left="792" w:hanging="0"/>
        <w:rPr/>
      </w:pPr>
      <w:r>
        <w:rPr>
          <w:rFonts w:cs="Arial" w:ascii="Arial" w:hAnsi="Arial"/>
          <w:color w:val="000000" w:themeColor="text1"/>
          <w:szCs w:val="20"/>
        </w:rPr>
        <w:t>* Fixação do selo de “reparo e ou não conforme” do INMETRO( peças a parte)</w:t>
      </w:r>
    </w:p>
    <w:p>
      <w:pPr>
        <w:pStyle w:val="PADRO"/>
        <w:keepNext w:val="false"/>
        <w:widowControl/>
        <w:numPr>
          <w:ilvl w:val="1"/>
          <w:numId w:val="1"/>
        </w:numPr>
        <w:shd w:val="clear" w:color="auto" w:fill="auto"/>
        <w:spacing w:before="120" w:after="120"/>
        <w:rPr>
          <w:color w:val="000000"/>
        </w:rPr>
      </w:pPr>
      <w:r>
        <w:rPr>
          <w:rFonts w:cs="Arial" w:ascii="Arial" w:hAnsi="Arial"/>
          <w:i/>
          <w:iCs/>
          <w:color w:val="000000"/>
          <w:szCs w:val="20"/>
        </w:rPr>
        <w:t>A contratação será dividida em itens</w:t>
      </w:r>
      <w:r>
        <w:rPr>
          <w:rFonts w:cs="Arial" w:ascii="Arial" w:hAnsi="Arial"/>
          <w:b/>
          <w:bCs/>
          <w:i/>
          <w:iCs/>
          <w:color w:val="000000"/>
          <w:szCs w:val="20"/>
        </w:rPr>
        <w:t>,</w:t>
      </w:r>
      <w:r>
        <w:rPr>
          <w:rFonts w:cs="Arial" w:ascii="Arial" w:hAnsi="Arial"/>
          <w:i/>
          <w:iCs/>
          <w:color w:val="000000"/>
          <w:szCs w:val="20"/>
        </w:rPr>
        <w:t xml:space="preserve"> conforme tabela constante abaixo.</w:t>
      </w:r>
    </w:p>
    <w:tbl>
      <w:tblPr>
        <w:tblW w:w="8395" w:type="dxa"/>
        <w:jc w:val="left"/>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1" w:val="04a0" w:noHBand="0" w:lastColumn="0" w:firstColumn="1" w:lastRow="0" w:firstRow="1"/>
      </w:tblPr>
      <w:tblGrid>
        <w:gridCol w:w="653"/>
        <w:gridCol w:w="2478"/>
        <w:gridCol w:w="888"/>
        <w:gridCol w:w="1092"/>
        <w:gridCol w:w="830"/>
        <w:gridCol w:w="2453"/>
      </w:tblGrid>
      <w:tr>
        <w:trPr/>
        <w:tc>
          <w:tcPr>
            <w:tcW w:w="6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ITEM</w:t>
            </w:r>
          </w:p>
          <w:p>
            <w:pPr>
              <w:pStyle w:val="Normal"/>
              <w:widowControl w:val="false"/>
              <w:suppressAutoHyphens w:val="true"/>
              <w:jc w:val="center"/>
              <w:rPr>
                <w:rFonts w:cs="Arial"/>
                <w:b/>
                <w:b/>
                <w:color w:val="000000"/>
                <w:sz w:val="14"/>
                <w:szCs w:val="14"/>
              </w:rPr>
            </w:pPr>
            <w:r>
              <w:rPr>
                <w:rFonts w:cs="Arial"/>
                <w:b/>
                <w:color w:val="000000"/>
                <w:sz w:val="14"/>
                <w:szCs w:val="14"/>
              </w:rPr>
            </w:r>
          </w:p>
        </w:tc>
        <w:tc>
          <w:tcPr>
            <w:tcW w:w="2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cs="Arial"/>
                <w:b/>
                <w:b/>
                <w:bCs/>
                <w:color w:val="000000"/>
                <w:sz w:val="14"/>
                <w:szCs w:val="14"/>
              </w:rPr>
            </w:pPr>
            <w:r>
              <w:rPr>
                <w:rFonts w:cs="Arial"/>
                <w:b/>
                <w:bCs/>
                <w:color w:val="000000"/>
                <w:sz w:val="14"/>
                <w:szCs w:val="14"/>
              </w:rPr>
              <w:t>DESCRIÇÃO/</w:t>
            </w:r>
          </w:p>
          <w:p>
            <w:pPr>
              <w:pStyle w:val="Normal"/>
              <w:widowControl w:val="false"/>
              <w:suppressAutoHyphens w:val="true"/>
              <w:jc w:val="center"/>
              <w:rPr>
                <w:rFonts w:cs="Arial"/>
                <w:color w:val="000000"/>
                <w:sz w:val="14"/>
                <w:szCs w:val="14"/>
              </w:rPr>
            </w:pPr>
            <w:r>
              <w:rPr>
                <w:rFonts w:cs="Arial"/>
                <w:b/>
                <w:bCs/>
                <w:color w:val="000000"/>
                <w:sz w:val="14"/>
                <w:szCs w:val="14"/>
              </w:rPr>
              <w:t>ESPECIFICAÇÃO</w:t>
            </w:r>
          </w:p>
        </w:tc>
        <w:tc>
          <w:tcPr>
            <w:tcW w:w="8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CATSER/</w:t>
            </w:r>
          </w:p>
          <w:p>
            <w:pPr>
              <w:pStyle w:val="Normal"/>
              <w:widowControl w:val="false"/>
              <w:suppressAutoHyphens w:val="true"/>
              <w:jc w:val="center"/>
              <w:rPr>
                <w:rFonts w:cs="Arial"/>
                <w:b/>
                <w:b/>
                <w:bCs/>
                <w:color w:val="000000"/>
                <w:sz w:val="14"/>
                <w:szCs w:val="14"/>
              </w:rPr>
            </w:pPr>
            <w:r>
              <w:rPr>
                <w:rFonts w:cs="Arial"/>
                <w:b/>
                <w:bCs/>
                <w:color w:val="000000"/>
                <w:sz w:val="14"/>
                <w:szCs w:val="14"/>
              </w:rPr>
              <w:t>CATMAT</w:t>
            </w:r>
          </w:p>
        </w:tc>
        <w:tc>
          <w:tcPr>
            <w:tcW w:w="10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color w:val="000000"/>
                <w:sz w:val="14"/>
                <w:szCs w:val="14"/>
              </w:rPr>
            </w:pPr>
            <w:r>
              <w:rPr>
                <w:rFonts w:cs="Arial"/>
                <w:b/>
                <w:bCs/>
                <w:color w:val="000000"/>
                <w:sz w:val="14"/>
                <w:szCs w:val="14"/>
              </w:rPr>
              <w:t>UNIDADE DE MEDIDA</w:t>
            </w:r>
          </w:p>
        </w:tc>
        <w:tc>
          <w:tcPr>
            <w:tcW w:w="8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color w:val="000000"/>
                <w:sz w:val="14"/>
                <w:szCs w:val="14"/>
              </w:rPr>
            </w:pPr>
            <w:r>
              <w:rPr>
                <w:rFonts w:cs="Arial"/>
                <w:b/>
                <w:bCs/>
                <w:color w:val="000000"/>
                <w:sz w:val="14"/>
                <w:szCs w:val="14"/>
              </w:rPr>
              <w:t>QUANT.</w:t>
            </w:r>
          </w:p>
        </w:tc>
        <w:tc>
          <w:tcPr>
            <w:tcW w:w="24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PREÇO ESTIMADO</w:t>
            </w:r>
          </w:p>
        </w:tc>
      </w:tr>
      <w:tr>
        <w:trPr/>
        <w:tc>
          <w:tcPr>
            <w:tcW w:w="6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b/>
                <w:color w:val="000000"/>
                <w:sz w:val="16"/>
                <w:szCs w:val="16"/>
              </w:rPr>
              <w:t>1</w:t>
            </w:r>
          </w:p>
        </w:tc>
        <w:tc>
          <w:tcPr>
            <w:tcW w:w="2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Calibração Balanças Médio Porte (101Kg - 500Kg)</w:t>
            </w:r>
          </w:p>
        </w:tc>
        <w:tc>
          <w:tcPr>
            <w:tcW w:w="8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rFonts w:cs="Arial"/>
                <w:color w:val="000000"/>
                <w:sz w:val="16"/>
                <w:szCs w:val="16"/>
              </w:rPr>
            </w:pPr>
            <w:r>
              <w:rPr>
                <w:rFonts w:cs="Arial"/>
                <w:color w:val="000000"/>
                <w:sz w:val="16"/>
                <w:szCs w:val="16"/>
              </w:rPr>
            </w:r>
          </w:p>
        </w:tc>
        <w:tc>
          <w:tcPr>
            <w:tcW w:w="10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SV</w:t>
            </w:r>
          </w:p>
        </w:tc>
        <w:tc>
          <w:tcPr>
            <w:tcW w:w="8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1</w:t>
            </w:r>
          </w:p>
        </w:tc>
        <w:tc>
          <w:tcPr>
            <w:tcW w:w="24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bookmarkStart w:id="1" w:name="__DdeLink__373_408297190"/>
            <w:r>
              <w:rPr>
                <w:rFonts w:cs="Arial"/>
                <w:color w:val="000000"/>
                <w:sz w:val="16"/>
                <w:szCs w:val="16"/>
              </w:rPr>
              <w:t xml:space="preserve">R$ </w:t>
            </w:r>
            <w:r>
              <w:rPr>
                <w:rFonts w:cs="Arial"/>
                <w:color w:val="000000"/>
                <w:sz w:val="16"/>
                <w:szCs w:val="16"/>
              </w:rPr>
              <w:t>413</w:t>
            </w:r>
            <w:r>
              <w:rPr>
                <w:rFonts w:cs="Arial"/>
                <w:color w:val="000000"/>
                <w:sz w:val="16"/>
                <w:szCs w:val="16"/>
              </w:rPr>
              <w:t>,</w:t>
            </w:r>
            <w:bookmarkEnd w:id="1"/>
            <w:r>
              <w:rPr>
                <w:rFonts w:cs="Arial"/>
                <w:color w:val="000000"/>
                <w:sz w:val="16"/>
                <w:szCs w:val="16"/>
              </w:rPr>
              <w:t>33</w:t>
            </w:r>
          </w:p>
        </w:tc>
      </w:tr>
      <w:tr>
        <w:trPr/>
        <w:tc>
          <w:tcPr>
            <w:tcW w:w="6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t>2</w:t>
            </w:r>
          </w:p>
        </w:tc>
        <w:tc>
          <w:tcPr>
            <w:tcW w:w="2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t>Taxa de Atendimento e Deslocamento</w:t>
            </w:r>
          </w:p>
        </w:tc>
        <w:tc>
          <w:tcPr>
            <w:tcW w:w="8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
          </w:p>
        </w:tc>
        <w:tc>
          <w:tcPr>
            <w:tcW w:w="10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t>SV</w:t>
            </w:r>
          </w:p>
        </w:tc>
        <w:tc>
          <w:tcPr>
            <w:tcW w:w="8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t>1</w:t>
            </w:r>
          </w:p>
        </w:tc>
        <w:tc>
          <w:tcPr>
            <w:tcW w:w="24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R$ 120,00</w:t>
            </w:r>
          </w:p>
        </w:tc>
      </w:tr>
    </w:tbl>
    <w:p>
      <w:pPr>
        <w:pStyle w:val="PADRO"/>
        <w:keepNext w:val="false"/>
        <w:widowControl/>
        <w:numPr>
          <w:ilvl w:val="2"/>
          <w:numId w:val="1"/>
        </w:numPr>
        <w:shd w:val="clear" w:color="auto" w:fill="auto"/>
        <w:spacing w:before="120" w:after="120"/>
        <w:rPr/>
      </w:pPr>
      <w:r>
        <w:rPr>
          <w:rFonts w:cs="Arial" w:ascii="Arial" w:hAnsi="Arial"/>
          <w:szCs w:val="20"/>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before="120" w:after="120"/>
        <w:rPr/>
      </w:pPr>
      <w:r>
        <w:rPr>
          <w:rFonts w:cs="Arial" w:ascii="Arial" w:hAnsi="Arial"/>
          <w:szCs w:val="20"/>
        </w:rPr>
        <w:t>O critério de julgamento adotado será o</w:t>
      </w:r>
      <w:r>
        <w:rPr>
          <w:rFonts w:cs="Arial" w:ascii="Arial" w:hAnsi="Arial"/>
          <w:i/>
          <w:iCs/>
          <w:szCs w:val="20"/>
        </w:rPr>
        <w:t xml:space="preserve"> </w:t>
      </w:r>
      <w:r>
        <w:rPr>
          <w:rFonts w:cs="Arial" w:ascii="Arial" w:hAnsi="Arial"/>
          <w:i/>
          <w:iCs/>
          <w:color w:val="000000"/>
          <w:szCs w:val="20"/>
        </w:rPr>
        <w:t>menor preço,</w:t>
      </w:r>
      <w:r>
        <w:rPr>
          <w:rFonts w:cs="Arial" w:ascii="Arial" w:hAnsi="Arial"/>
          <w:color w:val="000000"/>
          <w:szCs w:val="20"/>
        </w:rPr>
        <w:t xml:space="preserve"> o</w:t>
      </w:r>
      <w:r>
        <w:rPr>
          <w:rFonts w:cs="Arial" w:ascii="Arial" w:hAnsi="Arial"/>
          <w:szCs w:val="20"/>
        </w:rPr>
        <w:t>bservadas as exigências contidas neste Aviso de Contratação Direta e seus Anexos quanto às especificações do objeto.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ind w:left="425" w:hanging="0"/>
        <w:jc w:val="both"/>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endereço eletrônico https://www.gov.br/compras/pt-br/.</w:t>
      </w:r>
    </w:p>
    <w:p>
      <w:pPr>
        <w:pStyle w:val="Normal"/>
        <w:numPr>
          <w:ilvl w:val="2"/>
          <w:numId w:val="1"/>
        </w:numPr>
        <w:snapToGrid w:val="false"/>
        <w:spacing w:lineRule="auto" w:line="276"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os fornecedores: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color w:val="000000"/>
          <w:szCs w:val="20"/>
        </w:rPr>
        <w:t>empresas controladoras, controladas ou coligadas, nos termos da </w:t>
      </w:r>
      <w:hyperlink r:id="rId2">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pPr>
      <w:r>
        <w:rPr/>
        <w:t xml:space="preserve"> </w:t>
      </w:r>
      <w:r>
        <w:rPr/>
        <w:t>Será permitida a participação de cooperativas, desde que apresentem demonstrativo de atuação em regime cooperado, com repartição de receitas e despesas entre os cooperados e atendam ao art. 16 da Lei nº 14.133/21.</w:t>
      </w:r>
    </w:p>
    <w:p>
      <w:pPr>
        <w:pStyle w:val="Normal"/>
        <w:tabs>
          <w:tab w:val="left" w:pos="1440" w:leader="none"/>
        </w:tabs>
        <w:snapToGrid w:val="false"/>
        <w:spacing w:lineRule="auto" w:line="276" w:before="120" w:after="120"/>
        <w:jc w:val="center"/>
        <w:rPr>
          <w:rFonts w:eastAsia="Arial" w:cs="Arial"/>
          <w:b/>
          <w:b/>
          <w:bCs/>
          <w:color w:val="FF0000"/>
          <w:szCs w:val="20"/>
          <w:u w:val="single"/>
        </w:rPr>
      </w:pPr>
      <w:r>
        <w:rPr>
          <w:rFonts w:eastAsia="Arial" w:cs="Arial"/>
          <w:b/>
          <w:bCs/>
          <w:color w:val="FF0000"/>
          <w:szCs w:val="20"/>
          <w:u w:val="single"/>
        </w:rPr>
      </w:r>
    </w:p>
    <w:p>
      <w:pPr>
        <w:pStyle w:val="PADRO"/>
        <w:keepNext w:val="false"/>
        <w:widowControl/>
        <w:numPr>
          <w:ilvl w:val="0"/>
          <w:numId w:val="1"/>
        </w:numPr>
        <w:shd w:val="clear" w:color="auto" w:fill="auto"/>
        <w:spacing w:before="120" w:after="120"/>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pPr>
      <w:r>
        <w:rPr>
          <w:rFonts w:cs="Arial"/>
          <w:szCs w:val="20"/>
        </w:rPr>
        <w:t xml:space="preserve">A apresentação das propostas implica obrigatoriedade do cumprimento das disposições nelas contidas, em conformidade com o que dispõe o </w:t>
      </w:r>
      <w:r>
        <w:rPr>
          <w:rFonts w:cs="Arial"/>
          <w:i/>
          <w:color w:val="000000"/>
          <w:szCs w:val="20"/>
        </w:rPr>
        <w:t>Aviso de Dispensa Eletrônica</w:t>
      </w:r>
      <w:r>
        <w:rPr>
          <w:rFonts w:cs="Arial"/>
          <w:color w:val="000000"/>
          <w:szCs w:val="20"/>
        </w:rPr>
        <w:t>, assumindo o proponente o compromisso de executar os serviços nos se</w:t>
      </w:r>
      <w:r>
        <w:rPr>
          <w:rFonts w:cs="Arial"/>
          <w:szCs w:val="20"/>
        </w:rPr>
        <w:t>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pPr>
        <w:pStyle w:val="Normal"/>
        <w:numPr>
          <w:ilvl w:val="1"/>
          <w:numId w:val="1"/>
        </w:numPr>
        <w:spacing w:lineRule="auto" w:line="276" w:before="120" w:after="120"/>
        <w:ind w:left="425" w:hanging="0"/>
        <w:jc w:val="both"/>
        <w:rPr/>
      </w:pPr>
      <w:r>
        <w:rPr>
          <w:rFonts w:cs="Arial"/>
          <w:color w:val="000000"/>
          <w:szCs w:val="20"/>
        </w:rPr>
        <w:t xml:space="preserve">No cadastramento da proposta inicial, o fornecedor deverá, também, assinalar “sim” ou “não” em campo </w:t>
      </w:r>
      <w:r>
        <w:rPr>
          <w:rFonts w:cs="Arial"/>
          <w:szCs w:val="20"/>
        </w:rPr>
        <w:t>próprio</w:t>
      </w:r>
      <w:r>
        <w:rPr>
          <w:rFonts w:cs="Arial"/>
          <w:color w:val="000000"/>
          <w:szCs w:val="20"/>
        </w:rPr>
        <w:t xml:space="preserve"> do sistema eletrônico, às seguintes declarações:</w:t>
      </w:r>
      <w:r>
        <w:rPr>
          <w:rFonts w:eastAsia="Zurich BT" w:cs="Arial"/>
          <w:color w:val="000000"/>
          <w:szCs w:val="20"/>
        </w:rPr>
        <w:t xml:space="preserve"> </w:t>
      </w:r>
    </w:p>
    <w:p>
      <w:pPr>
        <w:pStyle w:val="ListParagraph"/>
        <w:numPr>
          <w:ilvl w:val="0"/>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que </w:t>
      </w:r>
      <w:r>
        <w:rPr>
          <w:rFonts w:cs="Arial"/>
          <w:color w:val="000000"/>
          <w:szCs w:val="20"/>
        </w:rPr>
        <w:t>cumpre</w:t>
      </w:r>
      <w:r>
        <w:rPr>
          <w:rFonts w:cs="Arial"/>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pPr>
      <w:r>
        <w:rPr>
          <w:rFonts w:cs="Arial"/>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cs="Arial"/>
          <w:i/>
          <w:i/>
          <w:color w:val="FF0000"/>
          <w:szCs w:val="20"/>
        </w:rPr>
      </w:pPr>
      <w:r>
        <w:rPr>
          <w:rFonts w:cs="Arial"/>
          <w:i/>
          <w:color w:val="000000"/>
          <w:szCs w:val="20"/>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cs="Arial"/>
          <w:i/>
          <w:i/>
          <w:color w:val="FF0000"/>
          <w:szCs w:val="20"/>
        </w:rPr>
      </w:pPr>
      <w:r>
        <w:rPr>
          <w:rFonts w:cs="Arial"/>
          <w:i/>
          <w:color w:val="000000"/>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i/>
          <w:i/>
          <w:color w:val="FF0000"/>
          <w:szCs w:val="20"/>
        </w:rPr>
      </w:pPr>
      <w:r>
        <w:rPr>
          <w:rFonts w:cs="Arial"/>
          <w:i/>
          <w:color w:val="000000"/>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i/>
          <w:i/>
          <w:color w:val="FF0000"/>
          <w:szCs w:val="20"/>
        </w:rPr>
      </w:pPr>
      <w:r>
        <w:rPr>
          <w:rFonts w:cs="Arial"/>
          <w:i/>
          <w:color w:val="000000"/>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cs="Arial"/>
          <w:i/>
          <w:i/>
          <w:color w:val="FF0000"/>
          <w:szCs w:val="20"/>
        </w:rPr>
      </w:pPr>
      <w:r>
        <w:rPr>
          <w:rFonts w:cs="Arial"/>
          <w:i/>
          <w:color w:val="00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val="false"/>
        <w:widowControl/>
        <w:numPr>
          <w:ilvl w:val="0"/>
          <w:numId w:val="1"/>
        </w:numPr>
        <w:shd w:val="clear" w:color="auto" w:fill="auto"/>
        <w:spacing w:before="120" w:after="120"/>
        <w:rPr/>
      </w:pPr>
      <w:r>
        <w:rPr>
          <w:rFonts w:cs="Arial" w:ascii="Arial" w:hAnsi="Arial"/>
          <w:b/>
        </w:rPr>
        <w:t>FASE DE LANCES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color w:val="000000"/>
        </w:rPr>
      </w:pPr>
      <w:r>
        <w:rPr>
          <w:rFonts w:cs="Arial"/>
          <w:i/>
          <w:iCs/>
          <w:color w:val="000000"/>
          <w:szCs w:val="20"/>
        </w:rPr>
        <w:t>O lance deverá ser ofertado pelo valor unitário do item.</w:t>
      </w:r>
    </w:p>
    <w:p>
      <w:pPr>
        <w:pStyle w:val="ListParagraph"/>
        <w:numPr>
          <w:ilvl w:val="1"/>
          <w:numId w:val="1"/>
        </w:numPr>
        <w:spacing w:lineRule="auto" w:line="276" w:before="120" w:after="120"/>
        <w:contextualSpacing/>
        <w:jc w:val="both"/>
        <w:rPr/>
      </w:pPr>
      <w:r>
        <w:rPr>
          <w:rFonts w:cs="Arial"/>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cs="Arial"/>
          <w:i/>
          <w:iCs/>
          <w:color w:val="000000" w:themeColor="text1"/>
          <w:szCs w:val="20"/>
          <w:lang w:eastAsia="en-US"/>
        </w:rPr>
        <w:t>R$ 0,01.</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15</w:t>
      </w:r>
      <w:r>
        <w:rPr>
          <w:rFonts w:cs="Arial"/>
          <w:color w:val="FF0000"/>
          <w:szCs w:val="20"/>
        </w:rPr>
        <w:t xml:space="preserve"> </w:t>
      </w:r>
      <w:r>
        <w:rPr>
          <w:rFonts w:cs="Arial"/>
          <w:color w:val="000000"/>
          <w:szCs w:val="20"/>
        </w:rPr>
        <w:t>(quinze)</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pPr>
        <w:pStyle w:val="ListParagraph"/>
        <w:numPr>
          <w:ilvl w:val="1"/>
          <w:numId w:val="1"/>
        </w:numPr>
        <w:spacing w:lineRule="auto" w:line="276" w:before="120" w:after="120"/>
        <w:contextualSpacing/>
        <w:jc w:val="both"/>
        <w:rPr/>
      </w:pPr>
      <w:r>
        <w:rPr>
          <w:rFonts w:cs="Arial"/>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tiverem sua exequibilidade demonstrada, quando exigido pela Administração</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pPr>
      <w:r>
        <w:rPr>
          <w:rFonts w:cs="Arial"/>
          <w:color w:val="000000" w:themeColor="text1"/>
          <w:szCs w:val="20"/>
          <w:lang w:eastAsia="en-US"/>
        </w:rPr>
        <w:t xml:space="preserve">Erros no preenchimento da planilha não constituem motivo para a desclassificação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 iniciará a fase de habilitação, observado o disposto neste Aviso de Contratação Direta. </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SICAF;  </w:t>
      </w:r>
    </w:p>
    <w:p>
      <w:pPr>
        <w:pStyle w:val="ListParagraph"/>
        <w:spacing w:lineRule="auto" w:line="276" w:before="120" w:after="120"/>
        <w:ind w:left="1134" w:hanging="0"/>
        <w:contextualSpacing/>
        <w:jc w:val="both"/>
        <w:rPr/>
      </w:pPr>
      <w:r>
        <w:rPr>
          <w:rFonts w:cs="Arial"/>
          <w:szCs w:val="20"/>
          <w:lang w:eastAsia="ar-SA"/>
        </w:rPr>
        <w:t>b) Cadastro Nacional de Empresas Inidôneas e Suspensas - CEIS, mantido pela Controladoria-Geral da União (</w:t>
      </w:r>
      <w:hyperlink r:id="rId3">
        <w:r>
          <w:rPr>
            <w:rStyle w:val="LinkdaInternet"/>
            <w:rFonts w:eastAsia="Calibri" w:cs="Arial"/>
            <w:lang w:eastAsia="ar-SA"/>
          </w:rPr>
          <w:t>www.portaldatransparencia.gov.br/ceis</w:t>
        </w:r>
      </w:hyperlink>
      <w:r>
        <w:rPr>
          <w:rFonts w:cs="Arial"/>
          <w:szCs w:val="20"/>
          <w:lang w:eastAsia="ar-SA"/>
        </w:rPr>
        <w:t xml:space="preserve">);  </w:t>
      </w:r>
    </w:p>
    <w:p>
      <w:pPr>
        <w:pStyle w:val="ListParagraph"/>
        <w:spacing w:lineRule="auto" w:line="276" w:before="120" w:after="120"/>
        <w:ind w:left="1134" w:hanging="0"/>
        <w:contextualSpacing/>
        <w:jc w:val="both"/>
        <w:rPr/>
      </w:pPr>
      <w:r>
        <w:rPr>
          <w:rFonts w:cs="Arial"/>
          <w:szCs w:val="20"/>
          <w:lang w:eastAsia="ar-SA"/>
        </w:rPr>
        <w:t>c) Cadastro Nacional de Condenações Cíveis por Atos de Improbidade Administrativa, mantido pelo Conselho Nacional de Justiça (</w:t>
      </w:r>
      <w:hyperlink r:id="rId4">
        <w:r>
          <w:rPr>
            <w:rStyle w:val="LinkdaInternet"/>
            <w:rFonts w:eastAsia="Calibri" w:cs="Arial"/>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Cs w:val="20"/>
        </w:rPr>
      </w:pPr>
      <w:r>
        <w:rPr>
          <w:rFonts w:cs="Arial"/>
          <w:szCs w:val="20"/>
          <w:lang w:eastAsia="ar-SA"/>
        </w:rPr>
        <w:t xml:space="preserve">Para a consulta de </w:t>
      </w:r>
      <w:r>
        <w:rPr>
          <w:rFonts w:cs="Arial"/>
          <w:color w:val="000000" w:themeColor="text1"/>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color w:val="000000" w:themeColor="text1"/>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lang w:eastAsia="en-US"/>
        </w:rPr>
        <w:t>Constatado o atendimento às exigências de habilitação, o fornecedor será habilitado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pPr>
      <w:r>
        <w:rPr>
          <w:rFonts w:eastAsia="Arial" w:cs="Arial"/>
          <w:color w:val="000000"/>
          <w:szCs w:val="20"/>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120" w:after="120"/>
        <w:jc w:val="both"/>
        <w:rPr/>
      </w:pPr>
      <w:r>
        <w:rPr>
          <w:rFonts w:eastAsia="Arial" w:cs="Arial"/>
          <w:color w:val="000000"/>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i/>
          <w:i/>
          <w:color w:val="FF0000"/>
          <w:szCs w:val="20"/>
        </w:rPr>
      </w:pPr>
      <w:r>
        <w:rPr>
          <w:rFonts w:eastAsia="Arial" w:cs="Arial"/>
          <w:i/>
          <w:color w:val="000000"/>
          <w:szCs w:val="20"/>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eastAsia="Arial" w:cs="Arial"/>
          <w:i/>
          <w:i/>
          <w:color w:val="FF0000"/>
          <w:szCs w:val="20"/>
        </w:rPr>
      </w:pPr>
      <w:r>
        <w:rPr>
          <w:rFonts w:eastAsia="Arial" w:cs="Arial"/>
          <w:i/>
          <w:color w:val="000000"/>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i/>
          <w:i/>
          <w:color w:val="FF0000"/>
          <w:szCs w:val="20"/>
        </w:rPr>
      </w:pPr>
      <w:r>
        <w:rPr>
          <w:rFonts w:eastAsia="Arial" w:cs="Arial"/>
          <w:i/>
          <w:color w:val="000000"/>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rFonts w:eastAsia="Arial" w:cs="Arial"/>
          <w:i/>
          <w:i/>
          <w:color w:val="FF0000"/>
          <w:szCs w:val="20"/>
        </w:rPr>
      </w:pPr>
      <w:r>
        <w:rPr>
          <w:rFonts w:eastAsia="Arial" w:cs="Arial"/>
          <w:i/>
          <w:color w:val="000000"/>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pPr>
      <w:r>
        <w:rPr>
          <w:rFonts w:eastAsia="Arial" w:cs="Arial"/>
          <w:color w:val="000000"/>
          <w:szCs w:val="20"/>
        </w:rPr>
        <w:t xml:space="preserve">O prazo de vigência da contratação é de 30 (trinta) dias. </w:t>
      </w:r>
    </w:p>
    <w:p>
      <w:pPr>
        <w:pStyle w:val="Normal"/>
        <w:numPr>
          <w:ilvl w:val="1"/>
          <w:numId w:val="1"/>
        </w:numPr>
        <w:spacing w:lineRule="auto" w:line="276" w:before="120" w:after="120"/>
        <w:ind w:left="425" w:hanging="0"/>
        <w:jc w:val="both"/>
        <w:rPr/>
      </w:pPr>
      <w:r>
        <w:rPr>
          <w:rFonts w:cs="Arial"/>
          <w:color w:val="000000"/>
          <w:szCs w:val="20"/>
        </w:rPr>
        <w:t>Na confecção da Nota de empenho será exigida a comprovação das condições de habilitação e contratação consignadas neste aviso, que deverão ser mantidas pelo fornecedor durante a vigência do contrato.</w:t>
      </w:r>
    </w:p>
    <w:p>
      <w:pPr>
        <w:pStyle w:val="PADRO"/>
        <w:keepNext w:val="false"/>
        <w:widowControl/>
        <w:numPr>
          <w:ilvl w:val="0"/>
          <w:numId w:val="1"/>
        </w:numPr>
        <w:shd w:val="clear" w:color="auto" w:fill="auto"/>
        <w:spacing w:before="120" w:after="120"/>
        <w:rPr/>
      </w:pPr>
      <w:r>
        <w:rPr>
          <w:rFonts w:cs="Arial" w:ascii="Arial" w:hAnsi="Arial"/>
          <w:b/>
        </w:rPr>
        <w:t>SANÇÕES</w:t>
      </w:r>
    </w:p>
    <w:p>
      <w:pPr>
        <w:pStyle w:val="Normal"/>
        <w:numPr>
          <w:ilvl w:val="1"/>
          <w:numId w:val="1"/>
        </w:numPr>
        <w:spacing w:lineRule="auto" w:line="276" w:before="120" w:after="120"/>
        <w:ind w:left="425" w:hanging="0"/>
        <w:jc w:val="both"/>
        <w:rPr>
          <w:rFonts w:cs="Arial"/>
          <w:b/>
          <w:b/>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rPr>
      </w:pPr>
      <w:r>
        <w:rPr>
          <w:rFonts w:cs="Arial"/>
          <w:color w:val="000000"/>
          <w:szCs w:val="20"/>
        </w:rPr>
        <w:t>dar causa à inexecução parcial do contrato</w:t>
      </w:r>
      <w:r>
        <w:rPr>
          <w:rFonts w:cs="Arial"/>
        </w:rPr>
        <w:t>;</w:t>
      </w:r>
    </w:p>
    <w:p>
      <w:pPr>
        <w:pStyle w:val="Normal"/>
        <w:numPr>
          <w:ilvl w:val="2"/>
          <w:numId w:val="1"/>
        </w:numPr>
        <w:spacing w:lineRule="auto" w:line="276" w:before="120" w:after="120"/>
        <w:jc w:val="both"/>
        <w:rPr>
          <w:rFonts w:cs="Arial"/>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rPr>
      </w:pPr>
      <w:r>
        <w:rPr>
          <w:rFonts w:cs="Arial"/>
          <w:color w:val="000000"/>
          <w:szCs w:val="20"/>
        </w:rPr>
        <w:t>dar causa à inexecução total do contrato;</w:t>
      </w:r>
    </w:p>
    <w:p>
      <w:pPr>
        <w:pStyle w:val="Normal"/>
        <w:numPr>
          <w:ilvl w:val="2"/>
          <w:numId w:val="1"/>
        </w:numPr>
        <w:spacing w:lineRule="auto" w:line="276" w:before="120" w:after="120"/>
        <w:jc w:val="both"/>
        <w:rPr>
          <w:rFonts w:cs="Arial"/>
        </w:rPr>
      </w:pPr>
      <w:r>
        <w:rPr>
          <w:rFonts w:cs="Arial"/>
          <w:color w:val="000000"/>
          <w:szCs w:val="20"/>
        </w:rPr>
        <w:t>deixar de entregar a documentação exigida para o certame;</w:t>
      </w:r>
    </w:p>
    <w:p>
      <w:pPr>
        <w:pStyle w:val="Normal"/>
        <w:numPr>
          <w:ilvl w:val="2"/>
          <w:numId w:val="1"/>
        </w:numPr>
        <w:spacing w:lineRule="auto" w:line="276" w:before="120" w:after="120"/>
        <w:jc w:val="both"/>
        <w:rPr>
          <w:rFonts w:cs="Arial"/>
        </w:rPr>
      </w:pPr>
      <w:r>
        <w:rPr>
          <w:rFonts w:cs="Arial"/>
          <w:color w:val="000000"/>
          <w:szCs w:val="20"/>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pPr>
      <w:r>
        <w:rPr>
          <w:rFonts w:cs="Arial"/>
          <w:color w:val="000000"/>
          <w:szCs w:val="20"/>
        </w:rPr>
        <w:t>ensejar o retardamento da execução ou da entrega do objeto da licitação sem motivo justificado;</w:t>
      </w:r>
    </w:p>
    <w:p>
      <w:pPr>
        <w:pStyle w:val="Normal"/>
        <w:numPr>
          <w:ilvl w:val="2"/>
          <w:numId w:val="1"/>
        </w:numPr>
        <w:spacing w:lineRule="auto" w:line="276" w:before="120" w:after="120"/>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rPr>
      </w:pPr>
      <w:r>
        <w:rPr>
          <w:rFonts w:cs="Arial"/>
          <w:color w:val="000000"/>
          <w:szCs w:val="20"/>
        </w:rPr>
        <w:t>fraudar a dispensa eletrônica ou praticar ato fraudulento na execução do contrato;</w:t>
      </w:r>
    </w:p>
    <w:p>
      <w:pPr>
        <w:pStyle w:val="Normal"/>
        <w:numPr>
          <w:ilvl w:val="2"/>
          <w:numId w:val="1"/>
        </w:numPr>
        <w:spacing w:lineRule="auto" w:line="276" w:before="120" w:after="120"/>
        <w:jc w:val="both"/>
        <w:rPr/>
      </w:pPr>
      <w:r>
        <w:rPr>
          <w:rFonts w:cs="Arial"/>
          <w:color w:val="000000"/>
          <w:szCs w:val="20"/>
        </w:rPr>
        <w:t>comportar-se de modo inidôneo ou cometer fraude de qualquer natureza;</w:t>
      </w:r>
    </w:p>
    <w:p>
      <w:pPr>
        <w:pStyle w:val="ListParagraph"/>
        <w:numPr>
          <w:ilvl w:val="3"/>
          <w:numId w:val="1"/>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pPr>
      <w:r>
        <w:rPr>
          <w:rFonts w:cs="Arial"/>
          <w:color w:val="000000"/>
          <w:szCs w:val="20"/>
        </w:rPr>
        <w:t>praticar atos ilícitos com vistas a frustrar os objetivos deste certame.</w:t>
      </w:r>
    </w:p>
    <w:p>
      <w:pPr>
        <w:pStyle w:val="Normal"/>
        <w:numPr>
          <w:ilvl w:val="2"/>
          <w:numId w:val="1"/>
        </w:numPr>
        <w:spacing w:lineRule="auto" w:line="276" w:before="120" w:after="120"/>
        <w:jc w:val="both"/>
        <w:rPr/>
      </w:pPr>
      <w:r>
        <w:rPr>
          <w:rFonts w:cs="Arial"/>
          <w:color w:val="000000"/>
          <w:szCs w:val="20"/>
        </w:rPr>
        <w:t>praticar ato lesivo previsto no </w:t>
      </w:r>
      <w:r>
        <w:fldChar w:fldCharType="begin"/>
      </w:r>
      <w:r>
        <w:rPr>
          <w:rStyle w:val="ListLabel74"/>
        </w:rPr>
        <w:instrText> HYPERLINK "http://www.planalto.gov.br/ccivil_03/_Ato2011-2014/2013/Lei/L12846.htm" \l "art5"</w:instrText>
      </w:r>
      <w:r>
        <w:rPr>
          <w:rStyle w:val="ListLabel74"/>
        </w:rPr>
        <w:fldChar w:fldCharType="separate"/>
      </w:r>
      <w:r>
        <w:rPr>
          <w:rStyle w:val="ListLabel74"/>
          <w:color w:val="000000"/>
        </w:rPr>
        <w:t>art. 5º da Lei nº 12.846, de 1º de agosto de 2013.</w:t>
      </w:r>
      <w:r>
        <w:rPr>
          <w:rStyle w:val="ListLabel74"/>
        </w:rPr>
        <w:fldChar w:fldCharType="end"/>
      </w:r>
    </w:p>
    <w:p>
      <w:pPr>
        <w:pStyle w:val="Normal"/>
        <w:numPr>
          <w:ilvl w:val="1"/>
          <w:numId w:val="1"/>
        </w:numPr>
        <w:spacing w:lineRule="auto" w:line="276" w:before="120" w:after="120"/>
        <w:ind w:left="425" w:hanging="0"/>
        <w:jc w:val="both"/>
        <w:rPr>
          <w:rFonts w:cs="Arial"/>
          <w:b/>
          <w:b/>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jc w:val="both"/>
        <w:rPr>
          <w:rFonts w:cs="Arial"/>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120" w:after="120"/>
        <w:jc w:val="both"/>
        <w:rPr/>
      </w:pPr>
      <w:r>
        <w:rPr>
          <w:rFonts w:cs="Arial"/>
        </w:rPr>
        <w:t>Multa de 0,5</w:t>
      </w:r>
      <w:r>
        <w:rPr>
          <w:rFonts w:cs="Arial"/>
          <w:b w:val="false"/>
          <w:bCs w:val="false"/>
          <w:color w:val="000000"/>
        </w:rPr>
        <w:t>%</w:t>
      </w:r>
      <w:r>
        <w:rPr>
          <w:rFonts w:cs="Arial"/>
          <w:color w:val="FF0000"/>
        </w:rPr>
        <w:t xml:space="preserve"> </w:t>
      </w:r>
      <w:r>
        <w:rPr>
          <w:rFonts w:cs="Arial"/>
          <w:color w:val="000000"/>
        </w:rPr>
        <w:t>(cinco decimos por cento)</w:t>
      </w:r>
      <w:r>
        <w:rPr>
          <w:rFonts w:cs="Arial"/>
          <w:color w:val="FF0000"/>
        </w:rPr>
        <w:t xml:space="preserve"> </w:t>
      </w:r>
      <w:r>
        <w:rPr>
          <w:rFonts w:cs="Arial"/>
        </w:rPr>
        <w:t>sobre o valor estimado do(s) item(s) prejudicado(s) pela conduta do fornecedor, por qualquer das infrações dos subitens 8.1.1 a 8.1.12;</w:t>
      </w:r>
    </w:p>
    <w:p>
      <w:pPr>
        <w:pStyle w:val="Normal"/>
        <w:numPr>
          <w:ilvl w:val="2"/>
          <w:numId w:val="5"/>
        </w:numPr>
        <w:spacing w:lineRule="auto" w:line="276" w:before="120" w:after="120"/>
        <w:jc w:val="both"/>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120" w:after="12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2" w:name="art156%25252525C2%25252525A78"/>
      <w:bookmarkStart w:id="3" w:name="art156%25252525C2%25252525A77"/>
      <w:bookmarkStart w:id="4" w:name="art156%25252525C2%25252525A76"/>
      <w:bookmarkEnd w:id="2"/>
      <w:bookmarkEnd w:id="3"/>
      <w:bookmarkEnd w:id="4"/>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5" w:name="art156%25252525C2%25252525A79"/>
      <w:bookmarkEnd w:id="5"/>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DAS DISPOSIÇÕES GERAIS</w:t>
      </w:r>
    </w:p>
    <w:p>
      <w:pPr>
        <w:pStyle w:val="Normal"/>
        <w:numPr>
          <w:ilvl w:val="1"/>
          <w:numId w:val="1"/>
        </w:numPr>
        <w:snapToGrid w:val="false"/>
        <w:spacing w:lineRule="auto" w:line="276" w:before="120" w:after="120"/>
        <w:ind w:left="425" w:hanging="0"/>
        <w:jc w:val="both"/>
        <w:rPr>
          <w:rFonts w:cs="Arial"/>
          <w:szCs w:val="20"/>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Cs w:val="20"/>
        </w:rPr>
      </w:pPr>
      <w:r>
        <w:rPr>
          <w:rFonts w:cs="Arial"/>
          <w:color w:val="000000"/>
          <w:szCs w:val="20"/>
        </w:rPr>
        <w:t>republicar o presente aviso com uma nova data;</w:t>
      </w:r>
    </w:p>
    <w:p>
      <w:pPr>
        <w:pStyle w:val="Normal"/>
        <w:numPr>
          <w:ilvl w:val="2"/>
          <w:numId w:val="1"/>
        </w:numPr>
        <w:spacing w:lineRule="auto" w:line="276" w:before="120" w:after="120"/>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1"/>
        </w:numPr>
        <w:spacing w:lineRule="auto" w:line="276" w:before="120" w:after="120"/>
        <w:jc w:val="both"/>
        <w:rPr>
          <w:rFonts w:cs="Arial"/>
          <w:color w:val="000000"/>
          <w:szCs w:val="20"/>
        </w:rPr>
      </w:pPr>
      <w:r>
        <w:rPr>
          <w:rFonts w:cs="Arial"/>
          <w:color w:val="000000"/>
          <w:szCs w:val="20"/>
        </w:rPr>
        <w:t>ANEXO I – Documentação exigida para Habilitação</w:t>
      </w:r>
    </w:p>
    <w:p>
      <w:pPr>
        <w:pStyle w:val="Normal"/>
        <w:spacing w:lineRule="auto" w:line="276" w:before="120" w:after="120"/>
        <w:jc w:val="both"/>
        <w:rPr>
          <w:rFonts w:cs="Arial"/>
          <w:i/>
          <w:i/>
          <w:iCs/>
          <w:color w:val="FF0000"/>
          <w:szCs w:val="20"/>
        </w:rPr>
      </w:pPr>
      <w:r>
        <w:rPr>
          <w:rFonts w:cs="Arial"/>
          <w:i/>
          <w:iCs/>
          <w:color w:val="FF0000"/>
          <w:szCs w:val="20"/>
        </w:rPr>
      </w:r>
    </w:p>
    <w:p>
      <w:pPr>
        <w:pStyle w:val="Normal"/>
        <w:spacing w:lineRule="auto" w:line="276" w:before="120" w:after="120"/>
        <w:jc w:val="both"/>
        <w:rPr/>
      </w:pPr>
      <w:r>
        <w:rPr/>
        <w:tab/>
        <w:tab/>
        <w:tab/>
        <w:tab/>
        <w:t>Rio Grande - RS , 04 de fevereiro de 2022</w:t>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0"/>
        <w:ind w:left="360" w:right="-15" w:hanging="0"/>
        <w:jc w:val="center"/>
        <w:rPr/>
      </w:pPr>
      <w:r>
        <w:rPr>
          <w:rFonts w:cs="Arial"/>
          <w:b/>
          <w:bCs/>
          <w:iCs/>
          <w:color w:val="000000"/>
          <w:szCs w:val="20"/>
        </w:rPr>
        <w:t xml:space="preserve">Rogério de Mello Francesconi </w:t>
      </w:r>
    </w:p>
    <w:p>
      <w:pPr>
        <w:pStyle w:val="Normal"/>
        <w:spacing w:lineRule="auto" w:line="276" w:before="0" w:after="120"/>
        <w:ind w:left="360" w:right="-15" w:hanging="0"/>
        <w:jc w:val="center"/>
        <w:rPr/>
      </w:pPr>
      <w:r>
        <w:rPr>
          <w:rFonts w:cs="Arial"/>
          <w:b/>
          <w:bCs/>
          <w:iCs/>
          <w:color w:val="000000"/>
          <w:szCs w:val="20"/>
        </w:rPr>
        <w:t>Ordenador de Despesas</w:t>
      </w:r>
    </w:p>
    <w:p>
      <w:pPr>
        <w:pStyle w:val="Normal"/>
        <w:rPr>
          <w:rFonts w:cs="Arial"/>
          <w:lang w:eastAsia="en-US"/>
        </w:rPr>
      </w:pPr>
      <w:r>
        <w:rPr>
          <w:rFonts w:cs="Arial"/>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t>ANEXO I – DOCUMENTAÇÃO EXIGIDA PARA HABILITAÇÃO</w:t>
      </w:r>
    </w:p>
    <w:p>
      <w:pPr>
        <w:pStyle w:val="Normal"/>
        <w:rPr>
          <w:rFonts w:cs="Arial"/>
          <w:lang w:eastAsia="en-US"/>
        </w:rPr>
      </w:pPr>
      <w:r>
        <w:rPr>
          <w:rFonts w:cs="Arial"/>
          <w:lang w:eastAsia="en-US"/>
        </w:rPr>
      </w:r>
    </w:p>
    <w:p>
      <w:pPr>
        <w:pStyle w:val="PADRO"/>
        <w:keepNext w:val="false"/>
        <w:widowControl/>
        <w:numPr>
          <w:ilvl w:val="0"/>
          <w:numId w:val="3"/>
        </w:numPr>
        <w:shd w:val="clear" w:fill="FFFFFF"/>
        <w:spacing w:before="120" w:after="120"/>
        <w:rPr/>
      </w:pPr>
      <w:r>
        <w:rPr>
          <w:rFonts w:cs="Arial" w:ascii="Arial" w:hAnsi="Arial"/>
          <w:b/>
          <w:bCs/>
          <w:color w:val="000000"/>
          <w:szCs w:val="20"/>
        </w:rPr>
        <w:t xml:space="preserve"> </w:t>
      </w:r>
      <w:r>
        <w:rPr>
          <w:rFonts w:cs="Arial" w:ascii="Arial" w:hAnsi="Arial"/>
          <w:b/>
          <w:bCs/>
          <w:color w:val="000000"/>
          <w:szCs w:val="20"/>
        </w:rPr>
        <w:t>Regularidade fiscal, social e trabalhista:</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color w:val="000000"/>
          <w:szCs w:val="20"/>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pPr>
      <w:r>
        <w:rPr>
          <w:rFonts w:cs="Arial"/>
          <w:bCs/>
          <w:szCs w:val="20"/>
        </w:rPr>
        <w:t xml:space="preserve">prova de </w:t>
      </w:r>
      <w:r>
        <w:rPr>
          <w:rFonts w:cs="Arial"/>
          <w:color w:val="000000"/>
          <w:szCs w:val="20"/>
        </w:rPr>
        <w:t xml:space="preserve">inscrição no cadastro de contribuintes </w:t>
      </w:r>
      <w:r>
        <w:rPr>
          <w:rFonts w:cs="Arial"/>
          <w:i/>
          <w:iCs/>
          <w:color w:val="000000"/>
          <w:szCs w:val="20"/>
        </w:rPr>
        <w:t>estadual</w:t>
      </w:r>
      <w:r>
        <w:rPr>
          <w:rFonts w:cs="Arial"/>
          <w:color w:val="000000"/>
          <w:szCs w:val="20"/>
        </w:rPr>
        <w:t>, relativo ao domicílio ou sede do fornecedor, pertinente ao seu ramo de atividade e compatível com o objeto contratual</w:t>
      </w:r>
      <w:r>
        <w:rPr>
          <w:rFonts w:cs="Arial"/>
          <w:bCs/>
          <w:szCs w:val="20"/>
        </w:rPr>
        <w:t xml:space="preserve">; </w:t>
      </w:r>
    </w:p>
    <w:p>
      <w:pPr>
        <w:pStyle w:val="Normal"/>
        <w:numPr>
          <w:ilvl w:val="1"/>
          <w:numId w:val="3"/>
        </w:numPr>
        <w:tabs>
          <w:tab w:val="left" w:pos="1440" w:leader="none"/>
        </w:tabs>
        <w:snapToGrid w:val="false"/>
        <w:spacing w:lineRule="auto" w:line="276" w:before="120" w:after="120"/>
        <w:jc w:val="both"/>
        <w:rPr/>
      </w:pPr>
      <w:r>
        <w:rPr>
          <w:rFonts w:cs="Arial"/>
          <w:szCs w:val="20"/>
        </w:rPr>
        <w:t xml:space="preserve">prova de regularidade com a Fazenda </w:t>
      </w:r>
      <w:r>
        <w:rPr>
          <w:rFonts w:cs="Arial"/>
          <w:i/>
          <w:iCs/>
          <w:color w:val="000000"/>
          <w:szCs w:val="20"/>
        </w:rPr>
        <w:t xml:space="preserve">Estadual </w:t>
      </w:r>
      <w:r>
        <w:rPr>
          <w:rFonts w:cs="Arial"/>
          <w:color w:val="000000"/>
          <w:szCs w:val="20"/>
        </w:rPr>
        <w:t>do do</w:t>
      </w:r>
      <w:r>
        <w:rPr>
          <w:rFonts w:cs="Arial"/>
          <w:szCs w:val="20"/>
        </w:rPr>
        <w:t xml:space="preserve">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pPr>
      <w:r>
        <w:rPr>
          <w:rFonts w:cs="Arial"/>
          <w:szCs w:val="20"/>
        </w:rPr>
        <w:t xml:space="preserve">caso o fornecedor seja considerado isento dos tributos </w:t>
      </w:r>
      <w:r>
        <w:rPr>
          <w:rFonts w:cs="Arial"/>
          <w:i/>
          <w:color w:val="000000"/>
          <w:szCs w:val="20"/>
        </w:rPr>
        <w:t>estaduais</w:t>
      </w:r>
      <w:r>
        <w:rPr>
          <w:rFonts w:cs="Arial"/>
          <w:color w:val="FF0000"/>
          <w:szCs w:val="20"/>
        </w:rPr>
        <w:t xml:space="preserve"> </w:t>
      </w:r>
      <w:r>
        <w:rPr>
          <w:rFonts w:cs="Arial"/>
          <w:szCs w:val="20"/>
        </w:rPr>
        <w:t xml:space="preserve">relacionados ao objeto contratual, deverá comprovar tal condição mediante a apresentação de declaração da Fazenda respectiva do seu domicílio ou sede, ou outra equivalente, na forma da lei; </w:t>
      </w:r>
    </w:p>
    <w:p>
      <w:pPr>
        <w:pStyle w:val="PADRO"/>
        <w:keepNext w:val="false"/>
        <w:widowControl/>
        <w:numPr>
          <w:ilvl w:val="0"/>
          <w:numId w:val="0"/>
        </w:numPr>
        <w:shd w:val="clear" w:fill="FFFFFF"/>
        <w:spacing w:before="120" w:after="120"/>
        <w:ind w:left="2421" w:hanging="0"/>
        <w:rPr/>
      </w:pPr>
      <w:r>
        <w:rPr/>
      </w:r>
    </w:p>
    <w:sectPr>
      <w:footerReference w:type="default" r:id="rId5"/>
      <w:type w:val="nextPage"/>
      <w:pgSz w:w="11906" w:h="16838"/>
      <w:pgMar w:left="1701" w:right="1701" w:header="0"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Pr>
    </w:lvl>
    <w:lvl w:ilvl="2">
      <w:start w:val="1"/>
      <w:numFmt w:val="decimal"/>
      <w:lvlText w:val="%1.%2.%3."/>
      <w:lvlJc w:val="left"/>
      <w:pPr>
        <w:ind w:left="1224" w:hanging="504"/>
      </w:pPr>
      <w:rPr>
        <w:i w:val="false"/>
        <w:b/>
        <w:iCs/>
        <w:rFonts w:cs="Arial"/>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i w:val="false"/>
        <w:b w:val="false"/>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ListLabel1">
    <w:name w:val="ListLabel 1"/>
    <w:qFormat/>
    <w:rPr>
      <w:rFonts w:ascii="Arial" w:hAnsi="Arial"/>
      <w:b/>
    </w:rPr>
  </w:style>
  <w:style w:type="character" w:styleId="ListLabel2">
    <w:name w:val="ListLabel 2"/>
    <w:qFormat/>
    <w:rPr>
      <w:rFonts w:ascii="Arial" w:hAnsi="Arial"/>
      <w:b/>
      <w:i w:val="false"/>
      <w:iCs/>
    </w:rPr>
  </w:style>
  <w:style w:type="character" w:styleId="ListLabel3">
    <w:name w:val="ListLabel 3"/>
    <w:qFormat/>
    <w:rPr>
      <w:rFonts w:ascii="Arial" w:hAnsi="Arial" w:cs="Arial"/>
      <w:b/>
      <w:i w:val="false"/>
      <w:iCs/>
      <w:color w:val="auto"/>
    </w:rPr>
  </w:style>
  <w:style w:type="character" w:styleId="ListLabel4">
    <w:name w:val="ListLabel 4"/>
    <w:qFormat/>
    <w:rPr>
      <w:rFonts w:cs="Arial"/>
    </w:rPr>
  </w:style>
  <w:style w:type="character" w:styleId="ListLabel5">
    <w:name w:val="ListLabel 5"/>
    <w:qFormat/>
    <w:rPr>
      <w:color w:val="auto"/>
    </w:rPr>
  </w:style>
  <w:style w:type="character" w:styleId="ListLabel6">
    <w:name w:val="ListLabel 6"/>
    <w:qFormat/>
    <w:rPr>
      <w:color w:val="auto"/>
    </w:rPr>
  </w:style>
  <w:style w:type="character" w:styleId="ListLabel7">
    <w:name w:val="ListLabel 7"/>
    <w:qFormat/>
    <w:rPr>
      <w:color w:val="auto"/>
    </w:rPr>
  </w:style>
  <w:style w:type="character" w:styleId="ListLabel8">
    <w:name w:val="ListLabel 8"/>
    <w:qFormat/>
    <w:rPr>
      <w:color w:val="auto"/>
    </w:rPr>
  </w:style>
  <w:style w:type="character" w:styleId="ListLabel9">
    <w:name w:val="ListLabel 9"/>
    <w:qFormat/>
    <w:rPr>
      <w:color w:val="auto"/>
    </w:rPr>
  </w:style>
  <w:style w:type="character" w:styleId="ListLabel10">
    <w:name w:val="ListLabel 10"/>
    <w:qFormat/>
    <w:rPr>
      <w:color w:val="auto"/>
    </w:rPr>
  </w:style>
  <w:style w:type="character" w:styleId="ListLabel11">
    <w:name w:val="ListLabel 11"/>
    <w:qFormat/>
    <w:rPr>
      <w:color w:val="auto"/>
    </w:rPr>
  </w:style>
  <w:style w:type="character" w:styleId="ListLabel12">
    <w:name w:val="ListLabel 12"/>
    <w:qFormat/>
    <w:rPr>
      <w:color w:val="auto"/>
    </w:rPr>
  </w:style>
  <w:style w:type="character" w:styleId="ListLabel13">
    <w:name w:val="ListLabel 13"/>
    <w:qFormat/>
    <w:rPr>
      <w:color w:val="auto"/>
    </w:rPr>
  </w:style>
  <w:style w:type="character" w:styleId="ListLabel14">
    <w:name w:val="ListLabel 14"/>
    <w:qFormat/>
    <w:rPr>
      <w:b/>
    </w:rPr>
  </w:style>
  <w:style w:type="character" w:styleId="ListLabel15">
    <w:name w:val="ListLabel 15"/>
    <w:qFormat/>
    <w:rPr>
      <w:b w:val="false"/>
      <w:i w:val="false"/>
      <w:iCs/>
    </w:rPr>
  </w:style>
  <w:style w:type="character" w:styleId="ListLabel16">
    <w:name w:val="ListLabel 16"/>
    <w:qFormat/>
    <w:rPr>
      <w:rFonts w:cs="Arial"/>
      <w:b w:val="false"/>
      <w:i w:val="false"/>
      <w:iCs/>
      <w:color w:val="auto"/>
    </w:rPr>
  </w:style>
  <w:style w:type="character" w:styleId="ListLabel17">
    <w:name w:val="ListLabel 17"/>
    <w:qFormat/>
    <w:rPr>
      <w:i w:val="false"/>
      <w:color w:val="000000"/>
    </w:rPr>
  </w:style>
  <w:style w:type="character" w:styleId="ListLabel18">
    <w:name w:val="ListLabel 18"/>
    <w:qFormat/>
    <w:rPr>
      <w:i w:val="false"/>
      <w:color w:val="000000"/>
    </w:rPr>
  </w:style>
  <w:style w:type="character" w:styleId="ListLabel19">
    <w:name w:val="ListLabel 19"/>
    <w:qFormat/>
    <w:rPr>
      <w:i w:val="false"/>
      <w:color w:val="000000"/>
    </w:rPr>
  </w:style>
  <w:style w:type="character" w:styleId="ListLabel20">
    <w:name w:val="ListLabel 20"/>
    <w:qFormat/>
    <w:rPr>
      <w:i w:val="false"/>
      <w:color w:val="000000"/>
    </w:rPr>
  </w:style>
  <w:style w:type="character" w:styleId="ListLabel21">
    <w:name w:val="ListLabel 21"/>
    <w:qFormat/>
    <w:rPr>
      <w:i w:val="false"/>
      <w:color w:val="000000"/>
    </w:rPr>
  </w:style>
  <w:style w:type="character" w:styleId="ListLabel22">
    <w:name w:val="ListLabel 22"/>
    <w:qFormat/>
    <w:rPr>
      <w:i w:val="false"/>
      <w:color w:val="000000"/>
    </w:rPr>
  </w:style>
  <w:style w:type="character" w:styleId="ListLabel23">
    <w:name w:val="ListLabel 23"/>
    <w:qFormat/>
    <w:rPr>
      <w:i w:val="false"/>
      <w:color w:val="000000"/>
    </w:rPr>
  </w:style>
  <w:style w:type="character" w:styleId="ListLabel24">
    <w:name w:val="ListLabel 24"/>
    <w:qFormat/>
    <w:rPr>
      <w:i w:val="false"/>
      <w:color w:val="000000"/>
    </w:rPr>
  </w:style>
  <w:style w:type="character" w:styleId="ListLabel25">
    <w:name w:val="ListLabel 25"/>
    <w:qFormat/>
    <w:rPr>
      <w:i w:val="false"/>
      <w:color w:val="000000"/>
    </w:rPr>
  </w:style>
  <w:style w:type="character" w:styleId="ListLabel26">
    <w:name w:val="ListLabel 26"/>
    <w:qFormat/>
    <w:rPr>
      <w:b/>
    </w:rPr>
  </w:style>
  <w:style w:type="character" w:styleId="ListLabel27">
    <w:name w:val="ListLabel 27"/>
    <w:qFormat/>
    <w:rPr>
      <w:b w:val="false"/>
      <w:i w:val="false"/>
      <w:iCs/>
    </w:rPr>
  </w:style>
  <w:style w:type="character" w:styleId="ListLabel28">
    <w:name w:val="ListLabel 28"/>
    <w:qFormat/>
    <w:rPr>
      <w:rFonts w:cs="Arial"/>
      <w:b w:val="false"/>
      <w:i w:val="false"/>
      <w:iCs/>
      <w:color w:val="auto"/>
    </w:rPr>
  </w:style>
  <w:style w:type="character" w:styleId="ListLabel29">
    <w:name w:val="ListLabel 29"/>
    <w:qFormat/>
    <w:rPr>
      <w:b/>
    </w:rPr>
  </w:style>
  <w:style w:type="character" w:styleId="ListLabel30">
    <w:name w:val="ListLabel 30"/>
    <w:qFormat/>
    <w:rPr>
      <w:b w:val="false"/>
      <w:i w:val="false"/>
      <w:iCs/>
    </w:rPr>
  </w:style>
  <w:style w:type="character" w:styleId="ListLabel31">
    <w:name w:val="ListLabel 31"/>
    <w:qFormat/>
    <w:rPr>
      <w:rFonts w:cs="Arial"/>
      <w:b w:val="false"/>
      <w:i w:val="false"/>
      <w:iCs/>
      <w:color w:val="auto"/>
    </w:rPr>
  </w:style>
  <w:style w:type="character" w:styleId="ListLabel32">
    <w:name w:val="ListLabel 32"/>
    <w:qFormat/>
    <w:rPr>
      <w:b/>
    </w:rPr>
  </w:style>
  <w:style w:type="character" w:styleId="ListLabel33">
    <w:name w:val="ListLabel 33"/>
    <w:qFormat/>
    <w:rPr>
      <w:b w:val="false"/>
      <w:i w:val="false"/>
      <w:iCs/>
    </w:rPr>
  </w:style>
  <w:style w:type="character" w:styleId="ListLabel34">
    <w:name w:val="ListLabel 34"/>
    <w:qFormat/>
    <w:rPr>
      <w:rFonts w:cs="Arial"/>
      <w:b w:val="false"/>
      <w:i w:val="false"/>
      <w:iCs/>
      <w:color w:val="auto"/>
    </w:rPr>
  </w:style>
  <w:style w:type="character" w:styleId="ListLabel35">
    <w:name w:val="ListLabel 35"/>
    <w:qFormat/>
    <w:rPr>
      <w:b/>
    </w:rPr>
  </w:style>
  <w:style w:type="character" w:styleId="ListLabel36">
    <w:name w:val="ListLabel 36"/>
    <w:qFormat/>
    <w:rPr>
      <w:b w:val="false"/>
      <w:i w:val="false"/>
      <w:iCs/>
    </w:rPr>
  </w:style>
  <w:style w:type="character" w:styleId="ListLabel37">
    <w:name w:val="ListLabel 37"/>
    <w:qFormat/>
    <w:rPr>
      <w:rFonts w:cs="Arial"/>
      <w:b w:val="false"/>
      <w:i w:val="false"/>
      <w:iCs/>
      <w:color w:val="auto"/>
    </w:rPr>
  </w:style>
  <w:style w:type="character" w:styleId="ListLabel38">
    <w:name w:val="ListLabel 38"/>
    <w:qFormat/>
    <w:rPr>
      <w:b/>
    </w:rPr>
  </w:style>
  <w:style w:type="character" w:styleId="ListLabel39">
    <w:name w:val="ListLabel 39"/>
    <w:qFormat/>
    <w:rPr>
      <w:b w:val="false"/>
      <w:i w:val="false"/>
      <w:iCs/>
    </w:rPr>
  </w:style>
  <w:style w:type="character" w:styleId="ListLabel40">
    <w:name w:val="ListLabel 40"/>
    <w:qFormat/>
    <w:rPr>
      <w:rFonts w:cs="Arial"/>
      <w:b w:val="false"/>
      <w:i w:val="false"/>
      <w:iCs/>
      <w:color w:val="auto"/>
    </w:rPr>
  </w:style>
  <w:style w:type="character" w:styleId="ListLabel41">
    <w:name w:val="ListLabel 41"/>
    <w:qFormat/>
    <w:rPr>
      <w:b/>
      <w:i w:val="false"/>
      <w:strike w:val="false"/>
      <w:dstrike w:val="false"/>
    </w:rPr>
  </w:style>
  <w:style w:type="character" w:styleId="ListLabel42">
    <w:name w:val="ListLabel 42"/>
    <w:qFormat/>
    <w:rPr>
      <w:b w:val="false"/>
      <w:strike w:val="false"/>
      <w:dstrike w:val="false"/>
    </w:rPr>
  </w:style>
  <w:style w:type="character" w:styleId="ListLabel43">
    <w:name w:val="ListLabel 43"/>
    <w:qFormat/>
    <w:rPr>
      <w:i w:val="false"/>
      <w:strike w:val="false"/>
      <w:dstrike w:val="false"/>
    </w:rPr>
  </w:style>
  <w:style w:type="character" w:styleId="ListLabel44">
    <w:name w:val="ListLabel 44"/>
    <w:qFormat/>
    <w:rPr>
      <w:b w:val="false"/>
    </w:rPr>
  </w:style>
  <w:style w:type="character" w:styleId="ListLabel45">
    <w:name w:val="ListLabel 45"/>
    <w:qFormat/>
    <w:rPr>
      <w:b w:val="false"/>
    </w:rPr>
  </w:style>
  <w:style w:type="character" w:styleId="ListLabel46">
    <w:name w:val="ListLabel 46"/>
    <w:qFormat/>
    <w:rPr>
      <w:b w:val="false"/>
    </w:rPr>
  </w:style>
  <w:style w:type="character" w:styleId="ListLabel47">
    <w:name w:val="ListLabel 47"/>
    <w:qFormat/>
    <w:rPr>
      <w:b w:val="false"/>
    </w:rPr>
  </w:style>
  <w:style w:type="character" w:styleId="ListLabel48">
    <w:name w:val="ListLabel 48"/>
    <w:qFormat/>
    <w:rPr>
      <w:rFonts w:ascii="Arial" w:hAnsi="Arial"/>
      <w:b/>
    </w:rPr>
  </w:style>
  <w:style w:type="character" w:styleId="ListLabel49">
    <w:name w:val="ListLabel 49"/>
    <w:qFormat/>
    <w:rPr>
      <w:rFonts w:ascii="Arial" w:hAnsi="Arial"/>
      <w:b/>
    </w:rPr>
  </w:style>
  <w:style w:type="character" w:styleId="ListLabel50">
    <w:name w:val="ListLabel 50"/>
    <w:qFormat/>
    <w:rPr>
      <w:b/>
    </w:rPr>
  </w:style>
  <w:style w:type="character" w:styleId="ListLabel51">
    <w:name w:val="ListLabel 51"/>
    <w:qFormat/>
    <w:rPr>
      <w:b w:val="false"/>
      <w:i w:val="false"/>
      <w:iCs/>
    </w:rPr>
  </w:style>
  <w:style w:type="character" w:styleId="ListLabel52">
    <w:name w:val="ListLabel 52"/>
    <w:qFormat/>
    <w:rPr>
      <w:rFonts w:cs="Arial"/>
      <w:b w:val="false"/>
      <w:i w:val="false"/>
      <w:iCs/>
      <w:color w:val="auto"/>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b/>
    </w:rPr>
  </w:style>
  <w:style w:type="character" w:styleId="ListLabel57">
    <w:name w:val="ListLabel 57"/>
    <w:qFormat/>
    <w:rPr>
      <w:b w:val="false"/>
      <w:i w:val="false"/>
      <w:iCs/>
    </w:rPr>
  </w:style>
  <w:style w:type="character" w:styleId="ListLabel58">
    <w:name w:val="ListLabel 58"/>
    <w:qFormat/>
    <w:rPr>
      <w:rFonts w:cs="Arial"/>
      <w:b w:val="false"/>
      <w:i w:val="false"/>
      <w:iCs/>
      <w:color w:val="auto"/>
    </w:rPr>
  </w:style>
  <w:style w:type="character" w:styleId="ListLabel59">
    <w:name w:val="ListLabel 59"/>
    <w:qFormat/>
    <w:rPr>
      <w:rFonts w:eastAsia="" w:cs="Arial"/>
      <w:b/>
    </w:rPr>
  </w:style>
  <w:style w:type="character" w:styleId="ListLabel60">
    <w:name w:val="ListLabel 60"/>
    <w:qFormat/>
    <w:rPr>
      <w:b w:val="false"/>
      <w:i w:val="false"/>
      <w:iCs/>
    </w:rPr>
  </w:style>
  <w:style w:type="character" w:styleId="ListLabel61">
    <w:name w:val="ListLabel 61"/>
    <w:qFormat/>
    <w:rPr>
      <w:b w:val="false"/>
      <w:i w:val="false"/>
      <w:iCs/>
      <w:color w:val="auto"/>
    </w:rPr>
  </w:style>
  <w:style w:type="character" w:styleId="ListLabel62">
    <w:name w:val="ListLabel 62"/>
    <w:qFormat/>
    <w:rPr>
      <w:b/>
    </w:rPr>
  </w:style>
  <w:style w:type="character" w:styleId="ListLabel63">
    <w:name w:val="ListLabel 63"/>
    <w:qFormat/>
    <w:rPr>
      <w:b w:val="false"/>
      <w:i w:val="false"/>
      <w:iCs/>
    </w:rPr>
  </w:style>
  <w:style w:type="character" w:styleId="ListLabel64">
    <w:name w:val="ListLabel 64"/>
    <w:qFormat/>
    <w:rPr>
      <w:rFonts w:cs="Arial"/>
      <w:b w:val="false"/>
      <w:i w:val="false"/>
      <w:iCs/>
      <w:color w:val="auto"/>
    </w:rPr>
  </w:style>
  <w:style w:type="character" w:styleId="ListLabel65">
    <w:name w:val="ListLabel 65"/>
    <w:qFormat/>
    <w:rPr>
      <w:b/>
    </w:rPr>
  </w:style>
  <w:style w:type="character" w:styleId="ListLabel66">
    <w:name w:val="ListLabel 66"/>
    <w:qFormat/>
    <w:rPr>
      <w:b w:val="false"/>
      <w:i w:val="false"/>
      <w:iCs/>
    </w:rPr>
  </w:style>
  <w:style w:type="character" w:styleId="ListLabel67">
    <w:name w:val="ListLabel 67"/>
    <w:qFormat/>
    <w:rPr>
      <w:rFonts w:cs="Arial"/>
      <w:b w:val="false"/>
      <w:i w:val="false"/>
      <w:iCs/>
      <w:color w:val="auto"/>
    </w:rPr>
  </w:style>
  <w:style w:type="character" w:styleId="ListLabel68">
    <w:name w:val="ListLabel 68"/>
    <w:qFormat/>
    <w:rPr>
      <w:b/>
    </w:rPr>
  </w:style>
  <w:style w:type="character" w:styleId="ListLabel69">
    <w:name w:val="ListLabel 69"/>
    <w:qFormat/>
    <w:rPr>
      <w:b w:val="false"/>
      <w:i w:val="false"/>
      <w:iCs/>
    </w:rPr>
  </w:style>
  <w:style w:type="character" w:styleId="ListLabel70">
    <w:name w:val="ListLabel 70"/>
    <w:qFormat/>
    <w:rPr>
      <w:b w:val="false"/>
      <w:i w:val="false"/>
      <w:iCs/>
      <w:color w:val="auto"/>
    </w:rPr>
  </w:style>
  <w:style w:type="character" w:styleId="ListLabel71">
    <w:name w:val="ListLabel 71"/>
    <w:qFormat/>
    <w:rPr>
      <w:rFonts w:cs="Arial"/>
    </w:rPr>
  </w:style>
  <w:style w:type="character" w:styleId="ListLabel72">
    <w:name w:val="ListLabel 72"/>
    <w:qFormat/>
    <w:rPr>
      <w:rFonts w:eastAsia="Calibri" w:cs="Arial"/>
      <w:szCs w:val="20"/>
    </w:rPr>
  </w:style>
  <w:style w:type="character" w:styleId="ListLabel73">
    <w:name w:val="ListLabel 73"/>
    <w:qFormat/>
    <w:rPr>
      <w:rFonts w:eastAsia="Calibri" w:cs="Arial"/>
      <w:lang w:eastAsia="ar-SA"/>
    </w:rPr>
  </w:style>
  <w:style w:type="character" w:styleId="ListLabel74">
    <w:name w:val="ListLabel 74"/>
    <w:qFormat/>
    <w:rPr>
      <w:color w:val="000000"/>
    </w:rPr>
  </w:style>
  <w:style w:type="character" w:styleId="ListLabel75">
    <w:name w:val="ListLabel 75"/>
    <w:qFormat/>
    <w:rPr>
      <w:rFonts w:ascii="Arial" w:hAnsi="Arial"/>
      <w:b/>
    </w:rPr>
  </w:style>
  <w:style w:type="character" w:styleId="ListLabel76">
    <w:name w:val="ListLabel 76"/>
    <w:qFormat/>
    <w:rPr>
      <w:b/>
      <w:i w:val="false"/>
      <w:iCs/>
    </w:rPr>
  </w:style>
  <w:style w:type="character" w:styleId="ListLabel77">
    <w:name w:val="ListLabel 77"/>
    <w:qFormat/>
    <w:rPr>
      <w:rFonts w:cs="Arial"/>
      <w:b/>
      <w:i w:val="false"/>
      <w:iCs/>
      <w:color w:val="auto"/>
    </w:rPr>
  </w:style>
  <w:style w:type="character" w:styleId="ListLabel78">
    <w:name w:val="ListLabel 78"/>
    <w:qFormat/>
    <w:rPr>
      <w:b/>
    </w:rPr>
  </w:style>
  <w:style w:type="character" w:styleId="ListLabel79">
    <w:name w:val="ListLabel 79"/>
    <w:qFormat/>
    <w:rPr>
      <w:b/>
    </w:rPr>
  </w:style>
  <w:style w:type="character" w:styleId="ListLabel80">
    <w:name w:val="ListLabel 80"/>
    <w:qFormat/>
    <w:rPr>
      <w:b/>
    </w:rPr>
  </w:style>
  <w:style w:type="character" w:styleId="ListLabel81">
    <w:name w:val="ListLabel 81"/>
    <w:qFormat/>
    <w:rPr>
      <w:b w:val="false"/>
      <w:i w:val="false"/>
      <w:iCs/>
    </w:rPr>
  </w:style>
  <w:style w:type="character" w:styleId="ListLabel82">
    <w:name w:val="ListLabel 82"/>
    <w:qFormat/>
    <w:rPr>
      <w:rFonts w:cs="Arial"/>
      <w:b w:val="false"/>
      <w:i w:val="false"/>
      <w:iCs/>
      <w:color w:val="auto"/>
    </w:rPr>
  </w:style>
  <w:style w:type="character" w:styleId="ListLabel83">
    <w:name w:val="ListLabel 83"/>
    <w:qFormat/>
    <w:rPr>
      <w:b/>
    </w:rPr>
  </w:style>
  <w:style w:type="character" w:styleId="ListLabel84">
    <w:name w:val="ListLabel 84"/>
    <w:qFormat/>
    <w:rPr>
      <w:b w:val="false"/>
      <w:i w:val="false"/>
      <w:iCs/>
    </w:rPr>
  </w:style>
  <w:style w:type="character" w:styleId="ListLabel85">
    <w:name w:val="ListLabel 85"/>
    <w:qFormat/>
    <w:rPr>
      <w:b w:val="false"/>
      <w:i w:val="false"/>
      <w:iCs/>
      <w:color w:val="auto"/>
    </w:rPr>
  </w:style>
  <w:style w:type="character" w:styleId="ListLabel86">
    <w:name w:val="ListLabel 86"/>
    <w:qFormat/>
    <w:rPr>
      <w:rFonts w:eastAsia="Calibri" w:cs="Arial"/>
      <w:szCs w:val="20"/>
    </w:rPr>
  </w:style>
  <w:style w:type="character" w:styleId="ListLabel87">
    <w:name w:val="ListLabel 87"/>
    <w:qFormat/>
    <w:rPr>
      <w:rFonts w:eastAsia="Calibri" w:cs="Arial"/>
      <w:lang w:eastAsia="ar-SA"/>
    </w:rPr>
  </w:style>
  <w:style w:type="character" w:styleId="ListLabel88">
    <w:name w:val="ListLabel 88"/>
    <w:qFormat/>
    <w:rPr>
      <w:color w:val="000000"/>
    </w:rPr>
  </w:style>
  <w:style w:type="character" w:styleId="ListLabel89">
    <w:name w:val="ListLabel 89"/>
    <w:qFormat/>
    <w:rPr>
      <w:rFonts w:ascii="Arial" w:hAnsi="Arial"/>
      <w:b/>
    </w:rPr>
  </w:style>
  <w:style w:type="character" w:styleId="ListLabel90">
    <w:name w:val="ListLabel 90"/>
    <w:qFormat/>
    <w:rPr>
      <w:b/>
      <w:i w:val="false"/>
      <w:iCs/>
    </w:rPr>
  </w:style>
  <w:style w:type="character" w:styleId="ListLabel91">
    <w:name w:val="ListLabel 91"/>
    <w:qFormat/>
    <w:rPr>
      <w:rFonts w:cs="Arial"/>
      <w:b/>
      <w:i w:val="false"/>
      <w:iCs/>
      <w:color w:val="auto"/>
    </w:rPr>
  </w:style>
  <w:style w:type="character" w:styleId="ListLabel92">
    <w:name w:val="ListLabel 92"/>
    <w:qFormat/>
    <w:rPr>
      <w:b/>
    </w:rPr>
  </w:style>
  <w:style w:type="character" w:styleId="ListLabel93">
    <w:name w:val="ListLabel 93"/>
    <w:qFormat/>
    <w:rPr>
      <w:b/>
    </w:rPr>
  </w:style>
  <w:style w:type="character" w:styleId="ListLabel94">
    <w:name w:val="ListLabel 94"/>
    <w:qFormat/>
    <w:rPr>
      <w:b/>
    </w:rPr>
  </w:style>
  <w:style w:type="character" w:styleId="ListLabel95">
    <w:name w:val="ListLabel 95"/>
    <w:qFormat/>
    <w:rPr>
      <w:b w:val="false"/>
      <w:i w:val="false"/>
      <w:iCs/>
    </w:rPr>
  </w:style>
  <w:style w:type="character" w:styleId="ListLabel96">
    <w:name w:val="ListLabel 96"/>
    <w:qFormat/>
    <w:rPr>
      <w:rFonts w:cs="Arial"/>
      <w:b w:val="false"/>
      <w:i w:val="false"/>
      <w:iCs/>
      <w:color w:val="auto"/>
    </w:rPr>
  </w:style>
  <w:style w:type="character" w:styleId="ListLabel97">
    <w:name w:val="ListLabel 97"/>
    <w:qFormat/>
    <w:rPr>
      <w:b/>
    </w:rPr>
  </w:style>
  <w:style w:type="character" w:styleId="ListLabel98">
    <w:name w:val="ListLabel 98"/>
    <w:qFormat/>
    <w:rPr>
      <w:b w:val="false"/>
      <w:i w:val="false"/>
      <w:iCs/>
    </w:rPr>
  </w:style>
  <w:style w:type="character" w:styleId="ListLabel99">
    <w:name w:val="ListLabel 99"/>
    <w:qFormat/>
    <w:rPr>
      <w:b w:val="false"/>
      <w:i w:val="false"/>
      <w:iCs/>
      <w:color w:val="auto"/>
    </w:rPr>
  </w:style>
  <w:style w:type="character" w:styleId="ListLabel100">
    <w:name w:val="ListLabel 100"/>
    <w:qFormat/>
    <w:rPr>
      <w:rFonts w:eastAsia="Calibri" w:cs="Arial"/>
      <w:szCs w:val="20"/>
    </w:rPr>
  </w:style>
  <w:style w:type="character" w:styleId="ListLabel101">
    <w:name w:val="ListLabel 101"/>
    <w:qFormat/>
    <w:rPr>
      <w:rFonts w:eastAsia="Calibri" w:cs="Arial"/>
      <w:lang w:eastAsia="ar-SA"/>
    </w:rPr>
  </w:style>
  <w:style w:type="character" w:styleId="ListLabel102">
    <w:name w:val="ListLabel 102"/>
    <w:qFormat/>
    <w:rPr>
      <w:color w:val="000000"/>
    </w:rPr>
  </w:style>
  <w:style w:type="character" w:styleId="ListLabel103">
    <w:name w:val="ListLabel 103"/>
    <w:qFormat/>
    <w:rPr>
      <w:rFonts w:ascii="Arial" w:hAnsi="Arial"/>
      <w:b/>
    </w:rPr>
  </w:style>
  <w:style w:type="character" w:styleId="ListLabel104">
    <w:name w:val="ListLabel 104"/>
    <w:qFormat/>
    <w:rPr>
      <w:b/>
      <w:i w:val="false"/>
      <w:iCs/>
    </w:rPr>
  </w:style>
  <w:style w:type="character" w:styleId="ListLabel105">
    <w:name w:val="ListLabel 105"/>
    <w:qFormat/>
    <w:rPr>
      <w:rFonts w:cs="Arial"/>
      <w:b/>
      <w:i w:val="false"/>
      <w:iCs/>
      <w:color w:val="auto"/>
    </w:rPr>
  </w:style>
  <w:style w:type="character" w:styleId="ListLabel106">
    <w:name w:val="ListLabel 106"/>
    <w:qFormat/>
    <w:rPr>
      <w:b/>
    </w:rPr>
  </w:style>
  <w:style w:type="character" w:styleId="ListLabel107">
    <w:name w:val="ListLabel 107"/>
    <w:qFormat/>
    <w:rPr>
      <w:b/>
    </w:rPr>
  </w:style>
  <w:style w:type="character" w:styleId="ListLabel108">
    <w:name w:val="ListLabel 108"/>
    <w:qFormat/>
    <w:rPr>
      <w:b/>
    </w:rPr>
  </w:style>
  <w:style w:type="character" w:styleId="ListLabel109">
    <w:name w:val="ListLabel 109"/>
    <w:qFormat/>
    <w:rPr>
      <w:b w:val="false"/>
      <w:i w:val="false"/>
      <w:iCs/>
    </w:rPr>
  </w:style>
  <w:style w:type="character" w:styleId="ListLabel110">
    <w:name w:val="ListLabel 110"/>
    <w:qFormat/>
    <w:rPr>
      <w:rFonts w:cs="Arial"/>
      <w:b w:val="false"/>
      <w:i w:val="false"/>
      <w:iCs/>
      <w:color w:val="auto"/>
    </w:rPr>
  </w:style>
  <w:style w:type="character" w:styleId="ListLabel111">
    <w:name w:val="ListLabel 111"/>
    <w:qFormat/>
    <w:rPr>
      <w:b/>
    </w:rPr>
  </w:style>
  <w:style w:type="character" w:styleId="ListLabel112">
    <w:name w:val="ListLabel 112"/>
    <w:qFormat/>
    <w:rPr>
      <w:b w:val="false"/>
      <w:i w:val="false"/>
      <w:iCs/>
    </w:rPr>
  </w:style>
  <w:style w:type="character" w:styleId="ListLabel113">
    <w:name w:val="ListLabel 113"/>
    <w:qFormat/>
    <w:rPr>
      <w:b w:val="false"/>
      <w:i w:val="false"/>
      <w:iCs/>
      <w:color w:val="auto"/>
    </w:rPr>
  </w:style>
  <w:style w:type="character" w:styleId="ListLabel114">
    <w:name w:val="ListLabel 114"/>
    <w:qFormat/>
    <w:rPr>
      <w:rFonts w:eastAsia="Calibri" w:cs="Arial"/>
      <w:szCs w:val="20"/>
    </w:rPr>
  </w:style>
  <w:style w:type="character" w:styleId="ListLabel115">
    <w:name w:val="ListLabel 115"/>
    <w:qFormat/>
    <w:rPr>
      <w:rFonts w:eastAsia="Calibri" w:cs="Arial"/>
      <w:lang w:eastAsia="ar-SA"/>
    </w:rPr>
  </w:style>
  <w:style w:type="character" w:styleId="ListLabel116">
    <w:name w:val="ListLabel 116"/>
    <w:qFormat/>
    <w:rPr>
      <w:color w:val="000000"/>
    </w:rPr>
  </w:style>
  <w:style w:type="character" w:styleId="ListLabel117">
    <w:name w:val="ListLabel 117"/>
    <w:qFormat/>
    <w:rPr>
      <w:rFonts w:ascii="Arial" w:hAnsi="Arial"/>
      <w:b/>
    </w:rPr>
  </w:style>
  <w:style w:type="character" w:styleId="ListLabel118">
    <w:name w:val="ListLabel 118"/>
    <w:qFormat/>
    <w:rPr>
      <w:b/>
      <w:i w:val="false"/>
      <w:iCs/>
    </w:rPr>
  </w:style>
  <w:style w:type="character" w:styleId="ListLabel119">
    <w:name w:val="ListLabel 119"/>
    <w:qFormat/>
    <w:rPr>
      <w:rFonts w:cs="Arial"/>
      <w:b/>
      <w:i w:val="false"/>
      <w:iCs/>
      <w:color w:val="auto"/>
    </w:rPr>
  </w:style>
  <w:style w:type="character" w:styleId="ListLabel120">
    <w:name w:val="ListLabel 120"/>
    <w:qFormat/>
    <w:rPr>
      <w:b/>
    </w:rPr>
  </w:style>
  <w:style w:type="character" w:styleId="ListLabel121">
    <w:name w:val="ListLabel 121"/>
    <w:qFormat/>
    <w:rPr>
      <w:b/>
    </w:rPr>
  </w:style>
  <w:style w:type="character" w:styleId="ListLabel122">
    <w:name w:val="ListLabel 122"/>
    <w:qFormat/>
    <w:rPr>
      <w:b/>
    </w:rPr>
  </w:style>
  <w:style w:type="character" w:styleId="ListLabel123">
    <w:name w:val="ListLabel 123"/>
    <w:qFormat/>
    <w:rPr>
      <w:b w:val="false"/>
      <w:i w:val="false"/>
      <w:iCs/>
    </w:rPr>
  </w:style>
  <w:style w:type="character" w:styleId="ListLabel124">
    <w:name w:val="ListLabel 124"/>
    <w:qFormat/>
    <w:rPr>
      <w:rFonts w:cs="Arial"/>
      <w:b w:val="false"/>
      <w:i w:val="false"/>
      <w:iCs/>
      <w:color w:val="auto"/>
    </w:rPr>
  </w:style>
  <w:style w:type="character" w:styleId="ListLabel125">
    <w:name w:val="ListLabel 125"/>
    <w:qFormat/>
    <w:rPr>
      <w:b/>
    </w:rPr>
  </w:style>
  <w:style w:type="character" w:styleId="ListLabel126">
    <w:name w:val="ListLabel 126"/>
    <w:qFormat/>
    <w:rPr>
      <w:b w:val="false"/>
      <w:i w:val="false"/>
      <w:iCs/>
    </w:rPr>
  </w:style>
  <w:style w:type="character" w:styleId="ListLabel127">
    <w:name w:val="ListLabel 127"/>
    <w:qFormat/>
    <w:rPr>
      <w:b w:val="false"/>
      <w:i w:val="false"/>
      <w:iCs/>
      <w:color w:val="auto"/>
    </w:rPr>
  </w:style>
  <w:style w:type="character" w:styleId="ListLabel128">
    <w:name w:val="ListLabel 128"/>
    <w:qFormat/>
    <w:rPr>
      <w:rFonts w:eastAsia="Calibri" w:cs="Arial"/>
      <w:szCs w:val="20"/>
    </w:rPr>
  </w:style>
  <w:style w:type="character" w:styleId="ListLabel129">
    <w:name w:val="ListLabel 129"/>
    <w:qFormat/>
    <w:rPr>
      <w:rFonts w:eastAsia="Calibri" w:cs="Arial"/>
      <w:lang w:eastAsia="ar-SA"/>
    </w:rPr>
  </w:style>
  <w:style w:type="character" w:styleId="ListLabel130">
    <w:name w:val="ListLabel 130"/>
    <w:qFormat/>
    <w:rPr>
      <w:color w:val="000000"/>
    </w:rPr>
  </w:style>
  <w:style w:type="paragraph" w:styleId="Ttulo">
    <w:name w:val="Título"/>
    <w:basedOn w:val="Normal"/>
    <w:next w:val="Corpodetexto"/>
    <w:qFormat/>
    <w:pPr>
      <w:keepNext w:val="true"/>
      <w:spacing w:before="240" w:after="120"/>
    </w:pPr>
    <w:rPr>
      <w:rFonts w:ascii="Liberation Sans" w:hAnsi="Liberation Sans" w:eastAsia="Noto Sans CJK SC"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leader="none"/>
        <w:tab w:val="right" w:pos="8504" w:leader="none"/>
      </w:tabs>
    </w:pPr>
    <w:rPr/>
  </w:style>
  <w:style w:type="paragraph" w:styleId="Rodap">
    <w:name w:val="Footer"/>
    <w:basedOn w:val="Normal"/>
    <w:link w:val="RodapChar"/>
    <w:uiPriority w:val="99"/>
    <w:unhideWhenUsed/>
    <w:rsid w:val="00805244"/>
    <w:pPr>
      <w:tabs>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Application>LibreOffice/6.0.7.3$Linux_X86_64 LibreOffice_project/00m0$Build-3</Application>
  <Pages>12</Pages>
  <Words>4860</Words>
  <Characters>27836</Characters>
  <CharactersWithSpaces>32343</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dcterms:modified xsi:type="dcterms:W3CDTF">2022-02-08T16:27:59Z</dcterms:modified>
  <cp:revision>36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