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i w:val="false"/>
          <w:i w:val="false"/>
          <w:iCs w:val="false"/>
        </w:rPr>
      </w:pPr>
      <w:r>
        <w:rPr>
          <w:rFonts w:cs="Arial"/>
          <w:b/>
          <w:bCs/>
          <w:i w:val="false"/>
          <w:iCs w:val="false"/>
          <w:color w:val="000000" w:themeColor="text1"/>
          <w:szCs w:val="20"/>
        </w:rPr>
        <w:t>MARINHA DO BRASIL</w:t>
      </w:r>
    </w:p>
    <w:p>
      <w:pPr>
        <w:pStyle w:val="Normal"/>
        <w:spacing w:lineRule="auto" w:line="276"/>
        <w:jc w:val="center"/>
        <w:rPr>
          <w:i w:val="false"/>
          <w:i w:val="false"/>
          <w:iCs w:val="false"/>
        </w:rPr>
      </w:pPr>
      <w:r>
        <w:rPr>
          <w:rFonts w:cs="Arial"/>
          <w:b/>
          <w:bCs/>
          <w:i w:val="false"/>
          <w:iCs w:val="false"/>
          <w:color w:val="000000" w:themeColor="text1"/>
          <w:szCs w:val="20"/>
        </w:rPr>
        <w:t>CENTRO DE INTENDÊNCIA DA MARINHA EM RIO GRANDE</w:t>
      </w:r>
    </w:p>
    <w:p>
      <w:pPr>
        <w:pStyle w:val="Normal"/>
        <w:spacing w:lineRule="auto" w:line="276"/>
        <w:jc w:val="center"/>
        <w:rPr>
          <w:i w:val="false"/>
          <w:i w:val="false"/>
          <w:iCs w:val="false"/>
        </w:rPr>
      </w:pPr>
      <w:r>
        <w:rPr>
          <w:rFonts w:cs="Arial"/>
          <w:b/>
          <w:bCs/>
          <w:i w:val="false"/>
          <w:iCs w:val="false"/>
          <w:color w:val="000000" w:themeColor="text1"/>
          <w:szCs w:val="20"/>
        </w:rPr>
        <w:t>GRUPAMENTO DE FUZILEIROS NAVAIS DO RIO GRANDE</w:t>
      </w:r>
    </w:p>
    <w:p>
      <w:pPr>
        <w:pStyle w:val="Normal"/>
        <w:spacing w:lineRule="auto" w:line="276"/>
        <w:jc w:val="center"/>
        <w:rPr>
          <w:i w:val="false"/>
          <w:i w:val="false"/>
          <w:iCs w:val="false"/>
        </w:rPr>
      </w:pPr>
      <w:r>
        <w:rPr>
          <w:rFonts w:cs="Arial"/>
          <w:b/>
          <w:bCs/>
          <w:i w:val="false"/>
          <w:iCs w:val="false"/>
          <w:color w:val="000000" w:themeColor="text1"/>
          <w:szCs w:val="20"/>
        </w:rPr>
        <w:t>AVISO DE DISPENSA ELETRÔNICA Nº 30142/2022</w:t>
      </w:r>
    </w:p>
    <w:p>
      <w:pPr>
        <w:pStyle w:val="Normal"/>
        <w:rPr>
          <w:rFonts w:cs="Arial"/>
          <w:i w:val="false"/>
          <w:i w:val="false"/>
          <w:iCs w:val="false"/>
        </w:rPr>
      </w:pPr>
      <w:r>
        <w:rPr>
          <w:rFonts w:cs="Arial"/>
          <w:i w:val="false"/>
          <w:iCs w:val="false"/>
        </w:rPr>
      </w:r>
    </w:p>
    <w:p>
      <w:pPr>
        <w:pStyle w:val="Normal"/>
        <w:snapToGrid w:val="false"/>
        <w:spacing w:lineRule="auto" w:line="276" w:before="0" w:after="120"/>
        <w:ind w:right="-30" w:firstLine="540"/>
        <w:jc w:val="both"/>
        <w:rPr>
          <w:i w:val="false"/>
          <w:i w:val="false"/>
          <w:iCs w:val="false"/>
        </w:rPr>
      </w:pPr>
      <w:r>
        <w:rPr>
          <w:rFonts w:cs="Arial"/>
          <w:i w:val="false"/>
          <w:iCs w:val="false"/>
          <w:color w:val="000000" w:themeColor="text1"/>
          <w:szCs w:val="20"/>
        </w:rPr>
        <w:t xml:space="preserve">Torna-se público que o centro de intendência da marinha em rio grande, realizará Dispensa Eletrônica, </w:t>
      </w:r>
      <w:r>
        <w:rPr>
          <w:rFonts w:cs="Arial"/>
          <w:bCs/>
          <w:i w:val="false"/>
          <w:iCs w:val="false"/>
          <w:color w:val="000000" w:themeColor="text1"/>
          <w:szCs w:val="20"/>
        </w:rPr>
        <w:t>com critério de julgamento</w:t>
      </w:r>
      <w:r>
        <w:rPr>
          <w:rFonts w:cs="Arial"/>
          <w:b/>
          <w:bCs/>
          <w:i w:val="false"/>
          <w:iCs w:val="false"/>
          <w:color w:val="000000" w:themeColor="text1"/>
          <w:szCs w:val="20"/>
        </w:rPr>
        <w:t xml:space="preserve"> </w:t>
      </w:r>
      <w:r>
        <w:rPr>
          <w:rFonts w:cs="Arial"/>
          <w:i w:val="false"/>
          <w:iCs w:val="false"/>
          <w:color w:val="000000"/>
          <w:szCs w:val="20"/>
        </w:rPr>
        <w:t>menor preço</w:t>
      </w:r>
      <w:r>
        <w:rPr>
          <w:rFonts w:cs="Arial"/>
          <w:b/>
          <w:bCs/>
          <w:i w:val="false"/>
          <w:iCs w:val="false"/>
          <w:color w:val="000000"/>
          <w:szCs w:val="20"/>
        </w:rPr>
        <w:t>,</w:t>
      </w:r>
      <w:r>
        <w:rPr>
          <w:rFonts w:cs="Arial"/>
          <w:b/>
          <w:bCs/>
          <w:i w:val="false"/>
          <w:iCs w:val="false"/>
          <w:color w:val="FF0000"/>
          <w:szCs w:val="20"/>
        </w:rPr>
        <w:t xml:space="preserve"> </w:t>
      </w:r>
      <w:r>
        <w:rPr>
          <w:rFonts w:cs="Arial"/>
          <w:i w:val="false"/>
          <w:iCs w:val="false"/>
          <w:color w:val="000000" w:themeColor="text1"/>
          <w:szCs w:val="20"/>
        </w:rPr>
        <w:t xml:space="preserve">na hipótese do art. 75, </w:t>
      </w:r>
      <w:r>
        <w:rPr>
          <w:rFonts w:cs="Arial"/>
          <w:i w:val="false"/>
          <w:iCs w:val="false"/>
          <w:color w:val="000000"/>
          <w:szCs w:val="20"/>
        </w:rPr>
        <w:t xml:space="preserve">inciso </w:t>
      </w:r>
      <w:r>
        <w:rPr>
          <w:rFonts w:cs="Arial"/>
          <w:b/>
          <w:i w:val="false"/>
          <w:iCs w:val="false"/>
          <w:color w:val="000000"/>
          <w:szCs w:val="20"/>
        </w:rPr>
        <w:t>II</w:t>
      </w:r>
      <w:r>
        <w:rPr>
          <w:rFonts w:cs="Arial"/>
          <w:i w:val="false"/>
          <w:iCs w:val="false"/>
          <w:color w:val="000000"/>
          <w:szCs w:val="20"/>
        </w:rPr>
        <w:t>,</w:t>
      </w:r>
      <w:r>
        <w:rPr>
          <w:rFonts w:cs="Arial"/>
          <w:i w:val="false"/>
          <w:iCs w:val="false"/>
          <w:color w:val="FF0000"/>
          <w:szCs w:val="20"/>
        </w:rPr>
        <w:t xml:space="preserve"> </w:t>
      </w:r>
      <w:r>
        <w:rPr>
          <w:rFonts w:cs="Arial"/>
          <w:bCs/>
          <w:i w:val="false"/>
          <w:iCs w:val="false"/>
          <w:szCs w:val="20"/>
        </w:rPr>
        <w:t>nos termos da Lei nº 14.133, de 1º de abril de 2021, da Instrução Normativa SEGES/ME nº 67/2021 e demais legislação aplicável</w:t>
      </w:r>
      <w:r>
        <w:rPr>
          <w:rFonts w:cs="Arial"/>
          <w:i w:val="false"/>
          <w:iCs w:val="false"/>
          <w:color w:val="000000"/>
          <w:szCs w:val="20"/>
        </w:rPr>
        <w:t>.</w:t>
      </w:r>
    </w:p>
    <w:p>
      <w:pPr>
        <w:pStyle w:val="Normal"/>
        <w:spacing w:lineRule="auto" w:line="276"/>
        <w:jc w:val="both"/>
        <w:rPr>
          <w:i w:val="false"/>
          <w:i w:val="false"/>
          <w:iCs w:val="false"/>
        </w:rPr>
      </w:pPr>
      <w:r>
        <w:rPr>
          <w:rFonts w:cs="Arial"/>
          <w:i w:val="false"/>
          <w:iCs w:val="false"/>
          <w:color w:val="000000" w:themeColor="text1"/>
          <w:szCs w:val="20"/>
        </w:rPr>
        <w:t xml:space="preserve">Data da sessão: </w:t>
      </w:r>
    </w:p>
    <w:p>
      <w:pPr>
        <w:pStyle w:val="Normal"/>
        <w:rPr>
          <w:i w:val="false"/>
          <w:i w:val="false"/>
          <w:iCs w:val="false"/>
        </w:rPr>
      </w:pPr>
      <w:r>
        <w:rPr>
          <w:rFonts w:cs="Arial"/>
          <w:i w:val="false"/>
          <w:iCs w:val="false"/>
          <w:color w:val="000000" w:themeColor="text1"/>
          <w:szCs w:val="20"/>
        </w:rPr>
        <w:t>Horário da Fase de Lances: 8:00 às 14:00hs</w:t>
      </w:r>
    </w:p>
    <w:p>
      <w:pPr>
        <w:pStyle w:val="PADRO"/>
        <w:keepNext w:val="true"/>
        <w:widowControl/>
        <w:shd w:val="clear" w:color="auto" w:fill="auto"/>
        <w:spacing w:before="120" w:after="120"/>
        <w:ind w:left="360" w:hanging="0"/>
        <w:rPr>
          <w:rFonts w:ascii="Arial" w:hAnsi="Arial" w:cs="Arial"/>
          <w:b/>
          <w:b/>
          <w:i w:val="false"/>
          <w:i w:val="false"/>
          <w:iCs w:val="false"/>
        </w:rPr>
      </w:pPr>
      <w:r>
        <w:rPr>
          <w:rFonts w:cs="Arial" w:ascii="Arial" w:hAnsi="Arial"/>
          <w:b/>
          <w:i w:val="false"/>
          <w:iCs w:val="false"/>
        </w:rPr>
      </w:r>
    </w:p>
    <w:p>
      <w:pPr>
        <w:pStyle w:val="PADRO"/>
        <w:keepNext w:val="true"/>
        <w:widowControl/>
        <w:numPr>
          <w:ilvl w:val="0"/>
          <w:numId w:val="1"/>
        </w:numPr>
        <w:shd w:val="clear" w:color="auto" w:fill="auto"/>
        <w:spacing w:before="120" w:after="120"/>
        <w:rPr>
          <w:i w:val="false"/>
          <w:i w:val="false"/>
          <w:iCs w:val="false"/>
        </w:rPr>
      </w:pPr>
      <w:bookmarkStart w:id="0" w:name="_GoBack"/>
      <w:bookmarkEnd w:id="0"/>
      <w:r>
        <w:rPr>
          <w:rFonts w:cs="Arial" w:ascii="Arial" w:hAnsi="Arial"/>
          <w:b/>
          <w:i w:val="false"/>
          <w:iCs w:val="false"/>
        </w:rPr>
        <w:t>OBJETO DA CONTRATAÇÃO DIRETA</w:t>
      </w:r>
    </w:p>
    <w:p>
      <w:pPr>
        <w:pStyle w:val="PADRO"/>
        <w:keepNext w:val="true"/>
        <w:widowControl/>
        <w:numPr>
          <w:ilvl w:val="1"/>
          <w:numId w:val="1"/>
        </w:numPr>
        <w:shd w:val="clear" w:color="auto" w:fill="auto"/>
        <w:spacing w:before="120" w:after="120"/>
        <w:rPr>
          <w:i w:val="false"/>
          <w:i w:val="false"/>
          <w:iCs w:val="false"/>
        </w:rPr>
      </w:pPr>
      <w:r>
        <w:rPr>
          <w:rFonts w:cs="Arial" w:ascii="Arial" w:hAnsi="Arial"/>
          <w:i w:val="false"/>
          <w:iCs w:val="false"/>
          <w:color w:val="000000"/>
          <w:szCs w:val="20"/>
        </w:rPr>
        <w:t xml:space="preserve"> </w:t>
      </w:r>
      <w:r>
        <w:rPr>
          <w:rFonts w:cs="Arial" w:ascii="Arial" w:hAnsi="Arial"/>
          <w:i w:val="false"/>
          <w:iCs w:val="false"/>
          <w:color w:val="000000"/>
          <w:szCs w:val="20"/>
        </w:rPr>
        <w:t xml:space="preserve">Aquisição de </w:t>
      </w:r>
      <w:r>
        <w:rPr>
          <w:rFonts w:eastAsia="WenQuanYi Micro Hei" w:cs="Arial" w:ascii="Arial" w:hAnsi="Arial"/>
          <w:i w:val="false"/>
          <w:iCs w:val="false"/>
          <w:color w:val="000000"/>
          <w:kern w:val="0"/>
          <w:sz w:val="20"/>
          <w:szCs w:val="20"/>
          <w:lang w:val="pt-BR" w:eastAsia="zh-CN" w:bidi="hi-IN"/>
        </w:rPr>
        <w:t xml:space="preserve">ferramentas </w:t>
      </w:r>
      <w:r>
        <w:rPr>
          <w:rFonts w:cs="Arial" w:ascii="Arial" w:hAnsi="Arial"/>
          <w:i w:val="false"/>
          <w:iCs w:val="false"/>
          <w:color w:val="000000"/>
          <w:szCs w:val="20"/>
        </w:rPr>
        <w:t>com aplicação no Grupamento de Fuzileiros Navais do Rio Grande.</w:t>
      </w:r>
    </w:p>
    <w:tbl>
      <w:tblPr>
        <w:tblW w:w="8400" w:type="dxa"/>
        <w:jc w:val="left"/>
        <w:tblInd w:w="154" w:type="dxa"/>
        <w:tblLayout w:type="fixed"/>
        <w:tblCellMar>
          <w:top w:w="0" w:type="dxa"/>
          <w:left w:w="88" w:type="dxa"/>
          <w:bottom w:w="0" w:type="dxa"/>
          <w:right w:w="108" w:type="dxa"/>
        </w:tblCellMar>
        <w:tblLook w:val="04a0" w:noHBand="0" w:noVBand="1" w:firstColumn="1" w:lastRow="0" w:lastColumn="0" w:firstRow="1"/>
      </w:tblPr>
      <w:tblGrid>
        <w:gridCol w:w="669"/>
        <w:gridCol w:w="2055"/>
        <w:gridCol w:w="1071"/>
        <w:gridCol w:w="1046"/>
        <w:gridCol w:w="951"/>
        <w:gridCol w:w="1305"/>
        <w:gridCol w:w="1302"/>
      </w:tblGrid>
      <w:tr>
        <w:trPr/>
        <w:tc>
          <w:tcPr>
            <w:tcW w:w="66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20"/>
                <w:szCs w:val="20"/>
              </w:rPr>
              <w:t>ITEM</w:t>
            </w:r>
          </w:p>
          <w:p>
            <w:pPr>
              <w:pStyle w:val="Normal"/>
              <w:widowControl w:val="false"/>
              <w:suppressAutoHyphens w:val="true"/>
              <w:jc w:val="center"/>
              <w:rPr>
                <w:rFonts w:cs="Arial"/>
                <w:b/>
                <w:b/>
                <w:i w:val="false"/>
                <w:i w:val="false"/>
                <w:iCs w:val="false"/>
                <w:color w:val="000000"/>
                <w:sz w:val="20"/>
                <w:szCs w:val="20"/>
              </w:rPr>
            </w:pPr>
            <w:r>
              <w:rPr>
                <w:rFonts w:cs="Arial"/>
                <w:b/>
                <w:i w:val="false"/>
                <w:iCs w:val="false"/>
                <w:color w:val="000000"/>
                <w:sz w:val="20"/>
                <w:szCs w:val="20"/>
              </w:rPr>
            </w:r>
          </w:p>
        </w:tc>
        <w:tc>
          <w:tcPr>
            <w:tcW w:w="205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jc w:val="center"/>
              <w:rPr>
                <w:rFonts w:cs="Arial"/>
                <w:b/>
                <w:b/>
                <w:bCs/>
                <w:color w:val="000000"/>
                <w:sz w:val="14"/>
                <w:szCs w:val="14"/>
              </w:rPr>
            </w:pPr>
            <w:r>
              <w:rPr>
                <w:rFonts w:cs="Arial"/>
                <w:b/>
                <w:bCs/>
                <w:i w:val="false"/>
                <w:iCs w:val="false"/>
                <w:color w:val="000000"/>
                <w:sz w:val="20"/>
                <w:szCs w:val="20"/>
              </w:rPr>
              <w:t>DESCRIÇÃO/</w:t>
            </w:r>
          </w:p>
          <w:p>
            <w:pPr>
              <w:pStyle w:val="Normal"/>
              <w:widowControl w:val="false"/>
              <w:suppressAutoHyphens w:val="true"/>
              <w:jc w:val="center"/>
              <w:rPr>
                <w:rFonts w:cs="Arial"/>
                <w:color w:val="000000"/>
                <w:sz w:val="14"/>
                <w:szCs w:val="14"/>
              </w:rPr>
            </w:pPr>
            <w:r>
              <w:rPr>
                <w:rFonts w:cs="Arial"/>
                <w:b/>
                <w:bCs/>
                <w:i w:val="false"/>
                <w:iCs w:val="false"/>
                <w:color w:val="000000"/>
                <w:sz w:val="20"/>
                <w:szCs w:val="20"/>
              </w:rPr>
              <w:t>ESPECIFICAÇÃO</w:t>
            </w:r>
          </w:p>
        </w:tc>
        <w:tc>
          <w:tcPr>
            <w:tcW w:w="107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i w:val="false"/>
                <w:i w:val="false"/>
                <w:iCs w:val="false"/>
              </w:rPr>
            </w:pPr>
            <w:r>
              <w:rPr>
                <w:rFonts w:cs="Arial"/>
                <w:b/>
                <w:bCs/>
                <w:i w:val="false"/>
                <w:iCs w:val="false"/>
                <w:color w:val="000000"/>
                <w:sz w:val="20"/>
                <w:szCs w:val="20"/>
              </w:rPr>
              <w:t>CATMAT</w:t>
            </w:r>
          </w:p>
        </w:tc>
        <w:tc>
          <w:tcPr>
            <w:tcW w:w="104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color w:val="000000"/>
                <w:sz w:val="14"/>
                <w:szCs w:val="14"/>
              </w:rPr>
            </w:pPr>
            <w:r>
              <w:rPr>
                <w:rFonts w:cs="Arial"/>
                <w:b/>
                <w:bCs/>
                <w:i w:val="false"/>
                <w:iCs w:val="false"/>
                <w:color w:val="000000"/>
                <w:sz w:val="20"/>
                <w:szCs w:val="20"/>
              </w:rPr>
              <w:t>UNIDADE DE MEDIDA</w:t>
            </w:r>
          </w:p>
        </w:tc>
        <w:tc>
          <w:tcPr>
            <w:tcW w:w="95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color w:val="000000"/>
                <w:sz w:val="14"/>
                <w:szCs w:val="14"/>
              </w:rPr>
            </w:pPr>
            <w:r>
              <w:rPr>
                <w:rFonts w:cs="Arial"/>
                <w:b/>
                <w:bCs/>
                <w:i w:val="false"/>
                <w:iCs w:val="false"/>
                <w:color w:val="000000"/>
                <w:sz w:val="20"/>
                <w:szCs w:val="20"/>
              </w:rPr>
              <w:t>QUANT.</w:t>
            </w:r>
          </w:p>
        </w:tc>
        <w:tc>
          <w:tcPr>
            <w:tcW w:w="1305" w:type="dxa"/>
            <w:tcBorders>
              <w:top w:val="single" w:sz="4" w:space="0" w:color="000001"/>
              <w:left w:val="single" w:sz="4" w:space="0" w:color="000001"/>
              <w:bottom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20"/>
                <w:szCs w:val="20"/>
              </w:rPr>
              <w:t>PREÇO ESTIMADO</w:t>
            </w:r>
            <w:r>
              <w:rPr>
                <w:rFonts w:cs="Arial"/>
                <w:b/>
                <w:bCs/>
                <w:i w:val="false"/>
                <w:iCs w:val="false"/>
                <w:color w:val="000000"/>
                <w:sz w:val="14"/>
                <w:szCs w:val="14"/>
              </w:rPr>
              <w:t>(unitário)</w:t>
            </w:r>
          </w:p>
        </w:tc>
        <w:tc>
          <w:tcPr>
            <w:tcW w:w="130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jc w:val="center"/>
              <w:rPr>
                <w:rFonts w:cs="Arial"/>
                <w:b/>
                <w:b/>
                <w:bCs/>
                <w:color w:val="000000"/>
                <w:sz w:val="14"/>
                <w:szCs w:val="14"/>
              </w:rPr>
            </w:pPr>
            <w:r>
              <w:rPr>
                <w:rFonts w:cs="Arial"/>
                <w:b/>
                <w:bCs/>
                <w:i w:val="false"/>
                <w:iCs w:val="false"/>
                <w:color w:val="000000"/>
                <w:sz w:val="20"/>
                <w:szCs w:val="20"/>
              </w:rPr>
              <w:t>PREÇO ESTIMADO</w:t>
            </w:r>
            <w:r>
              <w:rPr>
                <w:rFonts w:cs="Arial"/>
                <w:b/>
                <w:bCs/>
                <w:i w:val="false"/>
                <w:iCs w:val="false"/>
                <w:color w:val="000000"/>
                <w:sz w:val="14"/>
                <w:szCs w:val="14"/>
              </w:rPr>
              <w:t>(</w:t>
            </w:r>
            <w:r>
              <w:rPr>
                <w:rFonts w:eastAsia="Times New Roman" w:cs="Arial"/>
                <w:b/>
                <w:bCs/>
                <w:i w:val="false"/>
                <w:iCs w:val="false"/>
                <w:color w:val="000000"/>
                <w:kern w:val="0"/>
                <w:sz w:val="14"/>
                <w:szCs w:val="14"/>
                <w:lang w:val="pt-BR" w:eastAsia="pt-BR" w:bidi="ar-SA"/>
              </w:rPr>
              <w:t>Total</w:t>
            </w:r>
            <w:r>
              <w:rPr>
                <w:rFonts w:cs="Arial"/>
                <w:b/>
                <w:bCs/>
                <w:i w:val="false"/>
                <w:iCs w:val="false"/>
                <w:color w:val="000000"/>
                <w:sz w:val="14"/>
                <w:szCs w:val="14"/>
              </w:rPr>
              <w:t>)</w:t>
            </w:r>
          </w:p>
        </w:tc>
      </w:tr>
      <w:tr>
        <w:trPr/>
        <w:tc>
          <w:tcPr>
            <w:tcW w:w="669"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1</w:t>
            </w:r>
          </w:p>
        </w:tc>
        <w:tc>
          <w:tcPr>
            <w:tcW w:w="2055"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0"/>
              <w:jc w:val="center"/>
              <w:rPr>
                <w:rFonts w:ascii="Arial" w:hAnsi="Arial" w:eastAsia="Times New Roman" w:cs="Tahoma"/>
                <w:i w:val="false"/>
                <w:i w:val="false"/>
                <w:iCs w:val="false"/>
                <w:color w:val="00000A"/>
                <w:kern w:val="0"/>
                <w:sz w:val="20"/>
                <w:szCs w:val="24"/>
                <w:lang w:val="pt-BR" w:eastAsia="pt-BR" w:bidi="ar-SA"/>
              </w:rPr>
            </w:pPr>
            <w:r>
              <w:rPr>
                <w:rFonts w:eastAsia="Times New Roman" w:cs="Tahoma"/>
                <w:i w:val="false"/>
                <w:iCs w:val="false"/>
                <w:color w:val="00000A"/>
                <w:kern w:val="0"/>
                <w:sz w:val="20"/>
                <w:szCs w:val="24"/>
                <w:lang w:val="pt-BR" w:eastAsia="pt-BR" w:bidi="ar-SA"/>
              </w:rPr>
              <w:t>BROCA AÇO RÁPIDO 10,0mm (8-J-5)</w:t>
            </w:r>
          </w:p>
        </w:tc>
        <w:tc>
          <w:tcPr>
            <w:tcW w:w="107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242970</w:t>
            </w:r>
          </w:p>
        </w:tc>
        <w:tc>
          <w:tcPr>
            <w:tcW w:w="1046"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UN</w:t>
            </w:r>
          </w:p>
        </w:tc>
        <w:tc>
          <w:tcPr>
            <w:tcW w:w="95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Tahoma"/>
                <w:i w:val="false"/>
                <w:i w:val="false"/>
                <w:iCs w:val="false"/>
                <w:color w:val="00000A"/>
                <w:kern w:val="0"/>
                <w:sz w:val="20"/>
                <w:szCs w:val="24"/>
                <w:lang w:val="pt-BR" w:eastAsia="pt-BR" w:bidi="ar-SA"/>
              </w:rPr>
            </w:pPr>
            <w:r>
              <w:rPr>
                <w:rFonts w:eastAsia="Times New Roman" w:cs="Tahoma"/>
                <w:i w:val="false"/>
                <w:iCs w:val="false"/>
                <w:color w:val="00000A"/>
                <w:kern w:val="0"/>
                <w:sz w:val="20"/>
                <w:szCs w:val="24"/>
                <w:lang w:val="pt-BR" w:eastAsia="pt-BR" w:bidi="ar-SA"/>
              </w:rPr>
              <w:t>10</w:t>
            </w:r>
          </w:p>
        </w:tc>
        <w:tc>
          <w:tcPr>
            <w:tcW w:w="1305" w:type="dxa"/>
            <w:tcBorders>
              <w:left w:val="single" w:sz="4" w:space="0" w:color="000001"/>
              <w:bottom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20"/>
                <w:szCs w:val="20"/>
                <w:lang w:val="pt-BR" w:eastAsia="pt-BR" w:bidi="ar-SA"/>
              </w:rPr>
            </w:pPr>
            <w:r>
              <w:rPr>
                <w:rFonts w:eastAsia="Times New Roman" w:cs="Arial"/>
                <w:i w:val="false"/>
                <w:iCs w:val="false"/>
                <w:color w:val="000000"/>
                <w:kern w:val="0"/>
                <w:sz w:val="20"/>
                <w:szCs w:val="20"/>
                <w:lang w:val="pt-BR" w:eastAsia="pt-BR" w:bidi="ar-SA"/>
              </w:rPr>
              <w:t>R$ 18,90</w:t>
            </w:r>
          </w:p>
        </w:tc>
        <w:tc>
          <w:tcPr>
            <w:tcW w:w="1302"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ascii="Arial" w:hAnsi="Arial" w:eastAsia="Times New Roman" w:cs="Arial"/>
                <w:i w:val="false"/>
                <w:i w:val="false"/>
                <w:iCs w:val="false"/>
                <w:color w:val="000000"/>
                <w:kern w:val="0"/>
                <w:sz w:val="20"/>
                <w:szCs w:val="20"/>
                <w:lang w:val="pt-BR" w:eastAsia="pt-BR" w:bidi="ar-SA"/>
              </w:rPr>
            </w:pPr>
            <w:r>
              <w:rPr>
                <w:rFonts w:eastAsia="Times New Roman" w:cs="Arial"/>
                <w:i w:val="false"/>
                <w:iCs w:val="false"/>
                <w:color w:val="000000"/>
                <w:kern w:val="0"/>
                <w:sz w:val="20"/>
                <w:szCs w:val="20"/>
                <w:lang w:val="pt-BR" w:eastAsia="pt-BR" w:bidi="ar-SA"/>
              </w:rPr>
              <w:t>R$ 189,00</w:t>
            </w:r>
          </w:p>
        </w:tc>
      </w:tr>
      <w:tr>
        <w:trPr/>
        <w:tc>
          <w:tcPr>
            <w:tcW w:w="669"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2</w:t>
            </w:r>
          </w:p>
        </w:tc>
        <w:tc>
          <w:tcPr>
            <w:tcW w:w="2055"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0"/>
              <w:jc w:val="center"/>
              <w:rPr>
                <w:i w:val="false"/>
                <w:i w:val="false"/>
                <w:iCs w:val="false"/>
              </w:rPr>
            </w:pPr>
            <w:r>
              <w:rPr>
                <w:i w:val="false"/>
                <w:iCs w:val="false"/>
              </w:rPr>
              <w:t>DISCO CORTE FERRO/INOX 4.1/2” 1,0 X 22,23 (6-D-5)</w:t>
            </w:r>
          </w:p>
        </w:tc>
        <w:tc>
          <w:tcPr>
            <w:tcW w:w="107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453315</w:t>
            </w:r>
          </w:p>
        </w:tc>
        <w:tc>
          <w:tcPr>
            <w:tcW w:w="1046"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UN</w:t>
            </w:r>
          </w:p>
        </w:tc>
        <w:tc>
          <w:tcPr>
            <w:tcW w:w="95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49</w:t>
            </w:r>
          </w:p>
        </w:tc>
        <w:tc>
          <w:tcPr>
            <w:tcW w:w="1305" w:type="dxa"/>
            <w:tcBorders>
              <w:left w:val="single" w:sz="4" w:space="0" w:color="000001"/>
              <w:bottom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20"/>
                <w:szCs w:val="20"/>
              </w:rPr>
            </w:pPr>
            <w:r>
              <w:rPr>
                <w:rFonts w:cs="Arial"/>
                <w:i w:val="false"/>
                <w:iCs w:val="false"/>
                <w:color w:val="000000"/>
                <w:sz w:val="20"/>
                <w:szCs w:val="20"/>
              </w:rPr>
              <w:t>R$ 2,80</w:t>
            </w:r>
          </w:p>
        </w:tc>
        <w:tc>
          <w:tcPr>
            <w:tcW w:w="1302"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20"/>
                <w:szCs w:val="20"/>
              </w:rPr>
            </w:pPr>
            <w:r>
              <w:rPr>
                <w:rFonts w:cs="Arial"/>
                <w:i w:val="false"/>
                <w:iCs w:val="false"/>
                <w:color w:val="000000"/>
                <w:sz w:val="20"/>
                <w:szCs w:val="20"/>
              </w:rPr>
              <w:t>R$ 137,20</w:t>
            </w:r>
          </w:p>
        </w:tc>
      </w:tr>
      <w:tr>
        <w:trPr/>
        <w:tc>
          <w:tcPr>
            <w:tcW w:w="669"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3</w:t>
            </w:r>
          </w:p>
        </w:tc>
        <w:tc>
          <w:tcPr>
            <w:tcW w:w="2055"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0"/>
              <w:jc w:val="center"/>
              <w:rPr>
                <w:i w:val="false"/>
                <w:i w:val="false"/>
                <w:iCs w:val="false"/>
              </w:rPr>
            </w:pPr>
            <w:r>
              <w:rPr>
                <w:i w:val="false"/>
                <w:iCs w:val="false"/>
              </w:rPr>
              <w:t>DISCO CORTE FERRO/INOX 9” 1,9 X 22,22</w:t>
            </w:r>
          </w:p>
        </w:tc>
        <w:tc>
          <w:tcPr>
            <w:tcW w:w="107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377362</w:t>
            </w:r>
          </w:p>
        </w:tc>
        <w:tc>
          <w:tcPr>
            <w:tcW w:w="1046"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sz w:val="20"/>
                <w:szCs w:val="20"/>
              </w:rPr>
            </w:pPr>
            <w:r>
              <w:rPr>
                <w:sz w:val="20"/>
                <w:szCs w:val="20"/>
              </w:rPr>
              <w:t>UN</w:t>
            </w:r>
          </w:p>
        </w:tc>
        <w:tc>
          <w:tcPr>
            <w:tcW w:w="951"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i w:val="false"/>
                <w:i w:val="false"/>
                <w:iCs w:val="false"/>
              </w:rPr>
            </w:pPr>
            <w:r>
              <w:rPr>
                <w:i w:val="false"/>
                <w:iCs w:val="false"/>
              </w:rPr>
              <w:t>50</w:t>
            </w:r>
          </w:p>
        </w:tc>
        <w:tc>
          <w:tcPr>
            <w:tcW w:w="1305" w:type="dxa"/>
            <w:tcBorders>
              <w:left w:val="single" w:sz="4" w:space="0" w:color="000001"/>
              <w:bottom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20"/>
                <w:szCs w:val="20"/>
              </w:rPr>
            </w:pPr>
            <w:r>
              <w:rPr>
                <w:rFonts w:cs="Arial"/>
                <w:i w:val="false"/>
                <w:iCs w:val="false"/>
                <w:color w:val="000000"/>
                <w:sz w:val="20"/>
                <w:szCs w:val="20"/>
              </w:rPr>
              <w:t>R$ 8,70</w:t>
            </w:r>
          </w:p>
        </w:tc>
        <w:tc>
          <w:tcPr>
            <w:tcW w:w="1302" w:type="dxa"/>
            <w:tcBorders>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rFonts w:cs="Arial"/>
                <w:i w:val="false"/>
                <w:i w:val="false"/>
                <w:iCs w:val="false"/>
                <w:color w:val="000000"/>
                <w:sz w:val="20"/>
                <w:szCs w:val="20"/>
              </w:rPr>
            </w:pPr>
            <w:r>
              <w:rPr>
                <w:rFonts w:cs="Arial"/>
                <w:i w:val="false"/>
                <w:iCs w:val="false"/>
                <w:color w:val="000000"/>
                <w:sz w:val="20"/>
                <w:szCs w:val="20"/>
              </w:rPr>
              <w:t>R$ 435,00</w:t>
            </w:r>
          </w:p>
        </w:tc>
      </w:tr>
    </w:tbl>
    <w:p>
      <w:pPr>
        <w:pStyle w:val="PADRO"/>
        <w:keepNext w:val="true"/>
        <w:widowControl/>
        <w:numPr>
          <w:ilvl w:val="2"/>
          <w:numId w:val="1"/>
        </w:numPr>
        <w:shd w:val="clear" w:color="auto" w:fill="auto"/>
        <w:spacing w:before="120" w:after="120"/>
        <w:rPr>
          <w:i w:val="false"/>
          <w:i w:val="false"/>
          <w:iCs w:val="false"/>
        </w:rPr>
      </w:pPr>
      <w:r>
        <w:rPr>
          <w:rFonts w:cs="Arial" w:ascii="Arial" w:hAnsi="Arial"/>
          <w:i w:val="false"/>
          <w:iCs w:val="false"/>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color="auto" w:fill="auto"/>
        <w:spacing w:before="120" w:after="120"/>
        <w:rPr>
          <w:i w:val="false"/>
          <w:i w:val="false"/>
          <w:iCs w:val="false"/>
        </w:rPr>
      </w:pPr>
      <w:r>
        <w:rPr>
          <w:rFonts w:cs="Arial" w:ascii="Arial" w:hAnsi="Arial"/>
          <w:i w:val="false"/>
          <w:iCs w:val="false"/>
          <w:szCs w:val="20"/>
        </w:rPr>
        <w:t xml:space="preserve">O critério de julgamento adotado será o </w:t>
      </w:r>
      <w:r>
        <w:rPr>
          <w:rFonts w:cs="Arial" w:ascii="Arial" w:hAnsi="Arial"/>
          <w:i w:val="false"/>
          <w:iCs w:val="false"/>
          <w:color w:val="000000"/>
          <w:szCs w:val="20"/>
        </w:rPr>
        <w:t>menor preço, o</w:t>
      </w:r>
      <w:r>
        <w:rPr>
          <w:rFonts w:cs="Arial" w:ascii="Arial" w:hAnsi="Arial"/>
          <w:i w:val="false"/>
          <w:iCs w:val="false"/>
          <w:szCs w:val="20"/>
        </w:rPr>
        <w:t>bservadas as exigências contidas neste Aviso de Contratação Direta e seus Anexos quanto às especificações do objeto.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PARTICIPAÇÃO NA DISPENSA ELETRÔNICA.</w:t>
      </w:r>
    </w:p>
    <w:p>
      <w:pPr>
        <w:pStyle w:val="Normal"/>
        <w:numPr>
          <w:ilvl w:val="1"/>
          <w:numId w:val="1"/>
        </w:numPr>
        <w:snapToGrid w:val="false"/>
        <w:spacing w:lineRule="auto" w:line="276" w:before="120" w:after="120"/>
        <w:ind w:left="425" w:hanging="0"/>
        <w:jc w:val="both"/>
        <w:rPr>
          <w:i w:val="false"/>
          <w:i w:val="false"/>
          <w:iCs w:val="false"/>
        </w:rPr>
      </w:pPr>
      <w:r>
        <w:rPr>
          <w:rFonts w:cs="Arial"/>
          <w:i w:val="false"/>
          <w:iCs w:val="false"/>
          <w:szCs w:val="20"/>
        </w:rPr>
        <w:t xml:space="preserve">A participação na presente dispensa eletrônica se dará mediante </w:t>
      </w:r>
      <w:r>
        <w:rPr>
          <w:rFonts w:cs="Arial"/>
          <w:bCs/>
          <w:i w:val="false"/>
          <w:iCs w:val="false"/>
          <w:szCs w:val="20"/>
        </w:rPr>
        <w:t>Sistema de Dispensa Eletrônica</w:t>
      </w:r>
      <w:r>
        <w:rPr>
          <w:rFonts w:cs="Arial"/>
          <w:i w:val="false"/>
          <w:iCs w:val="false"/>
          <w:szCs w:val="20"/>
        </w:rPr>
        <w:t xml:space="preserve"> integrante do Sistema de Compras do Governo Federal – Comprasnet 4.0, disponível no </w:t>
      </w:r>
      <w:r>
        <w:rPr>
          <w:rFonts w:cs="Arial"/>
          <w:bCs/>
          <w:i w:val="false"/>
          <w:iCs w:val="false"/>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i w:val="false"/>
          <w:iCs w:val="false"/>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i w:val="false"/>
          <w:iCs w:val="false"/>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i w:val="false"/>
          <w:iCs w:val="false"/>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i w:val="false"/>
          <w:iCs w:val="false"/>
          <w:color w:val="000000"/>
          <w:szCs w:val="20"/>
        </w:rPr>
        <w:t xml:space="preserve">empresas controladoras, controladas ou coligadas, nos termos da </w:t>
      </w:r>
      <w:hyperlink r:id="rId2">
        <w:r>
          <w:rPr>
            <w:rStyle w:val="LinkdaInternet"/>
            <w:rFonts w:eastAsia="Calibri" w:cs="Arial"/>
            <w:i w:val="false"/>
            <w:iCs w:val="false"/>
            <w:szCs w:val="20"/>
          </w:rPr>
          <w:t>Lei nº 6.404, de 15 de dezembro de 1976</w:t>
        </w:r>
      </w:hyperlink>
      <w:r>
        <w:rPr>
          <w:rFonts w:cs="Arial"/>
          <w:i w:val="false"/>
          <w:iCs w:val="false"/>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i w:val="false"/>
          <w:iCs w:val="false"/>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i w:val="false"/>
          <w:iCs w:val="false"/>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i w:val="false"/>
          <w:iCs w:val="false"/>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szCs w:val="20"/>
        </w:rPr>
        <w:t xml:space="preserve"> </w:t>
      </w:r>
      <w:r>
        <w:rPr>
          <w:rFonts w:cs="Arial"/>
          <w:i w:val="false"/>
          <w:iCs w:val="false"/>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i w:val="false"/>
          <w:i w:val="false"/>
          <w:iCs w:val="false"/>
        </w:rPr>
      </w:pPr>
      <w:r>
        <w:rPr>
          <w:i w:val="false"/>
          <w:iCs w:val="false"/>
        </w:rPr>
        <w:t xml:space="preserve"> </w:t>
      </w:r>
      <w:r>
        <w:rPr>
          <w:i w:val="false"/>
          <w:iCs w:val="false"/>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i w:val="false"/>
          <w:iCs w:val="false"/>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i w:val="false"/>
          <w:iCs w:val="false"/>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i w:val="false"/>
          <w:iCs w:val="false"/>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 xml:space="preserve">Todas as especificações do </w:t>
      </w:r>
      <w:r>
        <w:rPr>
          <w:rFonts w:cs="Arial"/>
          <w:i w:val="false"/>
          <w:iCs w:val="false"/>
          <w:color w:val="000000" w:themeColor="text1"/>
          <w:szCs w:val="20"/>
        </w:rPr>
        <w:t>objeto</w:t>
      </w:r>
      <w:r>
        <w:rPr>
          <w:rFonts w:cs="Arial"/>
          <w:i w:val="false"/>
          <w:iCs w:val="false"/>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i w:val="false"/>
          <w:iCs w:val="false"/>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i w:val="false"/>
          <w:iCs w:val="false"/>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i w:val="false"/>
          <w:i w:val="false"/>
          <w:iCs w:val="false"/>
        </w:rPr>
      </w:pPr>
      <w:r>
        <w:rPr>
          <w:rFonts w:cs="Arial"/>
          <w:i w:val="false"/>
          <w:iCs w:val="false"/>
          <w:szCs w:val="20"/>
        </w:rPr>
        <w:t xml:space="preserve">A apresentação das propostas implica obrigatoriedade do cumprimento das disposições nelas contidas, em conformidade com o que dispõe o </w:t>
      </w:r>
      <w:r>
        <w:rPr>
          <w:rFonts w:cs="Arial"/>
          <w:i w:val="false"/>
          <w:iCs w:val="false"/>
          <w:color w:val="000000"/>
          <w:szCs w:val="20"/>
        </w:rPr>
        <w:t>Aviso de Dispensa Eletrônica, assumindo o proponente o compromisso de executar os serviços nos se</w:t>
      </w:r>
      <w:r>
        <w:rPr>
          <w:rFonts w:cs="Arial"/>
          <w:i w:val="false"/>
          <w:iCs w:val="false"/>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i w:val="false"/>
          <w:iCs w:val="false"/>
          <w:szCs w:val="20"/>
        </w:rPr>
        <w:t xml:space="preserve">Uma vez enviada a proposta no sistema, os fornecedores </w:t>
      </w:r>
      <w:r>
        <w:rPr>
          <w:rFonts w:cs="Arial"/>
          <w:b/>
          <w:bCs/>
          <w:i w:val="false"/>
          <w:iCs w:val="false"/>
          <w:szCs w:val="20"/>
        </w:rPr>
        <w:t>NÃO</w:t>
      </w:r>
      <w:r>
        <w:rPr>
          <w:rFonts w:cs="Arial"/>
          <w:i w:val="false"/>
          <w:iCs w:val="false"/>
          <w:szCs w:val="20"/>
        </w:rPr>
        <w:t xml:space="preserve"> poderão retirá-la, substituí-la ou modificá-la</w:t>
      </w:r>
      <w:r>
        <w:rPr>
          <w:rFonts w:cs="Arial"/>
          <w:i w:val="false"/>
          <w:iCs w:val="false"/>
          <w:color w:val="000000"/>
          <w:szCs w:val="20"/>
        </w:rPr>
        <w:t>;</w:t>
      </w:r>
    </w:p>
    <w:p>
      <w:pPr>
        <w:pStyle w:val="Normal"/>
        <w:numPr>
          <w:ilvl w:val="1"/>
          <w:numId w:val="1"/>
        </w:numPr>
        <w:spacing w:lineRule="auto" w:line="276" w:before="120" w:after="120"/>
        <w:ind w:left="425" w:hanging="0"/>
        <w:jc w:val="both"/>
        <w:rPr>
          <w:i w:val="false"/>
          <w:i w:val="false"/>
          <w:iCs w:val="false"/>
        </w:rPr>
      </w:pPr>
      <w:r>
        <w:rPr>
          <w:rFonts w:cs="Arial"/>
          <w:i w:val="false"/>
          <w:iCs w:val="false"/>
          <w:color w:val="000000"/>
          <w:szCs w:val="20"/>
        </w:rPr>
        <w:t xml:space="preserve">No cadastramento da proposta inicial, o fornecedor deverá, também, assinalar “sim” ou “não” em campo </w:t>
      </w:r>
      <w:r>
        <w:rPr>
          <w:rFonts w:cs="Arial"/>
          <w:i w:val="false"/>
          <w:iCs w:val="false"/>
          <w:szCs w:val="20"/>
        </w:rPr>
        <w:t>próprio</w:t>
      </w:r>
      <w:r>
        <w:rPr>
          <w:rFonts w:cs="Arial"/>
          <w:i w:val="false"/>
          <w:iCs w:val="false"/>
          <w:color w:val="000000"/>
          <w:szCs w:val="20"/>
        </w:rPr>
        <w:t xml:space="preserve"> do sistema eletrônico, às seguintes declarações:</w:t>
      </w:r>
      <w:r>
        <w:rPr>
          <w:rFonts w:eastAsia="Zurich BT" w:cs="Arial"/>
          <w:i w:val="false"/>
          <w:iCs w:val="false"/>
          <w:color w:val="000000"/>
          <w:szCs w:val="20"/>
        </w:rPr>
        <w:t xml:space="preserve"> </w:t>
      </w:r>
    </w:p>
    <w:p>
      <w:pPr>
        <w:pStyle w:val="ListParagraph"/>
        <w:numPr>
          <w:ilvl w:val="0"/>
          <w:numId w:val="2"/>
        </w:numPr>
        <w:tabs>
          <w:tab w:val="clear" w:pos="225"/>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225"/>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225"/>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ListParagraph"/>
        <w:numPr>
          <w:ilvl w:val="1"/>
          <w:numId w:val="2"/>
        </w:numPr>
        <w:tabs>
          <w:tab w:val="clear" w:pos="225"/>
          <w:tab w:val="left" w:pos="1440" w:leader="none"/>
        </w:tabs>
        <w:snapToGrid w:val="false"/>
        <w:spacing w:lineRule="auto" w:line="276" w:before="120" w:after="120"/>
        <w:contextualSpacing/>
        <w:jc w:val="both"/>
        <w:rPr>
          <w:rFonts w:cs="Arial"/>
          <w:bCs/>
          <w:i w:val="false"/>
          <w:i w:val="false"/>
          <w:iCs w:val="false"/>
          <w:vanish/>
          <w:color w:val="000000"/>
          <w:szCs w:val="20"/>
        </w:rPr>
      </w:pPr>
      <w:r>
        <w:rPr>
          <w:rFonts w:cs="Arial"/>
          <w:bCs/>
          <w:i w:val="false"/>
          <w:iCs w:val="false"/>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 xml:space="preserve">que </w:t>
      </w:r>
      <w:r>
        <w:rPr>
          <w:rFonts w:cs="Arial"/>
          <w:i w:val="false"/>
          <w:iCs w:val="false"/>
          <w:color w:val="000000"/>
          <w:szCs w:val="20"/>
        </w:rPr>
        <w:t>cumpre</w:t>
      </w:r>
      <w:r>
        <w:rPr>
          <w:rFonts w:cs="Arial"/>
          <w:i w:val="false"/>
          <w:iCs w:val="false"/>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i w:val="false"/>
          <w:i w:val="false"/>
          <w:iCs w:val="false"/>
        </w:rPr>
      </w:pPr>
      <w:r>
        <w:rPr>
          <w:rFonts w:cs="Arial"/>
          <w:i w:val="false"/>
          <w:iCs w:val="false"/>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i w:val="false"/>
          <w:iCs w:val="false"/>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val="false"/>
          <w:iCs w:val="false"/>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val="false"/>
          <w:iCs w:val="false"/>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val="false"/>
          <w:iCs w:val="false"/>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i w:val="false"/>
          <w:iCs w:val="false"/>
          <w:szCs w:val="20"/>
          <w:lang w:eastAsia="en-US"/>
        </w:rPr>
        <w:t>exclusivamente por meio do sistema eletrônico</w:t>
      </w:r>
      <w:r>
        <w:rPr>
          <w:rFonts w:cs="Arial"/>
          <w:i w:val="false"/>
          <w:iCs w:val="false"/>
          <w:szCs w:val="20"/>
          <w:lang w:eastAsia="en-US"/>
        </w:rPr>
        <w:t xml:space="preserve">, </w:t>
      </w:r>
      <w:r>
        <w:rPr>
          <w:rFonts w:cs="Arial"/>
          <w:i w:val="false"/>
          <w:iCs w:val="false"/>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val="false"/>
          <w:iCs w:val="false"/>
          <w:color w:val="000000"/>
          <w:szCs w:val="20"/>
        </w:rPr>
        <w:t>O lance deverá ser ofertado pelo valor unitário do item.</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i w:val="false"/>
          <w:i w:val="false"/>
          <w:iCs w:val="false"/>
        </w:rPr>
      </w:pPr>
      <w:r>
        <w:rPr>
          <w:rFonts w:cs="Arial"/>
          <w:i w:val="false"/>
          <w:iCs w:val="false"/>
          <w:szCs w:val="20"/>
        </w:rPr>
        <w:t xml:space="preserve">O intervalo mínimo de diferença de valores ou percentuais entre os lances, que incidirá tanto em relação aos lances intermediários quanto em relação ao que cobrir a melhor oferta é de </w:t>
      </w:r>
      <w:r>
        <w:rPr>
          <w:rFonts w:cs="Arial"/>
          <w:i w:val="false"/>
          <w:iCs w:val="false"/>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i w:val="false"/>
          <w:iCs w:val="false"/>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JULGAMENTO DAS PROPOSTAS DE PREÇO</w:t>
      </w:r>
    </w:p>
    <w:p>
      <w:pPr>
        <w:pStyle w:val="ListParagraph"/>
        <w:numPr>
          <w:ilvl w:val="1"/>
          <w:numId w:val="1"/>
        </w:numPr>
        <w:spacing w:lineRule="auto" w:line="276" w:before="120" w:after="120"/>
        <w:contextualSpacing/>
        <w:jc w:val="both"/>
        <w:rPr>
          <w:rFonts w:cs="Arial"/>
        </w:rPr>
      </w:pPr>
      <w:r>
        <w:rPr>
          <w:rFonts w:cs="Arial"/>
          <w:i w:val="false"/>
          <w:iCs w:val="false"/>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i w:val="false"/>
          <w:iCs w:val="false"/>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i w:val="false"/>
          <w:iCs w:val="false"/>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i w:val="false"/>
          <w:iCs w:val="fals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i w:val="false"/>
          <w:iCs w:val="false"/>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i w:val="false"/>
          <w:iCs w:val="false"/>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i w:val="false"/>
          <w:i w:val="false"/>
          <w:iCs w:val="false"/>
        </w:rPr>
      </w:pPr>
      <w:r>
        <w:rPr>
          <w:rFonts w:cs="Arial"/>
          <w:i w:val="false"/>
          <w:iCs w:val="false"/>
          <w:color w:val="000000" w:themeColor="text1"/>
          <w:szCs w:val="20"/>
        </w:rPr>
        <w:t xml:space="preserve">O prazo de validade </w:t>
      </w:r>
      <w:r>
        <w:rPr>
          <w:rFonts w:cs="Arial"/>
          <w:i w:val="false"/>
          <w:iCs w:val="false"/>
          <w:szCs w:val="20"/>
        </w:rPr>
        <w:t>da</w:t>
      </w:r>
      <w:r>
        <w:rPr>
          <w:rFonts w:cs="Arial"/>
          <w:i w:val="false"/>
          <w:iCs w:val="false"/>
          <w:color w:val="000000" w:themeColor="text1"/>
          <w:szCs w:val="20"/>
        </w:rPr>
        <w:t xml:space="preserve"> proposta não será inferior a 15</w:t>
      </w:r>
      <w:r>
        <w:rPr>
          <w:rFonts w:cs="Arial"/>
          <w:i w:val="false"/>
          <w:iCs w:val="false"/>
          <w:color w:val="FF0000"/>
          <w:szCs w:val="20"/>
        </w:rPr>
        <w:t xml:space="preserve"> </w:t>
      </w:r>
      <w:r>
        <w:rPr>
          <w:rFonts w:cs="Arial"/>
          <w:i w:val="false"/>
          <w:iCs w:val="false"/>
          <w:color w:val="000000"/>
          <w:szCs w:val="20"/>
        </w:rPr>
        <w:t>(quinze)</w:t>
      </w:r>
      <w:r>
        <w:rPr>
          <w:rFonts w:cs="Arial"/>
          <w:i w:val="false"/>
          <w:iCs w:val="false"/>
          <w:color w:val="000000" w:themeColor="text1"/>
          <w:szCs w:val="20"/>
        </w:rPr>
        <w:t xml:space="preserve"> dias</w:t>
      </w:r>
      <w:r>
        <w:rPr>
          <w:rFonts w:cs="Arial"/>
          <w:b/>
          <w:bCs/>
          <w:i w:val="false"/>
          <w:iCs w:val="false"/>
          <w:color w:val="000000" w:themeColor="text1"/>
          <w:szCs w:val="20"/>
        </w:rPr>
        <w:t>,</w:t>
      </w:r>
      <w:r>
        <w:rPr>
          <w:rFonts w:cs="Arial"/>
          <w:i w:val="false"/>
          <w:iCs w:val="false"/>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contiver vícios insanáveis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não obedecer às especificações técnicas pormenorizadas neste aviso ou em seus anexos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não tiverem sua exequibilidade demonstrada, quando exigido pela Administração</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i w:val="false"/>
          <w:iCs w:val="false"/>
          <w:color w:val="000000" w:themeColor="text1"/>
          <w:szCs w:val="20"/>
          <w:lang w:eastAsia="en-US"/>
        </w:rPr>
        <w:t>Quando</w:t>
      </w:r>
      <w:r>
        <w:rPr>
          <w:rFonts w:cs="Arial"/>
          <w:i w:val="false"/>
          <w:iCs w:val="false"/>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i w:val="false"/>
          <w:iCs w:val="false"/>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i w:val="false"/>
          <w:i w:val="false"/>
          <w:iCs w:val="false"/>
        </w:rPr>
      </w:pPr>
      <w:r>
        <w:rPr>
          <w:rFonts w:cs="Arial"/>
          <w:i w:val="false"/>
          <w:iCs w:val="false"/>
          <w:color w:val="000000" w:themeColor="text1"/>
          <w:szCs w:val="20"/>
          <w:lang w:eastAsia="en-US"/>
        </w:rPr>
        <w:t xml:space="preserve">Se houver indícios de inexequibilidade da proposta de preço, ou em caso da necessidade de esclarecimentos </w:t>
      </w:r>
      <w:r>
        <w:rPr>
          <w:rFonts w:cs="Arial"/>
          <w:i w:val="false"/>
          <w:iCs w:val="false"/>
          <w:szCs w:val="20"/>
        </w:rPr>
        <w:t>complementares</w:t>
      </w:r>
      <w:r>
        <w:rPr>
          <w:rFonts w:cs="Arial"/>
          <w:i w:val="false"/>
          <w:iCs w:val="false"/>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i w:val="false"/>
          <w:i w:val="false"/>
          <w:iCs w:val="false"/>
        </w:rPr>
      </w:pPr>
      <w:r>
        <w:rPr>
          <w:rFonts w:cs="Arial"/>
          <w:i w:val="false"/>
          <w:iCs w:val="false"/>
          <w:color w:val="000000" w:themeColor="text1"/>
          <w:szCs w:val="20"/>
          <w:lang w:eastAsia="en-US"/>
        </w:rPr>
        <w:t xml:space="preserve">Erros no preenchimento da planilha não constituem motivo para a desclassificação da proposta. A planilha </w:t>
      </w:r>
      <w:r>
        <w:rPr>
          <w:rFonts w:cs="Arial"/>
          <w:i w:val="false"/>
          <w:iCs w:val="false"/>
          <w:szCs w:val="20"/>
        </w:rPr>
        <w:t>poderá</w:t>
      </w:r>
      <w:r>
        <w:rPr>
          <w:rFonts w:cs="Arial"/>
          <w:i w:val="false"/>
          <w:iCs w:val="false"/>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i w:val="false"/>
          <w:iCs w:val="false"/>
          <w:color w:val="000000" w:themeColor="text1"/>
          <w:szCs w:val="20"/>
          <w:lang w:eastAsia="en-US"/>
        </w:rPr>
        <w:t>Encerrada a análise quanto à aceitação da proposta, se iniciará a fase de habilitação, observado o disposto neste Aviso de Contratação Direta. </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i w:val="false"/>
          <w:iCs w:val="false"/>
          <w:szCs w:val="20"/>
          <w:lang w:eastAsia="ar-SA"/>
        </w:rPr>
        <w:t xml:space="preserve">Os </w:t>
      </w:r>
      <w:r>
        <w:rPr>
          <w:rFonts w:cs="Arial"/>
          <w:i w:val="false"/>
          <w:iCs w:val="false"/>
          <w:color w:val="000000"/>
          <w:szCs w:val="20"/>
        </w:rPr>
        <w:t>documentos</w:t>
      </w:r>
      <w:r>
        <w:rPr>
          <w:rFonts w:cs="Arial"/>
          <w:i w:val="false"/>
          <w:iCs w:val="false"/>
          <w:szCs w:val="20"/>
          <w:lang w:eastAsia="ar-SA"/>
        </w:rPr>
        <w:t xml:space="preserve"> a serem exigidos para fins de habilitação constam do </w:t>
      </w:r>
      <w:r>
        <w:rPr>
          <w:rFonts w:cs="Arial"/>
          <w:b/>
          <w:i w:val="false"/>
          <w:iCs w:val="false"/>
          <w:szCs w:val="20"/>
          <w:lang w:eastAsia="ar-SA"/>
        </w:rPr>
        <w:t xml:space="preserve">ANEXO I – DOCUMENTAÇÃO EXIGIDA PARA HABILITAÇÃO </w:t>
      </w:r>
      <w:r>
        <w:rPr>
          <w:rFonts w:cs="Arial"/>
          <w:i w:val="false"/>
          <w:iCs w:val="false"/>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i w:val="false"/>
          <w:iCs w:val="false"/>
          <w:szCs w:val="20"/>
          <w:lang w:eastAsia="ar-SA"/>
        </w:rPr>
        <w:t xml:space="preserve">Como </w:t>
      </w:r>
      <w:r>
        <w:rPr>
          <w:rFonts w:cs="Arial"/>
          <w:i w:val="false"/>
          <w:iCs w:val="false"/>
          <w:color w:val="000000"/>
          <w:szCs w:val="20"/>
        </w:rPr>
        <w:t>condição</w:t>
      </w:r>
      <w:r>
        <w:rPr>
          <w:rFonts w:cs="Arial"/>
          <w:i w:val="false"/>
          <w:iCs w:val="false"/>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i w:val="false"/>
          <w:iCs w:val="false"/>
          <w:szCs w:val="20"/>
          <w:lang w:eastAsia="ar-SA"/>
        </w:rPr>
        <w:t xml:space="preserve">a) SICAF;  </w:t>
      </w:r>
    </w:p>
    <w:p>
      <w:pPr>
        <w:pStyle w:val="ListParagraph"/>
        <w:spacing w:lineRule="auto" w:line="276" w:before="120" w:after="120"/>
        <w:ind w:left="1134" w:hanging="0"/>
        <w:contextualSpacing/>
        <w:jc w:val="both"/>
        <w:rPr/>
      </w:pPr>
      <w:r>
        <w:rPr>
          <w:rFonts w:cs="Arial"/>
          <w:i w:val="false"/>
          <w:iCs w:val="false"/>
          <w:szCs w:val="20"/>
          <w:lang w:eastAsia="ar-SA"/>
        </w:rPr>
        <w:t>b) Cadastro Nacional de Empresas Inidôneas e Suspensas - CEIS, mantido pela Controladoria-Geral da União (</w:t>
      </w:r>
      <w:hyperlink r:id="rId3">
        <w:r>
          <w:rPr>
            <w:rStyle w:val="LinkdaInternet"/>
            <w:rFonts w:eastAsia="Calibri" w:cs="Arial"/>
            <w:i w:val="false"/>
            <w:iCs w:val="false"/>
            <w:lang w:eastAsia="ar-SA"/>
          </w:rPr>
          <w:t>www.portaldatransparencia.gov.br/ceis</w:t>
        </w:r>
      </w:hyperlink>
      <w:r>
        <w:rPr>
          <w:rFonts w:cs="Arial"/>
          <w:i w:val="false"/>
          <w:iCs w:val="false"/>
          <w:szCs w:val="20"/>
          <w:lang w:eastAsia="ar-SA"/>
        </w:rPr>
        <w:t xml:space="preserve">);  </w:t>
      </w:r>
    </w:p>
    <w:p>
      <w:pPr>
        <w:pStyle w:val="ListParagraph"/>
        <w:spacing w:lineRule="auto" w:line="276" w:before="120" w:after="120"/>
        <w:ind w:left="1134" w:hanging="0"/>
        <w:contextualSpacing/>
        <w:jc w:val="both"/>
        <w:rPr/>
      </w:pPr>
      <w:r>
        <w:rPr>
          <w:rFonts w:cs="Arial"/>
          <w:i w:val="false"/>
          <w:iCs w:val="false"/>
          <w:szCs w:val="20"/>
          <w:lang w:eastAsia="ar-SA"/>
        </w:rPr>
        <w:t>c) Cadastro Nacional de Condenações Cíveis por Atos de Improbidade Administrativa, mantido pelo Conselho Nacional de Justiça (</w:t>
      </w:r>
      <w:hyperlink r:id="rId4">
        <w:r>
          <w:rPr>
            <w:rStyle w:val="LinkdaInternet"/>
            <w:rFonts w:eastAsia="Calibri" w:cs="Arial"/>
            <w:i w:val="false"/>
            <w:iCs w:val="false"/>
            <w:lang w:eastAsia="ar-SA"/>
          </w:rPr>
          <w:t>www.cnj.jus.br/improbidade_adm/consultar_requerido.php</w:t>
        </w:r>
      </w:hyperlink>
      <w:r>
        <w:rPr>
          <w:rFonts w:cs="Arial"/>
          <w:i w:val="false"/>
          <w:iCs w:val="false"/>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i w:val="false"/>
          <w:iCs w:val="false"/>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i w:val="false"/>
          <w:iCs w:val="false"/>
          <w:szCs w:val="20"/>
          <w:lang w:eastAsia="ar-SA"/>
        </w:rPr>
        <w:t xml:space="preserve">Para a consulta de </w:t>
      </w:r>
      <w:r>
        <w:rPr>
          <w:rFonts w:cs="Arial"/>
          <w:i w:val="false"/>
          <w:iCs w:val="false"/>
          <w:color w:val="000000" w:themeColor="text1"/>
          <w:szCs w:val="20"/>
        </w:rPr>
        <w:t>fornecedores</w:t>
      </w:r>
      <w:r>
        <w:rPr>
          <w:rFonts w:cs="Arial"/>
          <w:i w:val="false"/>
          <w:iCs w:val="false"/>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i w:val="false"/>
          <w:i w:val="false"/>
          <w:iCs w:val="false"/>
        </w:rPr>
      </w:pPr>
      <w:r>
        <w:rPr>
          <w:rFonts w:cs="Arial"/>
          <w:i w:val="false"/>
          <w:iCs w:val="false"/>
          <w:color w:val="000000" w:themeColor="text1"/>
          <w:szCs w:val="20"/>
        </w:rPr>
        <w:t xml:space="preserve">A consulta aos </w:t>
      </w:r>
      <w:r>
        <w:rPr>
          <w:rFonts w:cs="Arial"/>
          <w:i w:val="false"/>
          <w:iCs w:val="false"/>
          <w:szCs w:val="20"/>
          <w:lang w:eastAsia="ar-SA"/>
        </w:rPr>
        <w:t>cadastros</w:t>
      </w:r>
      <w:r>
        <w:rPr>
          <w:rFonts w:cs="Arial"/>
          <w:i w:val="false"/>
          <w:iCs w:val="false"/>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i w:val="false"/>
          <w:iCs w:val="false"/>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i w:val="false"/>
          <w:iCs w:val="false"/>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i w:val="false"/>
          <w:iCs w:val="false"/>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i w:val="false"/>
          <w:iCs w:val="false"/>
          <w:color w:val="000000" w:themeColor="text1"/>
          <w:szCs w:val="20"/>
        </w:rPr>
        <w:t xml:space="preserve">Caso atendidas as condições de participação, </w:t>
      </w:r>
      <w:r>
        <w:rPr>
          <w:rFonts w:cs="Arial"/>
          <w:i w:val="false"/>
          <w:iCs w:val="false"/>
          <w:szCs w:val="20"/>
        </w:rPr>
        <w:t>a habilitação dos fornecedores será verificada por meio do SICAF, nos documentos por ele abrangidos</w:t>
      </w:r>
      <w:r>
        <w:rPr>
          <w:rFonts w:cs="Arial"/>
          <w:i w:val="false"/>
          <w:iCs w:val="false"/>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i w:val="false"/>
          <w:iCs w:val="false"/>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i w:val="false"/>
          <w:iCs w:val="false"/>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i w:val="false"/>
          <w:iCs w:val="false"/>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i w:val="false"/>
          <w:iCs w:val="false"/>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i w:val="false"/>
          <w:i w:val="false"/>
          <w:iCs w:val="false"/>
        </w:rPr>
      </w:pPr>
      <w:r>
        <w:rPr>
          <w:rFonts w:cs="Arial"/>
          <w:bCs/>
          <w:i w:val="false"/>
          <w:iCs w:val="false"/>
          <w:szCs w:val="20"/>
        </w:rPr>
        <w:t xml:space="preserve">Havendo </w:t>
      </w:r>
      <w:r>
        <w:rPr>
          <w:rFonts w:cs="Arial"/>
          <w:i w:val="false"/>
          <w:iCs w:val="false"/>
          <w:lang w:eastAsia="en-US"/>
        </w:rPr>
        <w:t>necessidade</w:t>
      </w:r>
      <w:r>
        <w:rPr>
          <w:rFonts w:cs="Arial"/>
          <w:bCs/>
          <w:i w:val="false"/>
          <w:iCs w:val="false"/>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i w:val="false"/>
          <w:iCs w:val="false"/>
          <w:color w:val="000000"/>
          <w:szCs w:val="20"/>
        </w:rPr>
        <w:t xml:space="preserve">Será inabilitado o fornecedor que não comprovar sua habilitação, seja por não apresentar </w:t>
      </w:r>
      <w:r>
        <w:rPr>
          <w:rFonts w:cs="Arial"/>
          <w:i w:val="false"/>
          <w:iCs w:val="false"/>
          <w:lang w:eastAsia="en-US"/>
        </w:rPr>
        <w:t>quaisquer</w:t>
      </w:r>
      <w:r>
        <w:rPr>
          <w:rFonts w:cs="Arial"/>
          <w:i w:val="false"/>
          <w:iCs w:val="false"/>
          <w:color w:val="000000"/>
          <w:szCs w:val="20"/>
        </w:rPr>
        <w:t xml:space="preserve"> dos </w:t>
      </w:r>
      <w:r>
        <w:rPr>
          <w:rFonts w:cs="Arial"/>
          <w:bCs/>
          <w:i w:val="false"/>
          <w:iCs w:val="false"/>
          <w:szCs w:val="20"/>
        </w:rPr>
        <w:t>documentos</w:t>
      </w:r>
      <w:r>
        <w:rPr>
          <w:rFonts w:cs="Arial"/>
          <w:i w:val="false"/>
          <w:iCs w:val="false"/>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i w:val="false"/>
          <w:iCs w:val="false"/>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 w:val="false"/>
          <w:iCs w:val="false"/>
          <w:lang w:eastAsia="en-US"/>
        </w:rPr>
        <w:t>Constatado o atendimento às exigências de habilitação, o fornecedor será habilitado</w:t>
      </w:r>
    </w:p>
    <w:p>
      <w:pPr>
        <w:pStyle w:val="PADRO"/>
        <w:keepNext w:val="true"/>
        <w:widowControl/>
        <w:numPr>
          <w:ilvl w:val="0"/>
          <w:numId w:val="1"/>
        </w:numPr>
        <w:shd w:val="clear" w:color="auto" w:fill="auto"/>
        <w:spacing w:before="120" w:after="120"/>
        <w:rPr>
          <w:rFonts w:ascii="Arial" w:hAnsi="Arial" w:cs="Arial"/>
          <w:b/>
          <w:b/>
        </w:rPr>
      </w:pPr>
      <w:r>
        <w:rPr>
          <w:rFonts w:cs="Arial" w:ascii="Arial" w:hAnsi="Arial"/>
          <w:b/>
          <w:i w:val="false"/>
          <w:iCs w:val="false"/>
        </w:rPr>
        <w:t>CONTRATAÇÃO</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 xml:space="preserve">O prazo previsto para assinatura do contrato ou aceitação da nota de empenho ou instrumento equivalente poderá ser prorrogado </w:t>
      </w:r>
      <w:r>
        <w:rPr>
          <w:rFonts w:cs="Times New Roman"/>
          <w:bCs/>
          <w:i w:val="false"/>
          <w:iCs w:val="false"/>
        </w:rPr>
        <w:t>1 (uma) vez</w:t>
      </w:r>
      <w:r>
        <w:rPr>
          <w:rFonts w:eastAsia="Arial" w:cs="Arial"/>
          <w:i w:val="false"/>
          <w:iCs w:val="false"/>
          <w:szCs w:val="20"/>
        </w:rPr>
        <w:t xml:space="preserve">, </w:t>
      </w:r>
      <w:r>
        <w:rPr>
          <w:rFonts w:eastAsia="Arial" w:cs="Arial"/>
          <w:i w:val="false"/>
          <w:iCs w:val="false"/>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i w:val="false"/>
          <w:i w:val="false"/>
          <w:iCs w:val="false"/>
        </w:rPr>
      </w:pPr>
      <w:r>
        <w:rPr>
          <w:rFonts w:eastAsia="Arial" w:cs="Arial"/>
          <w:i w:val="false"/>
          <w:iCs w:val="false"/>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i w:val="false"/>
          <w:i w:val="false"/>
          <w:iCs w:val="false"/>
        </w:rPr>
      </w:pPr>
      <w:r>
        <w:rPr>
          <w:rFonts w:eastAsia="Arial" w:cs="Arial"/>
          <w:i w:val="false"/>
          <w:iCs w:val="false"/>
          <w:color w:val="000000"/>
          <w:szCs w:val="20"/>
        </w:rPr>
        <w:t xml:space="preserve">O prazo de vigência da contratação é de 10 (dez) dias. </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SANÇÕES</w:t>
      </w:r>
    </w:p>
    <w:p>
      <w:pPr>
        <w:pStyle w:val="Normal"/>
        <w:numPr>
          <w:ilvl w:val="1"/>
          <w:numId w:val="1"/>
        </w:numPr>
        <w:spacing w:lineRule="auto" w:line="276" w:before="63" w:after="63"/>
        <w:ind w:left="425" w:hanging="0"/>
        <w:jc w:val="both"/>
        <w:rPr>
          <w:i w:val="false"/>
          <w:i w:val="false"/>
          <w:iCs w:val="false"/>
        </w:rPr>
      </w:pPr>
      <w:r>
        <w:rPr>
          <w:rFonts w:cs="Arial"/>
          <w:i w:val="false"/>
          <w:iCs w:val="false"/>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parcial do contrato</w:t>
      </w:r>
      <w:r>
        <w:rPr>
          <w:rFonts w:cs="Arial"/>
          <w:i w:val="false"/>
          <w:iCs w:val="false"/>
        </w:rPr>
        <w:t>;</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dar causa à inexecução total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deixar de entregar a documentação exigida para o certame;</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não manter a proposta, salvo em decorrência de fato superveniente devidamente justificado;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fraudar a dispensa eletrônica ou praticar ato fraudulento na execução do contrato;</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comportar-se de modo inidôneo ou cometer fraude de qualquer natureza;</w:t>
      </w:r>
    </w:p>
    <w:p>
      <w:pPr>
        <w:pStyle w:val="ListParagraph"/>
        <w:numPr>
          <w:ilvl w:val="3"/>
          <w:numId w:val="1"/>
        </w:numPr>
        <w:spacing w:lineRule="auto" w:line="276" w:before="63" w:after="63"/>
        <w:contextualSpacing/>
        <w:jc w:val="both"/>
        <w:rPr>
          <w:i w:val="false"/>
          <w:i w:val="false"/>
          <w:iCs w:val="false"/>
        </w:rPr>
      </w:pPr>
      <w:r>
        <w:rPr>
          <w:rFonts w:cs="Arial"/>
          <w:i w:val="false"/>
          <w:iCs w:val="false"/>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i w:val="false"/>
          <w:iCs w:val="false"/>
          <w:color w:val="000000"/>
          <w:szCs w:val="20"/>
        </w:rPr>
        <w:t xml:space="preserve">praticar ato lesivo previsto no </w:t>
      </w:r>
      <w:r>
        <w:fldChar w:fldCharType="begin"/>
      </w:r>
      <w:r>
        <w:rPr>
          <w:i w:val="false"/>
          <w:iCs w:val="false"/>
          <w:color w:val="000000"/>
        </w:rPr>
        <w:instrText> HYPERLINK "http://www.planalto.gov.br/ccivil_03/_Ato2011-2014/2013/Lei/L12846.htm" \l "art5"</w:instrText>
      </w:r>
      <w:r>
        <w:rPr>
          <w:i w:val="false"/>
          <w:iCs w:val="false"/>
          <w:color w:val="000000"/>
        </w:rPr>
        <w:fldChar w:fldCharType="separate"/>
      </w:r>
      <w:r>
        <w:rPr>
          <w:i w:val="false"/>
          <w:iCs w:val="false"/>
          <w:color w:val="000000"/>
        </w:rPr>
        <w:t>art. 5º da Lei nº 12.846, de 1º de agosto de 2013.</w:t>
      </w:r>
      <w:r>
        <w:rPr>
          <w:i w:val="false"/>
          <w:iCs w:val="false"/>
          <w:color w:val="000000"/>
        </w:rPr>
        <w:fldChar w:fldCharType="end"/>
      </w:r>
    </w:p>
    <w:p>
      <w:pPr>
        <w:pStyle w:val="Normal"/>
        <w:numPr>
          <w:ilvl w:val="1"/>
          <w:numId w:val="1"/>
        </w:numPr>
        <w:spacing w:lineRule="auto" w:line="276" w:before="63" w:after="63"/>
        <w:ind w:left="425" w:hanging="0"/>
        <w:jc w:val="both"/>
        <w:rPr>
          <w:i w:val="false"/>
          <w:i w:val="false"/>
          <w:iCs w:val="false"/>
        </w:rPr>
      </w:pPr>
      <w:r>
        <w:rPr>
          <w:rFonts w:cs="Arial"/>
          <w:i w:val="false"/>
          <w:iCs w:val="false"/>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i w:val="false"/>
          <w:i w:val="false"/>
          <w:iCs w:val="false"/>
        </w:rPr>
      </w:pPr>
      <w:r>
        <w:rPr>
          <w:rFonts w:cs="Arial"/>
          <w:i w:val="false"/>
          <w:iCs w:val="false"/>
        </w:rPr>
        <w:t>Advertência pela falta do subitem 8.1.1 deste Aviso de Contratação Direta,</w:t>
      </w:r>
      <w:r>
        <w:rPr>
          <w:i w:val="false"/>
          <w:iCs w:val="false"/>
        </w:rPr>
        <w:t xml:space="preserve"> </w:t>
      </w:r>
      <w:r>
        <w:rPr>
          <w:rFonts w:cs="Arial"/>
          <w:i w:val="false"/>
          <w:iCs w:val="false"/>
        </w:rPr>
        <w:t>quando não se justificar a imposição de penalidade mais grave;</w:t>
      </w:r>
    </w:p>
    <w:p>
      <w:pPr>
        <w:pStyle w:val="Normal"/>
        <w:numPr>
          <w:ilvl w:val="2"/>
          <w:numId w:val="5"/>
        </w:numPr>
        <w:spacing w:lineRule="auto" w:line="276" w:before="63" w:after="63"/>
        <w:jc w:val="both"/>
        <w:rPr>
          <w:i w:val="false"/>
          <w:i w:val="false"/>
          <w:iCs w:val="false"/>
        </w:rPr>
      </w:pPr>
      <w:r>
        <w:rPr>
          <w:rFonts w:cs="Arial"/>
          <w:i w:val="false"/>
          <w:iCs w:val="false"/>
        </w:rPr>
        <w:t>Multa de 0,5</w:t>
      </w:r>
      <w:r>
        <w:rPr>
          <w:rFonts w:cs="Arial"/>
          <w:b w:val="false"/>
          <w:bCs w:val="false"/>
          <w:i w:val="false"/>
          <w:iCs w:val="false"/>
          <w:color w:val="000000"/>
        </w:rPr>
        <w:t>%</w:t>
      </w:r>
      <w:r>
        <w:rPr>
          <w:rFonts w:cs="Arial"/>
          <w:i w:val="false"/>
          <w:iCs w:val="false"/>
          <w:color w:val="FF0000"/>
        </w:rPr>
        <w:t xml:space="preserve"> </w:t>
      </w:r>
      <w:r>
        <w:rPr>
          <w:rFonts w:cs="Arial"/>
          <w:i w:val="false"/>
          <w:iCs w:val="false"/>
          <w:color w:val="000000"/>
        </w:rPr>
        <w:t>(cinco decimos por cento)</w:t>
      </w:r>
      <w:r>
        <w:rPr>
          <w:rFonts w:cs="Arial"/>
          <w:i w:val="false"/>
          <w:iCs w:val="false"/>
          <w:color w:val="FF0000"/>
        </w:rPr>
        <w:t xml:space="preserve"> </w:t>
      </w:r>
      <w:r>
        <w:rPr>
          <w:rFonts w:cs="Arial"/>
          <w:i w:val="false"/>
          <w:iCs w:val="false"/>
        </w:rPr>
        <w:t>sobre o valor estimado do(s) item(s) prejudicado(s) pela conduta do fornecedor, por qualquer das infrações dos subitens 8.1.1 a 8.1.12;</w:t>
      </w:r>
    </w:p>
    <w:p>
      <w:pPr>
        <w:pStyle w:val="Normal"/>
        <w:numPr>
          <w:ilvl w:val="2"/>
          <w:numId w:val="5"/>
        </w:numPr>
        <w:spacing w:lineRule="auto" w:line="276" w:before="63" w:after="63"/>
        <w:jc w:val="both"/>
        <w:rPr>
          <w:i w:val="false"/>
          <w:i w:val="false"/>
          <w:iCs w:val="false"/>
        </w:rPr>
      </w:pPr>
      <w:r>
        <w:rPr>
          <w:rFonts w:cs="Arial"/>
          <w:i w:val="false"/>
          <w:iCs w:val="false"/>
          <w:color w:val="000000"/>
          <w:szCs w:val="20"/>
        </w:rPr>
        <w:t>Impedimento de licitar e contratar</w:t>
      </w:r>
      <w:r>
        <w:rPr>
          <w:rFonts w:cs="Arial"/>
          <w:i w:val="false"/>
          <w:iCs w:val="false"/>
        </w:rPr>
        <w:t xml:space="preserve"> </w:t>
      </w:r>
      <w:r>
        <w:rPr>
          <w:rFonts w:cs="Arial"/>
          <w:i w:val="false"/>
          <w:iCs w:val="false"/>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i w:val="false"/>
          <w:iCs w:val="false"/>
        </w:rPr>
        <w:t>;</w:t>
      </w:r>
    </w:p>
    <w:p>
      <w:pPr>
        <w:pStyle w:val="Normal"/>
        <w:numPr>
          <w:ilvl w:val="2"/>
          <w:numId w:val="5"/>
        </w:numPr>
        <w:spacing w:lineRule="auto" w:line="276" w:before="63" w:after="63"/>
        <w:jc w:val="both"/>
        <w:rPr>
          <w:i w:val="false"/>
          <w:i w:val="false"/>
          <w:iCs w:val="false"/>
        </w:rPr>
      </w:pPr>
      <w:r>
        <w:rPr>
          <w:rFonts w:cs="Arial"/>
          <w:i w:val="false"/>
          <w:iCs w:val="false"/>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i w:val="false"/>
          <w:iCs w:val="false"/>
        </w:rPr>
        <w:t>;</w:t>
      </w:r>
    </w:p>
    <w:p>
      <w:pPr>
        <w:pStyle w:val="Normal"/>
        <w:numPr>
          <w:ilvl w:val="1"/>
          <w:numId w:val="1"/>
        </w:numPr>
        <w:spacing w:lineRule="auto" w:line="276" w:before="120" w:after="120"/>
        <w:jc w:val="both"/>
        <w:rPr>
          <w:rFonts w:cs="Arial"/>
          <w:bCs/>
        </w:rPr>
      </w:pPr>
      <w:r>
        <w:rPr>
          <w:rFonts w:cs="Arial"/>
          <w:bCs/>
          <w:i w:val="false"/>
          <w:iCs w:val="false"/>
        </w:rPr>
        <w:t>Na aplicação das sanções serão considerados:</w:t>
      </w:r>
    </w:p>
    <w:p>
      <w:pPr>
        <w:pStyle w:val="Normal"/>
        <w:numPr>
          <w:ilvl w:val="2"/>
          <w:numId w:val="1"/>
        </w:numPr>
        <w:spacing w:lineRule="auto" w:line="276" w:before="120" w:after="120"/>
        <w:jc w:val="both"/>
        <w:rPr>
          <w:rFonts w:cs="Arial"/>
          <w:bCs/>
        </w:rPr>
      </w:pPr>
      <w:r>
        <w:rPr>
          <w:rFonts w:cs="Arial"/>
          <w:bCs/>
          <w:i w:val="false"/>
          <w:iCs w:val="false"/>
        </w:rPr>
        <w:t>a natureza e a gravidade da infração cometida;</w:t>
      </w:r>
    </w:p>
    <w:p>
      <w:pPr>
        <w:pStyle w:val="Normal"/>
        <w:numPr>
          <w:ilvl w:val="2"/>
          <w:numId w:val="1"/>
        </w:numPr>
        <w:spacing w:lineRule="auto" w:line="276" w:before="120" w:after="120"/>
        <w:jc w:val="both"/>
        <w:rPr>
          <w:rFonts w:cs="Arial"/>
          <w:bCs/>
        </w:rPr>
      </w:pPr>
      <w:r>
        <w:rPr>
          <w:rFonts w:cs="Arial"/>
          <w:bCs/>
          <w:i w:val="false"/>
          <w:iCs w:val="false"/>
        </w:rPr>
        <w:t>as peculiaridades do caso concreto;</w:t>
      </w:r>
    </w:p>
    <w:p>
      <w:pPr>
        <w:pStyle w:val="Normal"/>
        <w:numPr>
          <w:ilvl w:val="2"/>
          <w:numId w:val="1"/>
        </w:numPr>
        <w:spacing w:lineRule="auto" w:line="276" w:before="120" w:after="120"/>
        <w:jc w:val="both"/>
        <w:rPr>
          <w:rFonts w:cs="Arial"/>
          <w:bCs/>
        </w:rPr>
      </w:pPr>
      <w:r>
        <w:rPr>
          <w:rFonts w:cs="Arial"/>
          <w:bCs/>
          <w:i w:val="false"/>
          <w:iCs w:val="false"/>
        </w:rPr>
        <w:t>as circunstâncias agravantes ou atenuantes;</w:t>
      </w:r>
    </w:p>
    <w:p>
      <w:pPr>
        <w:pStyle w:val="Normal"/>
        <w:numPr>
          <w:ilvl w:val="2"/>
          <w:numId w:val="1"/>
        </w:numPr>
        <w:spacing w:lineRule="auto" w:line="276" w:before="120" w:after="120"/>
        <w:jc w:val="both"/>
        <w:rPr>
          <w:rFonts w:cs="Arial"/>
          <w:bCs/>
        </w:rPr>
      </w:pPr>
      <w:r>
        <w:rPr>
          <w:rFonts w:cs="Arial"/>
          <w:bCs/>
          <w:i w:val="false"/>
          <w:iCs w:val="false"/>
        </w:rPr>
        <w:t>os danos que dela provierem para a Administração Pública;</w:t>
      </w:r>
    </w:p>
    <w:p>
      <w:pPr>
        <w:pStyle w:val="Normal"/>
        <w:numPr>
          <w:ilvl w:val="2"/>
          <w:numId w:val="1"/>
        </w:numPr>
        <w:spacing w:lineRule="auto" w:line="276" w:before="120" w:after="120"/>
        <w:jc w:val="both"/>
        <w:rPr>
          <w:rFonts w:cs="Arial"/>
          <w:bCs/>
        </w:rPr>
      </w:pPr>
      <w:r>
        <w:rPr>
          <w:rFonts w:cs="Arial"/>
          <w:bCs/>
          <w:i w:val="false"/>
          <w:iCs w:val="false"/>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252525252525252525252525252525252"/>
      <w:bookmarkStart w:id="2" w:name="art156%252525252525252525252525252525252"/>
      <w:bookmarkStart w:id="3" w:name="art156%252525252525252525252525252525252"/>
      <w:bookmarkEnd w:id="1"/>
      <w:bookmarkEnd w:id="2"/>
      <w:bookmarkEnd w:id="3"/>
      <w:r>
        <w:rPr>
          <w:rFonts w:cs="Arial"/>
          <w:i w:val="false"/>
          <w:iCs w:val="false"/>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252525252525252525252525252525252"/>
      <w:bookmarkEnd w:id="4"/>
      <w:r>
        <w:rPr>
          <w:rFonts w:cs="Arial"/>
          <w:i w:val="false"/>
          <w:iCs w:val="false"/>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i w:val="false"/>
          <w:iCs w:val="false"/>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i w:val="false"/>
          <w:iCs w:val="false"/>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i w:val="false"/>
          <w:iCs w:val="false"/>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i w:val="false"/>
          <w:iCs w:val="false"/>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i w:val="false"/>
          <w:iCs w:val="fals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i w:val="false"/>
          <w:iCs w:val="false"/>
        </w:rPr>
        <w:t>As sanções por atos praticados no decorrer da contratação estão previstas nos anexos a este Aviso.</w:t>
      </w:r>
    </w:p>
    <w:p>
      <w:pPr>
        <w:pStyle w:val="PADRO"/>
        <w:keepNext w:val="true"/>
        <w:widowControl/>
        <w:numPr>
          <w:ilvl w:val="0"/>
          <w:numId w:val="1"/>
        </w:numPr>
        <w:shd w:val="clear" w:color="auto" w:fill="auto"/>
        <w:spacing w:before="120" w:after="120"/>
        <w:rPr>
          <w:i w:val="false"/>
          <w:i w:val="false"/>
          <w:iCs w:val="false"/>
        </w:rPr>
      </w:pPr>
      <w:r>
        <w:rPr>
          <w:rFonts w:cs="Arial" w:ascii="Arial" w:hAnsi="Arial"/>
          <w:b/>
          <w:i w:val="false"/>
          <w:iCs w:val="false"/>
        </w:rPr>
        <w:t>DAS DISPOSIÇÕES GERAIS</w:t>
      </w:r>
    </w:p>
    <w:p>
      <w:pPr>
        <w:pStyle w:val="Normal"/>
        <w:numPr>
          <w:ilvl w:val="1"/>
          <w:numId w:val="1"/>
        </w:numPr>
        <w:snapToGrid w:val="false"/>
        <w:spacing w:lineRule="auto" w:line="276" w:before="0" w:after="0"/>
        <w:ind w:left="425" w:hanging="0"/>
        <w:jc w:val="both"/>
        <w:rPr>
          <w:i w:val="false"/>
          <w:i w:val="false"/>
          <w:iCs w:val="false"/>
        </w:rPr>
      </w:pPr>
      <w:r>
        <w:rPr>
          <w:i w:val="false"/>
          <w:iCs w:val="fals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republicar o presente aviso com uma nova data;</w:t>
      </w:r>
    </w:p>
    <w:p>
      <w:pPr>
        <w:pStyle w:val="Normal"/>
        <w:numPr>
          <w:ilvl w:val="2"/>
          <w:numId w:val="1"/>
        </w:numPr>
        <w:spacing w:lineRule="auto" w:line="276" w:before="0" w:after="0"/>
        <w:jc w:val="both"/>
        <w:rPr>
          <w:i w:val="false"/>
          <w:i w:val="false"/>
          <w:iCs w:val="false"/>
        </w:rPr>
      </w:pPr>
      <w:r>
        <w:rPr>
          <w:rFonts w:cs="Arial"/>
          <w:i w:val="false"/>
          <w:iCs w:val="false"/>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i w:val="false"/>
          <w:i w:val="false"/>
          <w:iCs w:val="false"/>
        </w:rPr>
      </w:pPr>
      <w:r>
        <w:rPr>
          <w:rFonts w:cs="Arial"/>
          <w:i w:val="false"/>
          <w:iCs w:val="false"/>
          <w:color w:val="000000"/>
          <w:szCs w:val="20"/>
        </w:rPr>
        <w:t>No caso do subitem anterior, a contratação será operacionalizada fora deste procedimento.</w:t>
      </w:r>
    </w:p>
    <w:p>
      <w:pPr>
        <w:pStyle w:val="Normal"/>
        <w:numPr>
          <w:ilvl w:val="2"/>
          <w:numId w:val="1"/>
        </w:numPr>
        <w:spacing w:lineRule="auto" w:line="276" w:before="6" w:after="6"/>
        <w:jc w:val="both"/>
        <w:rPr>
          <w:i w:val="false"/>
          <w:i w:val="false"/>
          <w:iCs w:val="false"/>
        </w:rPr>
      </w:pPr>
      <w:r>
        <w:rPr>
          <w:rFonts w:cs="Arial"/>
          <w:i w:val="false"/>
          <w:iCs w:val="false"/>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i w:val="false"/>
          <w:i w:val="false"/>
          <w:iCs w:val="false"/>
        </w:rPr>
      </w:pPr>
      <w:r>
        <w:rPr>
          <w:rFonts w:cs="Arial"/>
          <w:i w:val="false"/>
          <w:iCs w:val="false"/>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i w:val="false"/>
          <w:iCs w:val="false"/>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Da sessão pública será divulgada Ata no sistema eletrônico.</w:t>
      </w:r>
    </w:p>
    <w:p>
      <w:pPr>
        <w:pStyle w:val="Normal"/>
        <w:numPr>
          <w:ilvl w:val="1"/>
          <w:numId w:val="1"/>
        </w:numPr>
        <w:spacing w:lineRule="auto" w:line="276" w:before="63" w:after="63"/>
        <w:ind w:left="425" w:hanging="0"/>
        <w:jc w:val="both"/>
        <w:rPr>
          <w:i w:val="false"/>
          <w:i w:val="false"/>
          <w:iCs w:val="false"/>
        </w:rPr>
      </w:pPr>
      <w:r>
        <w:rPr>
          <w:rFonts w:cs="Arial"/>
          <w:i w:val="false"/>
          <w:iCs w:val="false"/>
          <w:color w:val="000000"/>
          <w:szCs w:val="20"/>
        </w:rPr>
        <w:t>Integram este Aviso de Contratação Direta, para todos os fins e efeitos, os seguintes anexos:</w:t>
      </w:r>
    </w:p>
    <w:p>
      <w:pPr>
        <w:pStyle w:val="Normal"/>
        <w:numPr>
          <w:ilvl w:val="2"/>
          <w:numId w:val="1"/>
        </w:numPr>
        <w:spacing w:lineRule="auto" w:line="276" w:before="63" w:after="63"/>
        <w:jc w:val="both"/>
        <w:rPr>
          <w:i w:val="false"/>
          <w:i w:val="false"/>
          <w:iCs w:val="false"/>
        </w:rPr>
      </w:pPr>
      <w:r>
        <w:rPr>
          <w:rFonts w:cs="Arial"/>
          <w:i w:val="false"/>
          <w:iCs w:val="false"/>
          <w:color w:val="000000"/>
          <w:szCs w:val="20"/>
        </w:rPr>
        <w:t>ANEXO I – Documentação exigida para Habilitação</w:t>
      </w:r>
    </w:p>
    <w:p>
      <w:pPr>
        <w:pStyle w:val="Normal"/>
        <w:spacing w:lineRule="auto" w:line="276" w:before="120" w:after="120"/>
        <w:jc w:val="both"/>
        <w:rPr>
          <w:rFonts w:cs="Arial"/>
          <w:i w:val="false"/>
          <w:i w:val="false"/>
          <w:iCs w:val="false"/>
          <w:color w:val="FF0000"/>
          <w:szCs w:val="20"/>
        </w:rPr>
      </w:pPr>
      <w:r>
        <w:rPr>
          <w:rFonts w:cs="Arial"/>
          <w:i w:val="false"/>
          <w:iCs w:val="false"/>
          <w:color w:val="FF0000"/>
          <w:szCs w:val="20"/>
        </w:rPr>
      </w:r>
    </w:p>
    <w:p>
      <w:pPr>
        <w:pStyle w:val="Normal"/>
        <w:spacing w:lineRule="auto" w:line="276" w:before="120" w:after="120"/>
        <w:jc w:val="center"/>
        <w:rPr>
          <w:i w:val="false"/>
          <w:i w:val="false"/>
          <w:iCs w:val="false"/>
        </w:rPr>
      </w:pPr>
      <w:r>
        <w:rPr>
          <w:i w:val="false"/>
          <w:iCs w:val="false"/>
        </w:rPr>
        <w:t xml:space="preserve">Rio Grande – RS,   de </w:t>
      </w:r>
      <w:r>
        <w:rPr>
          <w:rFonts w:eastAsia="Times New Roman" w:cs="Tahoma"/>
          <w:i w:val="false"/>
          <w:iCs w:val="false"/>
          <w:color w:val="00000A"/>
          <w:kern w:val="0"/>
          <w:sz w:val="20"/>
          <w:szCs w:val="24"/>
          <w:lang w:val="pt-BR" w:eastAsia="pt-BR" w:bidi="ar-SA"/>
        </w:rPr>
        <w:t>outubro</w:t>
      </w:r>
      <w:r>
        <w:rPr>
          <w:i w:val="false"/>
          <w:iCs w:val="false"/>
        </w:rPr>
        <w:t xml:space="preserve"> de 2022.</w:t>
      </w:r>
    </w:p>
    <w:p>
      <w:pPr>
        <w:pStyle w:val="Normal"/>
        <w:spacing w:lineRule="auto" w:line="276" w:before="0" w:after="120"/>
        <w:ind w:left="360" w:right="-15" w:hanging="0"/>
        <w:jc w:val="both"/>
        <w:rPr>
          <w:rFonts w:cs="Arial"/>
          <w:i w:val="false"/>
          <w:i w:val="false"/>
          <w:iCs w:val="false"/>
          <w:color w:val="000000"/>
          <w:szCs w:val="20"/>
        </w:rPr>
      </w:pPr>
      <w:r>
        <w:rPr>
          <w:rFonts w:cs="Arial"/>
          <w:i w:val="false"/>
          <w:iCs w:val="false"/>
          <w:color w:val="000000"/>
          <w:szCs w:val="20"/>
        </w:rPr>
      </w:r>
    </w:p>
    <w:p>
      <w:pPr>
        <w:pStyle w:val="Normal"/>
        <w:spacing w:lineRule="auto" w:line="276" w:before="0" w:after="120"/>
        <w:ind w:left="360" w:right="-15" w:hanging="0"/>
        <w:jc w:val="both"/>
        <w:rPr>
          <w:rFonts w:cs="Arial"/>
          <w:i w:val="false"/>
          <w:i w:val="false"/>
          <w:iCs w:val="false"/>
          <w:color w:val="000000"/>
          <w:szCs w:val="20"/>
        </w:rPr>
      </w:pPr>
      <w:r>
        <w:rPr>
          <w:rFonts w:cs="Arial"/>
          <w:i w:val="false"/>
          <w:iCs w:val="false"/>
          <w:color w:val="000000"/>
          <w:szCs w:val="20"/>
        </w:rPr>
      </w:r>
    </w:p>
    <w:p>
      <w:pPr>
        <w:pStyle w:val="Normal"/>
        <w:spacing w:lineRule="auto" w:line="276" w:before="0" w:after="120"/>
        <w:ind w:left="360" w:right="-15" w:hanging="0"/>
        <w:jc w:val="both"/>
        <w:rPr>
          <w:rFonts w:cs="Arial"/>
          <w:b w:val="false"/>
          <w:b w:val="false"/>
          <w:bCs w:val="false"/>
          <w:i w:val="false"/>
          <w:i w:val="false"/>
          <w:iCs w:val="false"/>
          <w:color w:val="000000"/>
          <w:szCs w:val="20"/>
        </w:rPr>
      </w:pPr>
      <w:r>
        <w:rPr>
          <w:rFonts w:cs="Arial"/>
          <w:b w:val="false"/>
          <w:bCs w:val="false"/>
          <w:i w:val="false"/>
          <w:iCs w:val="false"/>
          <w:color w:val="000000"/>
          <w:szCs w:val="20"/>
        </w:rPr>
      </w:r>
    </w:p>
    <w:p>
      <w:pPr>
        <w:pStyle w:val="Normal"/>
        <w:spacing w:lineRule="auto" w:line="276" w:before="0" w:after="0"/>
        <w:ind w:left="360" w:right="-15" w:hanging="0"/>
        <w:jc w:val="center"/>
        <w:rPr>
          <w:i w:val="false"/>
          <w:i w:val="false"/>
          <w:iCs w:val="false"/>
        </w:rPr>
      </w:pPr>
      <w:r>
        <w:rPr>
          <w:rFonts w:cs="Arial"/>
          <w:b w:val="false"/>
          <w:bCs w:val="false"/>
          <w:i w:val="false"/>
          <w:iCs w:val="false"/>
          <w:color w:val="000000"/>
          <w:szCs w:val="20"/>
        </w:rPr>
        <w:t>BRUNNO FANARA DE SOUZA</w:t>
      </w:r>
    </w:p>
    <w:p>
      <w:pPr>
        <w:pStyle w:val="Normal"/>
        <w:spacing w:lineRule="auto" w:line="276" w:before="0" w:after="0"/>
        <w:ind w:left="360" w:right="-15" w:hanging="0"/>
        <w:jc w:val="center"/>
        <w:rPr>
          <w:i w:val="false"/>
          <w:i w:val="false"/>
          <w:iCs w:val="false"/>
        </w:rPr>
      </w:pPr>
      <w:r>
        <w:rPr>
          <w:rFonts w:cs="Arial"/>
          <w:b w:val="false"/>
          <w:bCs w:val="false"/>
          <w:i w:val="false"/>
          <w:iCs w:val="false"/>
          <w:color w:val="000000"/>
          <w:szCs w:val="20"/>
        </w:rPr>
        <w:t>Capitão de Fragata (FN)</w:t>
      </w:r>
    </w:p>
    <w:p>
      <w:pPr>
        <w:pStyle w:val="Normal"/>
        <w:spacing w:lineRule="auto" w:line="276" w:before="0" w:after="120"/>
        <w:ind w:left="360" w:right="-15" w:hanging="0"/>
        <w:jc w:val="center"/>
        <w:rPr>
          <w:b w:val="false"/>
          <w:b w:val="false"/>
          <w:bCs w:val="false"/>
        </w:rPr>
      </w:pPr>
      <w:r>
        <w:rPr>
          <w:rFonts w:cs="Arial"/>
          <w:b w:val="false"/>
          <w:bCs w:val="false"/>
          <w:i w:val="false"/>
          <w:iCs w:val="false"/>
          <w:color w:val="000000"/>
          <w:szCs w:val="20"/>
        </w:rPr>
        <w:t>Ordenador de Despesas</w:t>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rFonts w:cs="Arial"/>
          <w:b/>
          <w:b/>
          <w:bCs/>
          <w:i w:val="false"/>
          <w:i w:val="false"/>
          <w:iCs w:val="false"/>
          <w:lang w:eastAsia="en-US"/>
        </w:rPr>
      </w:pPr>
      <w:r>
        <w:rPr>
          <w:rFonts w:cs="Arial"/>
          <w:b/>
          <w:bCs/>
          <w:i w:val="false"/>
          <w:iCs w:val="false"/>
          <w:lang w:eastAsia="en-US"/>
        </w:rPr>
      </w:r>
    </w:p>
    <w:p>
      <w:pPr>
        <w:pStyle w:val="Normal"/>
        <w:jc w:val="center"/>
        <w:rPr>
          <w:i w:val="false"/>
          <w:i w:val="false"/>
          <w:iCs w:val="false"/>
        </w:rPr>
      </w:pPr>
      <w:r>
        <w:rPr>
          <w:rFonts w:cs="Arial"/>
          <w:b/>
          <w:bCs/>
          <w:i w:val="false"/>
          <w:iCs w:val="false"/>
          <w:lang w:eastAsia="en-US"/>
        </w:rPr>
        <w:t>ANEXO I – DOCUMENTAÇÃO EXIGIDA PARA HABILITAÇÃO</w:t>
      </w:r>
    </w:p>
    <w:p>
      <w:pPr>
        <w:pStyle w:val="Normal"/>
        <w:rPr>
          <w:rFonts w:cs="Arial"/>
          <w:i w:val="false"/>
          <w:i w:val="false"/>
          <w:iCs w:val="false"/>
          <w:lang w:eastAsia="en-US"/>
        </w:rPr>
      </w:pPr>
      <w:r>
        <w:rPr>
          <w:rFonts w:cs="Arial"/>
          <w:i w:val="false"/>
          <w:iCs w:val="false"/>
          <w:lang w:eastAsia="en-US"/>
        </w:rPr>
      </w:r>
    </w:p>
    <w:p>
      <w:pPr>
        <w:pStyle w:val="PADRO"/>
        <w:keepNext w:val="true"/>
        <w:widowControl/>
        <w:numPr>
          <w:ilvl w:val="0"/>
          <w:numId w:val="3"/>
        </w:numPr>
        <w:shd w:val="clear" w:fill="FFFFFF"/>
        <w:spacing w:before="120" w:after="120"/>
        <w:rPr>
          <w:i w:val="false"/>
          <w:i w:val="false"/>
          <w:iCs w:val="false"/>
        </w:rPr>
      </w:pPr>
      <w:r>
        <w:rPr>
          <w:rFonts w:cs="Arial" w:ascii="Arial" w:hAnsi="Arial"/>
          <w:b/>
          <w:bCs/>
          <w:i w:val="false"/>
          <w:iCs w:val="false"/>
          <w:color w:val="000000"/>
          <w:szCs w:val="20"/>
        </w:rPr>
        <w:t xml:space="preserve"> </w:t>
      </w:r>
      <w:r>
        <w:rPr>
          <w:rFonts w:cs="Arial" w:ascii="Arial" w:hAnsi="Arial"/>
          <w:b/>
          <w:bCs/>
          <w:i w:val="false"/>
          <w:iCs w:val="false"/>
          <w:color w:val="000000"/>
          <w:szCs w:val="20"/>
        </w:rPr>
        <w:t>Regularidade fiscal, social e trabalhista:</w:t>
      </w:r>
    </w:p>
    <w:p>
      <w:pPr>
        <w:pStyle w:val="Normal"/>
        <w:numPr>
          <w:ilvl w:val="1"/>
          <w:numId w:val="3"/>
        </w:numPr>
        <w:tabs>
          <w:tab w:val="clear" w:pos="225"/>
          <w:tab w:val="left" w:pos="1440" w:leader="none"/>
        </w:tabs>
        <w:snapToGrid w:val="false"/>
        <w:spacing w:lineRule="auto" w:line="276" w:before="120" w:after="120"/>
        <w:jc w:val="both"/>
        <w:rPr>
          <w:rFonts w:cs="Arial"/>
          <w:szCs w:val="20"/>
        </w:rPr>
      </w:pPr>
      <w:r>
        <w:rPr>
          <w:rFonts w:cs="Arial"/>
          <w:i w:val="false"/>
          <w:iCs w:val="false"/>
          <w:szCs w:val="20"/>
          <w:lang w:eastAsia="en-US"/>
        </w:rPr>
        <w:t>prova de inscrição no Cadastro Nacional de Pessoas Jurídicas ou no Cadastro de Pessoas Físicas, conforme o caso;</w:t>
      </w:r>
    </w:p>
    <w:p>
      <w:pPr>
        <w:pStyle w:val="Normal"/>
        <w:numPr>
          <w:ilvl w:val="1"/>
          <w:numId w:val="3"/>
        </w:numPr>
        <w:tabs>
          <w:tab w:val="clear" w:pos="225"/>
          <w:tab w:val="left" w:pos="1440" w:leader="none"/>
        </w:tabs>
        <w:snapToGrid w:val="false"/>
        <w:spacing w:lineRule="auto" w:line="276" w:before="120" w:after="120"/>
        <w:jc w:val="both"/>
        <w:rPr>
          <w:rFonts w:cs="Arial"/>
          <w:szCs w:val="20"/>
        </w:rPr>
      </w:pPr>
      <w:r>
        <w:rPr>
          <w:rFonts w:cs="Arial"/>
          <w:i w:val="false"/>
          <w:iCs w:val="false"/>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225"/>
          <w:tab w:val="left" w:pos="1440" w:leader="none"/>
        </w:tabs>
        <w:snapToGrid w:val="false"/>
        <w:spacing w:lineRule="auto" w:line="276" w:before="120" w:after="120"/>
        <w:jc w:val="both"/>
        <w:rPr>
          <w:rFonts w:cs="Arial"/>
          <w:color w:val="000000"/>
          <w:szCs w:val="20"/>
        </w:rPr>
      </w:pPr>
      <w:r>
        <w:rPr>
          <w:rFonts w:cs="Arial"/>
          <w:i w:val="false"/>
          <w:iCs w:val="false"/>
          <w:color w:val="000000"/>
          <w:szCs w:val="20"/>
          <w:lang w:eastAsia="en-US"/>
        </w:rPr>
        <w:t>prova de regularidade com o Fundo de Garantia do Tempo de Serviço (FGTS);</w:t>
      </w:r>
    </w:p>
    <w:p>
      <w:pPr>
        <w:pStyle w:val="Normal"/>
        <w:numPr>
          <w:ilvl w:val="1"/>
          <w:numId w:val="3"/>
        </w:numPr>
        <w:tabs>
          <w:tab w:val="clear" w:pos="225"/>
          <w:tab w:val="left" w:pos="1440" w:leader="none"/>
        </w:tabs>
        <w:snapToGrid w:val="false"/>
        <w:spacing w:lineRule="auto" w:line="276" w:before="120" w:after="120"/>
        <w:jc w:val="both"/>
        <w:rPr>
          <w:rFonts w:cs="Arial"/>
          <w:szCs w:val="20"/>
        </w:rPr>
      </w:pPr>
      <w:r>
        <w:rPr>
          <w:rFonts w:cs="Arial"/>
          <w:i w:val="false"/>
          <w:iCs w:val="false"/>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225"/>
          <w:tab w:val="left" w:pos="1440" w:leader="none"/>
        </w:tabs>
        <w:snapToGrid w:val="false"/>
        <w:spacing w:lineRule="auto" w:line="276" w:before="120" w:after="120"/>
        <w:jc w:val="both"/>
        <w:rPr>
          <w:i w:val="false"/>
          <w:i w:val="false"/>
          <w:iCs w:val="false"/>
        </w:rPr>
      </w:pPr>
      <w:r>
        <w:rPr>
          <w:rFonts w:cs="Arial"/>
          <w:bCs/>
          <w:i w:val="false"/>
          <w:iCs w:val="false"/>
          <w:szCs w:val="20"/>
        </w:rPr>
        <w:t xml:space="preserve">prova de </w:t>
      </w:r>
      <w:r>
        <w:rPr>
          <w:rFonts w:cs="Arial"/>
          <w:i w:val="false"/>
          <w:iCs w:val="false"/>
          <w:color w:val="000000"/>
          <w:szCs w:val="20"/>
        </w:rPr>
        <w:t>inscrição no cadastro de contribuintes estadual, relativo ao domicílio ou sede do fornecedor, pertinente ao seu ramo de atividade e compatível com o objeto contratual</w:t>
      </w:r>
      <w:r>
        <w:rPr>
          <w:rFonts w:cs="Arial"/>
          <w:bCs/>
          <w:i w:val="false"/>
          <w:iCs w:val="false"/>
          <w:szCs w:val="20"/>
        </w:rPr>
        <w:t xml:space="preserve">; </w:t>
      </w:r>
    </w:p>
    <w:p>
      <w:pPr>
        <w:pStyle w:val="Normal"/>
        <w:numPr>
          <w:ilvl w:val="1"/>
          <w:numId w:val="3"/>
        </w:numPr>
        <w:tabs>
          <w:tab w:val="clear" w:pos="225"/>
          <w:tab w:val="left" w:pos="1440" w:leader="none"/>
        </w:tabs>
        <w:snapToGrid w:val="false"/>
        <w:spacing w:lineRule="auto" w:line="276" w:before="120" w:after="120"/>
        <w:jc w:val="both"/>
        <w:rPr>
          <w:i w:val="false"/>
          <w:i w:val="false"/>
          <w:iCs w:val="false"/>
        </w:rPr>
      </w:pPr>
      <w:r>
        <w:rPr>
          <w:rFonts w:cs="Arial"/>
          <w:i w:val="false"/>
          <w:iCs w:val="false"/>
          <w:szCs w:val="20"/>
        </w:rPr>
        <w:t xml:space="preserve">prova de regularidade com a Fazenda </w:t>
      </w:r>
      <w:r>
        <w:rPr>
          <w:rFonts w:cs="Arial"/>
          <w:i w:val="false"/>
          <w:iCs w:val="false"/>
          <w:color w:val="000000"/>
          <w:szCs w:val="20"/>
        </w:rPr>
        <w:t>Estadual do do</w:t>
      </w:r>
      <w:r>
        <w:rPr>
          <w:rFonts w:cs="Arial"/>
          <w:i w:val="false"/>
          <w:iCs w:val="false"/>
          <w:szCs w:val="20"/>
        </w:rPr>
        <w:t xml:space="preserve">micílio ou sede do fornecedor, relativa à atividade em cujo exercício contrata ou concorre; </w:t>
      </w:r>
    </w:p>
    <w:p>
      <w:pPr>
        <w:pStyle w:val="Normal"/>
        <w:numPr>
          <w:ilvl w:val="1"/>
          <w:numId w:val="3"/>
        </w:numPr>
        <w:tabs>
          <w:tab w:val="clear" w:pos="225"/>
          <w:tab w:val="left" w:pos="1440" w:leader="none"/>
        </w:tabs>
        <w:snapToGrid w:val="false"/>
        <w:spacing w:lineRule="auto" w:line="276" w:before="120" w:after="120"/>
        <w:jc w:val="both"/>
        <w:rPr>
          <w:i w:val="false"/>
          <w:i w:val="false"/>
          <w:iCs w:val="false"/>
        </w:rPr>
      </w:pPr>
      <w:r>
        <w:rPr>
          <w:rFonts w:cs="Arial"/>
          <w:i w:val="false"/>
          <w:iCs w:val="false"/>
          <w:szCs w:val="20"/>
        </w:rPr>
        <w:t xml:space="preserve">caso o fornecedor seja considerado isento dos tributos </w:t>
      </w:r>
      <w:r>
        <w:rPr>
          <w:rFonts w:cs="Arial"/>
          <w:i w:val="false"/>
          <w:iCs w:val="false"/>
          <w:color w:val="000000"/>
          <w:szCs w:val="20"/>
        </w:rPr>
        <w:t>estaduais</w:t>
      </w:r>
      <w:r>
        <w:rPr>
          <w:rFonts w:cs="Arial"/>
          <w:i w:val="false"/>
          <w:iCs w:val="false"/>
          <w:color w:val="FF0000"/>
          <w:szCs w:val="20"/>
        </w:rPr>
        <w:t xml:space="preserve"> </w:t>
      </w:r>
      <w:r>
        <w:rPr>
          <w:rFonts w:cs="Arial"/>
          <w:i w:val="false"/>
          <w:iCs w:val="false"/>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true"/>
        <w:widowControl/>
        <w:numPr>
          <w:ilvl w:val="0"/>
          <w:numId w:val="0"/>
        </w:numPr>
        <w:shd w:val="clear" w:fill="FFFFFF"/>
        <w:spacing w:before="120" w:after="120"/>
        <w:ind w:left="2421" w:hanging="0"/>
        <w:rPr>
          <w:i w:val="false"/>
          <w:i w:val="false"/>
          <w:iCs w:val="false"/>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Arial" w:hAnsi="Arial"/>
      </w:rPr>
    </w:lvl>
    <w:lvl w:ilvl="1">
      <w:start w:val="1"/>
      <w:numFmt w:val="decimal"/>
      <w:lvlText w:val="%1.%2."/>
      <w:lvlJc w:val="left"/>
      <w:pPr>
        <w:tabs>
          <w:tab w:val="num" w:pos="0"/>
        </w:tabs>
        <w:ind w:left="792" w:hanging="432"/>
      </w:pPr>
      <w:rPr>
        <w:i w:val="false"/>
        <w:b/>
        <w:iCs/>
      </w:rPr>
    </w:lvl>
    <w:lvl w:ilvl="2">
      <w:start w:val="1"/>
      <w:numFmt w:val="decimal"/>
      <w:lvlText w:val="%1.%2.%3."/>
      <w:lvlJc w:val="left"/>
      <w:pPr>
        <w:tabs>
          <w:tab w:val="num" w:pos="0"/>
        </w:tabs>
        <w:ind w:left="1224" w:hanging="504"/>
      </w:pPr>
      <w:rPr>
        <w:i w:val="false"/>
        <w:b/>
        <w:iCs/>
        <w:rFonts w:cs="Arial"/>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225"/>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225"/>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225"/>
        <w:tab w:val="center" w:pos="4252" w:leader="none"/>
        <w:tab w:val="right" w:pos="8504" w:leader="none"/>
      </w:tabs>
    </w:pPr>
    <w:rPr/>
  </w:style>
  <w:style w:type="paragraph" w:styleId="Rodap">
    <w:name w:val="Footer"/>
    <w:basedOn w:val="Normal"/>
    <w:link w:val="RodapChar"/>
    <w:uiPriority w:val="99"/>
    <w:unhideWhenUsed/>
    <w:rsid w:val="00805244"/>
    <w:pPr>
      <w:tabs>
        <w:tab w:val="clear" w:pos="225"/>
        <w:tab w:val="center" w:pos="4252" w:leader="none"/>
        <w:tab w:val="right" w:pos="8504" w:leader="none"/>
      </w:tabs>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Application>LibreOffice/7.0.6.2$Linux_X86_64 LibreOffice_project/144abb84a525d8e30c9dbbefa69cbbf2d8d4ae3b</Application>
  <AppVersion>15.0000</AppVersion>
  <Pages>11</Pages>
  <Words>4728</Words>
  <Characters>27072</Characters>
  <CharactersWithSpaces>31449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2022-05-24T11:43:50Z</cp:lastPrinted>
  <dcterms:modified xsi:type="dcterms:W3CDTF">2022-10-13T15:56:33Z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