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val="false"/>
        <w:pageBreakBefore w:val="false"/>
        <w:widowControl w:val="false"/>
        <w:bidi w:val="0"/>
        <w:spacing w:lineRule="auto" w:line="276"/>
        <w:jc w:val="center"/>
        <w:rPr>
          <w:rFonts w:ascii="Calibri" w:hAnsi="Calibri"/>
          <w:sz w:val="24"/>
          <w:szCs w:val="24"/>
        </w:rPr>
      </w:pPr>
      <w:r>
        <w:rPr>
          <w:rFonts w:cs="Arial" w:ascii="Calibri" w:hAnsi="Calibri"/>
          <w:b/>
          <w:bCs/>
          <w:sz w:val="24"/>
          <w:szCs w:val="24"/>
        </w:rPr>
        <w:t>BASE AÉREA NAVAL DE SÃO PEDRO DA ALDEIA</w:t>
      </w:r>
    </w:p>
    <w:p>
      <w:pPr>
        <w:pStyle w:val="Normal"/>
        <w:widowControl w:val="false"/>
        <w:bidi w:val="0"/>
        <w:spacing w:lineRule="auto" w:line="276"/>
        <w:jc w:val="center"/>
        <w:rPr>
          <w:rFonts w:cs="Arial"/>
          <w:b/>
          <w:b/>
          <w:bCs/>
        </w:rPr>
      </w:pPr>
      <w:r>
        <w:rPr>
          <w:rFonts w:cs="Arial"/>
          <w:b/>
          <w:bCs/>
        </w:rPr>
      </w:r>
    </w:p>
    <w:p>
      <w:pPr>
        <w:pStyle w:val="Normal"/>
        <w:keepNext w:val="false"/>
        <w:pageBreakBefore w:val="false"/>
        <w:widowControl w:val="false"/>
        <w:bidi w:val="0"/>
        <w:spacing w:lineRule="auto" w:line="276"/>
        <w:jc w:val="center"/>
        <w:rPr>
          <w:rFonts w:ascii="Calibri" w:hAnsi="Calibri"/>
          <w:sz w:val="24"/>
          <w:szCs w:val="24"/>
        </w:rPr>
      </w:pPr>
      <w:r>
        <w:rPr>
          <w:rFonts w:cs="Arial" w:ascii="Calibri" w:hAnsi="Calibri"/>
          <w:b/>
          <w:bCs/>
          <w:color w:val="000000" w:themeColor="text1"/>
          <w:sz w:val="24"/>
          <w:szCs w:val="24"/>
        </w:rPr>
        <w:t xml:space="preserve">AVISO DE DISPENSA ELETRÔNICA Nº </w:t>
      </w:r>
      <w:r>
        <w:rPr>
          <w:rFonts w:cs="Arial" w:ascii="Calibri" w:hAnsi="Calibri"/>
          <w:b/>
          <w:bCs/>
          <w:color w:val="000000"/>
          <w:sz w:val="24"/>
          <w:szCs w:val="24"/>
        </w:rPr>
        <w:t>52/2022</w:t>
      </w:r>
    </w:p>
    <w:p>
      <w:pPr>
        <w:pStyle w:val="Normal"/>
        <w:keepNext w:val="false"/>
        <w:pageBreakBefore w:val="false"/>
        <w:widowControl w:val="false"/>
        <w:bidi w:val="0"/>
        <w:jc w:val="left"/>
        <w:rPr>
          <w:rFonts w:ascii="Calibri" w:hAnsi="Calibri" w:cs="Arial"/>
          <w:sz w:val="24"/>
          <w:szCs w:val="24"/>
        </w:rPr>
      </w:pPr>
      <w:r>
        <w:rPr>
          <w:rFonts w:cs="Arial" w:ascii="Calibri" w:hAnsi="Calibri"/>
          <w:sz w:val="24"/>
          <w:szCs w:val="24"/>
        </w:rPr>
      </w:r>
    </w:p>
    <w:p>
      <w:pPr>
        <w:pStyle w:val="Normal"/>
        <w:keepNext w:val="false"/>
        <w:pageBreakBefore w:val="false"/>
        <w:widowControl w:val="false"/>
        <w:bidi w:val="0"/>
        <w:snapToGrid w:val="false"/>
        <w:spacing w:lineRule="auto" w:line="276" w:before="0" w:after="120"/>
        <w:ind w:right="-30" w:firstLine="540"/>
        <w:jc w:val="both"/>
        <w:rPr>
          <w:rFonts w:ascii="Calibri" w:hAnsi="Calibri"/>
          <w:sz w:val="24"/>
          <w:szCs w:val="24"/>
        </w:rPr>
      </w:pPr>
      <w:r>
        <w:rPr>
          <w:rFonts w:cs="Arial" w:ascii="Calibri" w:hAnsi="Calibri"/>
          <w:color w:val="000000" w:themeColor="text1"/>
          <w:sz w:val="24"/>
          <w:szCs w:val="24"/>
        </w:rPr>
        <w:t>Torna-se público que a Base Aérea Naval de São Pedro da Aldeia, por meio da</w:t>
      </w:r>
      <w:r>
        <w:rPr>
          <w:rFonts w:eastAsia="Arial" w:cs="Arial" w:ascii="Calibri" w:hAnsi="Calibri"/>
          <w:color w:val="000000" w:themeColor="text1"/>
          <w:sz w:val="24"/>
          <w:szCs w:val="24"/>
        </w:rPr>
        <w:t xml:space="preserve"> Seção</w:t>
      </w:r>
      <w:r>
        <w:rPr>
          <w:rFonts w:eastAsia="Arial" w:cs="Arial" w:ascii="Calibri" w:hAnsi="Calibri"/>
          <w:color w:val="00000A"/>
          <w:sz w:val="24"/>
          <w:szCs w:val="24"/>
        </w:rPr>
        <w:t xml:space="preserve"> de Obtenção</w:t>
      </w:r>
      <w:r>
        <w:rPr>
          <w:rFonts w:cs="Arial" w:ascii="Calibri" w:hAnsi="Calibri"/>
          <w:color w:val="00000A"/>
          <w:sz w:val="24"/>
          <w:szCs w:val="24"/>
        </w:rPr>
        <w:t>,</w:t>
      </w:r>
      <w:r>
        <w:rPr>
          <w:rFonts w:cs="Arial" w:ascii="Calibri" w:hAnsi="Calibri"/>
          <w:color w:val="000000" w:themeColor="text1"/>
          <w:sz w:val="24"/>
          <w:szCs w:val="24"/>
        </w:rPr>
        <w:t xml:space="preserve"> realizará Dispensa Eletrônica, </w:t>
      </w:r>
      <w:r>
        <w:rPr>
          <w:rFonts w:cs="Arial" w:ascii="Calibri" w:hAnsi="Calibri"/>
          <w:bCs/>
          <w:color w:val="000000" w:themeColor="text1"/>
          <w:sz w:val="24"/>
          <w:szCs w:val="24"/>
        </w:rPr>
        <w:t>com critério de julgamento menor preço, na hipótese</w:t>
      </w:r>
      <w:r>
        <w:rPr>
          <w:rFonts w:cs="Arial" w:ascii="Calibri" w:hAnsi="Calibri"/>
          <w:color w:val="000000" w:themeColor="text1"/>
          <w:sz w:val="24"/>
          <w:szCs w:val="24"/>
        </w:rPr>
        <w:t xml:space="preserve"> do art. 75</w:t>
      </w:r>
      <w:r>
        <w:rPr>
          <w:rFonts w:cs="Arial" w:ascii="Calibri" w:hAnsi="Calibri"/>
          <w:i/>
          <w:iCs/>
          <w:color w:val="000000" w:themeColor="text1"/>
          <w:sz w:val="24"/>
          <w:szCs w:val="24"/>
        </w:rPr>
        <w:t>,</w:t>
      </w:r>
      <w:r>
        <w:rPr>
          <w:rFonts w:cs="Arial" w:ascii="Calibri" w:hAnsi="Calibri"/>
          <w:i/>
          <w:iCs/>
          <w:color w:val="00000A"/>
          <w:sz w:val="24"/>
          <w:szCs w:val="24"/>
        </w:rPr>
        <w:t xml:space="preserve"> </w:t>
      </w:r>
      <w:r>
        <w:rPr>
          <w:rFonts w:cs="Arial" w:ascii="Calibri" w:hAnsi="Calibri"/>
          <w:color w:val="000000"/>
          <w:sz w:val="24"/>
          <w:szCs w:val="24"/>
        </w:rPr>
        <w:t xml:space="preserve">inciso </w:t>
      </w:r>
      <w:r>
        <w:rPr>
          <w:rFonts w:cs="Arial" w:ascii="Calibri" w:hAnsi="Calibri"/>
          <w:b/>
          <w:color w:val="000000"/>
          <w:sz w:val="24"/>
          <w:szCs w:val="24"/>
        </w:rPr>
        <w:t>I</w:t>
      </w:r>
      <w:r>
        <w:rPr>
          <w:rFonts w:cs="Arial" w:ascii="Calibri" w:hAnsi="Calibri"/>
          <w:color w:val="00000A"/>
          <w:sz w:val="24"/>
          <w:szCs w:val="24"/>
        </w:rPr>
        <w:t>,</w:t>
      </w:r>
      <w:r>
        <w:rPr>
          <w:rFonts w:cs="Arial" w:ascii="Calibri" w:hAnsi="Calibri"/>
          <w:color w:val="FF0000"/>
          <w:sz w:val="24"/>
          <w:szCs w:val="24"/>
        </w:rPr>
        <w:t xml:space="preserve"> </w:t>
      </w:r>
      <w:r>
        <w:rPr>
          <w:rFonts w:cs="Arial" w:ascii="Calibri" w:hAnsi="Calibri"/>
          <w:bCs/>
          <w:sz w:val="24"/>
          <w:szCs w:val="24"/>
        </w:rPr>
        <w:t>nos termos da Lei nº 14.133, de 1º de abril de 2021, da Instrução Normativa SEGES/ME nº 67/2021 e demais legislação aplicável</w:t>
      </w:r>
      <w:r>
        <w:rPr>
          <w:rFonts w:cs="Arial" w:ascii="Calibri" w:hAnsi="Calibri"/>
          <w:color w:val="000000"/>
          <w:sz w:val="24"/>
          <w:szCs w:val="24"/>
        </w:rPr>
        <w:t>.</w:t>
      </w:r>
    </w:p>
    <w:p>
      <w:pPr>
        <w:pStyle w:val="Normal"/>
        <w:keepNext w:val="false"/>
        <w:pageBreakBefore w:val="false"/>
        <w:widowControl w:val="false"/>
        <w:bidi w:val="0"/>
        <w:spacing w:lineRule="auto" w:line="276"/>
        <w:jc w:val="both"/>
        <w:rPr>
          <w:rFonts w:ascii="Calibri" w:hAnsi="Calibri" w:cs="Arial"/>
          <w:color w:val="000000" w:themeColor="text1"/>
          <w:sz w:val="24"/>
          <w:szCs w:val="24"/>
        </w:rPr>
      </w:pPr>
      <w:r>
        <w:rPr>
          <w:rFonts w:cs="Arial" w:ascii="Calibri" w:hAnsi="Calibri"/>
          <w:color w:val="000000" w:themeColor="text1"/>
          <w:sz w:val="24"/>
          <w:szCs w:val="24"/>
        </w:rPr>
      </w:r>
    </w:p>
    <w:p>
      <w:pPr>
        <w:pStyle w:val="Normal"/>
        <w:keepNext w:val="false"/>
        <w:pageBreakBefore w:val="false"/>
        <w:widowControl w:val="false"/>
        <w:bidi w:val="0"/>
        <w:spacing w:lineRule="auto" w:line="276"/>
        <w:jc w:val="both"/>
        <w:rPr>
          <w:rFonts w:ascii="Calibri" w:hAnsi="Calibri"/>
          <w:sz w:val="24"/>
          <w:szCs w:val="24"/>
        </w:rPr>
      </w:pPr>
      <w:r>
        <w:rPr>
          <w:rFonts w:cs="Arial" w:ascii="Calibri" w:hAnsi="Calibri"/>
          <w:color w:val="000000" w:themeColor="text1"/>
          <w:sz w:val="24"/>
          <w:szCs w:val="24"/>
        </w:rPr>
        <w:t>Data da Fase de lances: _____de _____________de 2022</w:t>
      </w:r>
    </w:p>
    <w:p>
      <w:pPr>
        <w:pStyle w:val="Normal"/>
        <w:keepNext w:val="false"/>
        <w:pageBreakBefore w:val="false"/>
        <w:widowControl w:val="false"/>
        <w:bidi w:val="0"/>
        <w:jc w:val="left"/>
        <w:rPr>
          <w:rFonts w:ascii="Calibri" w:hAnsi="Calibri"/>
          <w:sz w:val="24"/>
          <w:szCs w:val="24"/>
        </w:rPr>
      </w:pPr>
      <w:r>
        <w:rPr>
          <w:rFonts w:cs="Arial" w:ascii="Calibri" w:hAnsi="Calibri"/>
          <w:color w:val="000000" w:themeColor="text1"/>
          <w:sz w:val="24"/>
          <w:szCs w:val="24"/>
        </w:rPr>
        <w:t>Link: https://www.gov.br/compras</w:t>
      </w:r>
    </w:p>
    <w:p>
      <w:pPr>
        <w:pStyle w:val="Normal"/>
        <w:keepNext w:val="false"/>
        <w:pageBreakBefore w:val="false"/>
        <w:widowControl w:val="false"/>
        <w:bidi w:val="0"/>
        <w:spacing w:lineRule="auto" w:line="276"/>
        <w:jc w:val="both"/>
        <w:rPr>
          <w:rFonts w:ascii="Calibri" w:hAnsi="Calibri"/>
          <w:sz w:val="24"/>
          <w:szCs w:val="24"/>
        </w:rPr>
      </w:pPr>
      <w:r>
        <w:rPr>
          <w:rFonts w:cs="Arial" w:ascii="Calibri" w:hAnsi="Calibri"/>
          <w:i/>
          <w:color w:val="000000" w:themeColor="text1"/>
          <w:sz w:val="24"/>
          <w:szCs w:val="24"/>
        </w:rPr>
        <w:t xml:space="preserve">Horário da Fase de Lances: 8:00 às </w:t>
      </w:r>
      <w:r>
        <w:rPr>
          <w:rFonts w:cs="Arial" w:ascii="Calibri" w:hAnsi="Calibri"/>
          <w:i/>
          <w:color w:val="00000A"/>
          <w:sz w:val="24"/>
          <w:szCs w:val="24"/>
        </w:rPr>
        <w:t>18:00</w:t>
      </w:r>
    </w:p>
    <w:p>
      <w:pPr>
        <w:pStyle w:val="PADRO"/>
        <w:keepNext w:val="false"/>
        <w:pageBreakBefore w:val="false"/>
        <w:widowControl w:val="false"/>
        <w:shd w:val="clear" w:color="auto" w:fill="auto"/>
        <w:bidi w:val="0"/>
        <w:spacing w:before="120" w:after="120"/>
        <w:ind w:left="360" w:hanging="0"/>
        <w:jc w:val="left"/>
        <w:rPr>
          <w:rFonts w:ascii="Calibri" w:hAnsi="Calibri" w:cs="Arial"/>
          <w:b/>
          <w:b/>
          <w:sz w:val="24"/>
          <w:szCs w:val="24"/>
        </w:rPr>
      </w:pPr>
      <w:r>
        <w:rPr>
          <w:rFonts w:cs="Arial" w:ascii="Calibri" w:hAnsi="Calibri"/>
          <w:b/>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u w:val="single"/>
        </w:rPr>
        <w:t>OBJETO DA CONTRATAÇÃO DIRETA</w:t>
      </w:r>
      <w:r>
        <w:rPr>
          <w:rFonts w:cs="Arial" w:ascii="Calibri" w:hAnsi="Calibri"/>
          <w:b/>
          <w:sz w:val="24"/>
          <w:szCs w:val="24"/>
        </w:rPr>
        <w:t xml:space="preserve"> </w:t>
      </w:r>
    </w:p>
    <w:p>
      <w:pPr>
        <w:pStyle w:val="PADRO"/>
        <w:keepNext w:val="false"/>
        <w:pageBreakBefore w:val="false"/>
        <w:widowControl w:val="false"/>
        <w:numPr>
          <w:ilvl w:val="1"/>
          <w:numId w:val="1"/>
        </w:numPr>
        <w:shd w:val="clear" w:color="auto" w:fill="auto"/>
        <w:bidi w:val="0"/>
        <w:spacing w:before="120" w:after="120"/>
        <w:jc w:val="both"/>
        <w:rPr>
          <w:rFonts w:ascii="Calibri" w:hAnsi="Calibri"/>
          <w:sz w:val="24"/>
          <w:szCs w:val="24"/>
        </w:rPr>
      </w:pPr>
      <w:r>
        <w:rPr>
          <w:rFonts w:cs="Arial" w:ascii="Calibri" w:hAnsi="Calibri"/>
          <w:sz w:val="24"/>
          <w:szCs w:val="24"/>
        </w:rPr>
        <w:t>Conforme Documento de Formalização da Demanda, o</w:t>
      </w:r>
      <w:r>
        <w:rPr>
          <w:rFonts w:cs="Arial" w:ascii="Calibri" w:hAnsi="Calibri"/>
          <w:color w:val="000000" w:themeColor="text1"/>
          <w:sz w:val="24"/>
          <w:szCs w:val="24"/>
        </w:rPr>
        <w:t xml:space="preserve"> objeto da presente dispensa é a escolha da proposta mais vantajosa para r</w:t>
      </w:r>
      <w:r>
        <w:rPr>
          <w:rFonts w:eastAsia="Times New Roman" w:cs="Calibri" w:ascii="Calibri" w:hAnsi="Calibri"/>
          <w:b w:val="false"/>
          <w:bCs w:val="false"/>
          <w:color w:val="auto"/>
          <w:sz w:val="24"/>
          <w:szCs w:val="24"/>
        </w:rPr>
        <w:t>ealização de serviço com fornecimento de peças para o caminhão de carroceria aberta VW/15.190 CRM 4X2, placa KPS8860 conforme condições, quantidades e exigências estabelecida neste instrumento.</w:t>
      </w:r>
      <w:r>
        <w:rPr>
          <w:rFonts w:cs="Calibri" w:ascii="Calibri" w:hAnsi="Calibri"/>
          <w:color w:val="000000" w:themeColor="text1"/>
          <w:sz w:val="24"/>
          <w:szCs w:val="24"/>
        </w:rPr>
        <w:t xml:space="preserve"> Por dispensa de licitação</w:t>
      </w:r>
      <w:r>
        <w:rPr>
          <w:rFonts w:cs="Calibri" w:ascii="Calibri" w:hAnsi="Calibri"/>
          <w:b/>
          <w:bCs/>
          <w:color w:val="000000" w:themeColor="text1"/>
          <w:sz w:val="24"/>
          <w:szCs w:val="24"/>
        </w:rPr>
        <w:t>,</w:t>
      </w:r>
      <w:r>
        <w:rPr>
          <w:rFonts w:cs="Calibri" w:ascii="Calibri" w:hAnsi="Calibri"/>
          <w:color w:val="000000" w:themeColor="text1"/>
          <w:sz w:val="24"/>
          <w:szCs w:val="24"/>
        </w:rPr>
        <w:t xml:space="preserve"> conforme condições, quantidades e exigênci</w:t>
      </w:r>
      <w:r>
        <w:rPr>
          <w:rFonts w:cs="Calibri" w:ascii="Calibri" w:hAnsi="Calibri"/>
          <w:color w:val="00000A"/>
          <w:sz w:val="24"/>
          <w:szCs w:val="24"/>
        </w:rPr>
        <w:t>as</w:t>
      </w:r>
      <w:r>
        <w:rPr>
          <w:rFonts w:cs="Arial" w:ascii="Calibri" w:hAnsi="Calibri"/>
          <w:color w:val="00000A"/>
          <w:sz w:val="24"/>
          <w:szCs w:val="24"/>
        </w:rPr>
        <w:t xml:space="preserve">, </w:t>
      </w:r>
      <w:r>
        <w:rPr>
          <w:rFonts w:cs="Arial" w:ascii="Calibri" w:hAnsi="Calibri"/>
          <w:color w:val="000000" w:themeColor="text1"/>
          <w:sz w:val="24"/>
          <w:szCs w:val="24"/>
        </w:rPr>
        <w:t>estabelecidas neste Aviso de Dispensa Eletrônica e seus anexos.</w:t>
      </w:r>
    </w:p>
    <w:p>
      <w:pPr>
        <w:pStyle w:val="PADRO"/>
        <w:keepNext w:val="false"/>
        <w:pageBreakBefore w:val="false"/>
        <w:widowControl w:val="false"/>
        <w:numPr>
          <w:ilvl w:val="1"/>
          <w:numId w:val="1"/>
        </w:numPr>
        <w:shd w:val="clear" w:color="auto" w:fill="auto"/>
        <w:bidi w:val="0"/>
        <w:spacing w:before="120" w:after="120"/>
        <w:jc w:val="left"/>
        <w:rPr>
          <w:i w:val="false"/>
          <w:i w:val="false"/>
          <w:iCs w:val="false"/>
        </w:rPr>
      </w:pPr>
      <w:r>
        <w:rPr>
          <w:rFonts w:cs="Arial" w:ascii="Calibri" w:hAnsi="Calibri"/>
          <w:i w:val="false"/>
          <w:iCs w:val="false"/>
          <w:color w:val="000000"/>
          <w:sz w:val="24"/>
          <w:szCs w:val="24"/>
        </w:rPr>
        <w:t>A aquisição será conforme tabela constante abaixo.</w:t>
      </w:r>
    </w:p>
    <w:tbl>
      <w:tblPr>
        <w:tblW w:w="8416" w:type="dxa"/>
        <w:jc w:val="left"/>
        <w:tblInd w:w="15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73" w:type="dxa"/>
          <w:bottom w:w="0" w:type="dxa"/>
          <w:right w:w="108" w:type="dxa"/>
        </w:tblCellMar>
        <w:tblLook w:noVBand="1" w:val="04a0" w:noHBand="0" w:lastColumn="0" w:firstColumn="1" w:lastRow="0" w:firstRow="1"/>
      </w:tblPr>
      <w:tblGrid>
        <w:gridCol w:w="624"/>
        <w:gridCol w:w="1525"/>
        <w:gridCol w:w="913"/>
        <w:gridCol w:w="1025"/>
        <w:gridCol w:w="901"/>
        <w:gridCol w:w="1187"/>
        <w:gridCol w:w="1138"/>
        <w:gridCol w:w="1102"/>
      </w:tblGrid>
      <w:tr>
        <w:trPr/>
        <w:tc>
          <w:tcPr>
            <w:tcW w:w="6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rFonts w:cs="Arial"/>
                <w:b/>
                <w:b/>
                <w:bCs/>
                <w:color w:val="000000"/>
                <w:sz w:val="14"/>
                <w:szCs w:val="14"/>
              </w:rPr>
            </w:pPr>
            <w:r>
              <w:rPr>
                <w:rFonts w:cs="Arial" w:ascii="Calibri" w:hAnsi="Calibri"/>
                <w:b/>
                <w:bCs/>
                <w:color w:val="000000"/>
                <w:sz w:val="16"/>
                <w:szCs w:val="16"/>
              </w:rPr>
              <w:t>ITEM</w:t>
            </w:r>
          </w:p>
          <w:p>
            <w:pPr>
              <w:pStyle w:val="Normal"/>
              <w:keepNext w:val="false"/>
              <w:widowControl w:val="false"/>
              <w:suppressAutoHyphens w:val="true"/>
              <w:bidi w:val="0"/>
              <w:jc w:val="center"/>
              <w:rPr>
                <w:rFonts w:ascii="Calibri" w:hAnsi="Calibri" w:cs="Arial"/>
                <w:b/>
                <w:b/>
                <w:color w:val="000000"/>
                <w:sz w:val="16"/>
                <w:szCs w:val="16"/>
              </w:rPr>
            </w:pPr>
            <w:r>
              <w:rPr>
                <w:rFonts w:cs="Arial" w:ascii="Calibri" w:hAnsi="Calibri"/>
                <w:b/>
                <w:color w:val="000000"/>
                <w:sz w:val="16"/>
                <w:szCs w:val="16"/>
              </w:rPr>
            </w:r>
          </w:p>
        </w:tc>
        <w:tc>
          <w:tcPr>
            <w:tcW w:w="15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bidi w:val="0"/>
              <w:jc w:val="center"/>
              <w:rPr>
                <w:color w:val="000000"/>
                <w:sz w:val="16"/>
                <w:szCs w:val="16"/>
              </w:rPr>
            </w:pPr>
            <w:r>
              <w:rPr>
                <w:rFonts w:cs="Arial" w:ascii="Calibri" w:hAnsi="Calibri"/>
                <w:b/>
                <w:bCs/>
                <w:color w:val="000000"/>
                <w:sz w:val="16"/>
                <w:szCs w:val="16"/>
              </w:rPr>
              <w:t>DESCRIÇÃO</w:t>
            </w:r>
          </w:p>
        </w:tc>
        <w:tc>
          <w:tcPr>
            <w:tcW w:w="9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color w:val="000000"/>
                <w:sz w:val="16"/>
                <w:szCs w:val="16"/>
              </w:rPr>
            </w:pPr>
            <w:r>
              <w:rPr>
                <w:rFonts w:cs="Arial" w:ascii="Calibri" w:hAnsi="Calibri"/>
                <w:b/>
                <w:bCs/>
                <w:color w:val="000000"/>
                <w:sz w:val="16"/>
                <w:szCs w:val="16"/>
              </w:rPr>
              <w:t>CATSER</w:t>
            </w:r>
          </w:p>
        </w:tc>
        <w:tc>
          <w:tcPr>
            <w:tcW w:w="10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rFonts w:cs="Arial"/>
                <w:color w:val="000000"/>
                <w:sz w:val="14"/>
                <w:szCs w:val="14"/>
              </w:rPr>
            </w:pPr>
            <w:r>
              <w:rPr>
                <w:rFonts w:cs="Arial" w:ascii="Calibri" w:hAnsi="Calibri"/>
                <w:b/>
                <w:bCs/>
                <w:color w:val="000000"/>
                <w:sz w:val="16"/>
                <w:szCs w:val="16"/>
              </w:rPr>
              <w:t>UNIDADE DE MEDIDA</w:t>
            </w:r>
          </w:p>
        </w:tc>
        <w:tc>
          <w:tcPr>
            <w:tcW w:w="9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color w:val="000000"/>
                <w:sz w:val="16"/>
                <w:szCs w:val="16"/>
              </w:rPr>
            </w:pPr>
            <w:r>
              <w:rPr>
                <w:rFonts w:cs="Arial" w:ascii="Calibri" w:hAnsi="Calibri"/>
                <w:b/>
                <w:bCs/>
                <w:color w:val="000000"/>
                <w:sz w:val="16"/>
                <w:szCs w:val="16"/>
              </w:rPr>
              <w:t>QUANT</w:t>
            </w:r>
            <w:r>
              <w:rPr>
                <w:rFonts w:cs="Arial" w:ascii="Calibri" w:hAnsi="Calibri"/>
                <w:b/>
                <w:bCs/>
                <w:color w:val="000000"/>
                <w:sz w:val="14"/>
                <w:szCs w:val="14"/>
              </w:rPr>
              <w:t>.</w:t>
            </w:r>
          </w:p>
        </w:tc>
        <w:tc>
          <w:tcPr>
            <w:tcW w:w="11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color w:val="C9211E"/>
              </w:rPr>
            </w:pPr>
            <w:r>
              <w:rPr>
                <w:rFonts w:cs="Arial" w:ascii="Calibri" w:hAnsi="Calibri"/>
                <w:b/>
                <w:bCs/>
                <w:color w:val="000000"/>
                <w:sz w:val="16"/>
                <w:szCs w:val="16"/>
              </w:rPr>
              <w:t>PREÇO ESTIMADO UNITÁRIO</w:t>
            </w:r>
          </w:p>
        </w:tc>
        <w:tc>
          <w:tcPr>
            <w:tcW w:w="11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color w:val="C9211E"/>
              </w:rPr>
            </w:pPr>
            <w:r>
              <w:rPr>
                <w:rFonts w:cs="Arial" w:ascii="Calibri" w:hAnsi="Calibri"/>
                <w:b/>
                <w:bCs/>
                <w:color w:val="000000"/>
                <w:sz w:val="16"/>
                <w:szCs w:val="16"/>
              </w:rPr>
              <w:t>PREÇO ESTIMADO TOTAL</w:t>
            </w:r>
          </w:p>
        </w:tc>
        <w:tc>
          <w:tcPr>
            <w:tcW w:w="11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jc w:val="center"/>
              <w:rPr>
                <w:color w:val="C9211E"/>
              </w:rPr>
            </w:pPr>
            <w:r>
              <w:rPr>
                <w:rFonts w:cs="Arial" w:ascii="Calibri" w:hAnsi="Calibri"/>
                <w:b/>
                <w:bCs/>
                <w:color w:val="000000"/>
                <w:sz w:val="16"/>
                <w:szCs w:val="16"/>
              </w:rPr>
              <w:t>PRAZO DE ENTREGA</w:t>
            </w:r>
          </w:p>
        </w:tc>
      </w:tr>
      <w:tr>
        <w:trPr/>
        <w:tc>
          <w:tcPr>
            <w:tcW w:w="6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000000"/>
                <w:sz w:val="16"/>
                <w:szCs w:val="16"/>
              </w:rPr>
            </w:pPr>
            <w:r>
              <w:rPr>
                <w:color w:val="000000"/>
                <w:sz w:val="16"/>
                <w:szCs w:val="16"/>
              </w:rPr>
              <w:t>1</w:t>
            </w:r>
          </w:p>
        </w:tc>
        <w:tc>
          <w:tcPr>
            <w:tcW w:w="15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000000"/>
                <w:sz w:val="16"/>
                <w:szCs w:val="16"/>
              </w:rPr>
            </w:pPr>
            <w:r>
              <w:rPr>
                <w:color w:val="000000"/>
                <w:sz w:val="16"/>
                <w:szCs w:val="16"/>
              </w:rPr>
              <w:t xml:space="preserve">Serviço de troca de reparo da cuica com fornecimento dos seguintes materiais: um  difragma cuica 8” SABO 764404, uma mola cuica freio 24x30/30x30 PSB63  e reparo cuica 24x30/30x30 QA6160 </w:t>
            </w:r>
            <w:r>
              <w:rPr>
                <w:rStyle w:val="Fontepargpadro"/>
                <w:rFonts w:eastAsia="Times New Roman" w:cs="Calibri"/>
                <w:b w:val="false"/>
                <w:bCs w:val="false"/>
                <w:color w:val="auto"/>
                <w:sz w:val="16"/>
                <w:szCs w:val="16"/>
                <w:lang w:bidi="ar-SA"/>
              </w:rPr>
              <w:t>para o caminhão de carroceria aberta VW/15.190 CRM 4X2, placa KPS8860 e chassi de n° 9536E8233DR325160</w:t>
            </w:r>
            <w:r>
              <w:rPr>
                <w:color w:val="000000"/>
                <w:sz w:val="16"/>
                <w:szCs w:val="16"/>
              </w:rPr>
              <w:t>.</w:t>
            </w:r>
          </w:p>
        </w:tc>
        <w:tc>
          <w:tcPr>
            <w:tcW w:w="9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111111"/>
                <w:sz w:val="16"/>
                <w:szCs w:val="16"/>
              </w:rPr>
            </w:pPr>
            <w:r>
              <w:rPr>
                <w:color w:val="111111"/>
                <w:sz w:val="16"/>
                <w:szCs w:val="16"/>
              </w:rPr>
              <w:t>18163</w:t>
            </w:r>
          </w:p>
        </w:tc>
        <w:tc>
          <w:tcPr>
            <w:tcW w:w="10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000000"/>
                <w:sz w:val="16"/>
                <w:szCs w:val="16"/>
              </w:rPr>
            </w:pPr>
            <w:r>
              <w:rPr>
                <w:color w:val="000000"/>
                <w:sz w:val="16"/>
                <w:szCs w:val="16"/>
              </w:rPr>
              <w:t>UN</w:t>
            </w:r>
          </w:p>
        </w:tc>
        <w:tc>
          <w:tcPr>
            <w:tcW w:w="9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000000"/>
                <w:sz w:val="16"/>
                <w:szCs w:val="16"/>
              </w:rPr>
            </w:pPr>
            <w:r>
              <w:rPr>
                <w:color w:val="000000"/>
                <w:sz w:val="16"/>
                <w:szCs w:val="16"/>
              </w:rPr>
              <w:t>1</w:t>
            </w:r>
          </w:p>
        </w:tc>
        <w:tc>
          <w:tcPr>
            <w:tcW w:w="118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000000"/>
                <w:sz w:val="16"/>
                <w:szCs w:val="16"/>
              </w:rPr>
            </w:pPr>
            <w:r>
              <w:rPr>
                <w:color w:val="000000"/>
                <w:sz w:val="16"/>
                <w:szCs w:val="16"/>
              </w:rPr>
              <w:t>R$ 284,99</w:t>
            </w:r>
          </w:p>
        </w:tc>
        <w:tc>
          <w:tcPr>
            <w:tcW w:w="113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Default"/>
              <w:keepNext w:val="false"/>
              <w:widowControl w:val="false"/>
              <w:jc w:val="center"/>
              <w:rPr>
                <w:rFonts w:ascii="Calibri" w:hAnsi="Calibri"/>
                <w:color w:val="000000"/>
                <w:sz w:val="16"/>
                <w:szCs w:val="16"/>
              </w:rPr>
            </w:pPr>
            <w:r>
              <w:rPr>
                <w:color w:val="000000"/>
                <w:sz w:val="16"/>
                <w:szCs w:val="16"/>
              </w:rPr>
              <w:t>R$ 284,99</w:t>
            </w:r>
          </w:p>
        </w:tc>
        <w:tc>
          <w:tcPr>
            <w:tcW w:w="110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keepNext w:val="false"/>
              <w:widowControl w:val="false"/>
              <w:suppressAutoHyphens w:val="true"/>
              <w:bidi w:val="0"/>
              <w:spacing w:lineRule="auto" w:line="276" w:before="0" w:after="120"/>
              <w:jc w:val="center"/>
              <w:rPr>
                <w:rFonts w:ascii="Calibri" w:hAnsi="Calibri"/>
                <w:sz w:val="24"/>
                <w:szCs w:val="24"/>
              </w:rPr>
            </w:pPr>
            <w:r>
              <w:rPr>
                <w:rFonts w:cs="Arial" w:ascii="Calibri" w:hAnsi="Calibri"/>
                <w:color w:val="000000"/>
                <w:sz w:val="16"/>
                <w:szCs w:val="16"/>
              </w:rPr>
              <w:t>5 dias</w:t>
            </w:r>
          </w:p>
        </w:tc>
      </w:tr>
    </w:tbl>
    <w:p>
      <w:pPr>
        <w:pStyle w:val="PADRO"/>
        <w:keepNext w:val="false"/>
        <w:pageBreakBefore w:val="false"/>
        <w:widowControl w:val="false"/>
        <w:shd w:val="clear" w:color="auto" w:fill="auto"/>
        <w:bidi w:val="0"/>
        <w:spacing w:before="120" w:after="120"/>
        <w:ind w:hanging="0"/>
        <w:jc w:val="left"/>
        <w:rPr>
          <w:rFonts w:ascii="Calibri" w:hAnsi="Calibri"/>
          <w:color w:val="C9211E"/>
          <w:sz w:val="24"/>
          <w:szCs w:val="24"/>
        </w:rPr>
      </w:pPr>
      <w:r>
        <w:rPr>
          <w:rFonts w:ascii="Calibri" w:hAnsi="Calibri"/>
          <w:color w:val="C9211E"/>
          <w:sz w:val="24"/>
          <w:szCs w:val="24"/>
        </w:rPr>
      </w:r>
    </w:p>
    <w:p>
      <w:pPr>
        <w:pStyle w:val="PADRO"/>
        <w:keepNext w:val="false"/>
        <w:pageBreakBefore w:val="false"/>
        <w:widowControl w:val="false"/>
        <w:numPr>
          <w:ilvl w:val="2"/>
          <w:numId w:val="1"/>
        </w:numPr>
        <w:shd w:val="clear" w:color="auto" w:fill="auto"/>
        <w:bidi w:val="0"/>
        <w:spacing w:before="120" w:after="120"/>
        <w:jc w:val="both"/>
        <w:rPr>
          <w:rFonts w:ascii="Calibri" w:hAnsi="Calibri"/>
          <w:sz w:val="24"/>
          <w:szCs w:val="24"/>
        </w:rPr>
      </w:pPr>
      <w:r>
        <w:rPr>
          <w:rFonts w:cs="Arial" w:ascii="Calibri" w:hAnsi="Calibri"/>
          <w:sz w:val="24"/>
          <w:szCs w:val="24"/>
        </w:rPr>
        <w:t xml:space="preserve">Havendo mais de item ou lote faculta-se ao </w:t>
      </w:r>
      <w:r>
        <w:rPr>
          <w:rFonts w:cs="Arial" w:ascii="Calibri" w:hAnsi="Calibri"/>
          <w:color w:val="000000" w:themeColor="text1"/>
          <w:sz w:val="24"/>
          <w:szCs w:val="24"/>
          <w:lang w:eastAsia="en-US"/>
        </w:rPr>
        <w:t>prestador de serviços</w:t>
      </w:r>
      <w:r>
        <w:rPr>
          <w:rFonts w:cs="Arial" w:ascii="Calibri" w:hAnsi="Calibri"/>
          <w:sz w:val="24"/>
          <w:szCs w:val="24"/>
        </w:rPr>
        <w:t xml:space="preserve"> a participação em quantos forem de seu interesse. Entretanto, optando-se por participar de um lote, deve o </w:t>
      </w:r>
      <w:r>
        <w:rPr>
          <w:rFonts w:cs="Arial" w:ascii="Calibri" w:hAnsi="Calibri"/>
          <w:color w:val="000000" w:themeColor="text1"/>
          <w:sz w:val="24"/>
          <w:szCs w:val="24"/>
          <w:lang w:eastAsia="en-US"/>
        </w:rPr>
        <w:t>prestador de serviços</w:t>
      </w:r>
      <w:r>
        <w:rPr>
          <w:rFonts w:cs="Arial" w:ascii="Calibri" w:hAnsi="Calibri"/>
          <w:sz w:val="24"/>
          <w:szCs w:val="24"/>
        </w:rPr>
        <w:t xml:space="preserve"> enviar proposta para todos os itens que o compõem.</w:t>
      </w:r>
    </w:p>
    <w:p>
      <w:pPr>
        <w:pStyle w:val="PADRO"/>
        <w:keepNext w:val="false"/>
        <w:pageBreakBefore w:val="false"/>
        <w:widowControl w:val="false"/>
        <w:numPr>
          <w:ilvl w:val="1"/>
          <w:numId w:val="1"/>
        </w:numPr>
        <w:shd w:val="clear" w:color="auto" w:fill="auto"/>
        <w:bidi w:val="0"/>
        <w:spacing w:before="120" w:after="120"/>
        <w:jc w:val="both"/>
        <w:rPr>
          <w:rFonts w:ascii="Arial" w:hAnsi="Arial" w:cs="Arial"/>
          <w:color w:val="000000" w:themeColor="text1"/>
          <w:szCs w:val="20"/>
        </w:rPr>
      </w:pPr>
      <w:r>
        <w:rPr>
          <w:rFonts w:cs="Arial" w:ascii="Calibri" w:hAnsi="Calibri"/>
          <w:sz w:val="24"/>
          <w:szCs w:val="24"/>
        </w:rPr>
        <w:t>O critério de julgamento adotado será o menor preço, observadas as exigências contidas neste Aviso de Contratação Direta e seus Anexos quanto às especificações do objeto.</w:t>
      </w:r>
    </w:p>
    <w:p>
      <w:pPr>
        <w:pStyle w:val="PADRO"/>
        <w:keepNext w:val="false"/>
        <w:pageBreakBefore w:val="false"/>
        <w:widowControl w:val="false"/>
        <w:shd w:val="clear" w:color="auto" w:fill="auto"/>
        <w:bidi w:val="0"/>
        <w:spacing w:before="120" w:after="120"/>
        <w:jc w:val="left"/>
        <w:rPr>
          <w:rFonts w:ascii="Calibri" w:hAnsi="Calibri" w:cs="Arial"/>
          <w:sz w:val="24"/>
          <w:szCs w:val="24"/>
        </w:rPr>
      </w:pPr>
      <w:r>
        <w:rPr>
          <w:rFonts w:cs="Arial" w:ascii="Calibri" w:hAnsi="Calibri"/>
          <w:sz w:val="24"/>
          <w:szCs w:val="24"/>
        </w:rPr>
      </w:r>
    </w:p>
    <w:p>
      <w:pPr>
        <w:pStyle w:val="PADRO"/>
        <w:keepNext w:val="false"/>
        <w:pageBreakBefore w:val="false"/>
        <w:widowControl w:val="false"/>
        <w:numPr>
          <w:ilvl w:val="1"/>
          <w:numId w:val="1"/>
        </w:numPr>
        <w:shd w:val="clear" w:color="auto" w:fill="auto"/>
        <w:bidi w:val="0"/>
        <w:spacing w:before="120" w:after="120"/>
        <w:jc w:val="left"/>
        <w:rPr>
          <w:rFonts w:ascii="Arial" w:hAnsi="Arial" w:cs="Arial"/>
          <w:b/>
          <w:b/>
          <w:bCs/>
          <w:szCs w:val="20"/>
        </w:rPr>
      </w:pPr>
      <w:r>
        <w:rPr>
          <w:rFonts w:cs="Arial" w:ascii="Calibri" w:hAnsi="Calibri"/>
          <w:b/>
          <w:bCs/>
          <w:sz w:val="24"/>
          <w:szCs w:val="24"/>
        </w:rPr>
        <w:t>QUANTO À ESPECIFICIDADE DO BEM / SERVIÇO</w:t>
      </w:r>
    </w:p>
    <w:p>
      <w:pPr>
        <w:pStyle w:val="PADRO"/>
        <w:keepNext w:val="false"/>
        <w:pageBreakBefore w:val="false"/>
        <w:widowControl w:val="false"/>
        <w:bidi w:val="0"/>
        <w:jc w:val="both"/>
        <w:rPr/>
      </w:pPr>
      <w:r>
        <w:rPr>
          <w:rFonts w:cs="Arial" w:ascii="Calibri" w:hAnsi="Calibri"/>
          <w:b/>
          <w:bCs/>
          <w:color w:val="000000"/>
          <w:sz w:val="24"/>
          <w:szCs w:val="24"/>
        </w:rPr>
        <w:tab/>
        <w:t xml:space="preserve">1.4.1 </w:t>
      </w:r>
      <w:r>
        <w:rPr>
          <w:rStyle w:val="Fontepargpadro"/>
          <w:rFonts w:eastAsia="Times New Roman" w:cs="Calibri" w:ascii="Calibri" w:hAnsi="Calibri"/>
          <w:b w:val="false"/>
          <w:bCs w:val="false"/>
          <w:color w:val="000000"/>
          <w:sz w:val="24"/>
          <w:szCs w:val="24"/>
          <w:lang w:bidi="ar-SA"/>
        </w:rPr>
        <w:t xml:space="preserve">As peças a serem fornecidas deverão atender as especificações das normas vigentes. Salienta-se que o serviço deverá ser executado e entregues dentro do prazo estipulado pelo contratante. </w:t>
      </w:r>
      <w:r>
        <w:rPr>
          <w:rStyle w:val="Fontepargpadro"/>
          <w:rFonts w:eastAsia="Times New Roman" w:cs="Times New Roman" w:ascii="Calibri" w:hAnsi="Calibri"/>
          <w:b w:val="false"/>
          <w:bCs/>
          <w:color w:val="000000"/>
          <w:kern w:val="0"/>
          <w:sz w:val="24"/>
          <w:szCs w:val="24"/>
          <w:lang w:bidi="ar-SA"/>
        </w:rPr>
        <w:t>A cotação de preços foi obtida através</w:t>
      </w:r>
      <w:r>
        <w:rPr>
          <w:rStyle w:val="Fontepargpadro"/>
          <w:rFonts w:eastAsia="Times New Roman" w:cs="Calibri" w:ascii="Calibri" w:hAnsi="Calibri"/>
          <w:b w:val="false"/>
          <w:bCs/>
          <w:color w:val="000000"/>
          <w:sz w:val="24"/>
          <w:szCs w:val="24"/>
          <w:lang w:bidi="ar-SA"/>
        </w:rPr>
        <w:t xml:space="preserve"> </w:t>
      </w:r>
      <w:r>
        <w:rPr>
          <w:rStyle w:val="Fontepargpadro"/>
          <w:rFonts w:eastAsia="Times New Roman" w:cs="Calibri" w:ascii="Calibri" w:hAnsi="Calibri"/>
          <w:b w:val="false"/>
          <w:bCs/>
          <w:color w:val="000000"/>
          <w:sz w:val="24"/>
          <w:szCs w:val="24"/>
          <w:highlight w:val="white"/>
          <w:lang w:bidi="ar-SA"/>
        </w:rPr>
        <w:t>de 3 três orçamentos adquiridos junto ao mercado.</w:t>
      </w:r>
      <w:r>
        <w:rPr>
          <w:rStyle w:val="Fontepargpadro"/>
          <w:rFonts w:eastAsia="Times New Roman" w:cs="Calibri" w:ascii="Calibri" w:hAnsi="Calibri"/>
          <w:b/>
          <w:bCs/>
          <w:color w:val="000000"/>
          <w:sz w:val="24"/>
          <w:szCs w:val="24"/>
          <w:highlight w:val="white"/>
          <w:lang w:bidi="ar-SA"/>
        </w:rPr>
        <w:t xml:space="preserve"> </w:t>
      </w:r>
      <w:r>
        <w:rPr>
          <w:rStyle w:val="Fontepargpadro"/>
          <w:rFonts w:eastAsia="Times New Roman" w:cs="Calibri" w:ascii="Calibri" w:hAnsi="Calibri"/>
          <w:b w:val="false"/>
          <w:bCs w:val="false"/>
          <w:color w:val="000000"/>
          <w:sz w:val="24"/>
          <w:szCs w:val="24"/>
          <w:highlight w:val="white"/>
          <w:lang w:bidi="ar-SA"/>
        </w:rPr>
        <w:t>Vale frisar que foi considerado o menor valor, dentre os 3 três orçamentos, a fim de realizar os cálculos para a estimativa de preços unitários.</w:t>
      </w:r>
    </w:p>
    <w:p>
      <w:pPr>
        <w:pStyle w:val="PADRO"/>
        <w:keepNext w:val="false"/>
        <w:pageBreakBefore w:val="false"/>
        <w:widowControl w:val="false"/>
        <w:shd w:val="clear" w:color="auto" w:fill="auto"/>
        <w:bidi w:val="0"/>
        <w:spacing w:before="120" w:after="120"/>
        <w:ind w:left="792" w:hanging="0"/>
        <w:jc w:val="left"/>
        <w:rPr>
          <w:rFonts w:ascii="Calibri" w:hAnsi="Calibri" w:cs="Arial"/>
          <w:b/>
          <w:b/>
          <w:bCs/>
          <w:color w:val="C9211E"/>
          <w:sz w:val="24"/>
          <w:szCs w:val="24"/>
        </w:rPr>
      </w:pPr>
      <w:r>
        <w:rPr>
          <w:rFonts w:cs="Arial" w:ascii="Calibri" w:hAnsi="Calibri"/>
          <w:b/>
          <w:bCs/>
          <w:color w:val="C9211E"/>
          <w:sz w:val="24"/>
          <w:szCs w:val="24"/>
        </w:rPr>
      </w:r>
    </w:p>
    <w:p>
      <w:pPr>
        <w:pStyle w:val="PADRO"/>
        <w:keepNext w:val="false"/>
        <w:pageBreakBefore w:val="false"/>
        <w:widowControl w:val="false"/>
        <w:numPr>
          <w:ilvl w:val="1"/>
          <w:numId w:val="1"/>
        </w:numPr>
        <w:shd w:val="clear" w:color="auto" w:fill="auto"/>
        <w:bidi w:val="0"/>
        <w:spacing w:before="120" w:after="120"/>
        <w:jc w:val="left"/>
        <w:rPr>
          <w:rFonts w:ascii="Calibri" w:hAnsi="Calibri"/>
          <w:sz w:val="24"/>
          <w:szCs w:val="24"/>
        </w:rPr>
      </w:pPr>
      <w:r>
        <w:rPr>
          <w:rFonts w:cs="Arial" w:ascii="Calibri" w:hAnsi="Calibri"/>
          <w:b/>
          <w:bCs/>
          <w:sz w:val="24"/>
          <w:szCs w:val="24"/>
        </w:rPr>
        <w:t>QUANTO ÀS CONDIÇÕES DE RECEBIMENTO DO BEM OU SERVIÇO</w:t>
      </w:r>
    </w:p>
    <w:p>
      <w:pPr>
        <w:pStyle w:val="PADRO"/>
        <w:widowControl w:val="false"/>
        <w:numPr>
          <w:ilvl w:val="0"/>
          <w:numId w:val="0"/>
        </w:numPr>
        <w:shd w:val="clear" w:color="auto" w:fill="auto"/>
        <w:bidi w:val="0"/>
        <w:spacing w:before="120" w:after="120"/>
        <w:ind w:left="792" w:hanging="0"/>
        <w:jc w:val="left"/>
        <w:rPr>
          <w:rFonts w:cs="Arial"/>
          <w:b/>
          <w:b/>
          <w:bCs/>
        </w:rPr>
      </w:pPr>
      <w:r>
        <w:rPr>
          <w:rFonts w:cs="Arial"/>
          <w:b/>
          <w:bCs/>
        </w:rPr>
      </w:r>
    </w:p>
    <w:p>
      <w:pPr>
        <w:pStyle w:val="PADRO"/>
        <w:keepNext w:val="false"/>
        <w:pageBreakBefore w:val="false"/>
        <w:widowControl w:val="false"/>
        <w:numPr>
          <w:ilvl w:val="2"/>
          <w:numId w:val="1"/>
        </w:numPr>
        <w:shd w:val="clear" w:color="auto" w:fill="auto"/>
        <w:bidi w:val="0"/>
        <w:spacing w:before="120" w:after="120"/>
        <w:jc w:val="both"/>
        <w:rPr/>
      </w:pPr>
      <w:r>
        <w:rPr>
          <w:rFonts w:cs="Arial" w:ascii="Calibri" w:hAnsi="Calibri"/>
          <w:sz w:val="24"/>
          <w:szCs w:val="24"/>
        </w:rPr>
        <w:t xml:space="preserve"> </w:t>
      </w:r>
      <w:r>
        <w:rPr>
          <w:rFonts w:cs="Calibri" w:ascii="Calibri" w:hAnsi="Calibri"/>
          <w:b w:val="false"/>
          <w:bCs w:val="false"/>
          <w:color w:val="000000"/>
          <w:spacing w:val="-4"/>
          <w:sz w:val="24"/>
          <w:szCs w:val="24"/>
        </w:rPr>
        <w:t>Acentua-se que a empresa vencedora deverá possuir oficina localizada  mais próximo possível  da Base Aérea Naval de São Pedro da Aldeia, no endereço: Rua Comandante Ituriel S/N° - Fluminense - São Pedro da Aldeia-RJ, Cep:</w:t>
      </w:r>
      <w:bookmarkStart w:id="0" w:name="formResultado%252525253Aj_idt74"/>
      <w:bookmarkEnd w:id="0"/>
      <w:r>
        <w:rPr>
          <w:rFonts w:cs="Arial" w:ascii="Calibri" w:hAnsi="Calibri"/>
          <w:b w:val="false"/>
          <w:bCs w:val="false"/>
          <w:spacing w:val="-4"/>
          <w:sz w:val="24"/>
          <w:szCs w:val="24"/>
        </w:rPr>
        <w:t>28940-000, Departamento de Manutenção Urbana- Divisão de Transportes, sendo uma distância máxima aceitável de 50 Km (cinquenta quilômetros), haja vista as condições atual d</w:t>
      </w:r>
      <w:r>
        <w:rPr>
          <w:rStyle w:val="Fontepargpadro"/>
          <w:rFonts w:eastAsia="Times New Roman" w:cs="Calibri" w:ascii="Calibri" w:hAnsi="Calibri"/>
          <w:b w:val="false"/>
          <w:bCs w:val="false"/>
          <w:color w:val="auto"/>
          <w:spacing w:val="-4"/>
          <w:sz w:val="24"/>
          <w:szCs w:val="24"/>
          <w:lang w:bidi="ar-SA"/>
        </w:rPr>
        <w:t xml:space="preserve">o caminhão de carroceria aberta VW/15.190 CRM 4X2 </w:t>
      </w:r>
      <w:r>
        <w:rPr>
          <w:rStyle w:val="Fontepargpadro"/>
          <w:rFonts w:eastAsia="Times New Roman" w:cs="Calibri" w:ascii="Calibri" w:hAnsi="Calibri"/>
          <w:b w:val="false"/>
          <w:bCs w:val="false"/>
          <w:color w:val="auto"/>
          <w:spacing w:val="-4"/>
          <w:sz w:val="24"/>
          <w:szCs w:val="24"/>
          <w:lang w:bidi="ar-SA"/>
        </w:rPr>
        <w:t>de</w:t>
      </w:r>
      <w:r>
        <w:rPr>
          <w:rStyle w:val="Fontepargpadro"/>
          <w:rFonts w:eastAsia="Times New Roman" w:cs="Calibri" w:ascii="Calibri" w:hAnsi="Calibri"/>
          <w:b w:val="false"/>
          <w:bCs w:val="false"/>
          <w:color w:val="auto"/>
          <w:spacing w:val="-4"/>
          <w:sz w:val="24"/>
          <w:szCs w:val="24"/>
          <w:lang w:bidi="ar-SA"/>
        </w:rPr>
        <w:t xml:space="preserve"> placa KPS8860,</w:t>
      </w:r>
      <w:r>
        <w:rPr>
          <w:rFonts w:cs="Arial" w:ascii="Calibri" w:hAnsi="Calibri"/>
          <w:b w:val="false"/>
          <w:bCs w:val="false"/>
          <w:spacing w:val="-4"/>
          <w:sz w:val="24"/>
          <w:szCs w:val="24"/>
        </w:rPr>
        <w:t xml:space="preserve"> o qual não possui condições técnica para realizar deslocamento à longa distância.</w:t>
      </w:r>
    </w:p>
    <w:p>
      <w:pPr>
        <w:pStyle w:val="PADRO"/>
        <w:keepNext w:val="false"/>
        <w:pageBreakBefore w:val="false"/>
        <w:widowControl w:val="false"/>
        <w:shd w:val="clear" w:color="auto" w:fill="auto"/>
        <w:bidi w:val="0"/>
        <w:spacing w:before="120" w:after="120"/>
        <w:ind w:left="1224" w:hanging="0"/>
        <w:jc w:val="left"/>
        <w:rPr>
          <w:rFonts w:ascii="Calibri" w:hAnsi="Calibri" w:cs="Arial"/>
          <w:sz w:val="24"/>
          <w:szCs w:val="24"/>
          <w:highlight w:val="yellow"/>
        </w:rPr>
      </w:pPr>
      <w:r>
        <w:rPr>
          <w:rFonts w:cs="Arial" w:ascii="Calibri" w:hAnsi="Calibri"/>
          <w:sz w:val="24"/>
          <w:szCs w:val="24"/>
          <w:highlight w:val="yellow"/>
        </w:rPr>
      </w:r>
    </w:p>
    <w:p>
      <w:pPr>
        <w:pStyle w:val="PADRO"/>
        <w:keepNext w:val="false"/>
        <w:pageBreakBefore w:val="false"/>
        <w:widowControl w:val="false"/>
        <w:numPr>
          <w:ilvl w:val="2"/>
          <w:numId w:val="1"/>
        </w:numPr>
        <w:shd w:val="clear" w:color="auto" w:fill="auto"/>
        <w:bidi w:val="0"/>
        <w:spacing w:before="120" w:after="120"/>
        <w:jc w:val="both"/>
        <w:rPr>
          <w:rFonts w:ascii="Calibri" w:hAnsi="Calibri"/>
          <w:sz w:val="24"/>
          <w:szCs w:val="24"/>
        </w:rPr>
      </w:pPr>
      <w:r>
        <w:rPr>
          <w:rFonts w:cs="Arial" w:ascii="Calibri" w:hAnsi="Calibri"/>
          <w:sz w:val="24"/>
          <w:szCs w:val="24"/>
        </w:rPr>
        <w:t xml:space="preserve"> </w:t>
      </w:r>
      <w:r>
        <w:rPr>
          <w:rFonts w:cs="Arial" w:ascii="Calibri" w:hAnsi="Calibri"/>
          <w:sz w:val="24"/>
          <w:szCs w:val="24"/>
        </w:rPr>
        <w:t xml:space="preserve">A execução do serviço será acompanhada por servidor desta Administração que  verificará a compatibilidade do bem/serviço com o objeto desta dispensa, devendo o </w:t>
      </w:r>
      <w:r>
        <w:rPr>
          <w:rFonts w:cs="Arial" w:ascii="Calibri" w:hAnsi="Calibri"/>
          <w:color w:val="000000" w:themeColor="text1"/>
          <w:sz w:val="24"/>
          <w:szCs w:val="24"/>
          <w:lang w:eastAsia="en-US"/>
        </w:rPr>
        <w:t>prestador de serviços</w:t>
      </w:r>
      <w:r>
        <w:rPr>
          <w:rFonts w:cs="Arial" w:ascii="Calibri" w:hAnsi="Calibri"/>
          <w:sz w:val="24"/>
          <w:szCs w:val="24"/>
        </w:rPr>
        <w:t>, corrigir, com ônus para si, aquilo que não estiver em conformidade.</w:t>
      </w:r>
    </w:p>
    <w:p>
      <w:pPr>
        <w:pStyle w:val="PADRO"/>
        <w:keepNext w:val="false"/>
        <w:pageBreakBefore w:val="false"/>
        <w:widowControl w:val="false"/>
        <w:numPr>
          <w:ilvl w:val="3"/>
          <w:numId w:val="1"/>
        </w:numPr>
        <w:shd w:val="clear" w:color="auto" w:fill="auto"/>
        <w:bidi w:val="0"/>
        <w:spacing w:before="120" w:after="120"/>
        <w:jc w:val="both"/>
        <w:rPr>
          <w:rFonts w:ascii="Calibri" w:hAnsi="Calibri"/>
          <w:sz w:val="24"/>
          <w:szCs w:val="24"/>
        </w:rPr>
      </w:pPr>
      <w:r>
        <w:rPr>
          <w:rFonts w:cs="Arial" w:ascii="Calibri" w:hAnsi="Calibri"/>
          <w:sz w:val="24"/>
          <w:szCs w:val="24"/>
        </w:rPr>
        <w:t xml:space="preserve">Será considerado o </w:t>
      </w:r>
      <w:r>
        <w:rPr>
          <w:rFonts w:cs="Arial" w:ascii="Calibri" w:hAnsi="Calibri"/>
          <w:color w:val="000000"/>
          <w:sz w:val="24"/>
          <w:szCs w:val="24"/>
        </w:rPr>
        <w:t>prazo de 5 (cinco) dias</w:t>
      </w:r>
      <w:r>
        <w:rPr>
          <w:rFonts w:cs="Arial" w:ascii="Calibri" w:hAnsi="Calibri"/>
          <w:sz w:val="24"/>
          <w:szCs w:val="24"/>
        </w:rPr>
        <w:t xml:space="preserve"> à título de recebimento provisório, quando, neste período, poderá ser convocado o </w:t>
      </w:r>
      <w:r>
        <w:rPr>
          <w:rFonts w:cs="Arial" w:ascii="Calibri" w:hAnsi="Calibri"/>
          <w:color w:val="000000" w:themeColor="text1"/>
          <w:sz w:val="24"/>
          <w:szCs w:val="24"/>
          <w:lang w:eastAsia="en-US"/>
        </w:rPr>
        <w:t>prestador de serviços,</w:t>
      </w:r>
      <w:r>
        <w:rPr>
          <w:rFonts w:cs="Arial" w:ascii="Calibri" w:hAnsi="Calibri"/>
          <w:sz w:val="24"/>
          <w:szCs w:val="24"/>
        </w:rPr>
        <w:t xml:space="preserve"> para correção da falha/falta constatada, reiniciando-se o prazo a partir da entrega do bem/serviço corrigido.</w:t>
      </w:r>
    </w:p>
    <w:p>
      <w:pPr>
        <w:pStyle w:val="PADRO"/>
        <w:keepNext w:val="false"/>
        <w:pageBreakBefore w:val="false"/>
        <w:widowControl w:val="false"/>
        <w:numPr>
          <w:ilvl w:val="3"/>
          <w:numId w:val="1"/>
        </w:numPr>
        <w:shd w:val="clear" w:color="auto" w:fill="auto"/>
        <w:bidi w:val="0"/>
        <w:spacing w:before="120" w:after="120"/>
        <w:jc w:val="both"/>
        <w:rPr>
          <w:rFonts w:ascii="Arial" w:hAnsi="Arial" w:cs="Arial"/>
          <w:szCs w:val="20"/>
        </w:rPr>
      </w:pPr>
      <w:r>
        <w:rPr>
          <w:rFonts w:cs="Arial" w:ascii="Calibri" w:hAnsi="Calibri"/>
          <w:sz w:val="24"/>
          <w:szCs w:val="24"/>
        </w:rPr>
        <w:t xml:space="preserve">Será considerado recebimento definitivo aquele em que for assinalado pelo servidor responsável que o bem/serviço foi prestado em consonância com o estabelecido, a partir de qual data, por até cinco dias, será convocado o </w:t>
      </w:r>
      <w:r>
        <w:rPr>
          <w:rFonts w:cs="Arial" w:ascii="Calibri" w:hAnsi="Calibri"/>
          <w:color w:val="000000" w:themeColor="text1"/>
          <w:sz w:val="24"/>
          <w:szCs w:val="24"/>
          <w:lang w:eastAsia="en-US"/>
        </w:rPr>
        <w:t xml:space="preserve">prestador de serviços </w:t>
      </w:r>
      <w:r>
        <w:rPr>
          <w:rFonts w:cs="Arial" w:ascii="Calibri" w:hAnsi="Calibri"/>
          <w:sz w:val="24"/>
          <w:szCs w:val="24"/>
        </w:rPr>
        <w:t>para emissão da fatura/nota fiscal.</w:t>
      </w:r>
    </w:p>
    <w:p>
      <w:pPr>
        <w:pStyle w:val="PADRO"/>
        <w:keepNext w:val="false"/>
        <w:pageBreakBefore w:val="false"/>
        <w:widowControl w:val="false"/>
        <w:numPr>
          <w:ilvl w:val="3"/>
          <w:numId w:val="1"/>
        </w:numPr>
        <w:shd w:val="clear" w:color="auto" w:fill="auto"/>
        <w:bidi w:val="0"/>
        <w:spacing w:before="120" w:after="120"/>
        <w:jc w:val="both"/>
        <w:rPr>
          <w:rFonts w:ascii="Arial" w:hAnsi="Arial" w:cs="Arial"/>
          <w:szCs w:val="20"/>
        </w:rPr>
      </w:pPr>
      <w:r>
        <w:rPr>
          <w:rFonts w:cs="Arial" w:ascii="Calibri" w:hAnsi="Calibri"/>
          <w:sz w:val="24"/>
          <w:szCs w:val="24"/>
        </w:rPr>
        <w:t xml:space="preserve">Será ainda considerado recebimento definitivo aquele seguinte ao fim do prazo de recebimento provisório, se expirado, em não havendo tempestiva convocação do </w:t>
      </w:r>
      <w:r>
        <w:rPr>
          <w:rFonts w:cs="Arial" w:ascii="Calibri" w:hAnsi="Calibri"/>
          <w:color w:val="000000" w:themeColor="text1"/>
          <w:sz w:val="24"/>
          <w:szCs w:val="24"/>
          <w:lang w:eastAsia="en-US"/>
        </w:rPr>
        <w:t xml:space="preserve">prestador de serviços </w:t>
      </w:r>
      <w:r>
        <w:rPr>
          <w:rFonts w:cs="Arial" w:ascii="Calibri" w:hAnsi="Calibri"/>
          <w:sz w:val="24"/>
          <w:szCs w:val="24"/>
        </w:rPr>
        <w:t>como explicitado no caput do item 1.5.</w:t>
      </w:r>
    </w:p>
    <w:p>
      <w:pPr>
        <w:pStyle w:val="PADRO"/>
        <w:keepNext w:val="false"/>
        <w:pageBreakBefore w:val="false"/>
        <w:widowControl w:val="false"/>
        <w:shd w:val="clear" w:color="auto" w:fill="auto"/>
        <w:bidi w:val="0"/>
        <w:spacing w:before="120" w:after="120"/>
        <w:ind w:left="792" w:hanging="0"/>
        <w:jc w:val="left"/>
        <w:rPr>
          <w:rFonts w:ascii="Calibri" w:hAnsi="Calibri" w:cs="Arial"/>
          <w:sz w:val="24"/>
          <w:szCs w:val="24"/>
          <w:highlight w:val="yellow"/>
        </w:rPr>
      </w:pPr>
      <w:r>
        <w:rPr>
          <w:rFonts w:cs="Arial" w:ascii="Calibri" w:hAnsi="Calibri"/>
          <w:sz w:val="24"/>
          <w:szCs w:val="24"/>
          <w:highlight w:val="yellow"/>
        </w:rPr>
      </w:r>
    </w:p>
    <w:p>
      <w:pPr>
        <w:pStyle w:val="PADRO"/>
        <w:keepNext w:val="false"/>
        <w:pageBreakBefore w:val="false"/>
        <w:widowControl w:val="false"/>
        <w:numPr>
          <w:ilvl w:val="1"/>
          <w:numId w:val="1"/>
        </w:numPr>
        <w:shd w:val="clear" w:color="auto" w:fill="auto"/>
        <w:bidi w:val="0"/>
        <w:spacing w:before="120" w:after="120"/>
        <w:jc w:val="left"/>
        <w:rPr>
          <w:rFonts w:ascii="Arial" w:hAnsi="Arial" w:cs="Arial"/>
          <w:b/>
          <w:b/>
          <w:bCs/>
          <w:szCs w:val="20"/>
        </w:rPr>
      </w:pPr>
      <w:r>
        <w:rPr>
          <w:rFonts w:cs="Arial" w:ascii="Calibri" w:hAnsi="Calibri"/>
          <w:b/>
          <w:bCs/>
          <w:sz w:val="24"/>
          <w:szCs w:val="24"/>
        </w:rPr>
        <w:t>QUANTO À GARANTIA DOS BENS E SERVIÇOS</w:t>
      </w:r>
    </w:p>
    <w:p>
      <w:pPr>
        <w:pStyle w:val="PADRO"/>
        <w:keepNext w:val="false"/>
        <w:pageBreakBefore w:val="false"/>
        <w:widowControl w:val="false"/>
        <w:numPr>
          <w:ilvl w:val="2"/>
          <w:numId w:val="1"/>
        </w:numPr>
        <w:shd w:val="clear" w:color="auto" w:fill="auto"/>
        <w:bidi w:val="0"/>
        <w:spacing w:before="120" w:after="120"/>
        <w:jc w:val="both"/>
        <w:rPr>
          <w:rFonts w:ascii="Calibri" w:hAnsi="Calibri"/>
          <w:sz w:val="24"/>
          <w:szCs w:val="24"/>
        </w:rPr>
      </w:pPr>
      <w:r>
        <w:rPr>
          <w:rFonts w:cs="Arial" w:ascii="Calibri" w:hAnsi="Calibri"/>
          <w:color w:val="C9211E"/>
          <w:sz w:val="24"/>
          <w:szCs w:val="24"/>
        </w:rPr>
        <w:t xml:space="preserve"> </w:t>
      </w:r>
      <w:r>
        <w:rPr>
          <w:rFonts w:cs="Calibri" w:ascii="Calibri" w:hAnsi="Calibri"/>
          <w:b w:val="false"/>
          <w:bCs w:val="false"/>
          <w:color w:val="000000"/>
          <w:sz w:val="24"/>
          <w:szCs w:val="24"/>
        </w:rPr>
        <w:t>Garantia de 3 meses do fabricante, para o fornecimento de peças, devendo a contratada ser responsabilizada pela má execução do serviço relacionado deste objeto.</w:t>
      </w:r>
    </w:p>
    <w:p>
      <w:pPr>
        <w:pStyle w:val="PADRO"/>
        <w:keepNext w:val="false"/>
        <w:pageBreakBefore w:val="false"/>
        <w:widowControl w:val="false"/>
        <w:shd w:val="clear" w:color="auto" w:fill="auto"/>
        <w:bidi w:val="0"/>
        <w:spacing w:before="120" w:after="120"/>
        <w:ind w:left="792" w:hanging="0"/>
        <w:jc w:val="left"/>
        <w:rPr>
          <w:rFonts w:ascii="Calibri" w:hAnsi="Calibri" w:cs="Arial"/>
          <w:b/>
          <w:b/>
          <w:bCs/>
          <w:color w:val="C9211E"/>
          <w:sz w:val="24"/>
          <w:szCs w:val="24"/>
        </w:rPr>
      </w:pPr>
      <w:r>
        <w:rPr>
          <w:rFonts w:cs="Arial" w:ascii="Calibri" w:hAnsi="Calibri"/>
          <w:b/>
          <w:bCs/>
          <w:color w:val="C9211E"/>
          <w:sz w:val="24"/>
          <w:szCs w:val="24"/>
        </w:rPr>
      </w:r>
    </w:p>
    <w:p>
      <w:pPr>
        <w:pStyle w:val="PADRO"/>
        <w:keepNext w:val="false"/>
        <w:pageBreakBefore w:val="false"/>
        <w:widowControl w:val="false"/>
        <w:numPr>
          <w:ilvl w:val="1"/>
          <w:numId w:val="1"/>
        </w:numPr>
        <w:shd w:val="clear" w:color="auto" w:fill="auto"/>
        <w:bidi w:val="0"/>
        <w:spacing w:before="120" w:after="120"/>
        <w:jc w:val="left"/>
        <w:rPr>
          <w:rFonts w:ascii="Arial" w:hAnsi="Arial" w:cs="Arial"/>
          <w:b/>
          <w:b/>
          <w:bCs/>
          <w:szCs w:val="20"/>
        </w:rPr>
      </w:pPr>
      <w:r>
        <w:rPr>
          <w:rFonts w:cs="Arial" w:ascii="Calibri" w:hAnsi="Calibri"/>
          <w:b/>
          <w:bCs/>
          <w:sz w:val="24"/>
          <w:szCs w:val="24"/>
        </w:rPr>
        <w:t>QUANTO À QUALIFICAÇÃO TÉCNICA</w:t>
      </w:r>
    </w:p>
    <w:p>
      <w:pPr>
        <w:pStyle w:val="PADRO"/>
        <w:keepNext w:val="false"/>
        <w:pageBreakBefore w:val="false"/>
        <w:widowControl w:val="false"/>
        <w:numPr>
          <w:ilvl w:val="2"/>
          <w:numId w:val="1"/>
        </w:numPr>
        <w:shd w:val="clear" w:color="auto" w:fill="auto"/>
        <w:bidi w:val="0"/>
        <w:spacing w:before="120" w:after="120"/>
        <w:jc w:val="both"/>
        <w:rPr>
          <w:color w:val="72BF44"/>
        </w:rPr>
      </w:pPr>
      <w:r>
        <w:rPr>
          <w:rFonts w:cs="Arial" w:ascii="Calibri" w:hAnsi="Calibri"/>
          <w:color w:val="000000"/>
          <w:sz w:val="24"/>
          <w:szCs w:val="24"/>
        </w:rPr>
        <w:t xml:space="preserve"> </w:t>
      </w:r>
      <w:r>
        <w:rPr>
          <w:rFonts w:cs="Calibri" w:ascii="Calibri" w:hAnsi="Calibri"/>
          <w:b w:val="false"/>
          <w:bCs w:val="false"/>
          <w:color w:val="000000"/>
          <w:spacing w:val="-4"/>
          <w:sz w:val="24"/>
          <w:szCs w:val="24"/>
        </w:rPr>
        <w:t xml:space="preserve">O serviço constante, deste objeto, deverão ser realizado por profissionais qualificados e que utilizem as ferramentas adequadas, a fim de atender os padrões técnicos. Vale ressaltar, ainda, que as peças a serem fornecidas deverão ser originais ou genuínas. </w:t>
      </w:r>
    </w:p>
    <w:p>
      <w:pPr>
        <w:pStyle w:val="PADRO"/>
        <w:keepNext w:val="false"/>
        <w:pageBreakBefore w:val="false"/>
        <w:widowControl w:val="false"/>
        <w:shd w:val="clear" w:color="auto" w:fill="auto"/>
        <w:bidi w:val="0"/>
        <w:spacing w:before="120" w:after="120"/>
        <w:ind w:left="792" w:hanging="0"/>
        <w:jc w:val="left"/>
        <w:rPr>
          <w:rFonts w:ascii="Calibri" w:hAnsi="Calibri" w:cs="Arial"/>
          <w:color w:val="000000"/>
          <w:sz w:val="24"/>
          <w:szCs w:val="24"/>
          <w:highlight w:val="yellow"/>
        </w:rPr>
      </w:pPr>
      <w:r>
        <w:rPr>
          <w:rFonts w:cs="Arial" w:ascii="Calibri" w:hAnsi="Calibri"/>
          <w:color w:val="000000"/>
          <w:sz w:val="24"/>
          <w:szCs w:val="24"/>
          <w:highlight w:val="yellow"/>
        </w:rPr>
      </w:r>
    </w:p>
    <w:p>
      <w:pPr>
        <w:pStyle w:val="PADRO"/>
        <w:keepNext w:val="false"/>
        <w:pageBreakBefore w:val="false"/>
        <w:widowControl w:val="false"/>
        <w:numPr>
          <w:ilvl w:val="1"/>
          <w:numId w:val="1"/>
        </w:numPr>
        <w:shd w:val="clear" w:color="auto" w:fill="auto"/>
        <w:bidi w:val="0"/>
        <w:spacing w:before="120" w:after="120"/>
        <w:jc w:val="left"/>
        <w:rPr>
          <w:rFonts w:ascii="Calibri" w:hAnsi="Calibri"/>
          <w:sz w:val="24"/>
          <w:szCs w:val="24"/>
        </w:rPr>
      </w:pPr>
      <w:r>
        <w:rPr>
          <w:rFonts w:cs="Arial" w:ascii="Calibri" w:hAnsi="Calibri"/>
          <w:b/>
          <w:bCs/>
          <w:sz w:val="24"/>
          <w:szCs w:val="24"/>
        </w:rPr>
        <w:t>QUANTO À SUBCONTRATAÇÃO</w:t>
      </w:r>
    </w:p>
    <w:p>
      <w:pPr>
        <w:pStyle w:val="PADRO"/>
        <w:keepNext w:val="false"/>
        <w:pageBreakBefore w:val="false"/>
        <w:widowControl w:val="false"/>
        <w:numPr>
          <w:ilvl w:val="2"/>
          <w:numId w:val="1"/>
        </w:numPr>
        <w:shd w:val="clear" w:color="auto" w:fill="auto"/>
        <w:bidi w:val="0"/>
        <w:spacing w:before="120" w:after="120"/>
        <w:jc w:val="both"/>
        <w:rPr>
          <w:rFonts w:ascii="Arial" w:hAnsi="Arial" w:cs="Arial"/>
          <w:szCs w:val="20"/>
        </w:rPr>
      </w:pPr>
      <w:r>
        <w:rPr>
          <w:rFonts w:cs="Arial" w:ascii="Calibri" w:hAnsi="Calibri"/>
          <w:sz w:val="24"/>
          <w:szCs w:val="24"/>
        </w:rPr>
        <w:t>Não é admitida a subcontratação nesta dispensa eletrônica.</w:t>
      </w:r>
    </w:p>
    <w:p>
      <w:pPr>
        <w:pStyle w:val="PADRO"/>
        <w:keepNext w:val="false"/>
        <w:pageBreakBefore w:val="false"/>
        <w:widowControl w:val="false"/>
        <w:shd w:val="clear" w:color="auto" w:fill="auto"/>
        <w:bidi w:val="0"/>
        <w:spacing w:before="120" w:after="120"/>
        <w:ind w:left="1224" w:hanging="0"/>
        <w:jc w:val="left"/>
        <w:rPr>
          <w:rFonts w:ascii="Calibri" w:hAnsi="Calibri" w:cs="Arial"/>
          <w:sz w:val="24"/>
          <w:szCs w:val="24"/>
        </w:rPr>
      </w:pPr>
      <w:r>
        <w:rPr>
          <w:rFonts w:cs="Arial" w:ascii="Calibri" w:hAnsi="Calibri"/>
          <w:sz w:val="24"/>
          <w:szCs w:val="24"/>
        </w:rPr>
      </w:r>
    </w:p>
    <w:p>
      <w:pPr>
        <w:pStyle w:val="PADRO"/>
        <w:keepNext w:val="false"/>
        <w:pageBreakBefore w:val="false"/>
        <w:widowControl w:val="false"/>
        <w:numPr>
          <w:ilvl w:val="1"/>
          <w:numId w:val="1"/>
        </w:numPr>
        <w:shd w:val="clear" w:color="auto" w:fill="auto"/>
        <w:tabs>
          <w:tab w:val="left" w:pos="851" w:leader="none"/>
        </w:tabs>
        <w:bidi w:val="0"/>
        <w:spacing w:before="120" w:after="120"/>
        <w:jc w:val="left"/>
        <w:rPr>
          <w:rFonts w:ascii="Calibri" w:hAnsi="Calibri"/>
          <w:sz w:val="24"/>
          <w:szCs w:val="24"/>
        </w:rPr>
      </w:pPr>
      <w:r>
        <w:rPr>
          <w:rFonts w:cs="Arial" w:ascii="Calibri" w:hAnsi="Calibri"/>
          <w:b/>
          <w:bCs/>
          <w:sz w:val="24"/>
          <w:szCs w:val="24"/>
        </w:rPr>
        <w:t>QUANTO AO PAGAMENTO</w:t>
      </w:r>
    </w:p>
    <w:p>
      <w:pPr>
        <w:pStyle w:val="PADRO"/>
        <w:keepNext w:val="false"/>
        <w:pageBreakBefore w:val="false"/>
        <w:widowControl w:val="false"/>
        <w:numPr>
          <w:ilvl w:val="2"/>
          <w:numId w:val="1"/>
        </w:numPr>
        <w:shd w:val="clear" w:color="auto" w:fill="auto"/>
        <w:bidi w:val="0"/>
        <w:spacing w:before="120" w:after="120"/>
        <w:jc w:val="both"/>
        <w:rPr>
          <w:rFonts w:ascii="Arial" w:hAnsi="Arial" w:cs="Arial"/>
          <w:szCs w:val="20"/>
        </w:rPr>
      </w:pPr>
      <w:r>
        <w:rPr>
          <w:rFonts w:cs="Arial" w:ascii="Calibri" w:hAnsi="Calibri"/>
          <w:sz w:val="24"/>
          <w:szCs w:val="24"/>
        </w:rPr>
        <w:t xml:space="preserve"> </w:t>
      </w:r>
      <w:r>
        <w:rPr>
          <w:rFonts w:cs="Arial" w:ascii="Calibri" w:hAnsi="Calibri"/>
          <w:sz w:val="24"/>
          <w:szCs w:val="24"/>
        </w:rPr>
        <w:t xml:space="preserve">O pagamento será procedido em até 30 dias corridos na data em que for emitida a Ordem Bancária em favor do </w:t>
      </w:r>
      <w:r>
        <w:rPr>
          <w:rFonts w:cs="Arial" w:ascii="Calibri" w:hAnsi="Calibri"/>
          <w:color w:val="000000" w:themeColor="text1"/>
          <w:sz w:val="24"/>
          <w:szCs w:val="24"/>
          <w:lang w:eastAsia="en-US"/>
        </w:rPr>
        <w:t>prestador de serviços,</w:t>
      </w:r>
      <w:r>
        <w:rPr>
          <w:rFonts w:cs="Arial" w:ascii="Calibri" w:hAnsi="Calibri"/>
          <w:sz w:val="24"/>
          <w:szCs w:val="24"/>
        </w:rPr>
        <w:t xml:space="preserve"> requerendo que tenha havido pleno recebimento do bem/recebimento do serviço e, por conseguinte, correta emissão da nota fiscal/fatura.</w:t>
      </w:r>
    </w:p>
    <w:p>
      <w:pPr>
        <w:pStyle w:val="PADRO"/>
        <w:keepNext w:val="false"/>
        <w:pageBreakBefore w:val="false"/>
        <w:widowControl w:val="false"/>
        <w:numPr>
          <w:ilvl w:val="0"/>
          <w:numId w:val="0"/>
        </w:numPr>
        <w:shd w:val="clear" w:color="auto" w:fill="auto"/>
        <w:bidi w:val="0"/>
        <w:spacing w:lineRule="auto" w:line="276" w:before="120" w:after="120"/>
        <w:ind w:left="2805" w:right="0" w:hanging="0"/>
        <w:jc w:val="both"/>
        <w:textAlignment w:val="baseline"/>
        <w:rPr>
          <w:rFonts w:ascii="Calibri" w:hAnsi="Calibri"/>
          <w:sz w:val="24"/>
          <w:szCs w:val="24"/>
        </w:rPr>
      </w:pPr>
      <w:r>
        <w:rPr>
          <w:rFonts w:cs="Arial" w:ascii="Calibri" w:hAnsi="Calibri"/>
          <w:b/>
          <w:bCs/>
          <w:sz w:val="24"/>
          <w:szCs w:val="24"/>
        </w:rPr>
        <w:t>1.9.1.1.</w:t>
      </w:r>
      <w:r>
        <w:rPr>
          <w:rFonts w:cs="Arial" w:ascii="Calibri" w:hAnsi="Calibri"/>
          <w:sz w:val="24"/>
          <w:szCs w:val="24"/>
        </w:rPr>
        <w:t xml:space="preserve"> É condição, ainda, para pagamento, que o </w:t>
      </w:r>
      <w:r>
        <w:rPr>
          <w:rFonts w:cs="Arial" w:ascii="Calibri" w:hAnsi="Calibri"/>
          <w:color w:val="000000"/>
          <w:sz w:val="24"/>
          <w:szCs w:val="24"/>
        </w:rPr>
        <w:t xml:space="preserve">prestador </w:t>
      </w:r>
      <w:r>
        <w:rPr>
          <w:rFonts w:cs="Arial" w:ascii="Calibri" w:hAnsi="Calibri"/>
          <w:sz w:val="24"/>
          <w:szCs w:val="24"/>
        </w:rPr>
        <w:t>de serviço esteja em dias com suas obrigações fiscais e trabalhistas.</w:t>
      </w:r>
    </w:p>
    <w:p>
      <w:pPr>
        <w:pStyle w:val="PADRO"/>
        <w:keepNext w:val="false"/>
        <w:pageBreakBefore w:val="false"/>
        <w:widowControl w:val="false"/>
        <w:shd w:val="clear" w:color="auto" w:fill="auto"/>
        <w:bidi w:val="0"/>
        <w:spacing w:before="120" w:after="120"/>
        <w:jc w:val="both"/>
        <w:rPr>
          <w:rFonts w:ascii="Calibri" w:hAnsi="Calibri" w:cs="Arial"/>
          <w:sz w:val="24"/>
          <w:szCs w:val="24"/>
        </w:rPr>
      </w:pPr>
      <w:r>
        <w:rPr>
          <w:rFonts w:cs="Arial" w:ascii="Calibri" w:hAnsi="Calibri"/>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PARTICIPAÇÃO NA DISPENSA ELETRÔNICA</w:t>
      </w:r>
    </w:p>
    <w:p>
      <w:pPr>
        <w:pStyle w:val="Normal"/>
        <w:keepNext w:val="false"/>
        <w:pageBreakBefore w:val="false"/>
        <w:widowControl w:val="false"/>
        <w:numPr>
          <w:ilvl w:val="0"/>
          <w:numId w:val="0"/>
        </w:numPr>
        <w:bidi w:val="0"/>
        <w:snapToGrid w:val="false"/>
        <w:spacing w:lineRule="auto" w:line="276" w:before="120" w:after="120"/>
        <w:ind w:left="1217" w:hanging="0"/>
        <w:jc w:val="both"/>
        <w:rPr/>
      </w:pPr>
      <w:r>
        <w:rPr>
          <w:rFonts w:cs="Arial" w:ascii="Calibri" w:hAnsi="Calibri"/>
          <w:b/>
          <w:bCs/>
          <w:sz w:val="24"/>
          <w:szCs w:val="24"/>
        </w:rPr>
        <w:t>2.1.</w:t>
      </w:r>
      <w:r>
        <w:rPr>
          <w:rFonts w:cs="Arial" w:ascii="Calibri" w:hAnsi="Calibri"/>
          <w:sz w:val="24"/>
          <w:szCs w:val="24"/>
        </w:rPr>
        <w:t xml:space="preserve"> A participação na presente dispensa eletrônica se dará mediante </w:t>
      </w:r>
      <w:r>
        <w:rPr>
          <w:rFonts w:cs="Arial" w:ascii="Calibri" w:hAnsi="Calibri"/>
          <w:bCs/>
          <w:sz w:val="24"/>
          <w:szCs w:val="24"/>
        </w:rPr>
        <w:t>Sistema de Dispensa Eletrônica</w:t>
      </w:r>
      <w:r>
        <w:rPr>
          <w:rFonts w:cs="Arial" w:ascii="Calibri" w:hAnsi="Calibri"/>
          <w:sz w:val="24"/>
          <w:szCs w:val="24"/>
        </w:rPr>
        <w:t xml:space="preserve"> integrante do Sistema de Compras do Governo Federal – Comprasnet 4.0, disponível no </w:t>
      </w:r>
      <w:r>
        <w:rPr>
          <w:rFonts w:cs="Arial" w:ascii="Calibri" w:hAnsi="Calibri"/>
          <w:bCs/>
          <w:sz w:val="24"/>
          <w:szCs w:val="24"/>
        </w:rPr>
        <w:t>endereço eletrônico</w:t>
      </w:r>
      <w:r>
        <w:rPr>
          <w:rFonts w:cs="Arial" w:ascii="Calibri" w:hAnsi="Calibri"/>
          <w:color w:val="FF0000"/>
          <w:sz w:val="24"/>
          <w:szCs w:val="24"/>
        </w:rPr>
        <w:t xml:space="preserve"> </w:t>
      </w:r>
      <w:hyperlink r:id="rId2">
        <w:r>
          <w:rPr>
            <w:rStyle w:val="LinkdaInternet"/>
            <w:rFonts w:cs="Arial" w:ascii="Calibri" w:hAnsi="Calibri"/>
            <w:sz w:val="24"/>
            <w:szCs w:val="24"/>
          </w:rPr>
          <w:t>https://www.gov.br/compras/pt-br/sistemas/comprasnet-siasg</w:t>
        </w:r>
      </w:hyperlink>
      <w:r>
        <w:rPr>
          <w:rFonts w:cs="Arial" w:ascii="Calibri" w:hAnsi="Calibri"/>
          <w:color w:val="FF0000"/>
          <w:sz w:val="24"/>
          <w:szCs w:val="24"/>
        </w:rPr>
        <w:t>.</w:t>
      </w:r>
    </w:p>
    <w:p>
      <w:pPr>
        <w:pStyle w:val="Normal"/>
        <w:keepNext w:val="false"/>
        <w:pageBreakBefore w:val="false"/>
        <w:widowControl w:val="false"/>
        <w:numPr>
          <w:ilvl w:val="2"/>
          <w:numId w:val="1"/>
        </w:numPr>
        <w:bidi w:val="0"/>
        <w:snapToGrid w:val="false"/>
        <w:spacing w:lineRule="auto" w:line="276" w:before="120" w:after="120"/>
        <w:jc w:val="both"/>
        <w:rPr>
          <w:rFonts w:ascii="Calibri" w:hAnsi="Calibri"/>
          <w:sz w:val="24"/>
          <w:szCs w:val="24"/>
        </w:rPr>
      </w:pPr>
      <w:r>
        <w:rPr>
          <w:rFonts w:cs="Arial" w:ascii="Calibri" w:hAnsi="Calibri"/>
          <w:sz w:val="24"/>
          <w:szCs w:val="24"/>
        </w:rPr>
        <w:t>Os prestadores de serviços deverão atender aos procedimentos previstos no Manual do Sistema de Dispensa Eletrônica, disponível no Portal de Compras do Governo Federal, para acesso ao sistema e operacionalização.</w:t>
      </w:r>
    </w:p>
    <w:p>
      <w:pPr>
        <w:pStyle w:val="Normal"/>
        <w:keepNext w:val="false"/>
        <w:pageBreakBefore w:val="false"/>
        <w:widowControl w:val="false"/>
        <w:numPr>
          <w:ilvl w:val="2"/>
          <w:numId w:val="1"/>
        </w:numPr>
        <w:bidi w:val="0"/>
        <w:snapToGrid w:val="false"/>
        <w:spacing w:lineRule="auto" w:line="276" w:before="120" w:after="120"/>
        <w:jc w:val="both"/>
        <w:rPr>
          <w:rFonts w:ascii="Calibri" w:hAnsi="Calibri"/>
          <w:sz w:val="24"/>
          <w:szCs w:val="24"/>
        </w:rPr>
      </w:pPr>
      <w:r>
        <w:rPr>
          <w:rFonts w:cs="Arial" w:ascii="Calibri" w:hAnsi="Calibri"/>
          <w:sz w:val="24"/>
          <w:szCs w:val="24"/>
        </w:rPr>
        <w:t>O prestador de serviço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keepNext w:val="false"/>
        <w:pageBreakBefore w:val="false"/>
        <w:widowControl w:val="false"/>
        <w:bidi w:val="0"/>
        <w:snapToGrid w:val="false"/>
        <w:spacing w:lineRule="auto" w:line="276" w:before="120" w:after="120"/>
        <w:ind w:left="1224" w:hanging="0"/>
        <w:jc w:val="both"/>
        <w:rPr>
          <w:rFonts w:ascii="Calibri" w:hAnsi="Calibri" w:cs="Arial"/>
          <w:sz w:val="24"/>
          <w:szCs w:val="24"/>
        </w:rPr>
      </w:pPr>
      <w:r>
        <w:rPr>
          <w:rFonts w:cs="Arial" w:ascii="Calibri" w:hAnsi="Calibri"/>
          <w:sz w:val="24"/>
          <w:szCs w:val="24"/>
        </w:rPr>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themeColor="text1"/>
          <w:sz w:val="24"/>
          <w:szCs w:val="24"/>
        </w:rPr>
        <w:t xml:space="preserve">Não poderão participar desta dispensa os </w:t>
      </w:r>
      <w:r>
        <w:rPr>
          <w:rFonts w:cs="Arial" w:ascii="Calibri" w:hAnsi="Calibri"/>
          <w:color w:val="000000" w:themeColor="text1"/>
          <w:sz w:val="24"/>
          <w:szCs w:val="24"/>
          <w:lang w:eastAsia="en-US"/>
        </w:rPr>
        <w:t>prestadores de serviços</w:t>
      </w:r>
      <w:r>
        <w:rPr>
          <w:rFonts w:cs="Arial" w:ascii="Calibri" w:hAnsi="Calibri"/>
          <w:color w:val="000000" w:themeColor="text1"/>
          <w:sz w:val="24"/>
          <w:szCs w:val="24"/>
        </w:rPr>
        <w:t>:</w:t>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que não atendam às condições deste Aviso de Contratação Direta e seu(s) anexo(s);</w:t>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estrangeiros que não tenham representação legal no Brasil com poderes expressos para receber citação e responder administrativa ou judicialmente;</w:t>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que se enquadrem nas seguintes vedações:</w:t>
      </w:r>
    </w:p>
    <w:p>
      <w:pPr>
        <w:pStyle w:val="Normal"/>
        <w:keepNext w:val="false"/>
        <w:pageBreakBefore w:val="false"/>
        <w:widowControl w:val="false"/>
        <w:numPr>
          <w:ilvl w:val="3"/>
          <w:numId w:val="4"/>
        </w:numPr>
        <w:bidi w:val="0"/>
        <w:spacing w:lineRule="auto" w:line="276" w:before="120" w:after="120"/>
        <w:jc w:val="both"/>
        <w:rPr>
          <w:rFonts w:cs="Arial"/>
          <w:color w:val="000000" w:themeColor="text1"/>
          <w:szCs w:val="20"/>
        </w:rPr>
      </w:pPr>
      <w:r>
        <w:rPr>
          <w:rFonts w:cs="Arial" w:ascii="Calibri" w:hAnsi="Calibri"/>
          <w:color w:val="000000"/>
          <w:sz w:val="24"/>
          <w:szCs w:val="24"/>
        </w:rPr>
        <w:t>autor do anteprojeto, do projeto básico ou do projeto executivo, pessoa física ou jurídica, quando a contratação versar sobre obra, serviços ou fornecimento de bens a ele relacionados;</w:t>
      </w:r>
    </w:p>
    <w:p>
      <w:pPr>
        <w:pStyle w:val="Normal"/>
        <w:keepNext w:val="false"/>
        <w:pageBreakBefore w:val="false"/>
        <w:widowControl w:val="false"/>
        <w:numPr>
          <w:ilvl w:val="3"/>
          <w:numId w:val="4"/>
        </w:numPr>
        <w:bidi w:val="0"/>
        <w:spacing w:lineRule="auto" w:line="276" w:before="120" w:after="120"/>
        <w:jc w:val="both"/>
        <w:rPr>
          <w:rFonts w:cs="Arial"/>
          <w:color w:val="000000" w:themeColor="text1"/>
          <w:szCs w:val="20"/>
        </w:rPr>
      </w:pPr>
      <w:r>
        <w:rPr>
          <w:rFonts w:cs="Arial" w:ascii="Calibri" w:hAnsi="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keepNext w:val="false"/>
        <w:pageBreakBefore w:val="false"/>
        <w:widowControl w:val="false"/>
        <w:numPr>
          <w:ilvl w:val="3"/>
          <w:numId w:val="4"/>
        </w:numPr>
        <w:bidi w:val="0"/>
        <w:spacing w:lineRule="auto" w:line="276" w:before="120" w:after="120"/>
        <w:jc w:val="both"/>
        <w:rPr>
          <w:rFonts w:cs="Arial"/>
          <w:color w:val="000000" w:themeColor="text1"/>
          <w:szCs w:val="20"/>
        </w:rPr>
      </w:pPr>
      <w:r>
        <w:rPr>
          <w:rFonts w:cs="Arial" w:ascii="Calibri" w:hAnsi="Calibri"/>
          <w:color w:val="000000"/>
          <w:sz w:val="24"/>
          <w:szCs w:val="24"/>
        </w:rPr>
        <w:t>pessoa física ou jurídica que se encontre, ao tempo da contratação, impossibilitada de contratar em decorrência de sanção que lhe foi imposta;</w:t>
      </w:r>
    </w:p>
    <w:p>
      <w:pPr>
        <w:pStyle w:val="Normal"/>
        <w:keepNext w:val="false"/>
        <w:pageBreakBefore w:val="false"/>
        <w:widowControl w:val="false"/>
        <w:numPr>
          <w:ilvl w:val="3"/>
          <w:numId w:val="4"/>
        </w:numPr>
        <w:bidi w:val="0"/>
        <w:spacing w:lineRule="auto" w:line="276" w:before="120" w:after="120"/>
        <w:jc w:val="both"/>
        <w:rPr>
          <w:rFonts w:cs="Arial"/>
          <w:color w:val="000000" w:themeColor="text1"/>
          <w:szCs w:val="20"/>
        </w:rPr>
      </w:pPr>
      <w:r>
        <w:rPr>
          <w:rFonts w:cs="Arial" w:ascii="Calibri" w:hAnsi="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keepNext w:val="false"/>
        <w:pageBreakBefore w:val="false"/>
        <w:widowControl w:val="false"/>
        <w:numPr>
          <w:ilvl w:val="3"/>
          <w:numId w:val="4"/>
        </w:numPr>
        <w:bidi w:val="0"/>
        <w:spacing w:lineRule="auto" w:line="276" w:before="120" w:after="120"/>
        <w:jc w:val="both"/>
        <w:rPr/>
      </w:pPr>
      <w:r>
        <w:rPr>
          <w:rFonts w:cs="Arial" w:ascii="Calibri" w:hAnsi="Calibri"/>
          <w:color w:val="000000"/>
          <w:sz w:val="24"/>
          <w:szCs w:val="24"/>
        </w:rPr>
        <w:t>empresas controladoras, controladas ou coligadas, nos termos da </w:t>
      </w:r>
      <w:hyperlink r:id="rId3">
        <w:r>
          <w:rPr>
            <w:rStyle w:val="LinkdaInternet"/>
            <w:rFonts w:eastAsia="Calibri" w:cs="Arial" w:ascii="Calibri" w:hAnsi="Calibri"/>
            <w:sz w:val="24"/>
            <w:szCs w:val="24"/>
          </w:rPr>
          <w:t>Lei nº 6.404, de 15 de dezembro de 1976</w:t>
        </w:r>
      </w:hyperlink>
      <w:r>
        <w:rPr>
          <w:rFonts w:cs="Arial" w:ascii="Calibri" w:hAnsi="Calibri"/>
          <w:color w:val="000000"/>
          <w:sz w:val="24"/>
          <w:szCs w:val="24"/>
        </w:rPr>
        <w:t>, concorrendo entre si;</w:t>
      </w:r>
    </w:p>
    <w:p>
      <w:pPr>
        <w:pStyle w:val="Normal"/>
        <w:keepNext w:val="false"/>
        <w:pageBreakBefore w:val="false"/>
        <w:widowControl w:val="false"/>
        <w:numPr>
          <w:ilvl w:val="3"/>
          <w:numId w:val="4"/>
        </w:numPr>
        <w:bidi w:val="0"/>
        <w:spacing w:lineRule="auto" w:line="276" w:before="120" w:after="120"/>
        <w:jc w:val="both"/>
        <w:rPr>
          <w:rFonts w:ascii="Calibri" w:hAnsi="Calibri"/>
          <w:sz w:val="24"/>
          <w:szCs w:val="24"/>
        </w:rPr>
      </w:pPr>
      <w:r>
        <w:rPr>
          <w:rFonts w:cs="Arial" w:ascii="Calibri" w:hAnsi="Calibri"/>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ascii="Calibri" w:hAnsi="Calibri"/>
          <w:color w:val="000000" w:themeColor="text1"/>
          <w:sz w:val="24"/>
          <w:szCs w:val="24"/>
        </w:rPr>
        <w:t>.</w:t>
      </w:r>
    </w:p>
    <w:p>
      <w:pPr>
        <w:pStyle w:val="Normal"/>
        <w:keepNext w:val="false"/>
        <w:pageBreakBefore w:val="false"/>
        <w:widowControl w:val="false"/>
        <w:numPr>
          <w:ilvl w:val="0"/>
          <w:numId w:val="0"/>
        </w:numPr>
        <w:bidi w:val="0"/>
        <w:spacing w:lineRule="auto" w:line="276" w:before="120" w:after="120"/>
        <w:ind w:left="1728" w:hanging="0"/>
        <w:jc w:val="both"/>
        <w:rPr>
          <w:rFonts w:ascii="Calibri" w:hAnsi="Calibri" w:cs="Arial"/>
          <w:color w:val="000000" w:themeColor="text1"/>
          <w:sz w:val="24"/>
          <w:szCs w:val="24"/>
        </w:rPr>
      </w:pPr>
      <w:r>
        <w:rPr>
          <w:rFonts w:cs="Arial" w:ascii="Calibri" w:hAnsi="Calibri"/>
          <w:color w:val="000000" w:themeColor="text1"/>
          <w:sz w:val="24"/>
          <w:szCs w:val="24"/>
        </w:rPr>
      </w:r>
    </w:p>
    <w:p>
      <w:pPr>
        <w:pStyle w:val="Normal"/>
        <w:keepNext w:val="false"/>
        <w:pageBreakBefore w:val="false"/>
        <w:widowControl w:val="false"/>
        <w:numPr>
          <w:ilvl w:val="3"/>
          <w:numId w:val="1"/>
        </w:numPr>
        <w:bidi w:val="0"/>
        <w:spacing w:lineRule="auto" w:line="276" w:before="120" w:after="120"/>
        <w:jc w:val="both"/>
        <w:rPr>
          <w:rFonts w:cs="Arial"/>
          <w:color w:val="000000" w:themeColor="text1"/>
          <w:szCs w:val="20"/>
        </w:rPr>
      </w:pPr>
      <w:r>
        <w:rPr>
          <w:rFonts w:cs="Arial" w:ascii="Calibri" w:hAnsi="Calibri"/>
          <w:color w:val="000000"/>
          <w:sz w:val="24"/>
          <w:szCs w:val="24"/>
        </w:rPr>
        <w:t>Equiparam-se aos autores do projeto as empresas integrantes do mesmo grupo econômico;</w:t>
      </w:r>
    </w:p>
    <w:p>
      <w:pPr>
        <w:pStyle w:val="Normal"/>
        <w:keepNext w:val="false"/>
        <w:pageBreakBefore w:val="false"/>
        <w:widowControl w:val="false"/>
        <w:numPr>
          <w:ilvl w:val="3"/>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aplica-se o disposto na alínea “c” também ao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ascii="Calibri" w:hAnsi="Calibri"/>
          <w:color w:val="000000" w:themeColor="text1"/>
          <w:sz w:val="24"/>
          <w:szCs w:val="24"/>
          <w:lang w:eastAsia="en-US"/>
        </w:rPr>
        <w:t>prestador de serviços</w:t>
      </w:r>
      <w:r>
        <w:rPr>
          <w:rFonts w:cs="Arial" w:ascii="Calibri" w:hAnsi="Calibri"/>
          <w:color w:val="000000"/>
          <w:sz w:val="24"/>
          <w:szCs w:val="24"/>
        </w:rPr>
        <w:t>;</w:t>
      </w:r>
    </w:p>
    <w:p>
      <w:pPr>
        <w:pStyle w:val="Normal"/>
        <w:keepNext w:val="false"/>
        <w:pageBreakBefore w:val="false"/>
        <w:widowControl w:val="false"/>
        <w:numPr>
          <w:ilvl w:val="0"/>
          <w:numId w:val="0"/>
        </w:numPr>
        <w:bidi w:val="0"/>
        <w:spacing w:lineRule="auto" w:line="276" w:before="120" w:after="120"/>
        <w:ind w:left="1728" w:hanging="0"/>
        <w:jc w:val="both"/>
        <w:rPr>
          <w:rFonts w:ascii="Calibri" w:hAnsi="Calibri" w:cs="Arial"/>
          <w:color w:val="000000" w:themeColor="text1"/>
          <w:sz w:val="24"/>
          <w:szCs w:val="24"/>
        </w:rPr>
      </w:pPr>
      <w:r>
        <w:rPr>
          <w:rFonts w:cs="Arial" w:ascii="Calibri" w:hAnsi="Calibri"/>
          <w:color w:val="000000" w:themeColor="text1"/>
          <w:sz w:val="24"/>
          <w:szCs w:val="24"/>
        </w:rPr>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sz w:val="24"/>
          <w:szCs w:val="24"/>
        </w:rPr>
        <w:t xml:space="preserve"> </w:t>
      </w:r>
      <w:r>
        <w:rPr>
          <w:rFonts w:cs="Arial" w:ascii="Calibri" w:hAnsi="Calibri"/>
          <w:color w:val="000000"/>
          <w:sz w:val="24"/>
          <w:szCs w:val="24"/>
        </w:rPr>
        <w:t>organizações da Sociedade Civil de Interesse Público - OSCIP, atuando nessa condição (Acórdão nº 746/2014-TCU-Plenário); e</w:t>
      </w:r>
    </w:p>
    <w:p>
      <w:pPr>
        <w:pStyle w:val="Normal"/>
        <w:keepNext w:val="false"/>
        <w:pageBreakBefore w:val="false"/>
        <w:widowControl w:val="false"/>
        <w:numPr>
          <w:ilvl w:val="2"/>
          <w:numId w:val="1"/>
        </w:numPr>
        <w:bidi w:val="0"/>
        <w:spacing w:lineRule="auto" w:line="276" w:before="120" w:after="120"/>
        <w:jc w:val="both"/>
        <w:rPr>
          <w:rFonts w:ascii="Calibri" w:hAnsi="Calibri"/>
          <w:sz w:val="24"/>
          <w:szCs w:val="24"/>
        </w:rPr>
      </w:pPr>
      <w:r>
        <w:rPr>
          <w:rFonts w:cs="Arial" w:ascii="Calibri" w:hAnsi="Calibri"/>
          <w:i/>
          <w:color w:val="FF0000"/>
          <w:sz w:val="24"/>
          <w:szCs w:val="24"/>
        </w:rPr>
        <w:t xml:space="preserve"> </w:t>
      </w:r>
      <w:bookmarkStart w:id="1" w:name="_Hlk519667815"/>
      <w:bookmarkEnd w:id="1"/>
      <w:r>
        <w:rPr>
          <w:rFonts w:cs="Arial" w:ascii="Calibri" w:hAnsi="Calibri"/>
          <w:i w:val="false"/>
          <w:iCs w:val="false"/>
          <w:color w:val="00000A"/>
          <w:sz w:val="24"/>
          <w:szCs w:val="24"/>
        </w:rPr>
        <w:t>sociedades cooperativas.</w:t>
      </w:r>
    </w:p>
    <w:p>
      <w:pPr>
        <w:pStyle w:val="PADRO"/>
        <w:keepNext w:val="false"/>
        <w:pageBreakBefore w:val="false"/>
        <w:widowControl w:val="false"/>
        <w:shd w:val="clear" w:color="auto" w:fill="auto"/>
        <w:bidi w:val="0"/>
        <w:spacing w:before="120" w:after="120"/>
        <w:ind w:hanging="0"/>
        <w:jc w:val="left"/>
        <w:rPr>
          <w:rFonts w:ascii="Calibri" w:hAnsi="Calibri" w:cs="Arial"/>
          <w:b/>
          <w:b/>
          <w:sz w:val="24"/>
          <w:szCs w:val="24"/>
        </w:rPr>
      </w:pPr>
      <w:r>
        <w:rPr>
          <w:rFonts w:cs="Arial" w:ascii="Calibri" w:hAnsi="Calibri"/>
          <w:b/>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 xml:space="preserve">INGRESSO NA DISPENSA ELETRÔNICA E CADASTRAMENTO DA PROPOSTA INICIAL </w:t>
      </w:r>
    </w:p>
    <w:p>
      <w:pPr>
        <w:pStyle w:val="Normal"/>
        <w:keepNext w:val="false"/>
        <w:pageBreakBefore w:val="false"/>
        <w:widowControl w:val="false"/>
        <w:numPr>
          <w:ilvl w:val="1"/>
          <w:numId w:val="1"/>
        </w:numPr>
        <w:bidi w:val="0"/>
        <w:snapToGrid w:val="false"/>
        <w:spacing w:lineRule="auto" w:line="276" w:before="120" w:after="120"/>
        <w:ind w:left="425" w:hanging="0"/>
        <w:jc w:val="both"/>
        <w:rPr>
          <w:rFonts w:ascii="Calibri" w:hAnsi="Calibri"/>
          <w:sz w:val="24"/>
          <w:szCs w:val="24"/>
        </w:rPr>
      </w:pPr>
      <w:r>
        <w:rPr>
          <w:rFonts w:cs="Arial" w:ascii="Calibri" w:hAnsi="Calibri"/>
          <w:color w:val="000000" w:themeColor="text1"/>
          <w:sz w:val="24"/>
          <w:szCs w:val="24"/>
        </w:rPr>
        <w:t xml:space="preserve">O ingresso </w:t>
      </w:r>
      <w:r>
        <w:rPr>
          <w:rFonts w:cs="Arial" w:ascii="Calibri" w:hAnsi="Calibri"/>
          <w:color w:val="00000A"/>
          <w:sz w:val="24"/>
          <w:szCs w:val="24"/>
        </w:rPr>
        <w:t xml:space="preserve">do prestador de serviço na </w:t>
      </w:r>
      <w:r>
        <w:rPr>
          <w:rFonts w:cs="Arial" w:ascii="Calibri" w:hAnsi="Calibri"/>
          <w:color w:val="000000" w:themeColor="text1"/>
          <w:sz w:val="24"/>
          <w:szCs w:val="24"/>
        </w:rPr>
        <w:t>disputa da dispensa eletrônica se dará com o cadastramento de sua proposta inicial, na forma deste item.</w:t>
      </w:r>
    </w:p>
    <w:p>
      <w:pPr>
        <w:pStyle w:val="Normal"/>
        <w:keepNext w:val="false"/>
        <w:pageBreakBefore w:val="false"/>
        <w:widowControl w:val="false"/>
        <w:numPr>
          <w:ilvl w:val="1"/>
          <w:numId w:val="1"/>
        </w:numPr>
        <w:bidi w:val="0"/>
        <w:snapToGrid w:val="false"/>
        <w:spacing w:lineRule="auto" w:line="276" w:before="120" w:after="120"/>
        <w:jc w:val="both"/>
        <w:rPr>
          <w:rFonts w:cs="Arial"/>
          <w:color w:val="000000" w:themeColor="text1"/>
          <w:szCs w:val="20"/>
        </w:rPr>
      </w:pPr>
      <w:r>
        <w:rPr>
          <w:rFonts w:cs="Arial" w:ascii="Calibri" w:hAnsi="Calibri"/>
          <w:color w:val="000000" w:themeColor="text1"/>
          <w:sz w:val="24"/>
          <w:szCs w:val="24"/>
        </w:rPr>
        <w:t xml:space="preserve">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xml:space="preserve">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keepNext w:val="false"/>
        <w:pageBreakBefore w:val="false"/>
        <w:widowControl w:val="false"/>
        <w:numPr>
          <w:ilvl w:val="2"/>
          <w:numId w:val="1"/>
        </w:numPr>
        <w:bidi w:val="0"/>
        <w:spacing w:lineRule="auto" w:line="276" w:before="120" w:after="120"/>
        <w:jc w:val="both"/>
        <w:rPr>
          <w:rFonts w:cs="Arial"/>
          <w:szCs w:val="20"/>
        </w:rPr>
      </w:pPr>
      <w:r>
        <w:rPr>
          <w:rFonts w:cs="Arial" w:ascii="Calibri" w:hAnsi="Calibri"/>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keepNext w:val="false"/>
        <w:pageBreakBefore w:val="false"/>
        <w:widowControl w:val="false"/>
        <w:bidi w:val="0"/>
        <w:spacing w:lineRule="auto" w:line="276" w:before="120" w:after="120"/>
        <w:ind w:left="1224" w:hanging="0"/>
        <w:jc w:val="both"/>
        <w:rPr>
          <w:rFonts w:ascii="Calibri" w:hAnsi="Calibri" w:cs="Arial"/>
          <w:sz w:val="24"/>
          <w:szCs w:val="24"/>
        </w:rPr>
      </w:pPr>
      <w:r>
        <w:rPr>
          <w:rFonts w:cs="Arial" w:ascii="Calibri" w:hAnsi="Calibri"/>
          <w:sz w:val="24"/>
          <w:szCs w:val="24"/>
        </w:rPr>
      </w:r>
    </w:p>
    <w:p>
      <w:pPr>
        <w:pStyle w:val="Normal"/>
        <w:keepNext w:val="false"/>
        <w:pageBreakBefore w:val="false"/>
        <w:widowControl w:val="false"/>
        <w:numPr>
          <w:ilvl w:val="1"/>
          <w:numId w:val="1"/>
        </w:numPr>
        <w:bidi w:val="0"/>
        <w:spacing w:lineRule="auto" w:line="276" w:before="120" w:after="120"/>
        <w:ind w:left="425" w:hanging="0"/>
        <w:jc w:val="both"/>
        <w:rPr>
          <w:rFonts w:cs="Arial"/>
          <w:szCs w:val="20"/>
        </w:rPr>
      </w:pPr>
      <w:r>
        <w:rPr>
          <w:rFonts w:cs="Arial" w:ascii="Calibri" w:hAnsi="Calibri"/>
          <w:sz w:val="24"/>
          <w:szCs w:val="24"/>
        </w:rPr>
        <w:t xml:space="preserve">Todas as especificações do </w:t>
      </w:r>
      <w:r>
        <w:rPr>
          <w:rFonts w:cs="Arial" w:ascii="Calibri" w:hAnsi="Calibri"/>
          <w:color w:val="000000" w:themeColor="text1"/>
          <w:sz w:val="24"/>
          <w:szCs w:val="24"/>
        </w:rPr>
        <w:t>objeto</w:t>
      </w:r>
      <w:r>
        <w:rPr>
          <w:rFonts w:cs="Arial" w:ascii="Calibri" w:hAnsi="Calibri"/>
          <w:sz w:val="24"/>
          <w:szCs w:val="24"/>
        </w:rPr>
        <w:t xml:space="preserve"> contidas na proposta, em especial o preço, vinculam a Contratada.</w:t>
      </w:r>
    </w:p>
    <w:p>
      <w:pPr>
        <w:pStyle w:val="Normal"/>
        <w:keepNext w:val="false"/>
        <w:pageBreakBefore w:val="false"/>
        <w:widowControl w:val="false"/>
        <w:numPr>
          <w:ilvl w:val="1"/>
          <w:numId w:val="1"/>
        </w:numPr>
        <w:bidi w:val="0"/>
        <w:spacing w:lineRule="auto" w:line="276" w:before="120" w:after="120"/>
        <w:ind w:left="425" w:hanging="0"/>
        <w:jc w:val="both"/>
        <w:rPr>
          <w:rFonts w:cs="Arial"/>
          <w:szCs w:val="20"/>
        </w:rPr>
      </w:pPr>
      <w:r>
        <w:rPr>
          <w:rFonts w:cs="Arial" w:ascii="Calibri" w:hAnsi="Calibri"/>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keepNext w:val="false"/>
        <w:pageBreakBefore w:val="false"/>
        <w:widowControl w:val="false"/>
        <w:numPr>
          <w:ilvl w:val="2"/>
          <w:numId w:val="1"/>
        </w:numPr>
        <w:bidi w:val="0"/>
        <w:spacing w:lineRule="auto" w:line="276" w:before="120" w:after="120"/>
        <w:jc w:val="both"/>
        <w:rPr>
          <w:rFonts w:cs="Arial"/>
          <w:szCs w:val="20"/>
        </w:rPr>
      </w:pPr>
      <w:r>
        <w:rPr>
          <w:rFonts w:cs="Arial" w:ascii="Calibri" w:hAnsi="Calibri"/>
          <w:sz w:val="24"/>
          <w:szCs w:val="24"/>
        </w:rPr>
        <w:t xml:space="preserve">Os preços ofertados, tanto na proposta inicial, quanto na etapa de lances, serão de exclusiva responsabilidade do </w:t>
      </w:r>
      <w:r>
        <w:rPr>
          <w:rFonts w:cs="Arial" w:ascii="Calibri" w:hAnsi="Calibri"/>
          <w:color w:val="000000" w:themeColor="text1"/>
          <w:sz w:val="24"/>
          <w:szCs w:val="24"/>
          <w:lang w:eastAsia="en-US"/>
        </w:rPr>
        <w:t>prestador de serviços</w:t>
      </w:r>
      <w:r>
        <w:rPr>
          <w:rFonts w:cs="Arial" w:ascii="Calibri" w:hAnsi="Calibri"/>
          <w:sz w:val="24"/>
          <w:szCs w:val="24"/>
        </w:rPr>
        <w:t>, não lhe assistindo o direito de pleitear qualquer alteração, sob alegação de erro, omissão ou qualquer outro pretexto.</w:t>
      </w:r>
    </w:p>
    <w:p>
      <w:pPr>
        <w:pStyle w:val="Normal"/>
        <w:keepNext w:val="false"/>
        <w:pageBreakBefore w:val="false"/>
        <w:widowControl w:val="false"/>
        <w:bidi w:val="0"/>
        <w:spacing w:lineRule="auto" w:line="276" w:before="120" w:after="120"/>
        <w:ind w:left="1224" w:hanging="0"/>
        <w:jc w:val="both"/>
        <w:rPr>
          <w:rFonts w:ascii="Calibri" w:hAnsi="Calibri" w:cs="Arial"/>
          <w:sz w:val="24"/>
          <w:szCs w:val="24"/>
        </w:rPr>
      </w:pPr>
      <w:r>
        <w:rPr>
          <w:rFonts w:cs="Arial" w:ascii="Calibri" w:hAnsi="Calibri"/>
          <w:sz w:val="24"/>
          <w:szCs w:val="24"/>
        </w:rPr>
      </w:r>
    </w:p>
    <w:p>
      <w:pPr>
        <w:pStyle w:val="Normal"/>
        <w:keepNext w:val="false"/>
        <w:pageBreakBefore w:val="false"/>
        <w:widowControl w:val="false"/>
        <w:numPr>
          <w:ilvl w:val="1"/>
          <w:numId w:val="1"/>
        </w:numPr>
        <w:bidi w:val="0"/>
        <w:spacing w:lineRule="auto" w:line="276" w:before="120" w:after="120"/>
        <w:ind w:left="425" w:hanging="0"/>
        <w:jc w:val="both"/>
        <w:rPr>
          <w:rFonts w:cs="Arial"/>
          <w:szCs w:val="20"/>
        </w:rPr>
      </w:pPr>
      <w:r>
        <w:rPr>
          <w:rFonts w:cs="Arial" w:ascii="Calibri" w:hAnsi="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keepNext w:val="false"/>
        <w:pageBreakBefore w:val="false"/>
        <w:widowControl w:val="false"/>
        <w:numPr>
          <w:ilvl w:val="1"/>
          <w:numId w:val="1"/>
        </w:numPr>
        <w:bidi w:val="0"/>
        <w:spacing w:lineRule="auto" w:line="276" w:before="120" w:after="120"/>
        <w:ind w:left="425" w:hanging="0"/>
        <w:jc w:val="both"/>
        <w:rPr>
          <w:rFonts w:cs="Arial"/>
          <w:szCs w:val="20"/>
        </w:rPr>
      </w:pPr>
      <w:r>
        <w:rPr>
          <w:rFonts w:cs="Arial" w:ascii="Calibri" w:hAnsi="Calibri"/>
          <w:sz w:val="24"/>
          <w:szCs w:val="24"/>
        </w:rPr>
        <w:t>Independentemente do percentual de tributo inserido na planilha, no pagamento serão retidos na fonte os percentuais estabelecidos na legislação vigente.</w:t>
      </w:r>
    </w:p>
    <w:p>
      <w:pPr>
        <w:pStyle w:val="Normal"/>
        <w:keepNext w:val="false"/>
        <w:pageBreakBefore w:val="false"/>
        <w:widowControl w:val="false"/>
        <w:numPr>
          <w:ilvl w:val="1"/>
          <w:numId w:val="1"/>
        </w:numPr>
        <w:bidi w:val="0"/>
        <w:spacing w:lineRule="auto" w:line="276" w:before="120" w:after="120"/>
        <w:ind w:left="425" w:hanging="0"/>
        <w:jc w:val="both"/>
        <w:rPr>
          <w:rFonts w:ascii="Calibri" w:hAnsi="Calibri"/>
          <w:sz w:val="24"/>
          <w:szCs w:val="24"/>
        </w:rPr>
      </w:pPr>
      <w:r>
        <w:rPr>
          <w:rFonts w:cs="Arial" w:ascii="Calibri" w:hAnsi="Calibri"/>
          <w:sz w:val="24"/>
          <w:szCs w:val="24"/>
        </w:rPr>
        <w:t>A apresentação das propostas implica obrigatoriedade do cumprimento das disposições nelas contidas, em conformidade com o que dispõe este Aviso,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sz w:val="24"/>
          <w:szCs w:val="24"/>
        </w:rPr>
        <w:t xml:space="preserve">Uma vez enviada a proposta no sistema, os </w:t>
      </w:r>
      <w:r>
        <w:rPr>
          <w:rFonts w:cs="Arial" w:ascii="Calibri" w:hAnsi="Calibri"/>
          <w:color w:val="000000" w:themeColor="text1"/>
          <w:sz w:val="24"/>
          <w:szCs w:val="24"/>
          <w:lang w:eastAsia="en-US"/>
        </w:rPr>
        <w:t xml:space="preserve">prestadores de serviços </w:t>
      </w:r>
      <w:r>
        <w:rPr>
          <w:rFonts w:cs="Arial" w:ascii="Calibri" w:hAnsi="Calibri"/>
          <w:b/>
          <w:bCs/>
          <w:sz w:val="24"/>
          <w:szCs w:val="24"/>
        </w:rPr>
        <w:t>NÃO</w:t>
      </w:r>
      <w:r>
        <w:rPr>
          <w:rFonts w:cs="Arial" w:ascii="Calibri" w:hAnsi="Calibri"/>
          <w:sz w:val="24"/>
          <w:szCs w:val="24"/>
        </w:rPr>
        <w:t xml:space="preserve"> poderão retirá-la, substituí-la ou modificá-la</w:t>
      </w:r>
      <w:r>
        <w:rPr>
          <w:rFonts w:cs="Arial" w:ascii="Calibri" w:hAnsi="Calibri"/>
          <w:color w:val="000000"/>
          <w:sz w:val="24"/>
          <w:szCs w:val="24"/>
        </w:rPr>
        <w:t>;</w:t>
      </w:r>
    </w:p>
    <w:p>
      <w:pPr>
        <w:pStyle w:val="Normal"/>
        <w:keepNext w:val="false"/>
        <w:pageBreakBefore w:val="false"/>
        <w:widowControl w:val="false"/>
        <w:numPr>
          <w:ilvl w:val="1"/>
          <w:numId w:val="1"/>
        </w:numPr>
        <w:bidi w:val="0"/>
        <w:spacing w:lineRule="auto" w:line="276" w:before="120" w:after="120"/>
        <w:jc w:val="both"/>
        <w:rPr>
          <w:rFonts w:cs="Arial"/>
          <w:color w:val="000000" w:themeColor="text1"/>
          <w:szCs w:val="20"/>
        </w:rPr>
      </w:pPr>
      <w:r>
        <w:rPr>
          <w:rFonts w:cs="Arial" w:ascii="Calibri" w:hAnsi="Calibri"/>
          <w:color w:val="000000"/>
          <w:sz w:val="24"/>
          <w:szCs w:val="24"/>
        </w:rPr>
        <w:t xml:space="preserve">No cadastramento da proposta inicial, 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deverá, também, assinalar “sim” ou “não” em campo </w:t>
      </w:r>
      <w:r>
        <w:rPr>
          <w:rFonts w:cs="Arial" w:ascii="Calibri" w:hAnsi="Calibri"/>
          <w:sz w:val="24"/>
          <w:szCs w:val="24"/>
        </w:rPr>
        <w:t>próprio</w:t>
      </w:r>
      <w:r>
        <w:rPr>
          <w:rFonts w:cs="Arial" w:ascii="Calibri" w:hAnsi="Calibri"/>
          <w:color w:val="000000"/>
          <w:sz w:val="24"/>
          <w:szCs w:val="24"/>
        </w:rPr>
        <w:t xml:space="preserve"> do sistema eletrônico, às seguintes declarações:</w:t>
      </w:r>
      <w:r>
        <w:rPr>
          <w:rFonts w:eastAsia="Zurich BT" w:cs="Arial" w:ascii="Calibri" w:hAnsi="Calibri"/>
          <w:color w:val="000000"/>
          <w:sz w:val="24"/>
          <w:szCs w:val="24"/>
        </w:rPr>
        <w:t xml:space="preserve"> </w:t>
      </w:r>
    </w:p>
    <w:p>
      <w:pPr>
        <w:pStyle w:val="ListParagraph"/>
        <w:keepNext w:val="false"/>
        <w:pageBreakBefore w:val="false"/>
        <w:widowControl w:val="false"/>
        <w:numPr>
          <w:ilvl w:val="0"/>
          <w:numId w:val="2"/>
        </w:numPr>
        <w:tabs>
          <w:tab w:val="left" w:pos="1440" w:leader="none"/>
        </w:tabs>
        <w:bidi w:val="0"/>
        <w:snapToGrid w:val="false"/>
        <w:spacing w:lineRule="auto" w:line="276" w:before="120" w:after="12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keepNext w:val="false"/>
        <w:pageBreakBefore w:val="false"/>
        <w:widowControl w:val="false"/>
        <w:numPr>
          <w:ilvl w:val="1"/>
          <w:numId w:val="2"/>
        </w:numPr>
        <w:tabs>
          <w:tab w:val="left" w:pos="1440" w:leader="none"/>
        </w:tabs>
        <w:bidi w:val="0"/>
        <w:snapToGrid w:val="false"/>
        <w:spacing w:lineRule="auto" w:line="276" w:before="120" w:after="12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keepNext w:val="false"/>
        <w:pageBreakBefore w:val="false"/>
        <w:widowControl w:val="false"/>
        <w:numPr>
          <w:ilvl w:val="1"/>
          <w:numId w:val="2"/>
        </w:numPr>
        <w:tabs>
          <w:tab w:val="left" w:pos="1440" w:leader="none"/>
        </w:tabs>
        <w:bidi w:val="0"/>
        <w:snapToGrid w:val="false"/>
        <w:spacing w:lineRule="auto" w:line="276" w:before="120" w:after="12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keepNext w:val="false"/>
        <w:pageBreakBefore w:val="false"/>
        <w:widowControl w:val="false"/>
        <w:numPr>
          <w:ilvl w:val="1"/>
          <w:numId w:val="2"/>
        </w:numPr>
        <w:tabs>
          <w:tab w:val="left" w:pos="1440" w:leader="none"/>
        </w:tabs>
        <w:bidi w:val="0"/>
        <w:snapToGrid w:val="false"/>
        <w:spacing w:lineRule="auto" w:line="276" w:before="120" w:after="12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 xml:space="preserve"> </w:t>
      </w:r>
      <w:r>
        <w:rPr>
          <w:rFonts w:cs="Arial" w:ascii="Calibri" w:hAnsi="Calibri"/>
          <w:color w:val="000000" w:themeColor="text1"/>
          <w:sz w:val="24"/>
          <w:szCs w:val="24"/>
        </w:rPr>
        <w:t>que inexistem fatos impeditivos para sua habilitação no certame, ciente da obrigatoriedade de declarar ocorrências posteriores;</w:t>
      </w:r>
    </w:p>
    <w:p>
      <w:pPr>
        <w:pStyle w:val="Normal"/>
        <w:keepNext w:val="false"/>
        <w:pageBreakBefore w:val="false"/>
        <w:widowControl w:val="false"/>
        <w:numPr>
          <w:ilvl w:val="2"/>
          <w:numId w:val="1"/>
        </w:numPr>
        <w:bidi w:val="0"/>
        <w:spacing w:lineRule="auto" w:line="276" w:before="120" w:after="120"/>
        <w:jc w:val="both"/>
        <w:rPr>
          <w:rFonts w:ascii="Calibri" w:hAnsi="Calibri"/>
          <w:sz w:val="24"/>
          <w:szCs w:val="24"/>
        </w:rPr>
      </w:pPr>
      <w:r>
        <w:rPr>
          <w:rFonts w:cs="Arial" w:ascii="Calibri" w:hAnsi="Calibri"/>
          <w:color w:val="000000" w:themeColor="text1"/>
          <w:sz w:val="24"/>
          <w:szCs w:val="24"/>
        </w:rPr>
        <w:t xml:space="preserve">que </w:t>
      </w:r>
      <w:r>
        <w:rPr>
          <w:rFonts w:cs="Arial" w:ascii="Calibri" w:hAnsi="Calibri"/>
          <w:color w:val="000000"/>
          <w:sz w:val="24"/>
          <w:szCs w:val="24"/>
        </w:rPr>
        <w:t>cumpre</w:t>
      </w:r>
      <w:r>
        <w:rPr>
          <w:rFonts w:cs="Arial" w:ascii="Calibri" w:hAnsi="Calibri"/>
          <w:color w:val="000000" w:themeColor="text1"/>
          <w:sz w:val="24"/>
          <w:szCs w:val="24"/>
        </w:rPr>
        <w:t xml:space="preserve"> os requisitos estabelecidos no artigo 3° da Lei Complementar nº 123, de 2006, estando apto a usufruir do tratamento favorecido estabelecido em seus art. 42 a 49.</w:t>
      </w:r>
    </w:p>
    <w:p>
      <w:pPr>
        <w:pStyle w:val="Normal"/>
        <w:keepNext w:val="false"/>
        <w:pageBreakBefore w:val="false"/>
        <w:widowControl w:val="false"/>
        <w:numPr>
          <w:ilvl w:val="2"/>
          <w:numId w:val="1"/>
        </w:numPr>
        <w:bidi w:val="0"/>
        <w:spacing w:lineRule="auto" w:line="276" w:before="120" w:after="120"/>
        <w:jc w:val="both"/>
        <w:rPr>
          <w:rFonts w:ascii="Calibri" w:hAnsi="Calibri"/>
          <w:sz w:val="24"/>
          <w:szCs w:val="24"/>
        </w:rPr>
      </w:pPr>
      <w:r>
        <w:rPr>
          <w:rFonts w:cs="Arial" w:ascii="Calibri" w:hAnsi="Calibri"/>
          <w:color w:val="000000" w:themeColor="text1"/>
          <w:sz w:val="24"/>
          <w:szCs w:val="24"/>
        </w:rPr>
        <w:t>que está ciente e concorda com as condições contidas no Aviso de Contratação Direta e seus anexos;</w:t>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que assume a responsabilidade pelas transações que forem efetuadas no sistema, assumindo como firmes e verdadeiras;</w:t>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que cumpre as exigências de reserva de cargos para pessoa com deficiência e para reabilitado da Previdência Social, de que trata o art. 93 da Lei nº 8.213/91.</w:t>
      </w:r>
    </w:p>
    <w:p>
      <w:pPr>
        <w:pStyle w:val="Normal"/>
        <w:keepNext w:val="false"/>
        <w:pageBreakBefore w:val="false"/>
        <w:widowControl w:val="false"/>
        <w:numPr>
          <w:ilvl w:val="2"/>
          <w:numId w:val="1"/>
        </w:numPr>
        <w:bidi w:val="0"/>
        <w:spacing w:lineRule="auto" w:line="276" w:before="120" w:after="120"/>
        <w:jc w:val="both"/>
        <w:rPr>
          <w:rFonts w:cs="Arial"/>
          <w:color w:val="000000" w:themeColor="text1"/>
          <w:szCs w:val="20"/>
        </w:rPr>
      </w:pPr>
      <w:r>
        <w:rPr>
          <w:rFonts w:cs="Arial" w:ascii="Calibri" w:hAnsi="Calibri"/>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keepNext w:val="false"/>
        <w:pageBreakBefore w:val="false"/>
        <w:widowControl w:val="false"/>
        <w:numPr>
          <w:ilvl w:val="0"/>
          <w:numId w:val="0"/>
        </w:numPr>
        <w:bidi w:val="0"/>
        <w:spacing w:lineRule="auto" w:line="276" w:before="120" w:after="120"/>
        <w:ind w:left="792" w:hanging="0"/>
        <w:jc w:val="both"/>
        <w:rPr>
          <w:rFonts w:ascii="Calibri" w:hAnsi="Calibri" w:cs="Arial"/>
          <w:color w:val="000000" w:themeColor="text1"/>
          <w:sz w:val="24"/>
          <w:szCs w:val="24"/>
        </w:rPr>
      </w:pPr>
      <w:r>
        <w:rPr>
          <w:rFonts w:cs="Arial" w:ascii="Calibri" w:hAnsi="Calibri"/>
          <w:color w:val="000000" w:themeColor="text1"/>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 xml:space="preserve">FASE DE LANCES </w:t>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sz w:val="24"/>
          <w:szCs w:val="24"/>
          <w:lang w:eastAsia="en-US"/>
        </w:rPr>
        <w:t>exclusivamente por meio do sistema eletrônico</w:t>
      </w:r>
      <w:r>
        <w:rPr>
          <w:rFonts w:cs="Arial" w:ascii="Calibri" w:hAnsi="Calibri"/>
          <w:sz w:val="24"/>
          <w:szCs w:val="24"/>
          <w:lang w:eastAsia="en-US"/>
        </w:rPr>
        <w:t xml:space="preserve">, </w:t>
      </w:r>
      <w:r>
        <w:rPr>
          <w:rFonts w:cs="Arial" w:ascii="Calibri" w:hAnsi="Calibri"/>
          <w:color w:val="000000" w:themeColor="text1"/>
          <w:sz w:val="24"/>
          <w:szCs w:val="24"/>
          <w:lang w:eastAsia="en-US"/>
        </w:rPr>
        <w:t>sendo encerrado no horário de finalização de lances também já previsto neste aviso.</w:t>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rPr>
        <w:t xml:space="preserve">Iniciada a etapa competitiva, os </w:t>
      </w:r>
      <w:r>
        <w:rPr>
          <w:rFonts w:cs="Arial" w:ascii="Calibri" w:hAnsi="Calibri"/>
          <w:color w:val="000000" w:themeColor="text1"/>
          <w:sz w:val="24"/>
          <w:szCs w:val="24"/>
          <w:lang w:eastAsia="en-US"/>
        </w:rPr>
        <w:t xml:space="preserve">prestadores de serviços </w:t>
      </w:r>
      <w:r>
        <w:rPr>
          <w:rFonts w:cs="Arial" w:ascii="Calibri" w:hAnsi="Calibri"/>
          <w:color w:val="000000" w:themeColor="text1"/>
          <w:sz w:val="24"/>
          <w:szCs w:val="24"/>
        </w:rPr>
        <w:t xml:space="preserve">deverão encaminhar lances exclusivamente por meio de sistema eletrônico, sendo imediatamente informados do seu recebimento e do valor consignado no registro. </w:t>
      </w:r>
    </w:p>
    <w:p>
      <w:pPr>
        <w:pStyle w:val="ListParagraph"/>
        <w:keepNext w:val="false"/>
        <w:pageBreakBefore w:val="false"/>
        <w:widowControl w:val="false"/>
        <w:numPr>
          <w:ilvl w:val="2"/>
          <w:numId w:val="1"/>
        </w:numPr>
        <w:bidi w:val="0"/>
        <w:spacing w:lineRule="auto" w:line="276" w:before="120" w:after="120"/>
        <w:contextualSpacing/>
        <w:jc w:val="both"/>
        <w:rPr>
          <w:i w:val="false"/>
          <w:i w:val="false"/>
          <w:iCs w:val="false"/>
        </w:rPr>
      </w:pPr>
      <w:r>
        <w:rPr>
          <w:rFonts w:cs="Arial" w:ascii="Calibri" w:hAnsi="Calibri"/>
          <w:i w:val="false"/>
          <w:iCs w:val="false"/>
          <w:color w:val="00000A"/>
          <w:sz w:val="24"/>
          <w:szCs w:val="24"/>
        </w:rPr>
        <w:t>O lance deverá ser ofertado pelo valor unitário do item.</w:t>
      </w:r>
    </w:p>
    <w:p>
      <w:pPr>
        <w:pStyle w:val="ListParagraph"/>
        <w:keepNext w:val="false"/>
        <w:pageBreakBefore w:val="false"/>
        <w:widowControl w:val="false"/>
        <w:numPr>
          <w:ilvl w:val="0"/>
          <w:numId w:val="0"/>
        </w:numPr>
        <w:bidi w:val="0"/>
        <w:spacing w:lineRule="auto" w:line="276" w:before="120" w:after="120"/>
        <w:ind w:left="1944" w:hanging="0"/>
        <w:contextualSpacing/>
        <w:jc w:val="both"/>
        <w:rPr>
          <w:rFonts w:ascii="Calibri" w:hAnsi="Calibri" w:cs="Arial"/>
          <w:color w:val="00000A"/>
          <w:sz w:val="24"/>
          <w:szCs w:val="24"/>
        </w:rPr>
      </w:pPr>
      <w:r>
        <w:rPr>
          <w:rFonts w:cs="Arial" w:ascii="Calibri" w:hAnsi="Calibri"/>
          <w:color w:val="00000A"/>
          <w:sz w:val="24"/>
          <w:szCs w:val="24"/>
        </w:rPr>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lang w:eastAsia="en-US"/>
        </w:rPr>
        <w:t>O prestador de serviços somente poderá oferecer valor inferior ou maior percentual de desconto em relação ao último lance por ele ofertado e registrado pelo sistema.</w:t>
      </w:r>
    </w:p>
    <w:p>
      <w:pPr>
        <w:pStyle w:val="ListParagraph"/>
        <w:keepNext w:val="false"/>
        <w:pageBreakBefore w:val="false"/>
        <w:widowControl w:val="false"/>
        <w:numPr>
          <w:ilvl w:val="2"/>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lang w:eastAsia="en-US"/>
        </w:rPr>
        <w:t>O prestador de serviços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keepNext w:val="false"/>
        <w:pageBreakBefore w:val="false"/>
        <w:widowControl w:val="false"/>
        <w:numPr>
          <w:ilvl w:val="0"/>
          <w:numId w:val="0"/>
        </w:numPr>
        <w:bidi w:val="0"/>
        <w:spacing w:lineRule="auto" w:line="276" w:before="120" w:after="120"/>
        <w:ind w:left="1944"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lang w:eastAsia="en-US"/>
        </w:rPr>
        <w:t>Havendo lances iguais ao menor já ofertado, prevalecerá aquele que for recebido e registrado primeiro no sistema.</w:t>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lang w:eastAsia="en-US"/>
        </w:rPr>
        <w:t>Caso o  prestador de serviço não apresente lances, concorrerá com o valor de sua proposta.</w:t>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lang w:eastAsia="en-US"/>
        </w:rPr>
        <w:t>Durante o procedimento, os prestadores de serviços serão informados, em tempo real, do valor do menor lance registrado, vedada a identificação do prestador de serviços.</w:t>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keepNext w:val="false"/>
        <w:pageBreakBefore w:val="false"/>
        <w:widowControl w:val="false"/>
        <w:numPr>
          <w:ilvl w:val="2"/>
          <w:numId w:val="1"/>
        </w:numPr>
        <w:bidi w:val="0"/>
        <w:spacing w:lineRule="auto" w:line="276" w:before="120" w:after="120"/>
        <w:contextualSpacing/>
        <w:jc w:val="both"/>
        <w:rPr>
          <w:rFonts w:cs="Arial"/>
        </w:rPr>
      </w:pPr>
      <w:r>
        <w:rPr>
          <w:rFonts w:cs="Arial" w:ascii="Calibri" w:hAnsi="Calibri"/>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sz w:val="24"/>
          <w:szCs w:val="24"/>
        </w:rPr>
      </w:pPr>
      <w:r>
        <w:rPr>
          <w:rFonts w:cs="Arial" w:ascii="Calibri" w:hAnsi="Calibri"/>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JULGAMENTO DAS PROPOSTAS DE PREÇO</w:t>
      </w:r>
    </w:p>
    <w:p>
      <w:pPr>
        <w:pStyle w:val="ListParagraph"/>
        <w:keepNext w:val="false"/>
        <w:pageBreakBefore w:val="false"/>
        <w:widowControl w:val="false"/>
        <w:numPr>
          <w:ilvl w:val="1"/>
          <w:numId w:val="1"/>
        </w:numPr>
        <w:bidi w:val="0"/>
        <w:spacing w:lineRule="auto" w:line="276" w:before="120" w:after="120"/>
        <w:contextualSpacing/>
        <w:jc w:val="both"/>
        <w:rPr>
          <w:rFonts w:cs="Arial"/>
        </w:rPr>
      </w:pPr>
      <w:r>
        <w:rPr>
          <w:rFonts w:cs="Arial" w:ascii="Calibri" w:hAnsi="Calibri"/>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keepNext w:val="false"/>
        <w:pageBreakBefore w:val="false"/>
        <w:widowControl w:val="false"/>
        <w:numPr>
          <w:ilvl w:val="1"/>
          <w:numId w:val="1"/>
        </w:numPr>
        <w:bidi w:val="0"/>
        <w:spacing w:lineRule="auto" w:line="276" w:before="120" w:after="120"/>
        <w:contextualSpacing/>
        <w:jc w:val="both"/>
        <w:rPr>
          <w:rFonts w:cs="Arial"/>
        </w:rPr>
      </w:pPr>
      <w:r>
        <w:rPr>
          <w:rFonts w:cs="Arial" w:ascii="Calibri" w:hAnsi="Calibri"/>
          <w:sz w:val="24"/>
          <w:szCs w:val="24"/>
        </w:rPr>
        <w:t>No caso de o preço da proposta vencedora estar acima do estimado pela Administração, poderá haver a negociação de condições mais vantajosas.</w:t>
      </w:r>
    </w:p>
    <w:p>
      <w:pPr>
        <w:pStyle w:val="ListParagraph"/>
        <w:keepNext w:val="false"/>
        <w:pageBreakBefore w:val="false"/>
        <w:widowControl w:val="false"/>
        <w:numPr>
          <w:ilvl w:val="2"/>
          <w:numId w:val="1"/>
        </w:numPr>
        <w:bidi w:val="0"/>
        <w:spacing w:lineRule="auto" w:line="276" w:before="120" w:after="120"/>
        <w:contextualSpacing/>
        <w:jc w:val="both"/>
        <w:rPr>
          <w:rFonts w:cs="Arial"/>
        </w:rPr>
      </w:pPr>
      <w:r>
        <w:rPr>
          <w:rFonts w:cs="Arial" w:ascii="Calibri" w:hAnsi="Calibri"/>
          <w:color w:val="000000"/>
          <w:sz w:val="24"/>
          <w:szCs w:val="24"/>
        </w:rPr>
        <w:t xml:space="preserve">Neste caso, será encaminhada contraproposta ao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que tenha apresentado o melhor preço, para que seja obtida melhor proposta com preço compatível ao estimado pela Administração.</w:t>
      </w:r>
    </w:p>
    <w:p>
      <w:pPr>
        <w:pStyle w:val="ListParagraph"/>
        <w:keepNext w:val="false"/>
        <w:pageBreakBefore w:val="false"/>
        <w:widowControl w:val="false"/>
        <w:numPr>
          <w:ilvl w:val="3"/>
          <w:numId w:val="1"/>
        </w:numPr>
        <w:bidi w:val="0"/>
        <w:spacing w:lineRule="auto" w:line="276" w:before="120" w:after="120"/>
        <w:contextualSpacing/>
        <w:jc w:val="both"/>
        <w:rPr>
          <w:rFonts w:cs="Arial"/>
        </w:rPr>
      </w:pPr>
      <w:r>
        <w:rPr>
          <w:rFonts w:cs="Arial" w:ascii="Calibri" w:hAnsi="Calibri"/>
          <w:color w:val="000000"/>
          <w:sz w:val="24"/>
          <w:szCs w:val="24"/>
        </w:rPr>
        <w:t>O prazo para resposta será de até uma 1 (uma) hora contado do envio do envio da contraproposta.</w:t>
      </w:r>
    </w:p>
    <w:p>
      <w:pPr>
        <w:pStyle w:val="ListParagraph"/>
        <w:keepNext w:val="false"/>
        <w:pageBreakBefore w:val="false"/>
        <w:widowControl w:val="false"/>
        <w:bidi w:val="0"/>
        <w:spacing w:lineRule="auto" w:line="276" w:before="120" w:after="120"/>
        <w:ind w:left="1728" w:hanging="0"/>
        <w:contextualSpacing/>
        <w:jc w:val="both"/>
        <w:rPr>
          <w:rFonts w:ascii="Calibri" w:hAnsi="Calibri" w:cs="Arial"/>
          <w:sz w:val="24"/>
          <w:szCs w:val="24"/>
        </w:rPr>
      </w:pPr>
      <w:r>
        <w:rPr>
          <w:rFonts w:cs="Arial" w:ascii="Calibri" w:hAnsi="Calibri"/>
          <w:sz w:val="24"/>
          <w:szCs w:val="24"/>
        </w:rPr>
      </w:r>
    </w:p>
    <w:p>
      <w:pPr>
        <w:pStyle w:val="ListParagraph"/>
        <w:keepNext w:val="false"/>
        <w:pageBreakBefore w:val="false"/>
        <w:widowControl w:val="false"/>
        <w:bidi w:val="0"/>
        <w:spacing w:lineRule="auto" w:line="276" w:before="120" w:after="120"/>
        <w:contextualSpacing/>
        <w:jc w:val="both"/>
        <w:rPr>
          <w:rFonts w:ascii="Calibri" w:hAnsi="Calibri"/>
          <w:sz w:val="24"/>
          <w:szCs w:val="24"/>
        </w:rPr>
      </w:pPr>
      <w:r>
        <w:rPr>
          <w:rFonts w:cs="Arial" w:ascii="Calibri" w:hAnsi="Calibri"/>
          <w:sz w:val="24"/>
          <w:szCs w:val="24"/>
        </w:rPr>
        <w:t xml:space="preserve">A negociação poderá ser feita com os demais </w:t>
      </w:r>
      <w:r>
        <w:rPr>
          <w:rFonts w:cs="Arial" w:ascii="Calibri" w:hAnsi="Calibri"/>
          <w:color w:val="000000" w:themeColor="text1"/>
          <w:sz w:val="24"/>
          <w:szCs w:val="24"/>
        </w:rPr>
        <w:t xml:space="preserve"> prestador de serviço </w:t>
      </w:r>
      <w:r>
        <w:rPr>
          <w:rFonts w:cs="Arial" w:ascii="Calibri" w:hAnsi="Calibri"/>
          <w:sz w:val="24"/>
          <w:szCs w:val="24"/>
        </w:rPr>
        <w:t xml:space="preserve"> classificados, respeitada a ordem de classificação, quando o primeiro colocado, mesmo após a negociação, for desclassificado em razão de sua proposta permanecer acima do preço máximo definido para a contratação.</w:t>
      </w:r>
    </w:p>
    <w:p>
      <w:pPr>
        <w:pStyle w:val="ListParagraph"/>
        <w:keepNext w:val="false"/>
        <w:pageBreakBefore w:val="false"/>
        <w:widowControl w:val="false"/>
        <w:numPr>
          <w:ilvl w:val="2"/>
          <w:numId w:val="1"/>
        </w:numPr>
        <w:bidi w:val="0"/>
        <w:spacing w:lineRule="auto" w:line="276" w:before="120" w:after="120"/>
        <w:contextualSpacing/>
        <w:jc w:val="both"/>
        <w:rPr>
          <w:rFonts w:cs="Arial"/>
        </w:rPr>
      </w:pPr>
      <w:r>
        <w:rPr>
          <w:rFonts w:cs="Arial" w:ascii="Calibri" w:hAnsi="Calibri"/>
          <w:sz w:val="24"/>
          <w:szCs w:val="24"/>
        </w:rPr>
        <w:t>Em qualquer caso, concluída a negociação, o resultado será registrado na ata do procedimento da dispensa eletrônica.</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sz w:val="24"/>
          <w:szCs w:val="24"/>
        </w:rPr>
      </w:pPr>
      <w:r>
        <w:rPr>
          <w:rFonts w:cs="Arial" w:ascii="Calibri" w:hAnsi="Calibri"/>
          <w:sz w:val="24"/>
          <w:szCs w:val="24"/>
        </w:rPr>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sz w:val="24"/>
          <w:szCs w:val="24"/>
        </w:rPr>
        <w:t>Estando o preço compatível, será solicitado o envio da proposta e, se necessário, de documentos complementares, adequada ao último lance.</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themeColor="text1"/>
          <w:sz w:val="24"/>
          <w:szCs w:val="24"/>
        </w:rPr>
        <w:t xml:space="preserve">O prazo de validade </w:t>
      </w:r>
      <w:r>
        <w:rPr>
          <w:rFonts w:cs="Arial" w:ascii="Calibri" w:hAnsi="Calibri"/>
          <w:sz w:val="24"/>
          <w:szCs w:val="24"/>
        </w:rPr>
        <w:t>da</w:t>
      </w:r>
      <w:r>
        <w:rPr>
          <w:rFonts w:cs="Arial" w:ascii="Calibri" w:hAnsi="Calibri"/>
          <w:color w:val="000000" w:themeColor="text1"/>
          <w:sz w:val="24"/>
          <w:szCs w:val="24"/>
        </w:rPr>
        <w:t xml:space="preserve"> proposta não será inferior a 60 (sessenta) dias</w:t>
      </w:r>
      <w:r>
        <w:rPr>
          <w:rFonts w:cs="Arial" w:ascii="Calibri" w:hAnsi="Calibri"/>
          <w:b/>
          <w:bCs/>
          <w:color w:val="000000" w:themeColor="text1"/>
          <w:sz w:val="24"/>
          <w:szCs w:val="24"/>
        </w:rPr>
        <w:t>,</w:t>
      </w:r>
      <w:r>
        <w:rPr>
          <w:rFonts w:cs="Arial" w:ascii="Calibri" w:hAnsi="Calibri"/>
          <w:color w:val="000000" w:themeColor="text1"/>
          <w:sz w:val="24"/>
          <w:szCs w:val="24"/>
        </w:rPr>
        <w:t xml:space="preserve"> a contar da data de sua apresentação.</w:t>
      </w:r>
    </w:p>
    <w:p>
      <w:pPr>
        <w:pStyle w:val="ListParagraph"/>
        <w:keepNext w:val="false"/>
        <w:pageBreakBefore w:val="false"/>
        <w:widowControl w:val="false"/>
        <w:numPr>
          <w:ilvl w:val="1"/>
          <w:numId w:val="1"/>
        </w:numPr>
        <w:bidi w:val="0"/>
        <w:spacing w:lineRule="auto" w:line="276" w:before="120" w:after="120"/>
        <w:contextualSpacing/>
        <w:jc w:val="both"/>
        <w:rPr>
          <w:rFonts w:cs="Arial"/>
          <w:i/>
          <w:i/>
          <w:color w:val="000000" w:themeColor="text1"/>
          <w:szCs w:val="20"/>
        </w:rPr>
      </w:pPr>
      <w:r>
        <w:rPr>
          <w:rFonts w:cs="Arial" w:ascii="Calibri" w:hAnsi="Calibri"/>
          <w:color w:val="000000" w:themeColor="text1"/>
          <w:sz w:val="24"/>
          <w:szCs w:val="24"/>
          <w:lang w:eastAsia="en-US"/>
        </w:rPr>
        <w:t xml:space="preserve">Será desclassificada a proposta vencedora que: </w:t>
      </w:r>
    </w:p>
    <w:p>
      <w:pPr>
        <w:pStyle w:val="ListParagraph"/>
        <w:keepNext w:val="false"/>
        <w:pageBreakBefore w:val="false"/>
        <w:widowControl w:val="false"/>
        <w:numPr>
          <w:ilvl w:val="2"/>
          <w:numId w:val="1"/>
        </w:numPr>
        <w:bidi w:val="0"/>
        <w:spacing w:lineRule="auto" w:line="276" w:before="120" w:after="120"/>
        <w:contextualSpacing/>
        <w:jc w:val="both"/>
        <w:rPr>
          <w:rFonts w:cs="Arial"/>
          <w:i/>
          <w:i/>
          <w:color w:val="000000" w:themeColor="text1"/>
          <w:szCs w:val="20"/>
        </w:rPr>
      </w:pPr>
      <w:r>
        <w:rPr>
          <w:rFonts w:cs="Arial" w:ascii="Calibri" w:hAnsi="Calibri"/>
          <w:color w:val="000000"/>
          <w:sz w:val="24"/>
          <w:szCs w:val="24"/>
        </w:rPr>
        <w:t>contiver vícios insanáveis</w:t>
      </w:r>
      <w:r>
        <w:rPr>
          <w:rFonts w:cs="Arial" w:ascii="Calibri" w:hAnsi="Calibri"/>
          <w:iCs/>
          <w:color w:val="000000" w:themeColor="text1"/>
          <w:sz w:val="24"/>
          <w:szCs w:val="24"/>
        </w:rPr>
        <w:t>;</w:t>
      </w:r>
    </w:p>
    <w:p>
      <w:pPr>
        <w:pStyle w:val="ListParagraph"/>
        <w:keepNext w:val="false"/>
        <w:pageBreakBefore w:val="false"/>
        <w:widowControl w:val="false"/>
        <w:numPr>
          <w:ilvl w:val="2"/>
          <w:numId w:val="1"/>
        </w:numPr>
        <w:bidi w:val="0"/>
        <w:spacing w:lineRule="auto" w:line="276" w:before="120" w:after="120"/>
        <w:contextualSpacing/>
        <w:jc w:val="both"/>
        <w:rPr>
          <w:rFonts w:cs="Arial"/>
          <w:i/>
          <w:i/>
          <w:color w:val="000000" w:themeColor="text1"/>
          <w:szCs w:val="20"/>
        </w:rPr>
      </w:pPr>
      <w:r>
        <w:rPr>
          <w:rFonts w:cs="Arial" w:ascii="Calibri" w:hAnsi="Calibri"/>
          <w:color w:val="000000"/>
          <w:sz w:val="24"/>
          <w:szCs w:val="24"/>
        </w:rPr>
        <w:t>não obedecer às especificações técnicas pormenorizadas neste aviso ou em seus anexos</w:t>
      </w:r>
      <w:r>
        <w:rPr>
          <w:rFonts w:cs="Arial" w:ascii="Calibri" w:hAnsi="Calibri"/>
          <w:iCs/>
          <w:color w:val="000000" w:themeColor="text1"/>
          <w:sz w:val="24"/>
          <w:szCs w:val="24"/>
        </w:rPr>
        <w:t>;</w:t>
      </w:r>
    </w:p>
    <w:p>
      <w:pPr>
        <w:pStyle w:val="ListParagraph"/>
        <w:keepNext w:val="false"/>
        <w:pageBreakBefore w:val="false"/>
        <w:widowControl w:val="false"/>
        <w:numPr>
          <w:ilvl w:val="2"/>
          <w:numId w:val="1"/>
        </w:numPr>
        <w:bidi w:val="0"/>
        <w:spacing w:lineRule="auto" w:line="276" w:before="120" w:after="120"/>
        <w:contextualSpacing/>
        <w:jc w:val="both"/>
        <w:rPr>
          <w:rFonts w:cs="Arial"/>
          <w:i/>
          <w:i/>
          <w:color w:val="000000" w:themeColor="text1"/>
          <w:szCs w:val="20"/>
        </w:rPr>
      </w:pPr>
      <w:r>
        <w:rPr>
          <w:rFonts w:cs="Arial" w:ascii="Calibri" w:hAnsi="Calibri"/>
          <w:color w:val="000000"/>
          <w:sz w:val="24"/>
          <w:szCs w:val="24"/>
        </w:rPr>
        <w:t>apresentar preços inexequíveis ou permanecerem acima do preço máximo definido para a contratação;</w:t>
      </w:r>
    </w:p>
    <w:p>
      <w:pPr>
        <w:pStyle w:val="ListParagraph"/>
        <w:keepNext w:val="false"/>
        <w:pageBreakBefore w:val="false"/>
        <w:widowControl w:val="false"/>
        <w:numPr>
          <w:ilvl w:val="2"/>
          <w:numId w:val="1"/>
        </w:numPr>
        <w:bidi w:val="0"/>
        <w:spacing w:lineRule="auto" w:line="276" w:before="120" w:after="120"/>
        <w:contextualSpacing/>
        <w:jc w:val="both"/>
        <w:rPr>
          <w:rFonts w:cs="Arial"/>
          <w:i/>
          <w:i/>
          <w:color w:val="000000" w:themeColor="text1"/>
          <w:szCs w:val="20"/>
        </w:rPr>
      </w:pPr>
      <w:r>
        <w:rPr>
          <w:rFonts w:cs="Arial" w:ascii="Calibri" w:hAnsi="Calibri"/>
          <w:color w:val="000000"/>
          <w:sz w:val="24"/>
          <w:szCs w:val="24"/>
        </w:rPr>
        <w:t>não tiverem sua exequibilidade demonstrada, quando exigido pela Administração</w:t>
      </w:r>
      <w:r>
        <w:rPr>
          <w:rFonts w:cs="Arial" w:ascii="Calibri" w:hAnsi="Calibri"/>
          <w:iCs/>
          <w:color w:val="000000" w:themeColor="text1"/>
          <w:sz w:val="24"/>
          <w:szCs w:val="24"/>
        </w:rPr>
        <w:t>;</w:t>
      </w:r>
    </w:p>
    <w:p>
      <w:pPr>
        <w:pStyle w:val="ListParagraph"/>
        <w:keepNext w:val="false"/>
        <w:pageBreakBefore w:val="false"/>
        <w:widowControl w:val="false"/>
        <w:numPr>
          <w:ilvl w:val="2"/>
          <w:numId w:val="1"/>
        </w:numPr>
        <w:bidi w:val="0"/>
        <w:spacing w:lineRule="auto" w:line="276" w:before="120" w:after="120"/>
        <w:contextualSpacing/>
        <w:jc w:val="both"/>
        <w:rPr>
          <w:rFonts w:cs="Arial"/>
          <w:i/>
          <w:i/>
          <w:color w:val="000000" w:themeColor="text1"/>
          <w:szCs w:val="20"/>
        </w:rPr>
      </w:pPr>
      <w:r>
        <w:rPr>
          <w:rFonts w:cs="Arial" w:ascii="Calibri" w:hAnsi="Calibri"/>
          <w:color w:val="000000"/>
          <w:sz w:val="24"/>
          <w:szCs w:val="24"/>
        </w:rPr>
        <w:t>apresentar desconformidade com quaisquer outras exigências deste aviso ou seus anexos, desde que insanável.</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i/>
          <w:i/>
          <w:color w:val="000000" w:themeColor="text1"/>
          <w:sz w:val="24"/>
          <w:szCs w:val="24"/>
        </w:rPr>
      </w:pPr>
      <w:r>
        <w:rPr>
          <w:rFonts w:cs="Arial" w:ascii="Calibri" w:hAnsi="Calibri"/>
          <w:i/>
          <w:color w:val="000000" w:themeColor="text1"/>
          <w:sz w:val="24"/>
          <w:szCs w:val="24"/>
        </w:rPr>
      </w:r>
    </w:p>
    <w:p>
      <w:pPr>
        <w:pStyle w:val="ListParagraph"/>
        <w:keepNext w:val="false"/>
        <w:pageBreakBefore w:val="false"/>
        <w:widowControl w:val="false"/>
        <w:numPr>
          <w:ilvl w:val="1"/>
          <w:numId w:val="1"/>
        </w:numPr>
        <w:bidi w:val="0"/>
        <w:spacing w:lineRule="auto" w:line="276" w:before="120" w:after="120"/>
        <w:contextualSpacing/>
        <w:jc w:val="both"/>
        <w:rPr>
          <w:rFonts w:cs="Arial"/>
          <w:i/>
          <w:i/>
          <w:color w:val="000000" w:themeColor="text1"/>
          <w:szCs w:val="20"/>
        </w:rPr>
      </w:pPr>
      <w:r>
        <w:rPr>
          <w:rFonts w:cs="Arial" w:ascii="Calibri" w:hAnsi="Calibri"/>
          <w:color w:val="000000" w:themeColor="text1"/>
          <w:sz w:val="24"/>
          <w:szCs w:val="24"/>
          <w:lang w:eastAsia="en-US"/>
        </w:rPr>
        <w:t>Quando</w:t>
      </w:r>
      <w:r>
        <w:rPr>
          <w:rFonts w:cs="Arial" w:ascii="Calibri" w:hAnsi="Calibri"/>
          <w:sz w:val="24"/>
          <w:szCs w:val="24"/>
        </w:rPr>
        <w:t xml:space="preserve"> o </w:t>
      </w:r>
      <w:r>
        <w:rPr>
          <w:rFonts w:cs="Arial" w:ascii="Calibri" w:hAnsi="Calibri"/>
          <w:color w:val="000000" w:themeColor="text1"/>
          <w:sz w:val="24"/>
          <w:szCs w:val="24"/>
          <w:lang w:eastAsia="en-US"/>
        </w:rPr>
        <w:t>prestador de serviços</w:t>
      </w:r>
      <w:r>
        <w:rPr>
          <w:rFonts w:cs="Arial" w:ascii="Calibri" w:hAnsi="Calibri"/>
          <w:sz w:val="24"/>
          <w:szCs w:val="24"/>
        </w:rPr>
        <w:t xml:space="preserve"> não conseguir comprovar que possui ou possuirá recursos suficientes para executar a contento o objeto, será considerada inexequível a proposta de preços ou menor lance que:</w:t>
      </w:r>
    </w:p>
    <w:p>
      <w:pPr>
        <w:pStyle w:val="ListParagraph"/>
        <w:keepNext w:val="false"/>
        <w:pageBreakBefore w:val="false"/>
        <w:widowControl w:val="false"/>
        <w:numPr>
          <w:ilvl w:val="2"/>
          <w:numId w:val="1"/>
        </w:numPr>
        <w:bidi w:val="0"/>
        <w:spacing w:lineRule="auto" w:line="276" w:before="120" w:after="120"/>
        <w:contextualSpacing/>
        <w:jc w:val="both"/>
        <w:rPr>
          <w:rFonts w:cs="Arial"/>
          <w:i/>
          <w:i/>
          <w:color w:val="000000" w:themeColor="text1"/>
          <w:szCs w:val="20"/>
        </w:rPr>
      </w:pPr>
      <w:r>
        <w:rPr>
          <w:rFonts w:cs="Arial" w:ascii="Calibri" w:hAnsi="Calibri"/>
          <w:sz w:val="24"/>
          <w:szCs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Pr>
          <w:rFonts w:cs="Arial" w:ascii="Calibri" w:hAnsi="Calibri"/>
          <w:color w:val="000000" w:themeColor="text1"/>
          <w:sz w:val="24"/>
          <w:szCs w:val="24"/>
          <w:lang w:eastAsia="en-US"/>
        </w:rPr>
        <w:t>prestador de serviços</w:t>
      </w:r>
      <w:r>
        <w:rPr>
          <w:rFonts w:cs="Arial" w:ascii="Calibri" w:hAnsi="Calibri"/>
          <w:sz w:val="24"/>
          <w:szCs w:val="24"/>
        </w:rPr>
        <w:t>, para os quais ele renuncie a parcela ou à totalidade da remuneração.</w:t>
      </w:r>
    </w:p>
    <w:p>
      <w:pPr>
        <w:pStyle w:val="ListParagraph"/>
        <w:keepNext w:val="false"/>
        <w:pageBreakBefore w:val="false"/>
        <w:widowControl w:val="false"/>
        <w:numPr>
          <w:ilvl w:val="2"/>
          <w:numId w:val="1"/>
        </w:numPr>
        <w:bidi w:val="0"/>
        <w:spacing w:lineRule="auto" w:line="276" w:before="120" w:after="120"/>
        <w:contextualSpacing/>
        <w:jc w:val="both"/>
        <w:rPr>
          <w:rFonts w:cs="Arial"/>
          <w:color w:val="000000" w:themeColor="text1"/>
          <w:szCs w:val="20"/>
        </w:rPr>
      </w:pPr>
      <w:r>
        <w:rPr>
          <w:rFonts w:cs="Arial" w:ascii="Calibri" w:hAnsi="Calibri"/>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color w:val="000000" w:themeColor="text1"/>
          <w:sz w:val="24"/>
          <w:szCs w:val="24"/>
        </w:rPr>
      </w:pPr>
      <w:r>
        <w:rPr>
          <w:rFonts w:cs="Arial" w:ascii="Calibri" w:hAnsi="Calibri"/>
          <w:color w:val="000000" w:themeColor="text1"/>
          <w:sz w:val="24"/>
          <w:szCs w:val="24"/>
        </w:rPr>
      </w:r>
    </w:p>
    <w:p>
      <w:pPr>
        <w:pStyle w:val="ListParagraph"/>
        <w:keepNext w:val="false"/>
        <w:pageBreakBefore w:val="false"/>
        <w:widowControl w:val="false"/>
        <w:numPr>
          <w:ilvl w:val="1"/>
          <w:numId w:val="1"/>
        </w:numPr>
        <w:bidi w:val="0"/>
        <w:spacing w:lineRule="auto" w:line="276" w:before="120" w:after="120"/>
        <w:ind w:left="792" w:right="-15" w:hanging="432"/>
        <w:contextualSpacing/>
        <w:jc w:val="both"/>
        <w:rPr>
          <w:rFonts w:ascii="Calibri" w:hAnsi="Calibri"/>
          <w:sz w:val="24"/>
          <w:szCs w:val="24"/>
        </w:rPr>
      </w:pPr>
      <w:r>
        <w:rPr>
          <w:rFonts w:cs="Arial" w:ascii="Calibri" w:hAnsi="Calibri"/>
          <w:color w:val="000000" w:themeColor="text1"/>
          <w:sz w:val="24"/>
          <w:szCs w:val="24"/>
          <w:lang w:eastAsia="en-US"/>
        </w:rPr>
        <w:t xml:space="preserve">Se houver indícios de inexequibilidade da proposta de preço, ou em caso da necessidade de esclarecimentos </w:t>
      </w:r>
      <w:r>
        <w:rPr>
          <w:rFonts w:cs="Arial" w:ascii="Calibri" w:hAnsi="Calibri"/>
          <w:sz w:val="24"/>
          <w:szCs w:val="24"/>
        </w:rPr>
        <w:t>complementares</w:t>
      </w:r>
      <w:r>
        <w:rPr>
          <w:rFonts w:cs="Arial" w:ascii="Calibri" w:hAnsi="Calibri"/>
          <w:color w:val="000000" w:themeColor="text1"/>
          <w:sz w:val="24"/>
          <w:szCs w:val="24"/>
          <w:lang w:eastAsia="en-US"/>
        </w:rPr>
        <w:t xml:space="preserve">, poderão ser efetuadas diligências, para que a empresa comprove a exequibilidade da proposta.  </w:t>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 xml:space="preserve">Erros no preenchimento da planilha não constituem motivo para a desclassificação da proposta. A planilha </w:t>
      </w:r>
      <w:r>
        <w:rPr>
          <w:rFonts w:cs="Arial" w:ascii="Calibri" w:hAnsi="Calibri"/>
          <w:sz w:val="24"/>
          <w:szCs w:val="24"/>
        </w:rPr>
        <w:t>poderá́</w:t>
      </w:r>
      <w:r>
        <w:rPr>
          <w:rFonts w:cs="Arial" w:ascii="Calibri" w:hAnsi="Calibri"/>
          <w:color w:val="000000" w:themeColor="text1"/>
          <w:sz w:val="24"/>
          <w:szCs w:val="24"/>
          <w:lang w:eastAsia="en-US"/>
        </w:rPr>
        <w:t xml:space="preserve"> ser ajustada pelo prestador de serviços, no prazo indicado pelo sistema, desde que não haja majoração do preço.</w:t>
      </w:r>
    </w:p>
    <w:p>
      <w:pPr>
        <w:pStyle w:val="ListParagraph"/>
        <w:keepNext w:val="false"/>
        <w:pageBreakBefore w:val="false"/>
        <w:widowControl w:val="false"/>
        <w:numPr>
          <w:ilvl w:val="2"/>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O ajuste de que trata este dispositivo se limita a sanar erros ou falhas que não alterem a substância das propostas;</w:t>
      </w:r>
    </w:p>
    <w:p>
      <w:pPr>
        <w:pStyle w:val="ListParagraph"/>
        <w:keepNext w:val="false"/>
        <w:pageBreakBefore w:val="false"/>
        <w:widowControl w:val="false"/>
        <w:numPr>
          <w:ilvl w:val="2"/>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Havendo necessidade, a sessão será suspensa, informando-se no “chat” a nova data e horário para a sua continuidade.</w:t>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lang w:eastAsia="en-US"/>
        </w:rPr>
      </w:pPr>
      <w:r>
        <w:rPr>
          <w:rFonts w:cs="Arial" w:ascii="Calibri" w:hAnsi="Calibri"/>
          <w:color w:val="000000" w:themeColor="text1"/>
          <w:sz w:val="24"/>
          <w:szCs w:val="24"/>
          <w:lang w:eastAsia="en-US"/>
        </w:rPr>
        <w:t>Encerrada a análise quanto à aceitação da proposta, se iniciará a fase de habilitação, observado o disposto neste Aviso de Contratação Direta.</w:t>
      </w:r>
    </w:p>
    <w:p>
      <w:pPr>
        <w:pStyle w:val="ListParagraph"/>
        <w:keepNext w:val="false"/>
        <w:pageBreakBefore w:val="false"/>
        <w:widowControl w:val="false"/>
        <w:bidi w:val="0"/>
        <w:spacing w:lineRule="auto" w:line="276" w:before="120" w:after="120"/>
        <w:ind w:left="792"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 xml:space="preserve">HABILITAÇÃO </w:t>
      </w:r>
    </w:p>
    <w:p>
      <w:pPr>
        <w:pStyle w:val="ListParagraph"/>
        <w:keepNext w:val="false"/>
        <w:pageBreakBefore w:val="false"/>
        <w:widowControl w:val="false"/>
        <w:numPr>
          <w:ilvl w:val="1"/>
          <w:numId w:val="1"/>
        </w:numPr>
        <w:bidi w:val="0"/>
        <w:spacing w:lineRule="auto" w:line="276" w:before="120" w:after="120"/>
        <w:contextualSpacing/>
        <w:jc w:val="both"/>
        <w:rPr>
          <w:rFonts w:cs="Arial"/>
          <w:b/>
          <w:b/>
          <w:szCs w:val="20"/>
          <w:lang w:eastAsia="ar-SA"/>
        </w:rPr>
      </w:pPr>
      <w:r>
        <w:rPr>
          <w:rFonts w:cs="Arial" w:ascii="Calibri" w:hAnsi="Calibri"/>
          <w:sz w:val="24"/>
          <w:szCs w:val="24"/>
          <w:lang w:eastAsia="ar-SA"/>
        </w:rPr>
        <w:t xml:space="preserve">Os </w:t>
      </w:r>
      <w:r>
        <w:rPr>
          <w:rFonts w:cs="Arial" w:ascii="Calibri" w:hAnsi="Calibri"/>
          <w:color w:val="000000"/>
          <w:sz w:val="24"/>
          <w:szCs w:val="24"/>
        </w:rPr>
        <w:t>documentos</w:t>
      </w:r>
      <w:r>
        <w:rPr>
          <w:rFonts w:cs="Arial" w:ascii="Calibri" w:hAnsi="Calibri"/>
          <w:sz w:val="24"/>
          <w:szCs w:val="24"/>
          <w:lang w:eastAsia="ar-SA"/>
        </w:rPr>
        <w:t xml:space="preserve"> a serem exigidos para fins de habilitação constam do </w:t>
      </w:r>
      <w:r>
        <w:rPr>
          <w:rFonts w:cs="Arial" w:ascii="Calibri" w:hAnsi="Calibri"/>
          <w:b/>
          <w:sz w:val="24"/>
          <w:szCs w:val="24"/>
          <w:lang w:eastAsia="ar-SA"/>
        </w:rPr>
        <w:t xml:space="preserve">ANEXO I – DOCUMENTAÇÃO EXIGIDA PARA HABILITAÇÃO </w:t>
      </w:r>
      <w:r>
        <w:rPr>
          <w:rFonts w:cs="Arial" w:ascii="Calibri" w:hAnsi="Calibri"/>
          <w:sz w:val="24"/>
          <w:szCs w:val="24"/>
          <w:lang w:eastAsia="ar-SA"/>
        </w:rPr>
        <w:t xml:space="preserve">deste aviso e serão solicitados do </w:t>
      </w:r>
      <w:r>
        <w:rPr>
          <w:rFonts w:cs="Arial" w:ascii="Calibri" w:hAnsi="Calibri"/>
          <w:color w:val="000000" w:themeColor="text1"/>
          <w:sz w:val="24"/>
          <w:szCs w:val="24"/>
          <w:lang w:eastAsia="en-US"/>
        </w:rPr>
        <w:t>prestador de serviços</w:t>
      </w:r>
      <w:r>
        <w:rPr>
          <w:rFonts w:cs="Arial" w:ascii="Calibri" w:hAnsi="Calibri"/>
          <w:sz w:val="24"/>
          <w:szCs w:val="24"/>
          <w:lang w:eastAsia="ar-SA"/>
        </w:rPr>
        <w:t xml:space="preserve"> mais bem classificado da fase de lances.</w:t>
      </w:r>
    </w:p>
    <w:p>
      <w:pPr>
        <w:pStyle w:val="ListParagraph"/>
        <w:keepNext w:val="false"/>
        <w:pageBreakBefore w:val="false"/>
        <w:widowControl w:val="false"/>
        <w:numPr>
          <w:ilvl w:val="1"/>
          <w:numId w:val="1"/>
        </w:numPr>
        <w:bidi w:val="0"/>
        <w:spacing w:lineRule="auto" w:line="276" w:before="120" w:after="120"/>
        <w:contextualSpacing/>
        <w:jc w:val="both"/>
        <w:rPr>
          <w:rFonts w:cs="Arial"/>
          <w:b/>
          <w:b/>
          <w:szCs w:val="20"/>
          <w:lang w:eastAsia="ar-SA"/>
        </w:rPr>
      </w:pPr>
      <w:r>
        <w:rPr>
          <w:rFonts w:cs="Arial" w:ascii="Calibri" w:hAnsi="Calibri"/>
          <w:sz w:val="24"/>
          <w:szCs w:val="24"/>
          <w:lang w:eastAsia="ar-SA"/>
        </w:rPr>
        <w:t xml:space="preserve">Como </w:t>
      </w:r>
      <w:r>
        <w:rPr>
          <w:rFonts w:cs="Arial" w:ascii="Calibri" w:hAnsi="Calibri"/>
          <w:color w:val="000000"/>
          <w:sz w:val="24"/>
          <w:szCs w:val="24"/>
        </w:rPr>
        <w:t>condição</w:t>
      </w:r>
      <w:r>
        <w:rPr>
          <w:rFonts w:cs="Arial" w:ascii="Calibri" w:hAnsi="Calibri"/>
          <w:sz w:val="24"/>
          <w:szCs w:val="24"/>
          <w:lang w:eastAsia="ar-SA"/>
        </w:rPr>
        <w:t xml:space="preserve"> prévia ao exame da documentação de habilitação do </w:t>
      </w:r>
      <w:r>
        <w:rPr>
          <w:rFonts w:cs="Arial" w:ascii="Calibri" w:hAnsi="Calibri"/>
          <w:color w:val="000000" w:themeColor="text1"/>
          <w:sz w:val="24"/>
          <w:szCs w:val="24"/>
          <w:lang w:eastAsia="en-US"/>
        </w:rPr>
        <w:t>prestador de serviços</w:t>
      </w:r>
      <w:r>
        <w:rPr>
          <w:rFonts w:cs="Arial" w:ascii="Calibri" w:hAnsi="Calibri"/>
          <w:sz w:val="24"/>
          <w:szCs w:val="24"/>
          <w:lang w:eastAsia="ar-SA"/>
        </w:rPr>
        <w:t xml:space="preserve">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keepNext w:val="false"/>
        <w:pageBreakBefore w:val="false"/>
        <w:widowControl w:val="false"/>
        <w:bidi w:val="0"/>
        <w:spacing w:lineRule="auto" w:line="276" w:before="120" w:after="120"/>
        <w:ind w:left="1134" w:hanging="0"/>
        <w:contextualSpacing/>
        <w:jc w:val="both"/>
        <w:rPr>
          <w:rFonts w:cs="Arial"/>
          <w:szCs w:val="20"/>
          <w:lang w:eastAsia="ar-SA"/>
        </w:rPr>
      </w:pPr>
      <w:r>
        <w:rPr>
          <w:rFonts w:cs="Arial" w:ascii="Calibri" w:hAnsi="Calibri"/>
          <w:sz w:val="24"/>
          <w:szCs w:val="24"/>
          <w:lang w:eastAsia="ar-SA"/>
        </w:rPr>
        <w:t xml:space="preserve">a) SICAF;  </w:t>
      </w:r>
    </w:p>
    <w:p>
      <w:pPr>
        <w:pStyle w:val="ListParagraph"/>
        <w:keepNext w:val="false"/>
        <w:pageBreakBefore w:val="false"/>
        <w:widowControl w:val="false"/>
        <w:bidi w:val="0"/>
        <w:spacing w:lineRule="auto" w:line="276" w:before="120" w:after="120"/>
        <w:ind w:left="1134" w:hanging="0"/>
        <w:contextualSpacing/>
        <w:jc w:val="both"/>
        <w:rPr/>
      </w:pPr>
      <w:r>
        <w:rPr>
          <w:rFonts w:cs="Arial" w:ascii="Calibri" w:hAnsi="Calibri"/>
          <w:sz w:val="24"/>
          <w:szCs w:val="24"/>
          <w:lang w:eastAsia="ar-SA"/>
        </w:rPr>
        <w:t>b) Cadastro Nacional de Empresas Inidôneas e Suspensas - CEIS, mantido pela Controladoria-Geral da União (</w:t>
      </w:r>
      <w:hyperlink r:id="rId4">
        <w:r>
          <w:rPr>
            <w:rStyle w:val="LinkdaInternet"/>
            <w:rFonts w:eastAsia="Calibri" w:cs="Arial" w:ascii="Calibri" w:hAnsi="Calibri"/>
            <w:sz w:val="24"/>
            <w:szCs w:val="24"/>
            <w:lang w:eastAsia="ar-SA"/>
          </w:rPr>
          <w:t>www.portaldatransparencia.gov.br/ceis</w:t>
        </w:r>
      </w:hyperlink>
      <w:r>
        <w:rPr>
          <w:rFonts w:cs="Arial" w:ascii="Calibri" w:hAnsi="Calibri"/>
          <w:sz w:val="24"/>
          <w:szCs w:val="24"/>
          <w:lang w:eastAsia="ar-SA"/>
        </w:rPr>
        <w:t xml:space="preserve">);  </w:t>
      </w:r>
    </w:p>
    <w:p>
      <w:pPr>
        <w:pStyle w:val="ListParagraph"/>
        <w:keepNext w:val="false"/>
        <w:pageBreakBefore w:val="false"/>
        <w:widowControl w:val="false"/>
        <w:bidi w:val="0"/>
        <w:spacing w:lineRule="auto" w:line="276" w:before="120" w:after="120"/>
        <w:ind w:left="1134" w:hanging="0"/>
        <w:contextualSpacing/>
        <w:jc w:val="both"/>
        <w:rPr/>
      </w:pPr>
      <w:r>
        <w:rPr>
          <w:rFonts w:cs="Arial" w:ascii="Calibri" w:hAnsi="Calibri"/>
          <w:sz w:val="24"/>
          <w:szCs w:val="24"/>
          <w:lang w:eastAsia="ar-SA"/>
        </w:rPr>
        <w:t>c) Cadastro Nacional de Condenações Cíveis por Atos de Improbidade Administrativa, mantido pelo Conselho Nacional de Justiça (</w:t>
      </w:r>
      <w:hyperlink r:id="rId5">
        <w:r>
          <w:rPr>
            <w:rStyle w:val="LinkdaInternet"/>
            <w:rFonts w:eastAsia="Calibri" w:cs="Arial" w:ascii="Calibri" w:hAnsi="Calibri"/>
            <w:sz w:val="24"/>
            <w:szCs w:val="24"/>
            <w:lang w:eastAsia="ar-SA"/>
          </w:rPr>
          <w:t>www.cnj.jus.br/improbidade_adm/consultar_requerido.php</w:t>
        </w:r>
      </w:hyperlink>
      <w:r>
        <w:rPr>
          <w:rFonts w:cs="Arial" w:ascii="Calibri" w:hAnsi="Calibri"/>
          <w:sz w:val="24"/>
          <w:szCs w:val="24"/>
          <w:lang w:eastAsia="ar-SA"/>
        </w:rPr>
        <w:t xml:space="preserve">).  </w:t>
      </w:r>
    </w:p>
    <w:p>
      <w:pPr>
        <w:pStyle w:val="ListParagraph"/>
        <w:keepNext w:val="false"/>
        <w:pageBreakBefore w:val="false"/>
        <w:widowControl w:val="false"/>
        <w:bidi w:val="0"/>
        <w:spacing w:lineRule="auto" w:line="276" w:before="120" w:after="120"/>
        <w:ind w:left="1134" w:hanging="0"/>
        <w:contextualSpacing/>
        <w:jc w:val="both"/>
        <w:rPr>
          <w:rFonts w:ascii="Calibri" w:hAnsi="Calibri"/>
          <w:sz w:val="24"/>
          <w:szCs w:val="24"/>
        </w:rPr>
      </w:pPr>
      <w:r>
        <w:rPr>
          <w:rFonts w:cs="Arial" w:ascii="Calibri" w:hAnsi="Calibri"/>
          <w:sz w:val="24"/>
          <w:szCs w:val="24"/>
          <w:lang w:eastAsia="ar-SA"/>
        </w:rPr>
        <w:t>d) Lista de Inidôneos mantida pelo Tribunal de Contas da União – TCU;</w:t>
      </w:r>
    </w:p>
    <w:p>
      <w:pPr>
        <w:pStyle w:val="ListParagraph"/>
        <w:keepNext w:val="false"/>
        <w:pageBreakBefore w:val="false"/>
        <w:widowControl w:val="false"/>
        <w:bidi w:val="0"/>
        <w:spacing w:lineRule="auto" w:line="276" w:before="120" w:after="120"/>
        <w:ind w:left="720" w:hanging="0"/>
        <w:contextualSpacing/>
        <w:jc w:val="both"/>
        <w:rPr>
          <w:rFonts w:ascii="Calibri" w:hAnsi="Calibri" w:cs="Arial"/>
          <w:sz w:val="24"/>
          <w:szCs w:val="24"/>
          <w:lang w:eastAsia="ar-SA"/>
        </w:rPr>
      </w:pPr>
      <w:r>
        <w:rPr>
          <w:rFonts w:cs="Arial" w:ascii="Calibri" w:hAnsi="Calibri"/>
          <w:sz w:val="24"/>
          <w:szCs w:val="24"/>
          <w:lang w:eastAsia="ar-SA"/>
        </w:rPr>
      </w:r>
    </w:p>
    <w:p>
      <w:pPr>
        <w:pStyle w:val="ListParagraph"/>
        <w:keepNext w:val="false"/>
        <w:pageBreakBefore w:val="false"/>
        <w:widowControl w:val="false"/>
        <w:numPr>
          <w:ilvl w:val="2"/>
          <w:numId w:val="1"/>
        </w:numPr>
        <w:bidi w:val="0"/>
        <w:spacing w:lineRule="auto" w:line="276" w:before="120" w:after="120"/>
        <w:contextualSpacing/>
        <w:jc w:val="both"/>
        <w:rPr>
          <w:rFonts w:ascii="Calibri" w:hAnsi="Calibri"/>
          <w:sz w:val="24"/>
          <w:szCs w:val="24"/>
        </w:rPr>
      </w:pPr>
      <w:r>
        <w:rPr>
          <w:rFonts w:cs="Arial" w:ascii="Calibri" w:hAnsi="Calibri"/>
          <w:sz w:val="24"/>
          <w:szCs w:val="24"/>
          <w:lang w:eastAsia="ar-SA"/>
        </w:rPr>
        <w:t xml:space="preserve">Para a consulta de </w:t>
      </w:r>
      <w:r>
        <w:rPr>
          <w:rFonts w:cs="Arial" w:ascii="Calibri" w:hAnsi="Calibri"/>
          <w:color w:val="000000" w:themeColor="text1"/>
          <w:sz w:val="24"/>
          <w:szCs w:val="24"/>
          <w:lang w:eastAsia="en-US"/>
        </w:rPr>
        <w:t xml:space="preserve">prestador de serviços, </w:t>
      </w:r>
      <w:r>
        <w:rPr>
          <w:rFonts w:cs="Arial" w:ascii="Calibri" w:hAnsi="Calibri"/>
          <w:sz w:val="24"/>
          <w:szCs w:val="24"/>
          <w:lang w:eastAsia="ar-SA"/>
        </w:rPr>
        <w:t>pessoa jurídica poderá haver a substituição das consultas das alíneas “b”, “c” e “d” acima pela Consulta Consolidada de Pessoa Jurídica do TCU (https://certidoesapf.apps.tcu.gov.br/)</w:t>
      </w:r>
    </w:p>
    <w:p>
      <w:pPr>
        <w:pStyle w:val="ListParagraph"/>
        <w:keepNext w:val="false"/>
        <w:pageBreakBefore w:val="false"/>
        <w:widowControl w:val="false"/>
        <w:numPr>
          <w:ilvl w:val="2"/>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rPr>
        <w:t xml:space="preserve">A consulta aos </w:t>
      </w:r>
      <w:r>
        <w:rPr>
          <w:rFonts w:cs="Arial" w:ascii="Calibri" w:hAnsi="Calibri"/>
          <w:sz w:val="24"/>
          <w:szCs w:val="24"/>
          <w:lang w:eastAsia="ar-SA"/>
        </w:rPr>
        <w:t>cadastros</w:t>
      </w:r>
      <w:r>
        <w:rPr>
          <w:rFonts w:cs="Arial" w:ascii="Calibri" w:hAnsi="Calibri"/>
          <w:color w:val="000000" w:themeColor="text1"/>
          <w:sz w:val="24"/>
          <w:szCs w:val="24"/>
        </w:rPr>
        <w:t xml:space="preserve"> será realizada em nome da empresa </w:t>
      </w:r>
      <w:r>
        <w:rPr>
          <w:rFonts w:cs="Arial" w:ascii="Calibri" w:hAnsi="Calibri"/>
          <w:color w:val="000000" w:themeColor="text1"/>
          <w:sz w:val="24"/>
          <w:szCs w:val="24"/>
          <w:lang w:eastAsia="en-US"/>
        </w:rPr>
        <w:t>prestadora de serviços</w:t>
      </w:r>
      <w:r>
        <w:rPr>
          <w:rFonts w:cs="Arial" w:ascii="Calibri" w:hAnsi="Calibri"/>
          <w:color w:val="000000" w:themeColor="text1"/>
          <w:sz w:val="24"/>
          <w:szCs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keepNext w:val="false"/>
        <w:pageBreakBefore w:val="false"/>
        <w:widowControl w:val="false"/>
        <w:numPr>
          <w:ilvl w:val="3"/>
          <w:numId w:val="1"/>
        </w:numPr>
        <w:bidi w:val="0"/>
        <w:spacing w:lineRule="auto" w:line="276" w:before="120" w:after="120"/>
        <w:contextualSpacing/>
        <w:jc w:val="both"/>
        <w:rPr>
          <w:rFonts w:cs="Arial"/>
          <w:szCs w:val="20"/>
        </w:rPr>
      </w:pPr>
      <w:r>
        <w:rPr>
          <w:rFonts w:cs="Arial" w:ascii="Calibri" w:hAnsi="Calibri"/>
          <w:color w:val="000000" w:themeColor="text1"/>
          <w:sz w:val="24"/>
          <w:szCs w:val="24"/>
        </w:rPr>
        <w:t xml:space="preserve">Caso conste na Consulta de Situação do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xml:space="preserve"> a existência de Ocorrências Impeditivas Indiretas, o gestor diligenciará para verificar se houve fraude por parte das empresas apontadas no Relatório de Ocorrências Impeditivas Indiretas.</w:t>
      </w:r>
    </w:p>
    <w:p>
      <w:pPr>
        <w:pStyle w:val="ListParagraph"/>
        <w:keepNext w:val="false"/>
        <w:pageBreakBefore w:val="false"/>
        <w:widowControl w:val="false"/>
        <w:numPr>
          <w:ilvl w:val="4"/>
          <w:numId w:val="1"/>
        </w:numPr>
        <w:bidi w:val="0"/>
        <w:spacing w:lineRule="auto" w:line="276" w:before="120" w:after="120"/>
        <w:contextualSpacing/>
        <w:jc w:val="both"/>
        <w:rPr>
          <w:rFonts w:cs="Arial"/>
          <w:color w:val="000000" w:themeColor="text1"/>
          <w:szCs w:val="20"/>
        </w:rPr>
      </w:pPr>
      <w:r>
        <w:rPr>
          <w:rFonts w:cs="Arial" w:ascii="Calibri" w:hAnsi="Calibri"/>
          <w:color w:val="000000" w:themeColor="text1"/>
          <w:sz w:val="24"/>
          <w:szCs w:val="24"/>
        </w:rPr>
        <w:t>A tentativa de burla será verificada por meio dos vínculos societários, linhas de fornecimento similares, dentre outros.</w:t>
      </w:r>
    </w:p>
    <w:p>
      <w:pPr>
        <w:pStyle w:val="ListParagraph"/>
        <w:keepNext w:val="false"/>
        <w:pageBreakBefore w:val="false"/>
        <w:widowControl w:val="false"/>
        <w:numPr>
          <w:ilvl w:val="4"/>
          <w:numId w:val="1"/>
        </w:numPr>
        <w:bidi w:val="0"/>
        <w:spacing w:lineRule="auto" w:line="276" w:before="120" w:after="120"/>
        <w:contextualSpacing/>
        <w:jc w:val="both"/>
        <w:rPr>
          <w:rFonts w:cs="Arial"/>
          <w:szCs w:val="20"/>
        </w:rPr>
      </w:pPr>
      <w:r>
        <w:rPr>
          <w:rFonts w:cs="Arial" w:ascii="Calibri" w:hAnsi="Calibri"/>
          <w:color w:val="000000" w:themeColor="text1"/>
          <w:sz w:val="24"/>
          <w:szCs w:val="24"/>
        </w:rPr>
        <w:t xml:space="preserve">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xml:space="preserve"> será convocado para manifestação previamente à sua desclassificação.</w:t>
      </w:r>
    </w:p>
    <w:p>
      <w:pPr>
        <w:pStyle w:val="ListParagraph"/>
        <w:keepNext w:val="false"/>
        <w:pageBreakBefore w:val="false"/>
        <w:widowControl w:val="false"/>
        <w:bidi w:val="0"/>
        <w:spacing w:lineRule="auto" w:line="276" w:before="120" w:after="120"/>
        <w:ind w:left="2232" w:hanging="0"/>
        <w:contextualSpacing/>
        <w:jc w:val="both"/>
        <w:rPr>
          <w:rFonts w:ascii="Calibri" w:hAnsi="Calibri" w:cs="Arial"/>
          <w:sz w:val="24"/>
          <w:szCs w:val="24"/>
        </w:rPr>
      </w:pPr>
      <w:r>
        <w:rPr>
          <w:rFonts w:cs="Arial" w:ascii="Calibri" w:hAnsi="Calibri"/>
          <w:sz w:val="24"/>
          <w:szCs w:val="24"/>
        </w:rPr>
      </w:r>
    </w:p>
    <w:p>
      <w:pPr>
        <w:pStyle w:val="ListParagraph"/>
        <w:keepNext w:val="false"/>
        <w:pageBreakBefore w:val="false"/>
        <w:widowControl w:val="false"/>
        <w:numPr>
          <w:ilvl w:val="2"/>
          <w:numId w:val="1"/>
        </w:numPr>
        <w:bidi w:val="0"/>
        <w:spacing w:lineRule="auto" w:line="276" w:before="120" w:after="120"/>
        <w:contextualSpacing/>
        <w:jc w:val="both"/>
        <w:rPr>
          <w:rFonts w:cs="Arial"/>
          <w:szCs w:val="20"/>
        </w:rPr>
      </w:pPr>
      <w:r>
        <w:rPr>
          <w:rFonts w:cs="Arial" w:ascii="Calibri" w:hAnsi="Calibri"/>
          <w:color w:val="000000" w:themeColor="text1"/>
          <w:sz w:val="24"/>
          <w:szCs w:val="24"/>
        </w:rPr>
        <w:t xml:space="preserve">Constatada a existência de sanção, 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xml:space="preserve"> será reputado inabilitado, por falta de condição de participação.</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sz w:val="24"/>
          <w:szCs w:val="24"/>
        </w:rPr>
      </w:pPr>
      <w:r>
        <w:rPr>
          <w:rFonts w:cs="Arial" w:ascii="Calibri" w:hAnsi="Calibri"/>
          <w:sz w:val="24"/>
          <w:szCs w:val="24"/>
        </w:rPr>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themeColor="text1"/>
          <w:sz w:val="24"/>
          <w:szCs w:val="24"/>
        </w:rPr>
        <w:t xml:space="preserve">Caso atendidas as condições de participação, </w:t>
      </w:r>
      <w:r>
        <w:rPr>
          <w:rFonts w:cs="Arial" w:ascii="Calibri" w:hAnsi="Calibri"/>
          <w:sz w:val="24"/>
          <w:szCs w:val="24"/>
        </w:rPr>
        <w:t xml:space="preserve">a habilitação dos </w:t>
      </w:r>
      <w:r>
        <w:rPr>
          <w:rFonts w:cs="Arial" w:ascii="Calibri" w:hAnsi="Calibri"/>
          <w:color w:val="000000" w:themeColor="text1"/>
          <w:sz w:val="24"/>
          <w:szCs w:val="24"/>
          <w:lang w:eastAsia="en-US"/>
        </w:rPr>
        <w:t xml:space="preserve">prestadores de serviços </w:t>
      </w:r>
      <w:r>
        <w:rPr>
          <w:rFonts w:cs="Arial" w:ascii="Calibri" w:hAnsi="Calibri"/>
          <w:sz w:val="24"/>
          <w:szCs w:val="24"/>
        </w:rPr>
        <w:t xml:space="preserve"> será verificada por meio do SICAF, nos documentos por ele abrangidos</w:t>
      </w:r>
      <w:r>
        <w:rPr>
          <w:rFonts w:cs="Arial" w:ascii="Calibri" w:hAnsi="Calibri"/>
          <w:color w:val="000000" w:themeColor="text1"/>
          <w:sz w:val="24"/>
          <w:szCs w:val="24"/>
        </w:rPr>
        <w:t>.</w:t>
      </w:r>
    </w:p>
    <w:p>
      <w:pPr>
        <w:pStyle w:val="ListParagraph"/>
        <w:keepNext w:val="false"/>
        <w:pageBreakBefore w:val="false"/>
        <w:widowControl w:val="false"/>
        <w:numPr>
          <w:ilvl w:val="2"/>
          <w:numId w:val="1"/>
        </w:numPr>
        <w:bidi w:val="0"/>
        <w:spacing w:lineRule="auto" w:line="276" w:before="120" w:after="120"/>
        <w:contextualSpacing/>
        <w:jc w:val="both"/>
        <w:rPr>
          <w:rFonts w:cs="Arial"/>
          <w:color w:val="000000" w:themeColor="text1"/>
          <w:szCs w:val="20"/>
        </w:rPr>
      </w:pPr>
      <w:r>
        <w:rPr>
          <w:rFonts w:cs="Arial" w:ascii="Calibri" w:hAnsi="Calibri"/>
          <w:color w:val="000000" w:themeColor="text1"/>
          <w:sz w:val="24"/>
          <w:szCs w:val="24"/>
        </w:rPr>
        <w:t xml:space="preserve">É dever do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xml:space="preserve"> atualizar previamente as comprovações constantes do SICAF para que estejam vigentes na data da abertura da sessão pública, ou encaminhar, quando solicitado, a respectiva documentação atualizada.</w:t>
      </w:r>
    </w:p>
    <w:p>
      <w:pPr>
        <w:pStyle w:val="ListParagraph"/>
        <w:keepNext w:val="false"/>
        <w:pageBreakBefore w:val="false"/>
        <w:widowControl w:val="false"/>
        <w:numPr>
          <w:ilvl w:val="2"/>
          <w:numId w:val="1"/>
        </w:numPr>
        <w:bidi w:val="0"/>
        <w:spacing w:lineRule="auto" w:line="276" w:before="120" w:after="120"/>
        <w:contextualSpacing/>
        <w:jc w:val="both"/>
        <w:rPr>
          <w:rFonts w:cs="Arial"/>
          <w:color w:val="000000" w:themeColor="text1"/>
          <w:szCs w:val="20"/>
        </w:rPr>
      </w:pPr>
      <w:r>
        <w:rPr>
          <w:rFonts w:cs="Arial" w:ascii="Calibri" w:hAnsi="Calibri"/>
          <w:color w:val="000000" w:themeColor="text1"/>
          <w:sz w:val="24"/>
          <w:szCs w:val="24"/>
        </w:rPr>
        <w:t xml:space="preserve">O descumprimento do subitem acima implicará a inabilitação do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exceto se a consulta aos sítios eletrônicos oficiais emissores de certidões lograr êxito em encontrar a(s) certidão(ões) válida(s).</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color w:val="000000" w:themeColor="text1"/>
          <w:sz w:val="24"/>
          <w:szCs w:val="24"/>
        </w:rPr>
      </w:pPr>
      <w:r>
        <w:rPr>
          <w:rFonts w:cs="Arial" w:ascii="Calibri" w:hAnsi="Calibri"/>
          <w:color w:val="000000" w:themeColor="text1"/>
          <w:sz w:val="24"/>
          <w:szCs w:val="24"/>
        </w:rPr>
      </w:r>
    </w:p>
    <w:p>
      <w:pPr>
        <w:pStyle w:val="ListParagraph"/>
        <w:keepNext w:val="false"/>
        <w:pageBreakBefore w:val="false"/>
        <w:widowControl w:val="false"/>
        <w:numPr>
          <w:ilvl w:val="1"/>
          <w:numId w:val="1"/>
        </w:numPr>
        <w:bidi w:val="0"/>
        <w:spacing w:lineRule="auto" w:line="276" w:before="120" w:after="120"/>
        <w:contextualSpacing/>
        <w:jc w:val="both"/>
        <w:rPr>
          <w:rFonts w:cs="Arial"/>
          <w:color w:val="000000" w:themeColor="text1"/>
          <w:szCs w:val="20"/>
        </w:rPr>
      </w:pPr>
      <w:r>
        <w:rPr>
          <w:rFonts w:cs="Arial" w:ascii="Calibri" w:hAnsi="Calibri"/>
          <w:color w:val="000000" w:themeColor="text1"/>
          <w:sz w:val="24"/>
          <w:szCs w:val="24"/>
        </w:rPr>
        <w:t xml:space="preserve">Havendo a necessidade de envio de documentos de habilitação complementares, necessários à confirmação daqueles exigidos neste Aviso de Contratação Direta e já apresentados, o </w:t>
      </w:r>
      <w:r>
        <w:rPr>
          <w:rFonts w:cs="Arial" w:ascii="Calibri" w:hAnsi="Calibri"/>
          <w:color w:val="000000" w:themeColor="text1"/>
          <w:sz w:val="24"/>
          <w:szCs w:val="24"/>
          <w:lang w:eastAsia="en-US"/>
        </w:rPr>
        <w:t>prestador de serviços</w:t>
      </w:r>
      <w:r>
        <w:rPr>
          <w:rFonts w:cs="Arial" w:ascii="Calibri" w:hAnsi="Calibri"/>
          <w:color w:val="000000" w:themeColor="text1"/>
          <w:sz w:val="24"/>
          <w:szCs w:val="24"/>
        </w:rPr>
        <w:t xml:space="preserve"> será convocado a encaminhá-los, em formato digital, após solicitação da Administração, sob pena de inabilitação.</w:t>
      </w:r>
    </w:p>
    <w:p>
      <w:pPr>
        <w:pStyle w:val="ListParagraph"/>
        <w:keepNext w:val="false"/>
        <w:pageBreakBefore w:val="false"/>
        <w:widowControl w:val="false"/>
        <w:numPr>
          <w:ilvl w:val="1"/>
          <w:numId w:val="1"/>
        </w:numPr>
        <w:bidi w:val="0"/>
        <w:spacing w:lineRule="auto" w:line="276" w:before="120" w:after="120"/>
        <w:ind w:left="792" w:hanging="574"/>
        <w:contextualSpacing/>
        <w:jc w:val="both"/>
        <w:rPr>
          <w:rFonts w:cs="Arial"/>
          <w:color w:val="000000" w:themeColor="text1"/>
          <w:szCs w:val="20"/>
        </w:rPr>
      </w:pPr>
      <w:r>
        <w:rPr>
          <w:rFonts w:cs="Arial" w:ascii="Calibri" w:hAnsi="Calibri"/>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bCs/>
          <w:sz w:val="24"/>
          <w:szCs w:val="24"/>
        </w:rPr>
        <w:t xml:space="preserve">O </w:t>
      </w:r>
      <w:r>
        <w:rPr>
          <w:rFonts w:cs="Arial" w:ascii="Calibri" w:hAnsi="Calibri"/>
          <w:bCs/>
          <w:color w:val="000000" w:themeColor="text1"/>
          <w:sz w:val="24"/>
          <w:szCs w:val="24"/>
          <w:lang w:eastAsia="en-US"/>
        </w:rPr>
        <w:t>prestador de serviços</w:t>
      </w:r>
      <w:r>
        <w:rPr>
          <w:rFonts w:cs="Arial" w:ascii="Calibri" w:hAnsi="Calibri"/>
          <w:bCs/>
          <w:sz w:val="24"/>
          <w:szCs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keepNext w:val="false"/>
        <w:pageBreakBefore w:val="false"/>
        <w:widowControl w:val="false"/>
        <w:numPr>
          <w:ilvl w:val="1"/>
          <w:numId w:val="1"/>
        </w:numPr>
        <w:bidi w:val="0"/>
        <w:spacing w:lineRule="auto" w:line="276" w:before="120" w:after="120"/>
        <w:ind w:left="792" w:hanging="574"/>
        <w:contextualSpacing/>
        <w:jc w:val="both"/>
        <w:rPr>
          <w:rFonts w:ascii="Calibri" w:hAnsi="Calibri"/>
          <w:sz w:val="24"/>
          <w:szCs w:val="24"/>
        </w:rPr>
      </w:pPr>
      <w:r>
        <w:rPr>
          <w:rFonts w:cs="Arial" w:ascii="Calibri" w:hAnsi="Calibri"/>
          <w:bCs/>
          <w:sz w:val="24"/>
          <w:szCs w:val="24"/>
        </w:rPr>
        <w:t xml:space="preserve">Havendo </w:t>
      </w:r>
      <w:r>
        <w:rPr>
          <w:rFonts w:cs="Arial" w:ascii="Calibri" w:hAnsi="Calibri"/>
          <w:iCs/>
          <w:sz w:val="24"/>
          <w:szCs w:val="24"/>
          <w:lang w:eastAsia="en-US"/>
        </w:rPr>
        <w:t>necessidade</w:t>
      </w:r>
      <w:r>
        <w:rPr>
          <w:rFonts w:cs="Arial" w:ascii="Calibri" w:hAnsi="Calibri"/>
          <w:bCs/>
          <w:sz w:val="24"/>
          <w:szCs w:val="24"/>
        </w:rPr>
        <w:t xml:space="preserve"> de analisar minuciosamente os documentos exigidos, a sessão será suspensa, sendo informada a nova data e horário para a sua continuidade.</w:t>
      </w:r>
    </w:p>
    <w:p>
      <w:pPr>
        <w:pStyle w:val="ListParagraph"/>
        <w:keepNext w:val="false"/>
        <w:pageBreakBefore w:val="false"/>
        <w:widowControl w:val="false"/>
        <w:numPr>
          <w:ilvl w:val="1"/>
          <w:numId w:val="1"/>
        </w:numPr>
        <w:bidi w:val="0"/>
        <w:spacing w:lineRule="auto" w:line="276" w:before="120" w:after="120"/>
        <w:contextualSpacing/>
        <w:jc w:val="both"/>
        <w:rPr>
          <w:rFonts w:ascii="Calibri" w:hAnsi="Calibri"/>
          <w:sz w:val="24"/>
          <w:szCs w:val="24"/>
        </w:rPr>
      </w:pPr>
      <w:r>
        <w:rPr>
          <w:rFonts w:cs="Arial" w:ascii="Calibri" w:hAnsi="Calibri"/>
          <w:color w:val="000000"/>
          <w:sz w:val="24"/>
          <w:szCs w:val="24"/>
        </w:rPr>
        <w:t xml:space="preserve">Será inabilitado 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que não comprovar sua habilitação, seja por não apresentar </w:t>
      </w:r>
      <w:r>
        <w:rPr>
          <w:rFonts w:cs="Arial" w:ascii="Calibri" w:hAnsi="Calibri"/>
          <w:iCs/>
          <w:sz w:val="24"/>
          <w:szCs w:val="24"/>
          <w:lang w:eastAsia="en-US"/>
        </w:rPr>
        <w:t>quaisquer</w:t>
      </w:r>
      <w:r>
        <w:rPr>
          <w:rFonts w:cs="Arial" w:ascii="Calibri" w:hAnsi="Calibri"/>
          <w:color w:val="000000"/>
          <w:sz w:val="24"/>
          <w:szCs w:val="24"/>
        </w:rPr>
        <w:t xml:space="preserve"> dos </w:t>
      </w:r>
      <w:r>
        <w:rPr>
          <w:rFonts w:cs="Arial" w:ascii="Calibri" w:hAnsi="Calibri"/>
          <w:bCs/>
          <w:sz w:val="24"/>
          <w:szCs w:val="24"/>
        </w:rPr>
        <w:t>documentos</w:t>
      </w:r>
      <w:r>
        <w:rPr>
          <w:rFonts w:cs="Arial" w:ascii="Calibri" w:hAnsi="Calibri"/>
          <w:color w:val="000000"/>
          <w:sz w:val="24"/>
          <w:szCs w:val="24"/>
        </w:rPr>
        <w:t xml:space="preserve"> exigidos, ou apresentá-los em desacordo com o estabelecido neste Aviso de Contratação Direta.</w:t>
      </w:r>
    </w:p>
    <w:p>
      <w:pPr>
        <w:pStyle w:val="ListParagraph"/>
        <w:keepNext w:val="false"/>
        <w:pageBreakBefore w:val="false"/>
        <w:widowControl w:val="false"/>
        <w:numPr>
          <w:ilvl w:val="2"/>
          <w:numId w:val="1"/>
        </w:numPr>
        <w:bidi w:val="0"/>
        <w:spacing w:lineRule="auto" w:line="276" w:before="120" w:after="120"/>
        <w:contextualSpacing/>
        <w:jc w:val="both"/>
        <w:rPr>
          <w:rFonts w:cs="Arial"/>
          <w:color w:val="000000"/>
          <w:szCs w:val="20"/>
        </w:rPr>
      </w:pPr>
      <w:r>
        <w:rPr>
          <w:rFonts w:cs="Arial" w:ascii="Calibri" w:hAnsi="Calibri"/>
          <w:color w:val="000000"/>
          <w:sz w:val="24"/>
          <w:szCs w:val="24"/>
        </w:rPr>
        <w:t xml:space="preserve">Na hipótese de 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keepNext w:val="false"/>
        <w:pageBreakBefore w:val="false"/>
        <w:widowControl w:val="false"/>
        <w:bidi w:val="0"/>
        <w:spacing w:lineRule="auto" w:line="276" w:before="120" w:after="120"/>
        <w:ind w:left="1224" w:hanging="0"/>
        <w:contextualSpacing/>
        <w:jc w:val="both"/>
        <w:rPr>
          <w:rFonts w:ascii="Calibri" w:hAnsi="Calibri" w:cs="Arial"/>
          <w:color w:val="000000"/>
          <w:sz w:val="24"/>
          <w:szCs w:val="24"/>
        </w:rPr>
      </w:pPr>
      <w:r>
        <w:rPr>
          <w:rFonts w:cs="Arial" w:ascii="Calibri" w:hAnsi="Calibri"/>
          <w:color w:val="000000"/>
          <w:sz w:val="24"/>
          <w:szCs w:val="24"/>
        </w:rPr>
      </w:r>
    </w:p>
    <w:p>
      <w:pPr>
        <w:pStyle w:val="ListParagraph"/>
        <w:keepNext w:val="false"/>
        <w:pageBreakBefore w:val="false"/>
        <w:widowControl w:val="false"/>
        <w:numPr>
          <w:ilvl w:val="1"/>
          <w:numId w:val="1"/>
        </w:numPr>
        <w:bidi w:val="0"/>
        <w:spacing w:lineRule="auto" w:line="276" w:before="120" w:after="120"/>
        <w:contextualSpacing/>
        <w:jc w:val="both"/>
        <w:rPr>
          <w:rFonts w:cs="Arial"/>
          <w:iCs/>
          <w:lang w:eastAsia="en-US"/>
        </w:rPr>
      </w:pPr>
      <w:r>
        <w:rPr>
          <w:rFonts w:cs="Arial" w:ascii="Calibri" w:hAnsi="Calibri"/>
          <w:iCs/>
          <w:sz w:val="24"/>
          <w:szCs w:val="24"/>
          <w:lang w:eastAsia="en-US"/>
        </w:rPr>
        <w:t xml:space="preserve">Constatado o atendimento às exigências de habilitação, o </w:t>
      </w:r>
      <w:r>
        <w:rPr>
          <w:rFonts w:cs="Arial" w:ascii="Calibri" w:hAnsi="Calibri"/>
          <w:iCs/>
          <w:color w:val="000000" w:themeColor="text1"/>
          <w:sz w:val="24"/>
          <w:szCs w:val="24"/>
          <w:lang w:eastAsia="en-US"/>
        </w:rPr>
        <w:t>prestador de serviços</w:t>
      </w:r>
      <w:r>
        <w:rPr>
          <w:rFonts w:cs="Arial" w:ascii="Calibri" w:hAnsi="Calibri"/>
          <w:iCs/>
          <w:sz w:val="24"/>
          <w:szCs w:val="24"/>
          <w:lang w:eastAsia="en-US"/>
        </w:rPr>
        <w:t xml:space="preserve"> será habilitado.</w:t>
      </w:r>
    </w:p>
    <w:p>
      <w:pPr>
        <w:pStyle w:val="ListParagraph"/>
        <w:keepNext w:val="false"/>
        <w:pageBreakBefore w:val="false"/>
        <w:widowControl w:val="false"/>
        <w:bidi w:val="0"/>
        <w:spacing w:lineRule="auto" w:line="276" w:before="120" w:after="120"/>
        <w:ind w:left="792" w:hanging="0"/>
        <w:contextualSpacing/>
        <w:jc w:val="both"/>
        <w:rPr>
          <w:rFonts w:ascii="Calibri" w:hAnsi="Calibri" w:cs="Arial"/>
          <w:iCs/>
          <w:sz w:val="24"/>
          <w:szCs w:val="24"/>
          <w:lang w:eastAsia="en-US"/>
        </w:rPr>
      </w:pPr>
      <w:r>
        <w:rPr>
          <w:rFonts w:cs="Arial" w:ascii="Calibri" w:hAnsi="Calibri"/>
          <w:iCs/>
          <w:sz w:val="24"/>
          <w:szCs w:val="24"/>
          <w:lang w:eastAsia="en-US"/>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CONTRATAÇÃO</w:t>
      </w:r>
    </w:p>
    <w:p>
      <w:pPr>
        <w:pStyle w:val="Normal"/>
        <w:keepNext w:val="false"/>
        <w:pageBreakBefore w:val="false"/>
        <w:widowControl w:val="false"/>
        <w:numPr>
          <w:ilvl w:val="1"/>
          <w:numId w:val="1"/>
        </w:numPr>
        <w:bidi w:val="0"/>
        <w:spacing w:lineRule="auto" w:line="276" w:before="120" w:after="120"/>
        <w:ind w:left="425" w:hanging="0"/>
        <w:jc w:val="both"/>
        <w:rPr>
          <w:rFonts w:ascii="Calibri" w:hAnsi="Calibri"/>
          <w:sz w:val="24"/>
          <w:szCs w:val="24"/>
        </w:rPr>
      </w:pPr>
      <w:r>
        <w:rPr>
          <w:rFonts w:eastAsia="Arial" w:cs="Arial" w:ascii="Calibri" w:hAnsi="Calibri"/>
          <w:color w:val="000000"/>
          <w:sz w:val="24"/>
          <w:szCs w:val="24"/>
        </w:rPr>
        <w:t>Após a homologação e adjudicação, caso se conclua pela contratação, será firmado Termo de Contrato ou emitido instrumento equivalente.</w:t>
      </w:r>
    </w:p>
    <w:p>
      <w:pPr>
        <w:pStyle w:val="Normal"/>
        <w:keepNext w:val="false"/>
        <w:pageBreakBefore w:val="false"/>
        <w:widowControl w:val="false"/>
        <w:numPr>
          <w:ilvl w:val="1"/>
          <w:numId w:val="1"/>
        </w:numPr>
        <w:bidi w:val="0"/>
        <w:spacing w:lineRule="auto" w:line="276" w:before="120" w:after="120"/>
        <w:ind w:left="425" w:hanging="0"/>
        <w:jc w:val="both"/>
        <w:rPr>
          <w:rFonts w:ascii="Calibri" w:hAnsi="Calibri"/>
          <w:sz w:val="24"/>
          <w:szCs w:val="24"/>
        </w:rPr>
      </w:pPr>
      <w:r>
        <w:rPr>
          <w:rFonts w:eastAsia="Arial" w:cs="Arial" w:ascii="Calibri" w:hAnsi="Calibri"/>
          <w:color w:val="000000"/>
          <w:sz w:val="24"/>
          <w:szCs w:val="24"/>
        </w:rPr>
        <w:t>O</w:t>
      </w:r>
      <w:r>
        <w:rPr>
          <w:rFonts w:eastAsia="Arial" w:cs="Arial" w:ascii="Calibri" w:hAnsi="Calibri"/>
          <w:color w:val="00000A"/>
          <w:sz w:val="24"/>
          <w:szCs w:val="24"/>
        </w:rPr>
        <w:t xml:space="preserve"> adjudicatário terá o prazo de 5 (cinco) dias úteis, contados a partir da data de sua convocação, para assinar o Termo de Contrato ou aceitar instrumento equivalente, conforme o caso (Nota de Empenho/Carta Contrato/Autorização), so</w:t>
      </w:r>
      <w:r>
        <w:rPr>
          <w:rFonts w:eastAsia="Arial" w:cs="Arial" w:ascii="Calibri" w:hAnsi="Calibri"/>
          <w:color w:val="000000"/>
          <w:sz w:val="24"/>
          <w:szCs w:val="24"/>
        </w:rPr>
        <w:t xml:space="preserve">b pena de decair do direito à contratação, sem prejuízo das sanções previstas neste Aviso de Contratação Direta. </w:t>
      </w:r>
    </w:p>
    <w:p>
      <w:pPr>
        <w:pStyle w:val="Normal"/>
        <w:keepNext w:val="false"/>
        <w:pageBreakBefore w:val="false"/>
        <w:widowControl w:val="false"/>
        <w:numPr>
          <w:ilvl w:val="2"/>
          <w:numId w:val="1"/>
        </w:numPr>
        <w:bidi w:val="0"/>
        <w:spacing w:lineRule="auto" w:line="276" w:before="120" w:after="120"/>
        <w:jc w:val="both"/>
        <w:rPr>
          <w:color w:val="00000A"/>
        </w:rPr>
      </w:pPr>
      <w:r>
        <w:rPr>
          <w:rFonts w:eastAsia="Arial" w:cs="Arial" w:ascii="Calibri" w:hAnsi="Calibri"/>
          <w:i w:val="false"/>
          <w:iCs w:val="false"/>
          <w:color w:val="00000A"/>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a contar da data de seu recebimento. </w:t>
      </w:r>
    </w:p>
    <w:p>
      <w:pPr>
        <w:pStyle w:val="Normal"/>
        <w:keepNext w:val="false"/>
        <w:pageBreakBefore w:val="false"/>
        <w:widowControl w:val="false"/>
        <w:numPr>
          <w:ilvl w:val="2"/>
          <w:numId w:val="1"/>
        </w:numPr>
        <w:bidi w:val="0"/>
        <w:spacing w:lineRule="auto" w:line="276" w:before="120" w:after="120"/>
        <w:jc w:val="both"/>
        <w:rPr>
          <w:i w:val="false"/>
          <w:i w:val="false"/>
          <w:iCs w:val="false"/>
        </w:rPr>
      </w:pPr>
      <w:r>
        <w:rPr>
          <w:rFonts w:eastAsia="Arial" w:cs="Arial" w:ascii="Calibri" w:hAnsi="Calibri"/>
          <w:i w:val="false"/>
          <w:iCs w:val="false"/>
          <w:color w:val="000000"/>
          <w:sz w:val="24"/>
          <w:szCs w:val="24"/>
        </w:rPr>
        <w:t xml:space="preserve">O prazo previsto para assinatura do contrato ou aceitação da nota de empenho ou instrumento equivalente poderá ser prorrogado </w:t>
      </w:r>
      <w:r>
        <w:rPr>
          <w:rFonts w:cs="Times New Roman" w:ascii="Calibri" w:hAnsi="Calibri"/>
          <w:bCs/>
          <w:i w:val="false"/>
          <w:iCs w:val="false"/>
          <w:sz w:val="24"/>
          <w:szCs w:val="24"/>
        </w:rPr>
        <w:t>1 (uma) vez</w:t>
      </w:r>
      <w:r>
        <w:rPr>
          <w:rFonts w:eastAsia="Arial" w:cs="Arial" w:ascii="Calibri" w:hAnsi="Calibri"/>
          <w:i w:val="false"/>
          <w:iCs w:val="false"/>
          <w:sz w:val="24"/>
          <w:szCs w:val="24"/>
        </w:rPr>
        <w:t xml:space="preserve">, </w:t>
      </w:r>
      <w:r>
        <w:rPr>
          <w:rFonts w:eastAsia="Arial" w:cs="Arial" w:ascii="Calibri" w:hAnsi="Calibri"/>
          <w:i w:val="false"/>
          <w:iCs w:val="false"/>
          <w:color w:val="000000"/>
          <w:sz w:val="24"/>
          <w:szCs w:val="24"/>
        </w:rPr>
        <w:t>por igual período, por solicitação justificada do adjudicatário e aceita pela Administração.</w:t>
      </w:r>
    </w:p>
    <w:p>
      <w:pPr>
        <w:pStyle w:val="Normal"/>
        <w:keepNext w:val="false"/>
        <w:pageBreakBefore w:val="false"/>
        <w:widowControl w:val="false"/>
        <w:numPr>
          <w:ilvl w:val="1"/>
          <w:numId w:val="1"/>
        </w:numPr>
        <w:bidi w:val="0"/>
        <w:spacing w:lineRule="auto" w:line="276" w:before="120" w:after="120"/>
        <w:ind w:left="425" w:hanging="0"/>
        <w:jc w:val="both"/>
        <w:rPr>
          <w:i w:val="false"/>
          <w:i w:val="false"/>
          <w:iCs w:val="false"/>
        </w:rPr>
      </w:pPr>
      <w:r>
        <w:rPr>
          <w:rFonts w:eastAsia="Arial" w:cs="Arial" w:ascii="Calibri" w:hAnsi="Calibri"/>
          <w:i w:val="false"/>
          <w:iCs w:val="false"/>
          <w:color w:val="00000A"/>
          <w:sz w:val="24"/>
          <w:szCs w:val="24"/>
        </w:rPr>
        <w:t>O Aceite da Nota de Empenho ou do instrumento equivalente, emitida à empresa adjudicada, implica no reconhecimento de que:</w:t>
      </w:r>
    </w:p>
    <w:p>
      <w:pPr>
        <w:pStyle w:val="Normal"/>
        <w:keepNext w:val="false"/>
        <w:pageBreakBefore w:val="false"/>
        <w:widowControl w:val="false"/>
        <w:numPr>
          <w:ilvl w:val="2"/>
          <w:numId w:val="1"/>
        </w:numPr>
        <w:bidi w:val="0"/>
        <w:spacing w:lineRule="auto" w:line="276" w:before="120" w:after="120"/>
        <w:jc w:val="both"/>
        <w:rPr>
          <w:rFonts w:eastAsia="Arial" w:cs="Arial"/>
          <w:i/>
          <w:i/>
          <w:color w:val="FF0000"/>
          <w:szCs w:val="20"/>
        </w:rPr>
      </w:pPr>
      <w:r>
        <w:rPr>
          <w:rFonts w:eastAsia="Arial" w:cs="Arial" w:ascii="Calibri" w:hAnsi="Calibri"/>
          <w:i w:val="false"/>
          <w:iCs w:val="false"/>
          <w:color w:val="00000A"/>
          <w:sz w:val="24"/>
          <w:szCs w:val="24"/>
        </w:rPr>
        <w:t xml:space="preserve"> </w:t>
      </w:r>
      <w:r>
        <w:rPr>
          <w:rFonts w:eastAsia="Arial" w:cs="Arial" w:ascii="Calibri" w:hAnsi="Calibri"/>
          <w:i w:val="false"/>
          <w:iCs w:val="false"/>
          <w:color w:val="00000A"/>
          <w:sz w:val="24"/>
          <w:szCs w:val="24"/>
        </w:rPr>
        <w:t>referida Nota está substituindo o contrato, aplicando-se à relação de negócios ali estabelecida as disposições da Lei nº 14.133, de 2021;</w:t>
      </w:r>
    </w:p>
    <w:p>
      <w:pPr>
        <w:pStyle w:val="Normal"/>
        <w:keepNext w:val="false"/>
        <w:pageBreakBefore w:val="false"/>
        <w:widowControl w:val="false"/>
        <w:numPr>
          <w:ilvl w:val="2"/>
          <w:numId w:val="1"/>
        </w:numPr>
        <w:bidi w:val="0"/>
        <w:spacing w:lineRule="auto" w:line="276" w:before="120" w:after="120"/>
        <w:jc w:val="both"/>
        <w:rPr>
          <w:rFonts w:eastAsia="Arial" w:cs="Arial"/>
          <w:i/>
          <w:i/>
          <w:color w:val="FF0000"/>
          <w:szCs w:val="20"/>
        </w:rPr>
      </w:pPr>
      <w:r>
        <w:rPr>
          <w:rFonts w:eastAsia="Arial" w:cs="Arial" w:ascii="Calibri" w:hAnsi="Calibri"/>
          <w:i w:val="false"/>
          <w:iCs w:val="false"/>
          <w:color w:val="00000A"/>
          <w:sz w:val="24"/>
          <w:szCs w:val="24"/>
        </w:rPr>
        <w:t>a contratada se vincula à sua proposta e às previsões contidas no Aviso de Contratação Direta e seus anexos;</w:t>
      </w:r>
    </w:p>
    <w:p>
      <w:pPr>
        <w:pStyle w:val="Normal"/>
        <w:keepNext w:val="false"/>
        <w:pageBreakBefore w:val="false"/>
        <w:widowControl w:val="false"/>
        <w:numPr>
          <w:ilvl w:val="2"/>
          <w:numId w:val="1"/>
        </w:numPr>
        <w:bidi w:val="0"/>
        <w:spacing w:lineRule="auto" w:line="276" w:before="120" w:after="120"/>
        <w:jc w:val="both"/>
        <w:rPr>
          <w:i w:val="false"/>
          <w:i w:val="false"/>
          <w:iCs w:val="false"/>
        </w:rPr>
      </w:pPr>
      <w:r>
        <w:rPr>
          <w:rFonts w:eastAsia="Arial" w:cs="Arial" w:ascii="Calibri" w:hAnsi="Calibri"/>
          <w:i w:val="false"/>
          <w:iCs w:val="false"/>
          <w:color w:val="00000A"/>
          <w:sz w:val="24"/>
          <w:szCs w:val="24"/>
        </w:rPr>
        <w:t>a contratada reconhece que as hipóteses de rescisão são aquelas previstas nos artigos 137 e 138 da Lei nº 14.133/21 e reconhece os direitos da Administração previstos nos artigos 137 a 139 da mesma Lei.</w:t>
      </w:r>
    </w:p>
    <w:p>
      <w:pPr>
        <w:pStyle w:val="Normal"/>
        <w:keepNext w:val="false"/>
        <w:pageBreakBefore w:val="false"/>
        <w:widowControl w:val="false"/>
        <w:numPr>
          <w:ilvl w:val="0"/>
          <w:numId w:val="0"/>
        </w:numPr>
        <w:bidi w:val="0"/>
        <w:spacing w:lineRule="auto" w:line="276" w:before="120" w:after="120"/>
        <w:ind w:left="1224" w:hanging="0"/>
        <w:jc w:val="both"/>
        <w:rPr>
          <w:rFonts w:ascii="Calibri" w:hAnsi="Calibri" w:eastAsia="Arial" w:cs="Arial"/>
          <w:color w:val="00000A"/>
          <w:sz w:val="24"/>
          <w:szCs w:val="24"/>
        </w:rPr>
      </w:pPr>
      <w:r>
        <w:rPr>
          <w:rFonts w:eastAsia="Arial" w:cs="Arial" w:ascii="Calibri" w:hAnsi="Calibri"/>
          <w:color w:val="00000A"/>
          <w:sz w:val="24"/>
          <w:szCs w:val="24"/>
        </w:rPr>
      </w:r>
    </w:p>
    <w:p>
      <w:pPr>
        <w:pStyle w:val="Normal"/>
        <w:keepNext w:val="false"/>
        <w:pageBreakBefore w:val="false"/>
        <w:widowControl w:val="false"/>
        <w:numPr>
          <w:ilvl w:val="1"/>
          <w:numId w:val="1"/>
        </w:numPr>
        <w:bidi w:val="0"/>
        <w:spacing w:lineRule="auto" w:line="276" w:before="120" w:after="120"/>
        <w:ind w:left="425" w:hanging="0"/>
        <w:jc w:val="both"/>
        <w:rPr>
          <w:rFonts w:ascii="Calibri" w:hAnsi="Calibri"/>
          <w:sz w:val="24"/>
          <w:szCs w:val="24"/>
        </w:rPr>
      </w:pPr>
      <w:r>
        <w:rPr>
          <w:rFonts w:eastAsia="Arial" w:cs="Arial" w:ascii="Calibri" w:hAnsi="Calibri"/>
          <w:color w:val="000000"/>
          <w:sz w:val="24"/>
          <w:szCs w:val="24"/>
        </w:rPr>
        <w:t>O prazo de vigência da contratação é de 90 (noventa) dias,</w:t>
      </w:r>
      <w:r>
        <w:rPr>
          <w:rFonts w:eastAsia="Arial" w:cs="Arial" w:ascii="Calibri" w:hAnsi="Calibri"/>
          <w:color w:val="FF0000"/>
          <w:sz w:val="24"/>
          <w:szCs w:val="24"/>
        </w:rPr>
        <w:t xml:space="preserve"> </w:t>
      </w:r>
      <w:r>
        <w:rPr>
          <w:rFonts w:eastAsia="Arial" w:cs="Arial" w:ascii="Calibri" w:hAnsi="Calibri"/>
          <w:color w:val="000000"/>
          <w:sz w:val="24"/>
          <w:szCs w:val="24"/>
        </w:rPr>
        <w:t>prorrogável conforme previsão nos anexos a este Aviso de Contratação Direta.</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Na assinatura do contrato ou do instrumento equivalente será exigida a comprovação das condições de habilitação e contratação consignadas neste aviso, que deverão ser mantidas pelo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durante a vigência do contrato.</w:t>
      </w:r>
    </w:p>
    <w:p>
      <w:pPr>
        <w:pStyle w:val="Normal"/>
        <w:keepNext w:val="false"/>
        <w:pageBreakBefore w:val="false"/>
        <w:widowControl w:val="false"/>
        <w:numPr>
          <w:ilvl w:val="0"/>
          <w:numId w:val="0"/>
        </w:numPr>
        <w:bidi w:val="0"/>
        <w:spacing w:lineRule="auto" w:line="276" w:before="120" w:after="120"/>
        <w:ind w:left="1217" w:hanging="0"/>
        <w:jc w:val="both"/>
        <w:rPr>
          <w:rFonts w:ascii="Calibri" w:hAnsi="Calibri" w:cs="Arial"/>
          <w:color w:val="000000"/>
          <w:sz w:val="24"/>
          <w:szCs w:val="24"/>
        </w:rPr>
      </w:pPr>
      <w:r>
        <w:rPr>
          <w:rFonts w:cs="Arial" w:ascii="Calibri" w:hAnsi="Calibri"/>
          <w:color w:val="000000"/>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 xml:space="preserve">SANÇÕES </w:t>
      </w:r>
    </w:p>
    <w:p>
      <w:pPr>
        <w:pStyle w:val="Normal"/>
        <w:keepNext w:val="false"/>
        <w:pageBreakBefore w:val="false"/>
        <w:widowControl w:val="false"/>
        <w:numPr>
          <w:ilvl w:val="1"/>
          <w:numId w:val="1"/>
        </w:numPr>
        <w:bidi w:val="0"/>
        <w:spacing w:lineRule="auto" w:line="276" w:before="120" w:after="120"/>
        <w:jc w:val="both"/>
        <w:rPr>
          <w:rFonts w:cs="Arial"/>
          <w:b/>
          <w:b/>
        </w:rPr>
      </w:pPr>
      <w:r>
        <w:rPr>
          <w:rFonts w:cs="Arial" w:ascii="Calibri" w:hAnsi="Calibri"/>
          <w:sz w:val="24"/>
          <w:szCs w:val="24"/>
        </w:rPr>
        <w:t xml:space="preserve">Comete infração administrativa o </w:t>
      </w:r>
      <w:r>
        <w:rPr>
          <w:rFonts w:cs="Arial" w:ascii="Calibri" w:hAnsi="Calibri"/>
          <w:color w:val="000000" w:themeColor="text1"/>
          <w:sz w:val="24"/>
          <w:szCs w:val="24"/>
          <w:lang w:eastAsia="en-US"/>
        </w:rPr>
        <w:t>prestador de serviços</w:t>
      </w:r>
      <w:r>
        <w:rPr>
          <w:rFonts w:cs="Arial" w:ascii="Calibri" w:hAnsi="Calibri"/>
          <w:sz w:val="24"/>
          <w:szCs w:val="24"/>
        </w:rPr>
        <w:t xml:space="preserve"> que cometer quaisquer das infrações previstas no art. 155 da Lei nº 14.133, de 2021, quais sejam: </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dar causa à inexecução parcial do contrato</w:t>
      </w:r>
      <w:r>
        <w:rPr>
          <w:rFonts w:cs="Arial" w:ascii="Calibri" w:hAnsi="Calibri"/>
          <w:sz w:val="24"/>
          <w:szCs w:val="24"/>
        </w:rPr>
        <w:t>;</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dar causa à inexecução parcial do contrato que cause grave dano à Administração, ao funcionamento dos serviços públicos ou ao interesse coletivo;</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dar causa à inexecução total do contrato;</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deixar de entregar a documentação exigida para o certame;</w:t>
      </w:r>
    </w:p>
    <w:p>
      <w:pPr>
        <w:pStyle w:val="Normal"/>
        <w:keepNext w:val="false"/>
        <w:pageBreakBefore w:val="false"/>
        <w:widowControl w:val="false"/>
        <w:bidi w:val="0"/>
        <w:spacing w:lineRule="auto" w:line="276" w:before="120" w:after="120"/>
        <w:jc w:val="both"/>
        <w:rPr>
          <w:rFonts w:cs="Arial"/>
        </w:rPr>
      </w:pPr>
      <w:r>
        <w:rPr>
          <w:rFonts w:cs="Arial" w:ascii="Calibri" w:hAnsi="Calibri"/>
          <w:color w:val="000000"/>
          <w:sz w:val="24"/>
          <w:szCs w:val="24"/>
        </w:rPr>
        <w:t xml:space="preserve"> </w:t>
      </w:r>
      <w:r>
        <w:rPr>
          <w:rFonts w:cs="Arial" w:ascii="Calibri" w:hAnsi="Calibri"/>
          <w:color w:val="000000"/>
          <w:sz w:val="24"/>
          <w:szCs w:val="24"/>
        </w:rPr>
        <w:t>não manter a proposta, salvo em decorrência de fato superveniente devidamente justificado;</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 xml:space="preserve"> </w:t>
      </w:r>
      <w:r>
        <w:rPr>
          <w:rFonts w:cs="Arial" w:ascii="Calibri" w:hAnsi="Calibri"/>
          <w:color w:val="000000"/>
          <w:sz w:val="24"/>
          <w:szCs w:val="24"/>
        </w:rPr>
        <w:t>não celebrar o contrato ou não entregar a documentação exigida para a contratação, quando convocado dentro do prazo de validade de sua proposta;</w:t>
      </w:r>
    </w:p>
    <w:p>
      <w:pPr>
        <w:pStyle w:val="Normal"/>
        <w:keepNext w:val="false"/>
        <w:pageBreakBefore w:val="false"/>
        <w:widowControl w:val="false"/>
        <w:numPr>
          <w:ilvl w:val="2"/>
          <w:numId w:val="1"/>
        </w:numPr>
        <w:bidi w:val="0"/>
        <w:spacing w:lineRule="auto" w:line="276" w:before="120" w:after="120"/>
        <w:jc w:val="both"/>
        <w:rPr>
          <w:rFonts w:ascii="Calibri" w:hAnsi="Calibri"/>
          <w:sz w:val="24"/>
          <w:szCs w:val="24"/>
        </w:rPr>
      </w:pPr>
      <w:r>
        <w:rPr>
          <w:rFonts w:cs="Arial" w:ascii="Calibri" w:hAnsi="Calibri"/>
          <w:color w:val="000000"/>
          <w:sz w:val="24"/>
          <w:szCs w:val="24"/>
        </w:rPr>
        <w:t> </w:t>
      </w:r>
      <w:r>
        <w:rPr>
          <w:rFonts w:cs="Arial" w:ascii="Calibri" w:hAnsi="Calibri"/>
          <w:color w:val="000000"/>
          <w:sz w:val="24"/>
          <w:szCs w:val="24"/>
        </w:rPr>
        <w:t xml:space="preserve">ensejar o retardamento da execução ou da entrega do objeto sem motivo justificado; </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 xml:space="preserve"> </w:t>
      </w:r>
      <w:r>
        <w:rPr>
          <w:rFonts w:cs="Arial" w:ascii="Calibri" w:hAnsi="Calibri"/>
          <w:color w:val="000000"/>
          <w:sz w:val="24"/>
          <w:szCs w:val="24"/>
        </w:rPr>
        <w:t>apresentar declaração ou documentação falsa exigida para o certame ou prestar declaração falsa durante a dispensa eletrônica ou a execução do contrato;</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 xml:space="preserve"> </w:t>
      </w:r>
      <w:r>
        <w:rPr>
          <w:rFonts w:cs="Arial" w:ascii="Calibri" w:hAnsi="Calibri"/>
          <w:color w:val="000000"/>
          <w:sz w:val="24"/>
          <w:szCs w:val="24"/>
        </w:rPr>
        <w:t>fraudar a dispensa eletrônica ou praticar ato fraudulento na execução do contrato;</w:t>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 </w:t>
      </w:r>
      <w:r>
        <w:rPr>
          <w:rFonts w:cs="Arial" w:ascii="Calibri" w:hAnsi="Calibri"/>
          <w:color w:val="000000"/>
          <w:sz w:val="24"/>
          <w:szCs w:val="24"/>
        </w:rPr>
        <w:t>comportar-se de modo inidôneo ou cometer fraude de qualquer natureza;</w:t>
      </w:r>
    </w:p>
    <w:p>
      <w:pPr>
        <w:pStyle w:val="ListParagraph"/>
        <w:keepNext w:val="false"/>
        <w:pageBreakBefore w:val="false"/>
        <w:widowControl w:val="false"/>
        <w:bidi w:val="0"/>
        <w:spacing w:lineRule="auto" w:line="276" w:before="120" w:after="120"/>
        <w:contextualSpacing/>
        <w:jc w:val="both"/>
        <w:rPr>
          <w:rFonts w:ascii="Calibri" w:hAnsi="Calibri"/>
          <w:sz w:val="24"/>
          <w:szCs w:val="24"/>
        </w:rPr>
      </w:pPr>
      <w:r>
        <w:rPr>
          <w:rFonts w:cs="Arial" w:ascii="Calibri" w:hAnsi="Calibri"/>
          <w:sz w:val="24"/>
          <w:szCs w:val="24"/>
        </w:rPr>
        <w:t xml:space="preserve">Considera-se comportamento inidôneo, entre outros, a declaração falsa quanto às condições de participação, quanto ao enquadramento como ME/EPP ou o conluio entre os </w:t>
      </w:r>
      <w:r>
        <w:rPr>
          <w:rFonts w:cs="Arial" w:ascii="Calibri" w:hAnsi="Calibri"/>
          <w:color w:val="000000" w:themeColor="text1"/>
          <w:sz w:val="24"/>
          <w:szCs w:val="24"/>
          <w:lang w:eastAsia="en-US"/>
        </w:rPr>
        <w:t>prestadores de serviços</w:t>
      </w:r>
      <w:r>
        <w:rPr>
          <w:rFonts w:cs="Arial" w:ascii="Calibri" w:hAnsi="Calibri"/>
          <w:sz w:val="24"/>
          <w:szCs w:val="24"/>
        </w:rPr>
        <w:t>, em qualquer momento da dispensa, mesmo após o encerramento da fase de lances.</w:t>
      </w:r>
    </w:p>
    <w:p>
      <w:pPr>
        <w:pStyle w:val="ListParagraph"/>
        <w:keepNext w:val="false"/>
        <w:pageBreakBefore w:val="false"/>
        <w:widowControl w:val="false"/>
        <w:bidi w:val="0"/>
        <w:spacing w:lineRule="auto" w:line="276" w:before="120" w:after="120"/>
        <w:ind w:left="1728" w:hanging="0"/>
        <w:contextualSpacing/>
        <w:jc w:val="both"/>
        <w:rPr>
          <w:rFonts w:ascii="Calibri" w:hAnsi="Calibri" w:cs="Arial"/>
          <w:sz w:val="24"/>
          <w:szCs w:val="24"/>
        </w:rPr>
      </w:pPr>
      <w:r>
        <w:rPr>
          <w:rFonts w:cs="Arial" w:ascii="Calibri" w:hAnsi="Calibri"/>
          <w:sz w:val="24"/>
          <w:szCs w:val="24"/>
        </w:rPr>
      </w:r>
    </w:p>
    <w:p>
      <w:pPr>
        <w:pStyle w:val="Normal"/>
        <w:keepNext w:val="false"/>
        <w:pageBreakBefore w:val="false"/>
        <w:widowControl w:val="false"/>
        <w:numPr>
          <w:ilvl w:val="2"/>
          <w:numId w:val="1"/>
        </w:numPr>
        <w:bidi w:val="0"/>
        <w:spacing w:lineRule="auto" w:line="276" w:before="120" w:after="120"/>
        <w:jc w:val="both"/>
        <w:rPr>
          <w:rFonts w:cs="Arial"/>
        </w:rPr>
      </w:pPr>
      <w:r>
        <w:rPr>
          <w:rFonts w:cs="Arial" w:ascii="Calibri" w:hAnsi="Calibri"/>
          <w:color w:val="000000"/>
          <w:sz w:val="24"/>
          <w:szCs w:val="24"/>
        </w:rPr>
        <w:t> </w:t>
      </w:r>
      <w:r>
        <w:rPr>
          <w:rFonts w:cs="Arial" w:ascii="Calibri" w:hAnsi="Calibri"/>
          <w:color w:val="000000"/>
          <w:sz w:val="24"/>
          <w:szCs w:val="24"/>
        </w:rPr>
        <w:t>praticar atos ilícitos com vistas a frustrar os objetivos deste certame.</w:t>
      </w:r>
    </w:p>
    <w:p>
      <w:pPr>
        <w:pStyle w:val="Normal"/>
        <w:keepNext w:val="false"/>
        <w:pageBreakBefore w:val="false"/>
        <w:widowControl w:val="false"/>
        <w:numPr>
          <w:ilvl w:val="2"/>
          <w:numId w:val="1"/>
        </w:numPr>
        <w:bidi w:val="0"/>
        <w:spacing w:lineRule="auto" w:line="276" w:before="120" w:after="120"/>
        <w:jc w:val="both"/>
        <w:rPr/>
      </w:pPr>
      <w:r>
        <w:rPr>
          <w:rFonts w:cs="Arial" w:ascii="Calibri" w:hAnsi="Calibri"/>
          <w:color w:val="000000"/>
          <w:sz w:val="24"/>
          <w:szCs w:val="24"/>
        </w:rPr>
        <w:t>praticar ato lesivo previsto no </w:t>
      </w:r>
      <w:r>
        <w:fldChar w:fldCharType="begin"/>
      </w:r>
      <w:r>
        <w:rPr>
          <w:rStyle w:val="LinkdaInternet"/>
          <w:sz w:val="24"/>
          <w:szCs w:val="24"/>
          <w:rFonts w:ascii="Calibri" w:hAnsi="Calibri"/>
        </w:rPr>
        <w:instrText> HYPERLINK "http://www.planalto.gov.br/ccivil_03/_Ato2011-2014/2013/Lei/L12846.htm" \l "art5"</w:instrText>
      </w:r>
      <w:r>
        <w:rPr>
          <w:rStyle w:val="LinkdaInternet"/>
          <w:sz w:val="24"/>
          <w:szCs w:val="24"/>
          <w:rFonts w:ascii="Calibri" w:hAnsi="Calibri"/>
        </w:rPr>
        <w:fldChar w:fldCharType="separate"/>
      </w:r>
      <w:r>
        <w:rPr>
          <w:rStyle w:val="LinkdaInternet"/>
          <w:rFonts w:ascii="Calibri" w:hAnsi="Calibri"/>
          <w:color w:val="000000"/>
          <w:sz w:val="24"/>
          <w:szCs w:val="24"/>
        </w:rPr>
        <w:t>art. 5º da Lei nº 12.846, de 1º de agosto de 2013.</w:t>
      </w:r>
      <w:r>
        <w:rPr>
          <w:rStyle w:val="LinkdaInternet"/>
          <w:sz w:val="24"/>
          <w:szCs w:val="24"/>
          <w:rFonts w:ascii="Calibri" w:hAnsi="Calibri"/>
        </w:rPr>
        <w:fldChar w:fldCharType="end"/>
      </w:r>
    </w:p>
    <w:p>
      <w:pPr>
        <w:pStyle w:val="Normal"/>
        <w:keepNext w:val="false"/>
        <w:pageBreakBefore w:val="false"/>
        <w:widowControl w:val="false"/>
        <w:bidi w:val="0"/>
        <w:spacing w:lineRule="auto" w:line="276" w:before="120" w:after="120"/>
        <w:ind w:left="1224" w:hanging="0"/>
        <w:jc w:val="both"/>
        <w:rPr>
          <w:rFonts w:ascii="Calibri" w:hAnsi="Calibri" w:cs="Arial"/>
          <w:color w:val="000000"/>
          <w:sz w:val="24"/>
          <w:szCs w:val="24"/>
        </w:rPr>
      </w:pPr>
      <w:r>
        <w:rPr>
          <w:rFonts w:cs="Arial" w:ascii="Calibri" w:hAnsi="Calibri"/>
          <w:color w:val="000000"/>
          <w:sz w:val="24"/>
          <w:szCs w:val="24"/>
        </w:rPr>
      </w:r>
    </w:p>
    <w:p>
      <w:pPr>
        <w:pStyle w:val="Normal"/>
        <w:keepNext w:val="false"/>
        <w:pageBreakBefore w:val="false"/>
        <w:widowControl w:val="false"/>
        <w:numPr>
          <w:ilvl w:val="1"/>
          <w:numId w:val="1"/>
        </w:numPr>
        <w:bidi w:val="0"/>
        <w:spacing w:lineRule="auto" w:line="276" w:before="120" w:after="120"/>
        <w:ind w:left="425" w:hanging="0"/>
        <w:jc w:val="both"/>
        <w:rPr>
          <w:rFonts w:ascii="Calibri" w:hAnsi="Calibri"/>
          <w:sz w:val="24"/>
          <w:szCs w:val="24"/>
        </w:rPr>
      </w:pPr>
      <w:r>
        <w:rPr>
          <w:rFonts w:cs="Arial" w:ascii="Calibri" w:hAnsi="Calibri"/>
          <w:color w:val="000000" w:themeColor="text1"/>
          <w:sz w:val="24"/>
          <w:szCs w:val="24"/>
        </w:rPr>
        <w:t xml:space="preserve">O prestador de serviço </w:t>
      </w:r>
      <w:r>
        <w:rPr>
          <w:rFonts w:cs="Arial" w:ascii="Calibri" w:hAnsi="Calibri"/>
          <w:sz w:val="24"/>
          <w:szCs w:val="24"/>
        </w:rPr>
        <w:t>que cometer qualquer das infrações discriminadas nos subitens anteriores ficará sujeito, sem prejuízo da responsabilidade civil e criminal, às seguintes sanções:</w:t>
      </w:r>
    </w:p>
    <w:p>
      <w:pPr>
        <w:pStyle w:val="Normal"/>
        <w:keepNext w:val="false"/>
        <w:pageBreakBefore w:val="false"/>
        <w:widowControl w:val="false"/>
        <w:numPr>
          <w:ilvl w:val="2"/>
          <w:numId w:val="5"/>
        </w:numPr>
        <w:bidi w:val="0"/>
        <w:spacing w:lineRule="auto" w:line="276" w:before="120" w:after="120"/>
        <w:jc w:val="both"/>
        <w:rPr>
          <w:rFonts w:cs="Arial"/>
        </w:rPr>
      </w:pPr>
      <w:r>
        <w:rPr>
          <w:rFonts w:cs="Arial" w:ascii="Calibri" w:hAnsi="Calibri"/>
          <w:sz w:val="24"/>
          <w:szCs w:val="24"/>
        </w:rPr>
        <w:t>Advertência pela falta do subitem 8.1.1 deste Aviso de Contratação Direta,</w:t>
      </w:r>
      <w:r>
        <w:rPr>
          <w:rFonts w:ascii="Calibri" w:hAnsi="Calibri"/>
          <w:sz w:val="24"/>
          <w:szCs w:val="24"/>
        </w:rPr>
        <w:t xml:space="preserve"> </w:t>
      </w:r>
      <w:r>
        <w:rPr>
          <w:rFonts w:cs="Arial" w:ascii="Calibri" w:hAnsi="Calibri"/>
          <w:sz w:val="24"/>
          <w:szCs w:val="24"/>
        </w:rPr>
        <w:t>quando não se justificar a imposição de penalidade mais grave;</w:t>
      </w:r>
    </w:p>
    <w:p>
      <w:pPr>
        <w:pStyle w:val="Normal"/>
        <w:keepNext w:val="false"/>
        <w:pageBreakBefore w:val="false"/>
        <w:widowControl w:val="false"/>
        <w:numPr>
          <w:ilvl w:val="2"/>
          <w:numId w:val="5"/>
        </w:numPr>
        <w:bidi w:val="0"/>
        <w:spacing w:lineRule="auto" w:line="276" w:before="120" w:after="120"/>
        <w:jc w:val="both"/>
        <w:rPr>
          <w:rFonts w:ascii="Calibri" w:hAnsi="Calibri"/>
          <w:sz w:val="24"/>
          <w:szCs w:val="24"/>
        </w:rPr>
      </w:pPr>
      <w:r>
        <w:rPr>
          <w:rFonts w:cs="Arial" w:ascii="Calibri" w:hAnsi="Calibri"/>
          <w:sz w:val="24"/>
          <w:szCs w:val="24"/>
        </w:rPr>
        <w:t xml:space="preserve">Multa de </w:t>
      </w:r>
      <w:r>
        <w:rPr>
          <w:rFonts w:cs="Arial" w:ascii="Calibri" w:hAnsi="Calibri"/>
          <w:color w:val="00000A"/>
          <w:sz w:val="24"/>
          <w:szCs w:val="24"/>
        </w:rPr>
        <w:t>10% (dez por cento)</w:t>
      </w:r>
      <w:r>
        <w:rPr>
          <w:rFonts w:cs="Arial" w:ascii="Calibri" w:hAnsi="Calibri"/>
          <w:color w:val="FF0000"/>
          <w:sz w:val="24"/>
          <w:szCs w:val="24"/>
        </w:rPr>
        <w:t xml:space="preserve"> </w:t>
      </w:r>
      <w:r>
        <w:rPr>
          <w:rFonts w:cs="Arial" w:ascii="Calibri" w:hAnsi="Calibri"/>
          <w:sz w:val="24"/>
          <w:szCs w:val="24"/>
        </w:rPr>
        <w:t xml:space="preserve">sobre o valor estimado do(s) item(s) prejudicado(s) pela conduta do </w:t>
      </w:r>
      <w:r>
        <w:rPr>
          <w:rFonts w:cs="Arial" w:ascii="Calibri" w:hAnsi="Calibri"/>
          <w:color w:val="000000" w:themeColor="text1"/>
          <w:sz w:val="24"/>
          <w:szCs w:val="24"/>
          <w:lang w:eastAsia="en-US"/>
        </w:rPr>
        <w:t>prestador de serviços</w:t>
      </w:r>
      <w:r>
        <w:rPr>
          <w:rFonts w:cs="Arial" w:ascii="Calibri" w:hAnsi="Calibri"/>
          <w:sz w:val="24"/>
          <w:szCs w:val="24"/>
        </w:rPr>
        <w:t>, por qualquer das infrações dos subitens 8.1.1 a 8.1.12;</w:t>
      </w:r>
    </w:p>
    <w:p>
      <w:pPr>
        <w:pStyle w:val="Normal"/>
        <w:keepNext w:val="false"/>
        <w:pageBreakBefore w:val="false"/>
        <w:widowControl w:val="false"/>
        <w:numPr>
          <w:ilvl w:val="2"/>
          <w:numId w:val="5"/>
        </w:numPr>
        <w:bidi w:val="0"/>
        <w:spacing w:lineRule="auto" w:line="276" w:before="120" w:after="120"/>
        <w:jc w:val="both"/>
        <w:rPr>
          <w:rFonts w:cs="Arial"/>
        </w:rPr>
      </w:pPr>
      <w:r>
        <w:rPr>
          <w:rFonts w:cs="Arial" w:ascii="Calibri" w:hAnsi="Calibri"/>
          <w:color w:val="000000"/>
          <w:sz w:val="24"/>
          <w:szCs w:val="24"/>
        </w:rPr>
        <w:t>Impedimento de licitar e contratar</w:t>
      </w:r>
      <w:r>
        <w:rPr>
          <w:rFonts w:cs="Arial" w:ascii="Calibri" w:hAnsi="Calibri"/>
          <w:sz w:val="24"/>
          <w:szCs w:val="24"/>
        </w:rPr>
        <w:t xml:space="preserve"> </w:t>
      </w:r>
      <w:r>
        <w:rPr>
          <w:rFonts w:cs="Arial" w:ascii="Calibri" w:hAnsi="Calibri"/>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szCs w:val="24"/>
        </w:rPr>
        <w:t>;</w:t>
      </w:r>
    </w:p>
    <w:p>
      <w:pPr>
        <w:pStyle w:val="Normal"/>
        <w:keepNext w:val="false"/>
        <w:pageBreakBefore w:val="false"/>
        <w:widowControl w:val="false"/>
        <w:numPr>
          <w:ilvl w:val="2"/>
          <w:numId w:val="5"/>
        </w:numPr>
        <w:bidi w:val="0"/>
        <w:spacing w:lineRule="auto" w:line="276" w:before="120" w:after="120"/>
        <w:jc w:val="both"/>
        <w:rPr>
          <w:rFonts w:cs="Arial"/>
        </w:rPr>
      </w:pPr>
      <w:r>
        <w:rPr>
          <w:rFonts w:cs="Arial" w:ascii="Calibri" w:hAnsi="Calibri"/>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szCs w:val="24"/>
        </w:rPr>
        <w:t>;</w:t>
      </w:r>
    </w:p>
    <w:p>
      <w:pPr>
        <w:pStyle w:val="Normal"/>
        <w:keepNext w:val="false"/>
        <w:pageBreakBefore w:val="false"/>
        <w:widowControl w:val="false"/>
        <w:bidi w:val="0"/>
        <w:spacing w:lineRule="auto" w:line="276" w:before="120" w:after="120"/>
        <w:ind w:left="1224" w:hanging="0"/>
        <w:jc w:val="both"/>
        <w:rPr>
          <w:rFonts w:ascii="Calibri" w:hAnsi="Calibri" w:cs="Arial"/>
          <w:sz w:val="24"/>
          <w:szCs w:val="24"/>
        </w:rPr>
      </w:pPr>
      <w:r>
        <w:rPr>
          <w:rFonts w:cs="Arial" w:ascii="Calibri" w:hAnsi="Calibri"/>
          <w:sz w:val="24"/>
          <w:szCs w:val="24"/>
        </w:rPr>
      </w:r>
    </w:p>
    <w:p>
      <w:pPr>
        <w:pStyle w:val="Normal"/>
        <w:keepNext w:val="false"/>
        <w:pageBreakBefore w:val="false"/>
        <w:widowControl w:val="false"/>
        <w:numPr>
          <w:ilvl w:val="1"/>
          <w:numId w:val="1"/>
        </w:numPr>
        <w:bidi w:val="0"/>
        <w:spacing w:lineRule="auto" w:line="276" w:before="120" w:after="120"/>
        <w:jc w:val="both"/>
        <w:rPr>
          <w:rFonts w:cs="Arial"/>
          <w:bCs/>
        </w:rPr>
      </w:pPr>
      <w:r>
        <w:rPr>
          <w:rFonts w:cs="Arial" w:ascii="Calibri" w:hAnsi="Calibri"/>
          <w:bCs/>
          <w:sz w:val="24"/>
          <w:szCs w:val="24"/>
        </w:rPr>
        <w:t>Na aplicação das sanções serão considerados:</w:t>
      </w:r>
    </w:p>
    <w:p>
      <w:pPr>
        <w:pStyle w:val="Normal"/>
        <w:keepNext w:val="false"/>
        <w:pageBreakBefore w:val="false"/>
        <w:widowControl w:val="false"/>
        <w:numPr>
          <w:ilvl w:val="2"/>
          <w:numId w:val="1"/>
        </w:numPr>
        <w:bidi w:val="0"/>
        <w:spacing w:lineRule="auto" w:line="276" w:before="120" w:after="120"/>
        <w:jc w:val="both"/>
        <w:rPr>
          <w:rFonts w:cs="Arial"/>
          <w:bCs/>
        </w:rPr>
      </w:pPr>
      <w:r>
        <w:rPr>
          <w:rFonts w:cs="Arial" w:ascii="Calibri" w:hAnsi="Calibri"/>
          <w:bCs/>
          <w:sz w:val="24"/>
          <w:szCs w:val="24"/>
        </w:rPr>
        <w:t>a natureza e a gravidade da infração cometida;</w:t>
      </w:r>
    </w:p>
    <w:p>
      <w:pPr>
        <w:pStyle w:val="Normal"/>
        <w:keepNext w:val="false"/>
        <w:pageBreakBefore w:val="false"/>
        <w:widowControl w:val="false"/>
        <w:numPr>
          <w:ilvl w:val="2"/>
          <w:numId w:val="1"/>
        </w:numPr>
        <w:bidi w:val="0"/>
        <w:spacing w:lineRule="auto" w:line="276" w:before="120" w:after="120"/>
        <w:jc w:val="both"/>
        <w:rPr>
          <w:rFonts w:cs="Arial"/>
          <w:bCs/>
        </w:rPr>
      </w:pPr>
      <w:r>
        <w:rPr>
          <w:rFonts w:cs="Arial" w:ascii="Calibri" w:hAnsi="Calibri"/>
          <w:bCs/>
          <w:sz w:val="24"/>
          <w:szCs w:val="24"/>
        </w:rPr>
        <w:t>as peculiaridades do caso concreto;</w:t>
      </w:r>
    </w:p>
    <w:p>
      <w:pPr>
        <w:pStyle w:val="Normal"/>
        <w:keepNext w:val="false"/>
        <w:pageBreakBefore w:val="false"/>
        <w:widowControl w:val="false"/>
        <w:numPr>
          <w:ilvl w:val="2"/>
          <w:numId w:val="1"/>
        </w:numPr>
        <w:bidi w:val="0"/>
        <w:spacing w:lineRule="auto" w:line="276" w:before="120" w:after="120"/>
        <w:jc w:val="both"/>
        <w:rPr>
          <w:rFonts w:cs="Arial"/>
          <w:bCs/>
        </w:rPr>
      </w:pPr>
      <w:r>
        <w:rPr>
          <w:rFonts w:cs="Arial" w:ascii="Calibri" w:hAnsi="Calibri"/>
          <w:bCs/>
          <w:sz w:val="24"/>
          <w:szCs w:val="24"/>
        </w:rPr>
        <w:t>as circunstâncias agravantes ou atenuantes;</w:t>
      </w:r>
    </w:p>
    <w:p>
      <w:pPr>
        <w:pStyle w:val="Normal"/>
        <w:keepNext w:val="false"/>
        <w:pageBreakBefore w:val="false"/>
        <w:widowControl w:val="false"/>
        <w:numPr>
          <w:ilvl w:val="2"/>
          <w:numId w:val="1"/>
        </w:numPr>
        <w:bidi w:val="0"/>
        <w:spacing w:lineRule="auto" w:line="276" w:before="120" w:after="120"/>
        <w:jc w:val="both"/>
        <w:rPr>
          <w:rFonts w:cs="Arial"/>
          <w:bCs/>
        </w:rPr>
      </w:pPr>
      <w:r>
        <w:rPr>
          <w:rFonts w:cs="Arial" w:ascii="Calibri" w:hAnsi="Calibri"/>
          <w:bCs/>
          <w:sz w:val="24"/>
          <w:szCs w:val="24"/>
        </w:rPr>
        <w:t>os danos que dela provierem para a Administração Pública;</w:t>
      </w:r>
    </w:p>
    <w:p>
      <w:pPr>
        <w:pStyle w:val="Normal"/>
        <w:keepNext w:val="false"/>
        <w:pageBreakBefore w:val="false"/>
        <w:widowControl w:val="false"/>
        <w:numPr>
          <w:ilvl w:val="2"/>
          <w:numId w:val="1"/>
        </w:numPr>
        <w:bidi w:val="0"/>
        <w:spacing w:lineRule="auto" w:line="276" w:before="120" w:after="120"/>
        <w:jc w:val="both"/>
        <w:rPr>
          <w:rFonts w:cs="Arial"/>
          <w:bCs/>
        </w:rPr>
      </w:pPr>
      <w:r>
        <w:rPr>
          <w:rFonts w:cs="Arial" w:ascii="Calibri" w:hAnsi="Calibri"/>
          <w:bCs/>
          <w:sz w:val="24"/>
          <w:szCs w:val="24"/>
        </w:rPr>
        <w:t>a implantação ou o aperfeiçoamento de programa de integridade, conforme normas e orientações dos órgãos de controle.</w:t>
      </w:r>
    </w:p>
    <w:p>
      <w:pPr>
        <w:pStyle w:val="Normal"/>
        <w:keepNext w:val="false"/>
        <w:pageBreakBefore w:val="false"/>
        <w:widowControl w:val="false"/>
        <w:bidi w:val="0"/>
        <w:spacing w:lineRule="auto" w:line="276" w:before="120" w:after="120"/>
        <w:ind w:left="1224" w:hanging="0"/>
        <w:jc w:val="both"/>
        <w:rPr>
          <w:rFonts w:ascii="Calibri" w:hAnsi="Calibri" w:cs="Arial"/>
          <w:bCs/>
          <w:sz w:val="24"/>
          <w:szCs w:val="24"/>
        </w:rPr>
      </w:pPr>
      <w:r>
        <w:rPr>
          <w:rFonts w:cs="Arial" w:ascii="Calibri" w:hAnsi="Calibri"/>
          <w:bCs/>
          <w:sz w:val="24"/>
          <w:szCs w:val="24"/>
        </w:rPr>
      </w:r>
    </w:p>
    <w:p>
      <w:pPr>
        <w:pStyle w:val="Normal"/>
        <w:keepNext w:val="false"/>
        <w:pageBreakBefore w:val="false"/>
        <w:widowControl w:val="false"/>
        <w:numPr>
          <w:ilvl w:val="1"/>
          <w:numId w:val="1"/>
        </w:numPr>
        <w:bidi w:val="0"/>
        <w:spacing w:lineRule="auto" w:line="276" w:before="120" w:after="120"/>
        <w:ind w:left="425" w:hanging="0"/>
        <w:jc w:val="both"/>
        <w:rPr>
          <w:rFonts w:cs="Arial"/>
        </w:rPr>
      </w:pPr>
      <w:bookmarkStart w:id="2" w:name="art156%2525252525252525252525C2%25252525"/>
      <w:bookmarkStart w:id="3" w:name="art156%2525252525252525252525C2%25252525"/>
      <w:bookmarkStart w:id="4" w:name="art156%2525252525252525252525C2%25252525"/>
      <w:bookmarkEnd w:id="2"/>
      <w:bookmarkEnd w:id="3"/>
      <w:bookmarkEnd w:id="4"/>
      <w:r>
        <w:rPr>
          <w:rFonts w:cs="Arial" w:ascii="Calibri" w:hAnsi="Calibr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keepNext w:val="false"/>
        <w:pageBreakBefore w:val="false"/>
        <w:widowControl w:val="false"/>
        <w:numPr>
          <w:ilvl w:val="1"/>
          <w:numId w:val="1"/>
        </w:numPr>
        <w:bidi w:val="0"/>
        <w:spacing w:lineRule="auto" w:line="276" w:before="120" w:after="120"/>
        <w:ind w:left="425" w:hanging="0"/>
        <w:jc w:val="both"/>
        <w:rPr>
          <w:rFonts w:cs="Arial"/>
        </w:rPr>
      </w:pPr>
      <w:bookmarkStart w:id="5" w:name="art156%2525252525252525252525C2%25252525"/>
      <w:bookmarkEnd w:id="5"/>
      <w:r>
        <w:rPr>
          <w:rFonts w:cs="Arial" w:ascii="Calibri" w:hAnsi="Calibri"/>
          <w:sz w:val="24"/>
          <w:szCs w:val="24"/>
        </w:rPr>
        <w:t>A aplicação das sanções previstas neste Aviso de Contratação Direta, em hipótese alguma, a obrigação de reparação integral do dano causado à Administração Pública.</w:t>
      </w:r>
    </w:p>
    <w:p>
      <w:pPr>
        <w:pStyle w:val="Normal"/>
        <w:keepNext w:val="false"/>
        <w:pageBreakBefore w:val="false"/>
        <w:widowControl w:val="false"/>
        <w:numPr>
          <w:ilvl w:val="1"/>
          <w:numId w:val="1"/>
        </w:numPr>
        <w:bidi w:val="0"/>
        <w:spacing w:lineRule="auto" w:line="276" w:before="120" w:after="120"/>
        <w:ind w:left="425" w:hanging="0"/>
        <w:jc w:val="both"/>
        <w:rPr>
          <w:rFonts w:cs="Arial"/>
        </w:rPr>
      </w:pPr>
      <w:r>
        <w:rPr>
          <w:rFonts w:cs="Arial" w:ascii="Calibri" w:hAnsi="Calibri"/>
          <w:sz w:val="24"/>
          <w:szCs w:val="24"/>
        </w:rPr>
        <w:t>A penalidade de multa pode ser aplicada cumulativamente com as demais sanções.</w:t>
      </w:r>
    </w:p>
    <w:p>
      <w:pPr>
        <w:pStyle w:val="Normal"/>
        <w:keepNext w:val="false"/>
        <w:pageBreakBefore w:val="false"/>
        <w:widowControl w:val="false"/>
        <w:numPr>
          <w:ilvl w:val="1"/>
          <w:numId w:val="1"/>
        </w:numPr>
        <w:bidi w:val="0"/>
        <w:spacing w:lineRule="auto" w:line="276" w:before="120" w:after="120"/>
        <w:ind w:left="425" w:hanging="0"/>
        <w:jc w:val="both"/>
        <w:rPr>
          <w:rFonts w:cs="Arial"/>
        </w:rPr>
      </w:pPr>
      <w:r>
        <w:rPr>
          <w:rFonts w:cs="Arial" w:ascii="Calibri" w:hAnsi="Calibr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keepNext w:val="false"/>
        <w:pageBreakBefore w:val="false"/>
        <w:widowControl w:val="false"/>
        <w:numPr>
          <w:ilvl w:val="1"/>
          <w:numId w:val="1"/>
        </w:numPr>
        <w:bidi w:val="0"/>
        <w:spacing w:lineRule="auto" w:line="276" w:before="120" w:after="120"/>
        <w:ind w:left="425" w:hanging="0"/>
        <w:jc w:val="both"/>
        <w:rPr>
          <w:rFonts w:cs="Arial"/>
        </w:rPr>
      </w:pPr>
      <w:r>
        <w:rPr>
          <w:rFonts w:cs="Arial" w:ascii="Calibri" w:hAnsi="Calibr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keepNext w:val="false"/>
        <w:pageBreakBefore w:val="false"/>
        <w:widowControl w:val="false"/>
        <w:numPr>
          <w:ilvl w:val="1"/>
          <w:numId w:val="1"/>
        </w:numPr>
        <w:bidi w:val="0"/>
        <w:spacing w:lineRule="auto" w:line="276" w:before="120" w:after="120"/>
        <w:ind w:left="425" w:hanging="0"/>
        <w:jc w:val="both"/>
        <w:rPr>
          <w:rFonts w:cs="Arial"/>
        </w:rPr>
      </w:pPr>
      <w:r>
        <w:rPr>
          <w:rFonts w:cs="Arial" w:ascii="Calibri" w:hAnsi="Calibr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keepNext w:val="false"/>
        <w:pageBreakBefore w:val="false"/>
        <w:widowControl w:val="false"/>
        <w:numPr>
          <w:ilvl w:val="1"/>
          <w:numId w:val="1"/>
        </w:numPr>
        <w:bidi w:val="0"/>
        <w:spacing w:lineRule="auto" w:line="276" w:before="120" w:after="120"/>
        <w:jc w:val="both"/>
        <w:rPr>
          <w:rFonts w:cs="Arial"/>
        </w:rPr>
      </w:pPr>
      <w:r>
        <w:rPr>
          <w:rFonts w:cs="Arial" w:ascii="Calibri" w:hAnsi="Calibri"/>
          <w:sz w:val="24"/>
          <w:szCs w:val="24"/>
        </w:rPr>
        <w:t xml:space="preserve">A aplicação de qualquer das penalidades previstas realizar-se-á em processo administrativo que assegurará o contraditório e a ampla defesa ao </w:t>
      </w:r>
      <w:r>
        <w:rPr>
          <w:rFonts w:cs="Arial" w:ascii="Calibri" w:hAnsi="Calibri"/>
          <w:color w:val="000000" w:themeColor="text1"/>
          <w:sz w:val="24"/>
          <w:szCs w:val="24"/>
          <w:lang w:eastAsia="en-US"/>
        </w:rPr>
        <w:t>prestador de serviços</w:t>
      </w:r>
      <w:r>
        <w:rPr>
          <w:rFonts w:cs="Arial" w:ascii="Calibri" w:hAnsi="Calibri"/>
          <w:sz w:val="24"/>
          <w:szCs w:val="24"/>
        </w:rPr>
        <w:t>/adjudicatário, observando-se o procedimento previsto na Lei nº 14.133, de 2021, e subsidiariamente na Lei nº 9.784, de 1999.</w:t>
      </w:r>
    </w:p>
    <w:p>
      <w:pPr>
        <w:pStyle w:val="Normal"/>
        <w:keepNext w:val="false"/>
        <w:pageBreakBefore w:val="false"/>
        <w:widowControl w:val="false"/>
        <w:numPr>
          <w:ilvl w:val="1"/>
          <w:numId w:val="1"/>
        </w:numPr>
        <w:bidi w:val="0"/>
        <w:spacing w:lineRule="auto" w:line="276" w:before="120" w:after="120"/>
        <w:ind w:left="425" w:hanging="0"/>
        <w:jc w:val="both"/>
        <w:rPr>
          <w:rFonts w:cs="Arial"/>
        </w:rPr>
      </w:pPr>
      <w:r>
        <w:rPr>
          <w:rFonts w:cs="Arial" w:ascii="Calibri" w:hAnsi="Calibri"/>
          <w:sz w:val="24"/>
          <w:szCs w:val="24"/>
        </w:rPr>
        <w:t>As sanções por atos praticados no decorrer da contratação estão previstas nos anexos a este Aviso.</w:t>
      </w:r>
    </w:p>
    <w:p>
      <w:pPr>
        <w:pStyle w:val="Normal"/>
        <w:keepNext w:val="false"/>
        <w:pageBreakBefore w:val="false"/>
        <w:widowControl w:val="false"/>
        <w:bidi w:val="0"/>
        <w:spacing w:lineRule="auto" w:line="276" w:before="120" w:after="120"/>
        <w:ind w:left="425" w:hanging="0"/>
        <w:jc w:val="both"/>
        <w:rPr>
          <w:rFonts w:ascii="Calibri" w:hAnsi="Calibri" w:cs="Arial"/>
          <w:sz w:val="24"/>
          <w:szCs w:val="24"/>
        </w:rPr>
      </w:pPr>
      <w:r>
        <w:rPr>
          <w:rFonts w:cs="Arial" w:ascii="Calibri" w:hAnsi="Calibri"/>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Calibri" w:hAnsi="Calibri"/>
          <w:sz w:val="24"/>
          <w:szCs w:val="24"/>
        </w:rPr>
      </w:pPr>
      <w:r>
        <w:rPr>
          <w:rFonts w:cs="Arial" w:ascii="Calibri" w:hAnsi="Calibri"/>
          <w:b/>
          <w:sz w:val="24"/>
          <w:szCs w:val="24"/>
        </w:rPr>
        <w:t>DAS DISPOSIÇÕES GERAIS</w:t>
      </w:r>
    </w:p>
    <w:p>
      <w:pPr>
        <w:pStyle w:val="Normal"/>
        <w:keepNext w:val="false"/>
        <w:pageBreakBefore w:val="false"/>
        <w:widowControl w:val="false"/>
        <w:numPr>
          <w:ilvl w:val="1"/>
          <w:numId w:val="1"/>
        </w:numPr>
        <w:bidi w:val="0"/>
        <w:snapToGrid w:val="false"/>
        <w:spacing w:lineRule="auto" w:line="276" w:before="120" w:after="120"/>
        <w:jc w:val="both"/>
        <w:rPr>
          <w:rFonts w:ascii="Calibri" w:hAnsi="Calibri"/>
          <w:sz w:val="24"/>
          <w:szCs w:val="24"/>
        </w:rPr>
      </w:pPr>
      <w:r>
        <w:rPr>
          <w:rFonts w:ascii="Calibri" w:hAnsi="Calibri"/>
          <w:sz w:val="24"/>
          <w:szCs w:val="24"/>
        </w:rPr>
        <w:t xml:space="preserve">O procedimento será divulgado no ComprasNet 4.0 e no Portal Nacional de Contratações Públicas - PNCP, e encaminhado automaticamente aos </w:t>
      </w:r>
      <w:r>
        <w:rPr>
          <w:rFonts w:cs="Arial" w:ascii="Calibri" w:hAnsi="Calibri"/>
          <w:color w:val="000000" w:themeColor="text1"/>
          <w:sz w:val="24"/>
          <w:szCs w:val="24"/>
          <w:lang w:eastAsia="en-US"/>
        </w:rPr>
        <w:t xml:space="preserve">prestadores de serviços </w:t>
      </w:r>
      <w:r>
        <w:rPr>
          <w:rFonts w:ascii="Calibri" w:hAnsi="Calibri"/>
          <w:sz w:val="24"/>
          <w:szCs w:val="24"/>
        </w:rPr>
        <w:t>registrados no Sistema de Registro Cadastral Unificado - Sicaf, por mensagem eletrônica, na correspondente linha de fornecimento que pretende atender.</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No caso de todos os </w:t>
      </w:r>
      <w:r>
        <w:rPr>
          <w:rFonts w:cs="Arial" w:ascii="Calibri" w:hAnsi="Calibri"/>
          <w:color w:val="000000" w:themeColor="text1"/>
          <w:sz w:val="24"/>
          <w:szCs w:val="24"/>
          <w:lang w:eastAsia="en-US"/>
        </w:rPr>
        <w:t xml:space="preserve">prestadores de serviços </w:t>
      </w:r>
      <w:r>
        <w:rPr>
          <w:rFonts w:cs="Arial" w:ascii="Calibri" w:hAnsi="Calibri"/>
          <w:color w:val="000000"/>
          <w:sz w:val="24"/>
          <w:szCs w:val="24"/>
        </w:rPr>
        <w:t>restarem desclassificados ou inabilitados (procedimento fracassado), a Administração poderá:</w:t>
      </w:r>
    </w:p>
    <w:p>
      <w:pPr>
        <w:pStyle w:val="Normal"/>
        <w:keepNext w:val="false"/>
        <w:pageBreakBefore w:val="false"/>
        <w:widowControl w:val="false"/>
        <w:numPr>
          <w:ilvl w:val="2"/>
          <w:numId w:val="1"/>
        </w:numPr>
        <w:bidi w:val="0"/>
        <w:spacing w:lineRule="auto" w:line="276" w:before="120" w:after="120"/>
        <w:jc w:val="both"/>
        <w:rPr>
          <w:rFonts w:cs="Arial"/>
          <w:color w:val="000000"/>
          <w:szCs w:val="20"/>
        </w:rPr>
      </w:pPr>
      <w:r>
        <w:rPr>
          <w:rFonts w:cs="Arial" w:ascii="Calibri" w:hAnsi="Calibri"/>
          <w:color w:val="000000"/>
          <w:sz w:val="24"/>
          <w:szCs w:val="24"/>
        </w:rPr>
        <w:t>republicar o presente aviso com uma nova data;</w:t>
      </w:r>
    </w:p>
    <w:p>
      <w:pPr>
        <w:pStyle w:val="Normal"/>
        <w:keepNext w:val="false"/>
        <w:pageBreakBefore w:val="false"/>
        <w:widowControl w:val="false"/>
        <w:numPr>
          <w:ilvl w:val="2"/>
          <w:numId w:val="1"/>
        </w:numPr>
        <w:bidi w:val="0"/>
        <w:spacing w:lineRule="auto" w:line="276" w:before="120" w:after="120"/>
        <w:jc w:val="both"/>
        <w:rPr>
          <w:rFonts w:cs="Arial"/>
          <w:color w:val="000000"/>
          <w:szCs w:val="20"/>
        </w:rPr>
      </w:pPr>
      <w:r>
        <w:rPr>
          <w:rFonts w:cs="Arial" w:ascii="Calibri" w:hAnsi="Calibri"/>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keepNext w:val="false"/>
        <w:pageBreakBefore w:val="false"/>
        <w:widowControl w:val="false"/>
        <w:numPr>
          <w:ilvl w:val="3"/>
          <w:numId w:val="1"/>
        </w:numPr>
        <w:bidi w:val="0"/>
        <w:spacing w:lineRule="auto" w:line="276" w:before="120" w:after="120"/>
        <w:jc w:val="both"/>
        <w:rPr>
          <w:rFonts w:cs="Arial"/>
          <w:color w:val="000000"/>
          <w:szCs w:val="20"/>
        </w:rPr>
      </w:pPr>
      <w:r>
        <w:rPr>
          <w:rFonts w:cs="Arial" w:ascii="Calibri" w:hAnsi="Calibri"/>
          <w:color w:val="000000"/>
          <w:sz w:val="24"/>
          <w:szCs w:val="24"/>
        </w:rPr>
        <w:t>No caso do subitem anterior, a contratação será operacionalizada fora deste procedimento.</w:t>
      </w:r>
    </w:p>
    <w:p>
      <w:pPr>
        <w:pStyle w:val="Normal"/>
        <w:keepNext w:val="false"/>
        <w:pageBreakBefore w:val="false"/>
        <w:widowControl w:val="false"/>
        <w:bidi w:val="0"/>
        <w:spacing w:lineRule="auto" w:line="276" w:before="120" w:after="120"/>
        <w:ind w:left="1728" w:hanging="0"/>
        <w:jc w:val="both"/>
        <w:rPr>
          <w:rFonts w:ascii="Calibri" w:hAnsi="Calibri" w:cs="Arial"/>
          <w:color w:val="000000"/>
          <w:sz w:val="24"/>
          <w:szCs w:val="24"/>
        </w:rPr>
      </w:pPr>
      <w:r>
        <w:rPr>
          <w:rFonts w:cs="Arial" w:ascii="Calibri" w:hAnsi="Calibri"/>
          <w:color w:val="000000"/>
          <w:sz w:val="24"/>
          <w:szCs w:val="24"/>
        </w:rPr>
      </w:r>
    </w:p>
    <w:p>
      <w:pPr>
        <w:pStyle w:val="Normal"/>
        <w:keepNext w:val="false"/>
        <w:pageBreakBefore w:val="false"/>
        <w:widowControl w:val="false"/>
        <w:numPr>
          <w:ilvl w:val="2"/>
          <w:numId w:val="1"/>
        </w:numPr>
        <w:bidi w:val="0"/>
        <w:spacing w:lineRule="auto" w:line="276" w:before="120" w:after="120"/>
        <w:jc w:val="both"/>
        <w:rPr>
          <w:rFonts w:cs="Arial"/>
          <w:color w:val="000000"/>
          <w:szCs w:val="20"/>
        </w:rPr>
      </w:pPr>
      <w:r>
        <w:rPr>
          <w:rFonts w:cs="Arial" w:ascii="Calibri" w:hAnsi="Calibri"/>
          <w:color w:val="000000"/>
          <w:sz w:val="24"/>
          <w:szCs w:val="24"/>
        </w:rPr>
        <w:t>fixar prazo para que possa haver adequação das propostas ou da documentação de habilitação, conforme o caso.</w:t>
      </w:r>
    </w:p>
    <w:p>
      <w:pPr>
        <w:pStyle w:val="Normal"/>
        <w:keepNext w:val="false"/>
        <w:pageBreakBefore w:val="false"/>
        <w:widowControl w:val="false"/>
        <w:bidi w:val="0"/>
        <w:spacing w:lineRule="auto" w:line="276" w:before="120" w:after="120"/>
        <w:ind w:left="1224" w:hanging="0"/>
        <w:jc w:val="both"/>
        <w:rPr>
          <w:rFonts w:ascii="Calibri" w:hAnsi="Calibri" w:cs="Arial"/>
          <w:color w:val="000000"/>
          <w:sz w:val="24"/>
          <w:szCs w:val="24"/>
        </w:rPr>
      </w:pPr>
      <w:r>
        <w:rPr>
          <w:rFonts w:cs="Arial" w:ascii="Calibri" w:hAnsi="Calibri"/>
          <w:color w:val="000000"/>
          <w:sz w:val="24"/>
          <w:szCs w:val="24"/>
        </w:rPr>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As providências dos subitens 9.2.1 e 9.2.2 acima poderão ser utilizadas se não houver o comparecimento de quaisquer </w:t>
      </w:r>
      <w:r>
        <w:rPr>
          <w:rFonts w:cs="Arial" w:ascii="Calibri" w:hAnsi="Calibri"/>
          <w:color w:val="000000" w:themeColor="text1"/>
          <w:sz w:val="24"/>
          <w:szCs w:val="24"/>
          <w:lang w:eastAsia="en-US"/>
        </w:rPr>
        <w:t xml:space="preserve">prestadores de serviços </w:t>
      </w:r>
      <w:r>
        <w:rPr>
          <w:rFonts w:cs="Arial" w:ascii="Calibri" w:hAnsi="Calibri"/>
          <w:color w:val="000000"/>
          <w:sz w:val="24"/>
          <w:szCs w:val="24"/>
        </w:rPr>
        <w:t>interessados (procedimento deserto).</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Havendo a necessidade de realização de ato de qualquer natureza pelos </w:t>
      </w:r>
      <w:r>
        <w:rPr>
          <w:rFonts w:cs="Arial" w:ascii="Calibri" w:hAnsi="Calibri"/>
          <w:color w:val="000000" w:themeColor="text1"/>
          <w:sz w:val="24"/>
          <w:szCs w:val="24"/>
          <w:lang w:eastAsia="en-US"/>
        </w:rPr>
        <w:t>prestadores de serviços,</w:t>
      </w:r>
      <w:r>
        <w:rPr>
          <w:rFonts w:cs="Arial" w:ascii="Calibri" w:hAnsi="Calibri"/>
          <w:color w:val="000000"/>
          <w:sz w:val="24"/>
          <w:szCs w:val="24"/>
        </w:rPr>
        <w:t xml:space="preserve"> cujo prazo não conste deste Aviso de Contratação Direta, deverá ser atendido o prazo indicado pelo agente competente da Administração na respectiva notificação.</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Caberá ao </w:t>
      </w:r>
      <w:r>
        <w:rPr>
          <w:rFonts w:cs="Arial" w:ascii="Calibri" w:hAnsi="Calibri"/>
          <w:color w:val="000000" w:themeColor="text1"/>
          <w:sz w:val="24"/>
          <w:szCs w:val="24"/>
          <w:lang w:eastAsia="en-US"/>
        </w:rPr>
        <w:t>prestador de serviços</w:t>
      </w:r>
      <w:r>
        <w:rPr>
          <w:rFonts w:cs="Arial" w:ascii="Calibri" w:hAnsi="Calibri"/>
          <w:color w:val="000000"/>
          <w:sz w:val="24"/>
          <w:szCs w:val="24"/>
        </w:rPr>
        <w:t xml:space="preserve"> acompanhar as operações, ficando responsável pelo ônus decorrente da perda do negócio diante da inobservância de quaisquer mensagens emitidas pela Administração ou de sua desconexão.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szCs w:val="20"/>
        </w:rPr>
      </w:pPr>
      <w:r>
        <w:rPr>
          <w:rFonts w:cs="Arial" w:ascii="Calibri" w:hAnsi="Calibri"/>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szCs w:val="20"/>
        </w:rPr>
      </w:pPr>
      <w:r>
        <w:rPr>
          <w:rFonts w:cs="Arial" w:ascii="Calibri" w:hAnsi="Calibri"/>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themeColor="text1"/>
          <w:szCs w:val="20"/>
        </w:rPr>
      </w:pPr>
      <w:r>
        <w:rPr>
          <w:rFonts w:cs="Arial" w:ascii="Calibri" w:hAnsi="Calibr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szCs w:val="20"/>
        </w:rPr>
      </w:pPr>
      <w:r>
        <w:rPr>
          <w:rFonts w:cs="Arial" w:ascii="Calibri" w:hAnsi="Calibri"/>
          <w:color w:val="000000"/>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pPr>
        <w:pStyle w:val="Normal"/>
        <w:keepNext w:val="false"/>
        <w:pageBreakBefore w:val="false"/>
        <w:widowControl w:val="false"/>
        <w:numPr>
          <w:ilvl w:val="1"/>
          <w:numId w:val="1"/>
        </w:numPr>
        <w:bidi w:val="0"/>
        <w:spacing w:lineRule="auto" w:line="276" w:before="120" w:after="120"/>
        <w:jc w:val="both"/>
        <w:rPr>
          <w:rFonts w:ascii="Calibri" w:hAnsi="Calibri"/>
          <w:sz w:val="24"/>
          <w:szCs w:val="24"/>
        </w:rPr>
      </w:pPr>
      <w:r>
        <w:rPr>
          <w:rFonts w:cs="Arial" w:ascii="Calibri" w:hAnsi="Calibri"/>
          <w:color w:val="000000"/>
          <w:sz w:val="24"/>
          <w:szCs w:val="24"/>
        </w:rPr>
        <w:t xml:space="preserve">Os </w:t>
      </w:r>
      <w:bookmarkStart w:id="6" w:name="__DdeLink__5390_4041627011"/>
      <w:r>
        <w:rPr>
          <w:rFonts w:cs="Arial" w:ascii="Calibri" w:hAnsi="Calibri"/>
          <w:color w:val="000000" w:themeColor="text1"/>
          <w:sz w:val="24"/>
          <w:szCs w:val="24"/>
          <w:lang w:eastAsia="en-US"/>
        </w:rPr>
        <w:t>prestadores de serviços</w:t>
      </w:r>
      <w:bookmarkEnd w:id="6"/>
      <w:r>
        <w:rPr>
          <w:rFonts w:cs="Arial" w:ascii="Calibri" w:hAnsi="Calibri"/>
          <w:color w:val="000000" w:themeColor="text1"/>
          <w:sz w:val="24"/>
          <w:szCs w:val="24"/>
          <w:lang w:eastAsia="en-US"/>
        </w:rPr>
        <w:t xml:space="preserve"> </w:t>
      </w:r>
      <w:r>
        <w:rPr>
          <w:rFonts w:cs="Arial" w:ascii="Calibri" w:hAnsi="Calibri"/>
          <w:color w:val="000000"/>
          <w:sz w:val="24"/>
          <w:szCs w:val="24"/>
        </w:rPr>
        <w:t>assumem todos os custos de preparação e apresentação de suas propostas e a Administração não será, em nenhum caso, responsável por esses custos, independentemente da condução ou do resultado do processo de contratação.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szCs w:val="20"/>
        </w:rPr>
      </w:pPr>
      <w:r>
        <w:rPr>
          <w:rFonts w:cs="Arial" w:ascii="Calibri" w:hAnsi="Calibri"/>
          <w:color w:val="000000"/>
          <w:sz w:val="24"/>
          <w:szCs w:val="24"/>
        </w:rPr>
        <w:t>Em caso de divergência entre disposições deste Aviso de Contratação Direta e de seus anexos ou demais peças que compõem o processo, prevalecerá as deste Aviso.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szCs w:val="20"/>
        </w:rPr>
      </w:pPr>
      <w:r>
        <w:rPr>
          <w:rFonts w:cs="Arial" w:ascii="Calibri" w:hAnsi="Calibri"/>
          <w:color w:val="000000"/>
          <w:sz w:val="24"/>
          <w:szCs w:val="24"/>
        </w:rPr>
        <w:t>Da sessão pública será divulgada Ata no sistema eletrônico.</w:t>
      </w:r>
    </w:p>
    <w:p>
      <w:pPr>
        <w:pStyle w:val="Normal"/>
        <w:keepNext w:val="false"/>
        <w:pageBreakBefore w:val="false"/>
        <w:widowControl w:val="false"/>
        <w:bidi w:val="0"/>
        <w:spacing w:lineRule="auto" w:line="276" w:before="120" w:after="120"/>
        <w:jc w:val="both"/>
        <w:rPr>
          <w:rFonts w:ascii="Calibri" w:hAnsi="Calibri" w:cs="Arial"/>
          <w:color w:val="000000"/>
          <w:sz w:val="24"/>
          <w:szCs w:val="24"/>
        </w:rPr>
      </w:pPr>
      <w:r>
        <w:rPr>
          <w:rFonts w:cs="Arial" w:ascii="Calibri" w:hAnsi="Calibri"/>
          <w:color w:val="000000"/>
          <w:sz w:val="24"/>
          <w:szCs w:val="24"/>
        </w:rPr>
      </w:r>
    </w:p>
    <w:p>
      <w:pPr>
        <w:pStyle w:val="PADRO"/>
        <w:keepNext w:val="false"/>
        <w:pageBreakBefore w:val="false"/>
        <w:widowControl w:val="false"/>
        <w:numPr>
          <w:ilvl w:val="0"/>
          <w:numId w:val="1"/>
        </w:numPr>
        <w:shd w:val="clear" w:color="auto" w:fill="auto"/>
        <w:bidi w:val="0"/>
        <w:spacing w:before="120" w:after="120"/>
        <w:jc w:val="left"/>
        <w:rPr>
          <w:rFonts w:ascii="Arial" w:hAnsi="Arial" w:cs="Arial"/>
          <w:b/>
          <w:b/>
        </w:rPr>
      </w:pPr>
      <w:r>
        <w:rPr>
          <w:rFonts w:cs="Arial" w:ascii="Calibri" w:hAnsi="Calibri"/>
          <w:b/>
          <w:sz w:val="24"/>
          <w:szCs w:val="24"/>
        </w:rPr>
        <w:t>ANEXOS DO AVISO</w:t>
      </w:r>
    </w:p>
    <w:p>
      <w:pPr>
        <w:pStyle w:val="Normal"/>
        <w:keepNext w:val="false"/>
        <w:pageBreakBefore w:val="false"/>
        <w:widowControl w:val="false"/>
        <w:numPr>
          <w:ilvl w:val="1"/>
          <w:numId w:val="1"/>
        </w:numPr>
        <w:bidi w:val="0"/>
        <w:spacing w:lineRule="auto" w:line="276" w:before="120" w:after="120"/>
        <w:ind w:left="425" w:hanging="0"/>
        <w:jc w:val="both"/>
        <w:rPr>
          <w:rFonts w:cs="Arial"/>
          <w:color w:val="000000"/>
          <w:szCs w:val="20"/>
        </w:rPr>
      </w:pPr>
      <w:r>
        <w:rPr>
          <w:rFonts w:cs="Arial" w:ascii="Calibri" w:hAnsi="Calibri"/>
          <w:color w:val="000000"/>
          <w:sz w:val="24"/>
          <w:szCs w:val="24"/>
        </w:rPr>
        <w:t>Integram este Aviso de Contratação Direta, para todos os fins e efeitos, os seguintes anexos:</w:t>
      </w:r>
    </w:p>
    <w:p>
      <w:pPr>
        <w:pStyle w:val="Normal"/>
        <w:keepNext w:val="false"/>
        <w:pageBreakBefore w:val="false"/>
        <w:widowControl w:val="false"/>
        <w:numPr>
          <w:ilvl w:val="2"/>
          <w:numId w:val="1"/>
        </w:numPr>
        <w:bidi w:val="0"/>
        <w:spacing w:lineRule="auto" w:line="276" w:before="120" w:after="120"/>
        <w:jc w:val="both"/>
        <w:rPr>
          <w:rFonts w:ascii="Calibri" w:hAnsi="Calibri"/>
          <w:sz w:val="24"/>
          <w:szCs w:val="24"/>
        </w:rPr>
      </w:pPr>
      <w:r>
        <w:rPr>
          <w:rFonts w:cs="Arial" w:ascii="Calibri" w:hAnsi="Calibri"/>
          <w:color w:val="000000"/>
          <w:sz w:val="24"/>
          <w:szCs w:val="24"/>
        </w:rPr>
        <w:t>ANEXO – Documentação exigida para Habilitação</w:t>
      </w:r>
    </w:p>
    <w:p>
      <w:pPr>
        <w:pStyle w:val="Normal"/>
        <w:keepNext w:val="false"/>
        <w:pageBreakBefore w:val="false"/>
        <w:widowControl w:val="false"/>
        <w:bidi w:val="0"/>
        <w:spacing w:lineRule="auto" w:line="276" w:before="0" w:after="120"/>
        <w:ind w:left="360" w:right="-15" w:hanging="0"/>
        <w:jc w:val="right"/>
        <w:rPr>
          <w:rFonts w:ascii="Calibri" w:hAnsi="Calibri" w:cs="Arial"/>
          <w:color w:val="000000"/>
          <w:sz w:val="24"/>
          <w:szCs w:val="24"/>
        </w:rPr>
      </w:pPr>
      <w:r>
        <w:rPr>
          <w:rFonts w:cs="Arial" w:ascii="Calibri" w:hAnsi="Calibri"/>
          <w:color w:val="000000"/>
          <w:sz w:val="24"/>
          <w:szCs w:val="24"/>
        </w:rPr>
      </w:r>
    </w:p>
    <w:p>
      <w:pPr>
        <w:pStyle w:val="Normal"/>
        <w:keepNext w:val="false"/>
        <w:pageBreakBefore w:val="false"/>
        <w:widowControl w:val="false"/>
        <w:bidi w:val="0"/>
        <w:spacing w:lineRule="auto" w:line="276" w:before="0" w:after="120"/>
        <w:ind w:left="360" w:right="-15" w:hanging="0"/>
        <w:jc w:val="right"/>
        <w:rPr>
          <w:rFonts w:ascii="Calibri" w:hAnsi="Calibri"/>
          <w:sz w:val="24"/>
          <w:szCs w:val="24"/>
        </w:rPr>
      </w:pPr>
      <w:r>
        <w:rPr>
          <w:rFonts w:cs="Arial" w:ascii="Calibri" w:hAnsi="Calibri"/>
          <w:color w:val="000000"/>
          <w:sz w:val="24"/>
          <w:szCs w:val="24"/>
        </w:rPr>
        <w:t>São Pedro da Aldeia,     de                     de 2022</w:t>
      </w:r>
    </w:p>
    <w:p>
      <w:pPr>
        <w:pStyle w:val="Normal"/>
        <w:keepNext w:val="false"/>
        <w:pageBreakBefore w:val="false"/>
        <w:widowControl w:val="false"/>
        <w:bidi w:val="0"/>
        <w:spacing w:lineRule="auto" w:line="276" w:before="0" w:after="120"/>
        <w:ind w:left="360" w:right="-15" w:hanging="0"/>
        <w:jc w:val="both"/>
        <w:rPr>
          <w:rFonts w:ascii="Calibri" w:hAnsi="Calibri" w:cs="Arial"/>
          <w:color w:val="000000"/>
          <w:sz w:val="24"/>
          <w:szCs w:val="24"/>
        </w:rPr>
      </w:pPr>
      <w:r>
        <w:rPr>
          <w:rFonts w:cs="Arial" w:ascii="Calibri" w:hAnsi="Calibri"/>
          <w:color w:val="000000"/>
          <w:sz w:val="24"/>
          <w:szCs w:val="24"/>
        </w:rPr>
      </w:r>
    </w:p>
    <w:p>
      <w:pPr>
        <w:pStyle w:val="Normal"/>
        <w:keepNext w:val="false"/>
        <w:pageBreakBefore w:val="false"/>
        <w:widowControl w:val="false"/>
        <w:bidi w:val="0"/>
        <w:spacing w:lineRule="auto" w:line="276"/>
        <w:jc w:val="both"/>
        <w:rPr>
          <w:rFonts w:ascii="Calibri" w:hAnsi="Calibri"/>
          <w:sz w:val="24"/>
          <w:szCs w:val="24"/>
        </w:rPr>
      </w:pPr>
      <w:r>
        <w:rPr>
          <w:rFonts w:cs="Arial" w:ascii="Calibri" w:hAnsi="Calibri"/>
          <w:b/>
          <w:bCs/>
          <w:iCs/>
          <w:color w:val="000000"/>
          <w:sz w:val="24"/>
          <w:szCs w:val="24"/>
        </w:rPr>
        <w:t>Responsável pela Elaboração</w:t>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sz w:val="24"/>
          <w:szCs w:val="24"/>
        </w:rPr>
      </w:pPr>
      <w:r>
        <w:rPr>
          <w:rFonts w:cs="Arial" w:ascii="Calibri" w:hAnsi="Calibri"/>
          <w:iCs/>
          <w:color w:val="000000"/>
          <w:sz w:val="24"/>
          <w:szCs w:val="24"/>
        </w:rPr>
        <w:t>THAIRONE UBIRAJARA FELIX BARENCO</w:t>
      </w:r>
    </w:p>
    <w:p>
      <w:pPr>
        <w:pStyle w:val="Normal"/>
        <w:keepNext w:val="false"/>
        <w:pageBreakBefore w:val="false"/>
        <w:widowControl w:val="false"/>
        <w:bidi w:val="0"/>
        <w:spacing w:lineRule="auto" w:line="276"/>
        <w:jc w:val="center"/>
        <w:rPr>
          <w:rFonts w:ascii="Calibri" w:hAnsi="Calibri"/>
          <w:sz w:val="24"/>
          <w:szCs w:val="24"/>
        </w:rPr>
      </w:pPr>
      <w:r>
        <w:rPr>
          <w:rFonts w:cs="Arial" w:ascii="Calibri" w:hAnsi="Calibri"/>
          <w:iCs/>
          <w:color w:val="000000"/>
          <w:sz w:val="24"/>
          <w:szCs w:val="24"/>
        </w:rPr>
        <w:t>Terceiro-Sargento (PL)</w:t>
      </w:r>
    </w:p>
    <w:p>
      <w:pPr>
        <w:pStyle w:val="Normal"/>
        <w:keepNext w:val="false"/>
        <w:pageBreakBefore w:val="false"/>
        <w:widowControl w:val="false"/>
        <w:bidi w:val="0"/>
        <w:spacing w:lineRule="auto" w:line="276"/>
        <w:jc w:val="center"/>
        <w:rPr>
          <w:rFonts w:ascii="Calibri" w:hAnsi="Calibri"/>
          <w:sz w:val="24"/>
          <w:szCs w:val="24"/>
        </w:rPr>
      </w:pPr>
      <w:bookmarkStart w:id="7" w:name="__DdeLink__1843_1113313054"/>
      <w:bookmarkEnd w:id="7"/>
      <w:r>
        <w:rPr>
          <w:rFonts w:cs="Arial" w:ascii="Calibri" w:hAnsi="Calibri"/>
          <w:iCs/>
          <w:color w:val="000000"/>
          <w:sz w:val="24"/>
          <w:szCs w:val="24"/>
        </w:rPr>
        <w:t>Auxiliar de Obtenção</w:t>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left"/>
        <w:rPr>
          <w:rFonts w:ascii="Calibri" w:hAnsi="Calibri"/>
          <w:sz w:val="24"/>
          <w:szCs w:val="24"/>
        </w:rPr>
      </w:pPr>
      <w:r>
        <w:rPr>
          <w:rFonts w:cs="Arial" w:ascii="Calibri" w:hAnsi="Calibri"/>
          <w:b/>
          <w:bCs/>
          <w:iCs/>
          <w:color w:val="000000"/>
          <w:sz w:val="24"/>
          <w:szCs w:val="24"/>
        </w:rPr>
        <w:t>APROVAÇÃO</w:t>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keepNext w:val="false"/>
        <w:pageBreakBefore w:val="false"/>
        <w:widowControl w:val="false"/>
        <w:bidi w:val="0"/>
        <w:spacing w:lineRule="auto" w:line="276"/>
        <w:jc w:val="center"/>
        <w:rPr>
          <w:rFonts w:ascii="Calibri" w:hAnsi="Calibri" w:cs="Arial"/>
          <w:iCs/>
          <w:color w:val="00000A"/>
          <w:sz w:val="24"/>
          <w:szCs w:val="24"/>
        </w:rPr>
      </w:pPr>
      <w:r>
        <w:rPr>
          <w:rFonts w:cs="Arial" w:ascii="Calibri" w:hAnsi="Calibri"/>
          <w:iCs/>
          <w:color w:val="00000A"/>
          <w:sz w:val="24"/>
          <w:szCs w:val="24"/>
        </w:rPr>
      </w:r>
    </w:p>
    <w:p>
      <w:pPr>
        <w:pStyle w:val="Normal"/>
        <w:keepNext w:val="false"/>
        <w:pageBreakBefore w:val="false"/>
        <w:widowControl w:val="false"/>
        <w:bidi w:val="0"/>
        <w:spacing w:lineRule="auto" w:line="276"/>
        <w:jc w:val="center"/>
        <w:rPr>
          <w:color w:val="00000A"/>
        </w:rPr>
      </w:pPr>
      <w:bookmarkStart w:id="8" w:name="__DdeLink__488_1185113458"/>
      <w:bookmarkEnd w:id="8"/>
      <w:r>
        <w:rPr>
          <w:rFonts w:cs="Arial" w:ascii="Calibri" w:hAnsi="Calibri"/>
          <w:iCs/>
          <w:color w:val="00000A"/>
          <w:sz w:val="24"/>
          <w:szCs w:val="24"/>
        </w:rPr>
        <w:t>JOSÉ FABIO CARNEIRO DA SILVA</w:t>
      </w:r>
    </w:p>
    <w:p>
      <w:pPr>
        <w:pStyle w:val="Normal"/>
        <w:keepNext w:val="false"/>
        <w:pageBreakBefore w:val="false"/>
        <w:widowControl w:val="false"/>
        <w:bidi w:val="0"/>
        <w:spacing w:lineRule="auto" w:line="276"/>
        <w:jc w:val="center"/>
        <w:rPr>
          <w:color w:val="00000A"/>
        </w:rPr>
      </w:pPr>
      <w:r>
        <w:rPr>
          <w:rFonts w:cs="Arial" w:ascii="Calibri" w:hAnsi="Calibri"/>
          <w:iCs/>
          <w:color w:val="00000A"/>
          <w:sz w:val="24"/>
          <w:szCs w:val="24"/>
        </w:rPr>
        <w:t>Capitão de Mar e Guerra</w:t>
      </w:r>
    </w:p>
    <w:p>
      <w:pPr>
        <w:pStyle w:val="Normal"/>
        <w:keepNext w:val="false"/>
        <w:pageBreakBefore w:val="false"/>
        <w:widowControl w:val="false"/>
        <w:bidi w:val="0"/>
        <w:spacing w:lineRule="auto" w:line="276"/>
        <w:jc w:val="center"/>
        <w:rPr/>
      </w:pPr>
      <w:r>
        <w:rPr>
          <w:rFonts w:cs="Arial" w:ascii="Calibri" w:hAnsi="Calibri"/>
          <w:iCs/>
          <w:color w:val="00000A"/>
          <w:sz w:val="24"/>
          <w:szCs w:val="24"/>
        </w:rPr>
        <w:t>Ordenador de Despesas</w:t>
      </w:r>
    </w:p>
    <w:p>
      <w:pPr>
        <w:pStyle w:val="Normal"/>
        <w:widowControl w:val="false"/>
        <w:bidi w:val="0"/>
        <w:spacing w:lineRule="auto" w:line="276"/>
        <w:jc w:val="center"/>
        <w:rPr>
          <w:rFonts w:ascii="Calibri" w:hAnsi="Calibri" w:cs="Arial"/>
          <w:iCs/>
          <w:color w:val="00000A"/>
          <w:sz w:val="24"/>
          <w:szCs w:val="24"/>
        </w:rPr>
      </w:pPr>
      <w:r>
        <w:rPr>
          <w:rFonts w:cs="Arial" w:ascii="Calibri" w:hAnsi="Calibri"/>
          <w:iCs/>
          <w:color w:val="00000A"/>
          <w:sz w:val="24"/>
          <w:szCs w:val="24"/>
        </w:rPr>
      </w:r>
    </w:p>
    <w:p>
      <w:pPr>
        <w:pStyle w:val="Normal"/>
        <w:widowControl w:val="false"/>
        <w:bidi w:val="0"/>
        <w:spacing w:lineRule="auto" w:line="276"/>
        <w:jc w:val="center"/>
        <w:rPr>
          <w:rFonts w:ascii="Calibri" w:hAnsi="Calibri" w:cs="Arial"/>
          <w:iCs/>
          <w:color w:val="00000A"/>
          <w:sz w:val="24"/>
          <w:szCs w:val="24"/>
        </w:rPr>
      </w:pPr>
      <w:r>
        <w:rPr>
          <w:rFonts w:cs="Arial" w:ascii="Calibri" w:hAnsi="Calibri"/>
          <w:iCs/>
          <w:color w:val="00000A"/>
          <w:sz w:val="24"/>
          <w:szCs w:val="24"/>
        </w:rPr>
      </w:r>
    </w:p>
    <w:p>
      <w:pPr>
        <w:pStyle w:val="Normal"/>
        <w:widowControl w:val="false"/>
        <w:bidi w:val="0"/>
        <w:spacing w:lineRule="auto" w:line="276"/>
        <w:jc w:val="center"/>
        <w:rPr>
          <w:rFonts w:ascii="Calibri" w:hAnsi="Calibri" w:cs="Arial"/>
          <w:iCs/>
          <w:color w:val="00000A"/>
          <w:sz w:val="24"/>
          <w:szCs w:val="24"/>
        </w:rPr>
      </w:pPr>
      <w:r>
        <w:rPr>
          <w:rFonts w:cs="Arial" w:ascii="Calibri" w:hAnsi="Calibri"/>
          <w:iCs/>
          <w:color w:val="00000A"/>
          <w:sz w:val="24"/>
          <w:szCs w:val="24"/>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widowControl w:val="false"/>
        <w:bidi w:val="0"/>
        <w:spacing w:lineRule="auto" w:line="276"/>
        <w:jc w:val="center"/>
        <w:rPr>
          <w:rFonts w:cs="Arial"/>
          <w:iCs/>
          <w:color w:val="00000A"/>
          <w:szCs w:val="20"/>
        </w:rPr>
      </w:pPr>
      <w:r>
        <w:rPr>
          <w:rFonts w:cs="Arial"/>
          <w:iCs/>
          <w:color w:val="00000A"/>
          <w:szCs w:val="20"/>
        </w:rPr>
      </w:r>
    </w:p>
    <w:p>
      <w:pPr>
        <w:pStyle w:val="Normal"/>
        <w:keepNext w:val="false"/>
        <w:pageBreakBefore w:val="false"/>
        <w:widowControl w:val="false"/>
        <w:bidi w:val="0"/>
        <w:spacing w:lineRule="auto" w:line="259" w:before="0" w:after="160"/>
        <w:jc w:val="left"/>
        <w:rPr>
          <w:rFonts w:ascii="Calibri" w:hAnsi="Calibri" w:cs="Arial"/>
          <w:sz w:val="24"/>
          <w:szCs w:val="24"/>
          <w:lang w:eastAsia="en-US"/>
        </w:rPr>
      </w:pPr>
      <w:r>
        <w:rPr>
          <w:rFonts w:cs="Arial" w:ascii="Calibri" w:hAnsi="Calibri"/>
          <w:sz w:val="24"/>
          <w:szCs w:val="24"/>
          <w:lang w:eastAsia="en-US"/>
        </w:rPr>
      </w:r>
      <w:bookmarkStart w:id="9" w:name="__DdeLink__488_11851134581"/>
      <w:bookmarkStart w:id="10" w:name="__DdeLink__488_11851134581"/>
      <w:bookmarkEnd w:id="10"/>
    </w:p>
    <w:p>
      <w:pPr>
        <w:pStyle w:val="Normal"/>
        <w:keepNext w:val="false"/>
        <w:pageBreakBefore w:val="false"/>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keepNext w:val="false"/>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widowControl w:val="false"/>
        <w:bidi w:val="0"/>
        <w:spacing w:lineRule="auto" w:line="276"/>
        <w:jc w:val="center"/>
        <w:rPr>
          <w:rFonts w:ascii="Calibri" w:hAnsi="Calibri" w:cs="Arial"/>
          <w:b/>
          <w:b/>
          <w:bCs/>
          <w:sz w:val="24"/>
          <w:szCs w:val="24"/>
        </w:rPr>
      </w:pPr>
      <w:r>
        <w:rPr>
          <w:rFonts w:cs="Arial" w:ascii="Calibri" w:hAnsi="Calibri"/>
          <w:b/>
          <w:bCs/>
          <w:sz w:val="24"/>
          <w:szCs w:val="24"/>
        </w:rPr>
      </w:r>
    </w:p>
    <w:p>
      <w:pPr>
        <w:pStyle w:val="Normal"/>
        <w:keepNext w:val="false"/>
        <w:widowControl w:val="false"/>
        <w:bidi w:val="0"/>
        <w:spacing w:lineRule="auto" w:line="276"/>
        <w:jc w:val="center"/>
        <w:rPr>
          <w:rFonts w:ascii="Calibri" w:hAnsi="Calibri"/>
          <w:sz w:val="24"/>
          <w:szCs w:val="24"/>
        </w:rPr>
      </w:pPr>
      <w:r>
        <w:rPr>
          <w:rFonts w:cs="Arial" w:ascii="Calibri" w:hAnsi="Calibri"/>
          <w:b/>
          <w:bCs/>
          <w:sz w:val="24"/>
          <w:szCs w:val="24"/>
        </w:rPr>
        <w:t>BASE AÉREA NAVAL DE SÃO PEDRO DA ALDEIA</w:t>
      </w:r>
    </w:p>
    <w:p>
      <w:pPr>
        <w:pStyle w:val="Normal"/>
        <w:keepNext w:val="false"/>
        <w:widowControl w:val="false"/>
        <w:bidi w:val="0"/>
        <w:spacing w:lineRule="auto" w:line="276"/>
        <w:jc w:val="center"/>
        <w:rPr>
          <w:rFonts w:ascii="Calibri" w:hAnsi="Calibri"/>
          <w:sz w:val="24"/>
          <w:szCs w:val="24"/>
        </w:rPr>
      </w:pPr>
      <w:r>
        <w:rPr>
          <w:rFonts w:cs="Arial" w:ascii="Calibri" w:hAnsi="Calibri"/>
          <w:b/>
          <w:bCs/>
          <w:color w:val="000000"/>
          <w:sz w:val="24"/>
          <w:szCs w:val="24"/>
        </w:rPr>
        <w:t>AVISO DE DISPENSA ELETRÔNICA Nº 52/2022</w:t>
      </w:r>
    </w:p>
    <w:p>
      <w:pPr>
        <w:pStyle w:val="Normal"/>
        <w:keepNext w:val="false"/>
        <w:widowControl w:val="false"/>
        <w:bidi w:val="0"/>
        <w:spacing w:lineRule="auto" w:line="276"/>
        <w:jc w:val="center"/>
        <w:rPr>
          <w:rFonts w:ascii="Calibri" w:hAnsi="Calibri" w:cs="Arial"/>
          <w:b/>
          <w:b/>
          <w:bCs/>
          <w:color w:val="FF0000"/>
          <w:sz w:val="24"/>
          <w:szCs w:val="24"/>
        </w:rPr>
      </w:pPr>
      <w:r>
        <w:rPr>
          <w:rFonts w:cs="Arial" w:ascii="Calibri" w:hAnsi="Calibri"/>
          <w:b/>
          <w:bCs/>
          <w:color w:val="FF0000"/>
          <w:sz w:val="24"/>
          <w:szCs w:val="24"/>
        </w:rPr>
      </w:r>
    </w:p>
    <w:p>
      <w:pPr>
        <w:pStyle w:val="Normal"/>
        <w:keepNext w:val="false"/>
        <w:widowControl w:val="false"/>
        <w:bidi w:val="0"/>
        <w:spacing w:lineRule="auto" w:line="276"/>
        <w:jc w:val="center"/>
        <w:rPr>
          <w:rFonts w:ascii="Calibri" w:hAnsi="Calibri"/>
          <w:sz w:val="24"/>
          <w:szCs w:val="24"/>
        </w:rPr>
      </w:pPr>
      <w:r>
        <w:rPr>
          <w:rFonts w:cs="Arial" w:ascii="Calibri" w:hAnsi="Calibri"/>
          <w:b/>
          <w:bCs/>
          <w:sz w:val="24"/>
          <w:szCs w:val="24"/>
          <w:lang w:eastAsia="en-US"/>
        </w:rPr>
        <w:t xml:space="preserve">ANEXO </w:t>
      </w:r>
    </w:p>
    <w:p>
      <w:pPr>
        <w:pStyle w:val="Normal"/>
        <w:keepNext w:val="false"/>
        <w:widowControl w:val="false"/>
        <w:bidi w:val="0"/>
        <w:spacing w:lineRule="auto" w:line="276"/>
        <w:jc w:val="center"/>
        <w:rPr>
          <w:rFonts w:ascii="Calibri" w:hAnsi="Calibri"/>
          <w:sz w:val="24"/>
          <w:szCs w:val="24"/>
        </w:rPr>
      </w:pPr>
      <w:r>
        <w:rPr>
          <w:rFonts w:cs="Arial" w:ascii="Calibri" w:hAnsi="Calibri"/>
          <w:b/>
          <w:bCs/>
          <w:sz w:val="24"/>
          <w:szCs w:val="24"/>
          <w:lang w:eastAsia="en-US"/>
        </w:rPr>
        <w:t>DOCUMENTAÇÃO EXIGIDA PARA HABILITAÇÃO</w:t>
      </w:r>
    </w:p>
    <w:p>
      <w:pPr>
        <w:pStyle w:val="Normal"/>
        <w:keepNext w:val="false"/>
        <w:widowControl w:val="false"/>
        <w:bidi w:val="0"/>
        <w:spacing w:lineRule="auto" w:line="276"/>
        <w:jc w:val="left"/>
        <w:rPr>
          <w:rFonts w:ascii="Calibri" w:hAnsi="Calibri"/>
          <w:sz w:val="24"/>
          <w:szCs w:val="24"/>
        </w:rPr>
      </w:pPr>
      <w:r>
        <w:rPr>
          <w:rFonts w:ascii="Calibri" w:hAnsi="Calibri"/>
          <w:sz w:val="24"/>
          <w:szCs w:val="24"/>
        </w:rPr>
      </w:r>
    </w:p>
    <w:p>
      <w:pPr>
        <w:pStyle w:val="PADRO"/>
        <w:keepNext w:val="false"/>
        <w:pageBreakBefore w:val="false"/>
        <w:widowControl w:val="false"/>
        <w:numPr>
          <w:ilvl w:val="0"/>
          <w:numId w:val="3"/>
        </w:numPr>
        <w:shd w:val="clear" w:fill="FFFFFF"/>
        <w:bidi w:val="0"/>
        <w:spacing w:before="120" w:after="120"/>
        <w:jc w:val="left"/>
        <w:rPr>
          <w:rFonts w:ascii="Calibri" w:hAnsi="Calibri" w:cs="Arial"/>
          <w:b/>
          <w:b/>
          <w:bCs/>
          <w:color w:val="000000"/>
          <w:sz w:val="24"/>
          <w:szCs w:val="24"/>
        </w:rPr>
      </w:pPr>
      <w:bookmarkStart w:id="11" w:name="__DdeLink__1354_1885647846"/>
      <w:bookmarkEnd w:id="11"/>
      <w:r>
        <w:rPr>
          <w:rFonts w:cs="Arial" w:ascii="Calibri" w:hAnsi="Calibri"/>
          <w:b/>
          <w:bCs/>
          <w:color w:val="000000"/>
          <w:sz w:val="24"/>
          <w:szCs w:val="24"/>
        </w:rPr>
        <w:t xml:space="preserve">Habilitação jurídica: </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ascii="Calibri" w:hAnsi="Calibri"/>
          <w:sz w:val="24"/>
          <w:szCs w:val="24"/>
        </w:rPr>
      </w:pPr>
      <w:r>
        <w:rPr>
          <w:rFonts w:cs="Arial" w:ascii="Calibri" w:hAnsi="Calibri"/>
          <w:sz w:val="24"/>
          <w:szCs w:val="24"/>
        </w:rPr>
        <w:t>No caso de empresário individual, inscrição no Registro Público de Empresas Mercantis, a cargo da Junta Comercial da respectiva sede;</w:t>
      </w:r>
    </w:p>
    <w:p>
      <w:pPr>
        <w:pStyle w:val="ListParagraph"/>
        <w:keepNext w:val="false"/>
        <w:pageBreakBefore w:val="false"/>
        <w:widowControl w:val="false"/>
        <w:numPr>
          <w:ilvl w:val="1"/>
          <w:numId w:val="3"/>
        </w:numPr>
        <w:tabs>
          <w:tab w:val="left" w:pos="1440" w:leader="none"/>
        </w:tabs>
        <w:bidi w:val="0"/>
        <w:snapToGrid w:val="false"/>
        <w:spacing w:lineRule="auto" w:line="276" w:before="120" w:after="120"/>
        <w:contextualSpacing/>
        <w:jc w:val="both"/>
        <w:rPr>
          <w:rFonts w:cs="Arial"/>
          <w:color w:val="000000"/>
          <w:szCs w:val="20"/>
        </w:rPr>
      </w:pPr>
      <w:r>
        <w:rPr>
          <w:rFonts w:cs="Arial" w:ascii="Calibri" w:hAnsi="Calibri"/>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color w:val="000000"/>
          <w:szCs w:val="20"/>
        </w:rPr>
      </w:pPr>
      <w:r>
        <w:rPr>
          <w:rFonts w:cs="Arial" w:ascii="Calibri" w:hAnsi="Calibri"/>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color w:val="000000"/>
          <w:szCs w:val="20"/>
        </w:rPr>
      </w:pPr>
      <w:r>
        <w:rPr>
          <w:rFonts w:cs="Arial" w:ascii="Calibri" w:hAnsi="Calibri"/>
          <w:color w:val="000000"/>
          <w:sz w:val="24"/>
          <w:szCs w:val="24"/>
        </w:rPr>
        <w:t>inscrição no Registro Público de Empresas Mercantis onde opera, com averbação no Registro onde tem sede a matriz, no caso de ser o participante sucursal, filial ou agência;</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szCs w:val="20"/>
        </w:rPr>
      </w:pPr>
      <w:r>
        <w:rPr>
          <w:rFonts w:cs="Arial" w:ascii="Calibri" w:hAnsi="Calibri"/>
          <w:color w:val="000000"/>
          <w:sz w:val="24"/>
          <w:szCs w:val="24"/>
        </w:rPr>
        <w:t>No caso de sociedade simples: inscrição do ato constitutivo no Registro Civil das Pessoas Jurídicas do local de sua sede, acompanhada de prova da indicação dos seus administradores;</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color w:val="000000"/>
          <w:szCs w:val="20"/>
        </w:rPr>
      </w:pPr>
      <w:r>
        <w:rPr>
          <w:rFonts w:cs="Arial" w:ascii="Calibri" w:hAnsi="Calibri"/>
          <w:color w:val="000000"/>
          <w:sz w:val="24"/>
          <w:szCs w:val="24"/>
        </w:rPr>
        <w:t>decreto de autorização, em se tratando de sociedade empresária estrangeira em funcionamento no País;</w:t>
      </w:r>
    </w:p>
    <w:p>
      <w:pPr>
        <w:pStyle w:val="ListParagraph"/>
        <w:keepNext w:val="false"/>
        <w:pageBreakBefore w:val="false"/>
        <w:widowControl w:val="false"/>
        <w:numPr>
          <w:ilvl w:val="1"/>
          <w:numId w:val="3"/>
        </w:numPr>
        <w:bidi w:val="0"/>
        <w:spacing w:lineRule="auto" w:line="276" w:before="120" w:after="120"/>
        <w:contextualSpacing/>
        <w:jc w:val="both"/>
        <w:rPr>
          <w:rFonts w:ascii="Calibri" w:hAnsi="Calibri"/>
          <w:sz w:val="24"/>
          <w:szCs w:val="24"/>
        </w:rPr>
      </w:pPr>
      <w:r>
        <w:rPr>
          <w:rFonts w:cs="Arial" w:ascii="Calibri" w:hAnsi="Calibri"/>
          <w:bCs/>
          <w:color w:val="000000"/>
          <w:sz w:val="24"/>
          <w:szCs w:val="24"/>
        </w:rPr>
        <w:t>Os documentos acima deverão estar acompanhados de todas as alterações ou da consolidação respectiva.</w:t>
      </w:r>
    </w:p>
    <w:p>
      <w:pPr>
        <w:pStyle w:val="ListParagraph"/>
        <w:keepNext w:val="false"/>
        <w:pageBreakBefore w:val="false"/>
        <w:widowControl w:val="false"/>
        <w:bidi w:val="0"/>
        <w:spacing w:lineRule="auto" w:line="276" w:before="120" w:after="120"/>
        <w:ind w:left="1134" w:hanging="0"/>
        <w:contextualSpacing/>
        <w:jc w:val="both"/>
        <w:rPr>
          <w:rFonts w:ascii="Calibri" w:hAnsi="Calibri" w:cs="Arial"/>
          <w:bCs/>
          <w:color w:val="000000"/>
          <w:sz w:val="24"/>
          <w:szCs w:val="24"/>
        </w:rPr>
      </w:pPr>
      <w:r>
        <w:rPr>
          <w:rFonts w:cs="Arial" w:ascii="Calibri" w:hAnsi="Calibri"/>
          <w:bCs/>
          <w:color w:val="000000"/>
          <w:sz w:val="24"/>
          <w:szCs w:val="24"/>
        </w:rPr>
      </w:r>
    </w:p>
    <w:p>
      <w:pPr>
        <w:pStyle w:val="PADRO"/>
        <w:keepNext w:val="false"/>
        <w:pageBreakBefore w:val="false"/>
        <w:widowControl w:val="false"/>
        <w:numPr>
          <w:ilvl w:val="0"/>
          <w:numId w:val="3"/>
        </w:numPr>
        <w:shd w:val="clear" w:fill="FFFFFF"/>
        <w:bidi w:val="0"/>
        <w:spacing w:before="120" w:after="120"/>
        <w:jc w:val="left"/>
        <w:rPr>
          <w:rFonts w:ascii="Arial" w:hAnsi="Arial" w:cs="Arial"/>
          <w:szCs w:val="20"/>
        </w:rPr>
      </w:pPr>
      <w:r>
        <w:rPr>
          <w:rFonts w:cs="Arial" w:ascii="Calibri" w:hAnsi="Calibri"/>
          <w:b/>
          <w:bCs/>
          <w:color w:val="000000"/>
          <w:sz w:val="24"/>
          <w:szCs w:val="24"/>
        </w:rPr>
        <w:t xml:space="preserve"> </w:t>
      </w:r>
      <w:r>
        <w:rPr>
          <w:rFonts w:cs="Arial" w:ascii="Calibri" w:hAnsi="Calibri"/>
          <w:b/>
          <w:bCs/>
          <w:color w:val="000000"/>
          <w:sz w:val="24"/>
          <w:szCs w:val="24"/>
        </w:rPr>
        <w:t>Regularidade fiscal, social e trabalhista:</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szCs w:val="20"/>
        </w:rPr>
      </w:pPr>
      <w:r>
        <w:rPr>
          <w:rFonts w:cs="Arial" w:ascii="Calibri" w:hAnsi="Calibri"/>
          <w:sz w:val="24"/>
          <w:szCs w:val="24"/>
          <w:lang w:eastAsia="en-US"/>
        </w:rPr>
        <w:t>prova de inscrição no Cadastro Nacional de Pessoas Jurídicas ou no Cadastro de Pessoas Físicas, conforme o caso;</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szCs w:val="20"/>
        </w:rPr>
      </w:pPr>
      <w:r>
        <w:rPr>
          <w:rFonts w:cs="Arial" w:ascii="Calibri" w:hAnsi="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color w:val="000000"/>
          <w:szCs w:val="20"/>
        </w:rPr>
      </w:pPr>
      <w:r>
        <w:rPr>
          <w:rFonts w:cs="Arial" w:ascii="Calibri" w:hAnsi="Calibri"/>
          <w:color w:val="000000"/>
          <w:sz w:val="24"/>
          <w:szCs w:val="24"/>
          <w:lang w:eastAsia="en-US"/>
        </w:rPr>
        <w:t>prova de regularidade com o Fundo de Garantia do Tempo de Serviço (FGTS);</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cs="Arial"/>
          <w:szCs w:val="20"/>
        </w:rPr>
      </w:pPr>
      <w:r>
        <w:rPr>
          <w:rFonts w:cs="Arial" w:ascii="Calibri" w:hAnsi="Calibri"/>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ascii="Calibri" w:hAnsi="Calibri"/>
          <w:sz w:val="24"/>
          <w:szCs w:val="24"/>
        </w:rPr>
      </w:pPr>
      <w:r>
        <w:rPr>
          <w:rFonts w:cs="Arial" w:ascii="Calibri" w:hAnsi="Calibri"/>
          <w:bCs/>
          <w:sz w:val="24"/>
          <w:szCs w:val="24"/>
        </w:rPr>
        <w:t xml:space="preserve">prova de </w:t>
      </w:r>
      <w:r>
        <w:rPr>
          <w:rFonts w:cs="Arial" w:ascii="Calibri" w:hAnsi="Calibri"/>
          <w:color w:val="000000"/>
          <w:sz w:val="24"/>
          <w:szCs w:val="24"/>
        </w:rPr>
        <w:t xml:space="preserve">inscrição no cadastro de contribuintes </w:t>
      </w:r>
      <w:r>
        <w:rPr>
          <w:rFonts w:cs="Arial" w:ascii="Calibri" w:hAnsi="Calibri"/>
          <w:i/>
          <w:iCs/>
          <w:color w:val="00000A"/>
          <w:sz w:val="24"/>
          <w:szCs w:val="24"/>
        </w:rPr>
        <w:t>estadual e/ou municipal</w:t>
      </w:r>
      <w:r>
        <w:rPr>
          <w:rFonts w:cs="Arial" w:ascii="Calibri" w:hAnsi="Calibri"/>
          <w:color w:val="00000A"/>
          <w:sz w:val="24"/>
          <w:szCs w:val="24"/>
        </w:rPr>
        <w:t>,</w:t>
      </w:r>
      <w:r>
        <w:rPr>
          <w:rFonts w:cs="Arial" w:ascii="Calibri" w:hAnsi="Calibri"/>
          <w:color w:val="000000"/>
          <w:sz w:val="24"/>
          <w:szCs w:val="24"/>
        </w:rPr>
        <w:t xml:space="preserve"> relativo ao domicílio ou sede do </w:t>
      </w:r>
      <w:r>
        <w:rPr>
          <w:rFonts w:cs="Arial" w:ascii="Calibri" w:hAnsi="Calibri"/>
          <w:color w:val="000000" w:themeColor="text1"/>
          <w:sz w:val="24"/>
          <w:szCs w:val="24"/>
          <w:lang w:eastAsia="en-US"/>
        </w:rPr>
        <w:t>prestador de serviços</w:t>
      </w:r>
      <w:r>
        <w:rPr>
          <w:rFonts w:cs="Arial" w:ascii="Calibri" w:hAnsi="Calibri"/>
          <w:color w:val="000000"/>
          <w:sz w:val="24"/>
          <w:szCs w:val="24"/>
        </w:rPr>
        <w:t>, pertinente ao seu ramo de atividade e compatível com o objeto contratual</w:t>
      </w:r>
      <w:r>
        <w:rPr>
          <w:rFonts w:cs="Arial" w:ascii="Calibri" w:hAnsi="Calibri"/>
          <w:bCs/>
          <w:sz w:val="24"/>
          <w:szCs w:val="24"/>
        </w:rPr>
        <w:t xml:space="preserve">; </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ascii="Calibri" w:hAnsi="Calibri"/>
          <w:sz w:val="24"/>
          <w:szCs w:val="24"/>
        </w:rPr>
      </w:pPr>
      <w:r>
        <w:rPr>
          <w:rFonts w:cs="Arial" w:ascii="Calibri" w:hAnsi="Calibri"/>
          <w:sz w:val="24"/>
          <w:szCs w:val="24"/>
        </w:rPr>
        <w:t xml:space="preserve">prova de regularidade com a Fazenda </w:t>
      </w:r>
      <w:r>
        <w:rPr>
          <w:rFonts w:cs="Arial" w:ascii="Calibri" w:hAnsi="Calibri"/>
          <w:i/>
          <w:iCs/>
          <w:color w:val="00000A"/>
          <w:sz w:val="24"/>
          <w:szCs w:val="24"/>
        </w:rPr>
        <w:t>Estadual e/ou Municipal</w:t>
      </w:r>
      <w:r>
        <w:rPr>
          <w:rFonts w:cs="Arial" w:ascii="Calibri" w:hAnsi="Calibri"/>
          <w:sz w:val="24"/>
          <w:szCs w:val="24"/>
        </w:rPr>
        <w:t xml:space="preserve"> do domicílio ou sede do </w:t>
      </w:r>
      <w:r>
        <w:rPr>
          <w:rFonts w:cs="Arial" w:ascii="Calibri" w:hAnsi="Calibri"/>
          <w:color w:val="000000" w:themeColor="text1"/>
          <w:sz w:val="24"/>
          <w:szCs w:val="24"/>
          <w:lang w:eastAsia="en-US"/>
        </w:rPr>
        <w:t>prestador de serviços</w:t>
      </w:r>
      <w:r>
        <w:rPr>
          <w:rFonts w:cs="Arial" w:ascii="Calibri" w:hAnsi="Calibri"/>
          <w:sz w:val="24"/>
          <w:szCs w:val="24"/>
        </w:rPr>
        <w:t xml:space="preserve">, relativa à atividade em cujo exercício contrata ou concorre; </w:t>
      </w:r>
    </w:p>
    <w:p>
      <w:pPr>
        <w:pStyle w:val="Normal"/>
        <w:keepNext w:val="false"/>
        <w:pageBreakBefore w:val="false"/>
        <w:widowControl w:val="false"/>
        <w:numPr>
          <w:ilvl w:val="1"/>
          <w:numId w:val="3"/>
        </w:numPr>
        <w:tabs>
          <w:tab w:val="left" w:pos="1440" w:leader="none"/>
        </w:tabs>
        <w:bidi w:val="0"/>
        <w:snapToGrid w:val="false"/>
        <w:spacing w:lineRule="auto" w:line="276" w:before="120" w:after="120"/>
        <w:jc w:val="both"/>
        <w:rPr>
          <w:rFonts w:ascii="Calibri" w:hAnsi="Calibri"/>
          <w:sz w:val="24"/>
          <w:szCs w:val="24"/>
        </w:rPr>
      </w:pPr>
      <w:r>
        <w:rPr>
          <w:rFonts w:cs="Arial" w:ascii="Calibri" w:hAnsi="Calibri"/>
          <w:sz w:val="24"/>
          <w:szCs w:val="24"/>
        </w:rPr>
        <w:t>caso o</w:t>
      </w:r>
      <w:r>
        <w:rPr>
          <w:rFonts w:cs="Arial" w:ascii="Calibri" w:hAnsi="Calibri"/>
          <w:color w:val="CE181E"/>
          <w:sz w:val="24"/>
          <w:szCs w:val="24"/>
        </w:rPr>
        <w:t xml:space="preserve"> </w:t>
      </w:r>
      <w:r>
        <w:rPr>
          <w:rFonts w:cs="Arial" w:ascii="Calibri" w:hAnsi="Calibri"/>
          <w:color w:val="00000A"/>
          <w:sz w:val="24"/>
          <w:szCs w:val="24"/>
        </w:rPr>
        <w:t xml:space="preserve">prestador de serviços </w:t>
      </w:r>
      <w:r>
        <w:rPr>
          <w:rFonts w:cs="Arial" w:ascii="Calibri" w:hAnsi="Calibri"/>
          <w:sz w:val="24"/>
          <w:szCs w:val="24"/>
        </w:rPr>
        <w:t xml:space="preserve">seja considerado isento dos tributos </w:t>
      </w:r>
      <w:r>
        <w:rPr>
          <w:rFonts w:cs="Arial" w:ascii="Calibri" w:hAnsi="Calibri"/>
          <w:i/>
          <w:color w:val="00000A"/>
          <w:sz w:val="24"/>
          <w:szCs w:val="24"/>
        </w:rPr>
        <w:t xml:space="preserve">estaduais </w:t>
      </w:r>
      <w:r>
        <w:rPr>
          <w:rFonts w:cs="Arial" w:ascii="Calibri" w:hAnsi="Calibri"/>
          <w:b/>
          <w:i/>
          <w:color w:val="00000A"/>
          <w:sz w:val="24"/>
          <w:szCs w:val="24"/>
          <w:u w:val="single"/>
        </w:rPr>
        <w:t>ou</w:t>
      </w:r>
      <w:r>
        <w:rPr>
          <w:rFonts w:cs="Arial" w:ascii="Calibri" w:hAnsi="Calibri"/>
          <w:i/>
          <w:color w:val="00000A"/>
          <w:sz w:val="24"/>
          <w:szCs w:val="24"/>
        </w:rPr>
        <w:t xml:space="preserve"> municipais</w:t>
      </w:r>
      <w:r>
        <w:rPr>
          <w:rFonts w:cs="Arial" w:ascii="Calibri" w:hAnsi="Calibri"/>
          <w:color w:val="FF0000"/>
          <w:sz w:val="24"/>
          <w:szCs w:val="24"/>
        </w:rPr>
        <w:t xml:space="preserve"> </w:t>
      </w:r>
      <w:r>
        <w:rPr>
          <w:rFonts w:cs="Arial" w:ascii="Calibri" w:hAnsi="Calibri"/>
          <w:sz w:val="24"/>
          <w:szCs w:val="24"/>
        </w:rPr>
        <w:t>relacionados ao objeto contratual, deverá comprovar tal condição mediante a apresentação de declaração da Fazenda respectiva do seu domicílio ou sede, ou outra equivalente, na forma da lei.</w:t>
      </w:r>
    </w:p>
    <w:p>
      <w:pPr>
        <w:pStyle w:val="Normal"/>
        <w:keepNext w:val="false"/>
        <w:pageBreakBefore w:val="false"/>
        <w:widowControl w:val="false"/>
        <w:tabs>
          <w:tab w:val="left" w:pos="1440" w:leader="none"/>
        </w:tabs>
        <w:bidi w:val="0"/>
        <w:snapToGrid w:val="false"/>
        <w:spacing w:lineRule="auto" w:line="276" w:before="120" w:after="120"/>
        <w:ind w:left="927" w:hanging="0"/>
        <w:jc w:val="both"/>
        <w:rPr>
          <w:rFonts w:ascii="Calibri" w:hAnsi="Calibri" w:cs="Arial"/>
          <w:b/>
          <w:b/>
          <w:sz w:val="24"/>
          <w:szCs w:val="24"/>
        </w:rPr>
      </w:pPr>
      <w:r>
        <w:rPr>
          <w:rFonts w:cs="Arial" w:ascii="Calibri" w:hAnsi="Calibri"/>
          <w:b/>
          <w:sz w:val="24"/>
          <w:szCs w:val="24"/>
        </w:rPr>
      </w:r>
    </w:p>
    <w:p>
      <w:pPr>
        <w:pStyle w:val="PADRO"/>
        <w:keepNext w:val="false"/>
        <w:pageBreakBefore w:val="false"/>
        <w:widowControl w:val="false"/>
        <w:numPr>
          <w:ilvl w:val="0"/>
          <w:numId w:val="3"/>
        </w:numPr>
        <w:shd w:val="clear" w:fill="FFFFFF"/>
        <w:bidi w:val="0"/>
        <w:spacing w:before="120" w:after="120"/>
        <w:jc w:val="left"/>
        <w:rPr>
          <w:rFonts w:ascii="Arial" w:hAnsi="Arial" w:cs="Arial"/>
          <w:szCs w:val="20"/>
        </w:rPr>
      </w:pPr>
      <w:r>
        <w:rPr>
          <w:rFonts w:cs="Arial" w:ascii="Calibri" w:hAnsi="Calibri"/>
          <w:b/>
          <w:color w:val="000000"/>
          <w:sz w:val="24"/>
          <w:szCs w:val="24"/>
        </w:rPr>
        <w:t>Qualificação Econômico-Financeira:</w:t>
      </w:r>
      <w:r>
        <w:rPr>
          <w:rFonts w:cs="Arial" w:ascii="Calibri" w:hAnsi="Calibri"/>
          <w:b/>
          <w:bCs/>
          <w:iCs/>
          <w:color w:val="000000"/>
          <w:sz w:val="24"/>
          <w:szCs w:val="24"/>
        </w:rPr>
        <w:t xml:space="preserve"> </w:t>
      </w:r>
    </w:p>
    <w:p>
      <w:pPr>
        <w:pStyle w:val="ListParagraph"/>
        <w:keepNext w:val="false"/>
        <w:pageBreakBefore w:val="false"/>
        <w:widowControl w:val="false"/>
        <w:numPr>
          <w:ilvl w:val="1"/>
          <w:numId w:val="3"/>
        </w:numPr>
        <w:tabs>
          <w:tab w:val="left" w:pos="1440" w:leader="none"/>
        </w:tabs>
        <w:bidi w:val="0"/>
        <w:snapToGrid w:val="false"/>
        <w:spacing w:lineRule="auto" w:line="276" w:before="120" w:after="120"/>
        <w:contextualSpacing/>
        <w:jc w:val="both"/>
        <w:rPr>
          <w:rFonts w:ascii="Calibri" w:hAnsi="Calibri"/>
          <w:sz w:val="24"/>
          <w:szCs w:val="24"/>
        </w:rPr>
      </w:pPr>
      <w:r>
        <w:rPr>
          <w:rFonts w:cs="Arial" w:ascii="Calibri" w:hAnsi="Calibri"/>
          <w:color w:val="000000"/>
          <w:sz w:val="24"/>
          <w:szCs w:val="24"/>
        </w:rPr>
        <w:t xml:space="preserve">Certidão negativa de falência expedida pelo distribuidor da sede do </w:t>
      </w:r>
      <w:r>
        <w:rPr>
          <w:rFonts w:cs="Arial" w:ascii="Calibri" w:hAnsi="Calibri"/>
          <w:color w:val="000000" w:themeColor="text1"/>
          <w:sz w:val="24"/>
          <w:szCs w:val="24"/>
          <w:lang w:eastAsia="en-US"/>
        </w:rPr>
        <w:t>prestador de serviços</w:t>
      </w:r>
      <w:r>
        <w:rPr>
          <w:rFonts w:cs="Arial" w:ascii="Calibri" w:hAnsi="Calibri"/>
          <w:color w:val="000000"/>
          <w:sz w:val="24"/>
          <w:szCs w:val="24"/>
        </w:rPr>
        <w:t>;</w:t>
      </w:r>
    </w:p>
    <w:p>
      <w:pPr>
        <w:pStyle w:val="Normal"/>
        <w:keepNext w:val="false"/>
        <w:pageBreakBefore w:val="false"/>
        <w:widowControl w:val="false"/>
        <w:tabs>
          <w:tab w:val="left" w:pos="1440" w:leader="none"/>
        </w:tabs>
        <w:bidi w:val="0"/>
        <w:snapToGrid w:val="false"/>
        <w:spacing w:lineRule="auto" w:line="276" w:before="120" w:after="120"/>
        <w:jc w:val="both"/>
        <w:rPr>
          <w:rFonts w:ascii="Calibri" w:hAnsi="Calibri" w:cs="Arial"/>
          <w:sz w:val="24"/>
          <w:szCs w:val="24"/>
          <w:lang w:eastAsia="en-US"/>
        </w:rPr>
      </w:pPr>
      <w:r>
        <w:rPr>
          <w:rFonts w:cs="Arial" w:ascii="Calibri" w:hAnsi="Calibri"/>
          <w:sz w:val="24"/>
          <w:szCs w:val="24"/>
          <w:lang w:eastAsia="en-US"/>
        </w:rPr>
      </w:r>
    </w:p>
    <w:p>
      <w:pPr>
        <w:pStyle w:val="PADRO"/>
        <w:keepNext w:val="false"/>
        <w:pageBreakBefore w:val="false"/>
        <w:widowControl w:val="false"/>
        <w:numPr>
          <w:ilvl w:val="0"/>
          <w:numId w:val="3"/>
        </w:numPr>
        <w:shd w:val="clear" w:fill="FFFFFF"/>
        <w:bidi w:val="0"/>
        <w:spacing w:before="120" w:after="120"/>
        <w:jc w:val="left"/>
        <w:rPr>
          <w:rFonts w:ascii="Calibri" w:hAnsi="Calibri"/>
          <w:sz w:val="24"/>
          <w:szCs w:val="24"/>
        </w:rPr>
      </w:pPr>
      <w:r>
        <w:rPr>
          <w:rFonts w:cs="Arial" w:ascii="Calibri" w:hAnsi="Calibri"/>
          <w:b/>
          <w:color w:val="000000"/>
          <w:sz w:val="24"/>
          <w:szCs w:val="24"/>
        </w:rPr>
        <w:t>Qualificação</w:t>
      </w:r>
      <w:r>
        <w:rPr>
          <w:rFonts w:cs="Arial" w:ascii="Calibri" w:hAnsi="Calibri"/>
          <w:b/>
          <w:sz w:val="24"/>
          <w:szCs w:val="24"/>
        </w:rPr>
        <w:t xml:space="preserve"> Técnica</w:t>
      </w:r>
    </w:p>
    <w:p>
      <w:pPr>
        <w:pStyle w:val="PADRO"/>
        <w:keepNext w:val="false"/>
        <w:pageBreakBefore w:val="false"/>
        <w:widowControl w:val="false"/>
        <w:numPr>
          <w:ilvl w:val="1"/>
          <w:numId w:val="3"/>
        </w:numPr>
        <w:shd w:val="clear" w:fill="FFFFFF"/>
        <w:bidi w:val="0"/>
        <w:spacing w:before="120" w:after="120"/>
        <w:jc w:val="left"/>
        <w:rPr>
          <w:rFonts w:ascii="Calibri" w:hAnsi="Calibri"/>
          <w:sz w:val="24"/>
          <w:szCs w:val="24"/>
        </w:rPr>
      </w:pPr>
      <w:bookmarkStart w:id="12" w:name="_Hlk519176340"/>
      <w:bookmarkEnd w:id="12"/>
      <w:r>
        <w:rPr>
          <w:rFonts w:cs="Arial" w:ascii="Calibri" w:hAnsi="Calibri"/>
          <w:i w:val="false"/>
          <w:iCs w:val="false"/>
          <w:color w:val="00000A"/>
          <w:sz w:val="24"/>
          <w:szCs w:val="24"/>
        </w:rPr>
        <w:t>Não será exigida qualificação técnica</w:t>
      </w:r>
      <w:r>
        <w:rPr>
          <w:rFonts w:cs="Arial" w:ascii="Calibri" w:hAnsi="Calibri"/>
          <w:i/>
          <w:iCs/>
          <w:color w:val="00000A"/>
          <w:sz w:val="24"/>
          <w:szCs w:val="24"/>
        </w:rPr>
        <w:t>.</w:t>
      </w:r>
    </w:p>
    <w:p>
      <w:pPr>
        <w:pStyle w:val="PADRO"/>
        <w:keepNext w:val="false"/>
        <w:pageBreakBefore w:val="false"/>
        <w:widowControl w:val="false"/>
        <w:shd w:val="clear" w:fill="FFFFFF"/>
        <w:bidi w:val="0"/>
        <w:spacing w:before="120" w:after="120"/>
        <w:ind w:left="927" w:hanging="0"/>
        <w:jc w:val="left"/>
        <w:rPr>
          <w:rFonts w:ascii="Calibri" w:hAnsi="Calibri" w:cs="Arial"/>
          <w:bCs/>
          <w:color w:val="FF0000"/>
          <w:sz w:val="24"/>
          <w:szCs w:val="24"/>
        </w:rPr>
      </w:pPr>
      <w:r>
        <w:rPr>
          <w:rFonts w:cs="Arial" w:ascii="Calibri" w:hAnsi="Calibri"/>
          <w:bCs/>
          <w:color w:val="FF0000"/>
          <w:sz w:val="24"/>
          <w:szCs w:val="24"/>
        </w:rPr>
      </w:r>
    </w:p>
    <w:p>
      <w:pPr>
        <w:pStyle w:val="Normal"/>
        <w:keepNext w:val="false"/>
        <w:pageBreakBefore w:val="false"/>
        <w:widowControl w:val="false"/>
        <w:bidi w:val="0"/>
        <w:spacing w:lineRule="auto" w:line="276"/>
        <w:jc w:val="center"/>
        <w:rPr/>
      </w:pPr>
      <w:r>
        <w:rPr>
          <w:rFonts w:cs="Arial" w:ascii="Calibri" w:hAnsi="Calibri"/>
          <w:iCs/>
          <w:color w:val="000000"/>
          <w:sz w:val="24"/>
          <w:szCs w:val="24"/>
        </w:rPr>
        <w:t>THAIRONE UBIRAJARA FELIX BARENCO</w:t>
      </w:r>
    </w:p>
    <w:p>
      <w:pPr>
        <w:pStyle w:val="Normal"/>
        <w:keepNext w:val="false"/>
        <w:pageBreakBefore w:val="false"/>
        <w:widowControl w:val="false"/>
        <w:bidi w:val="0"/>
        <w:spacing w:lineRule="auto" w:line="276"/>
        <w:jc w:val="center"/>
        <w:rPr>
          <w:rFonts w:ascii="Calibri" w:hAnsi="Calibri"/>
          <w:sz w:val="24"/>
          <w:szCs w:val="24"/>
        </w:rPr>
      </w:pPr>
      <w:r>
        <w:rPr>
          <w:rFonts w:cs="Arial" w:ascii="Calibri" w:hAnsi="Calibri"/>
          <w:iCs/>
          <w:color w:val="000000"/>
          <w:sz w:val="24"/>
          <w:szCs w:val="24"/>
        </w:rPr>
        <w:t>Terceiro-Sargento (PL)</w:t>
      </w:r>
    </w:p>
    <w:p>
      <w:pPr>
        <w:pStyle w:val="Normal"/>
        <w:keepNext w:val="false"/>
        <w:widowControl w:val="false"/>
        <w:bidi w:val="0"/>
        <w:spacing w:lineRule="auto" w:line="276"/>
        <w:jc w:val="center"/>
        <w:rPr>
          <w:rFonts w:ascii="Calibri" w:hAnsi="Calibri"/>
          <w:sz w:val="24"/>
          <w:szCs w:val="24"/>
        </w:rPr>
      </w:pPr>
      <w:bookmarkStart w:id="13" w:name="__DdeLink__1843_11133130541"/>
      <w:bookmarkEnd w:id="13"/>
      <w:r>
        <w:rPr>
          <w:rFonts w:cs="Arial" w:ascii="Calibri" w:hAnsi="Calibri"/>
          <w:iCs/>
          <w:color w:val="000000"/>
          <w:sz w:val="24"/>
          <w:szCs w:val="24"/>
        </w:rPr>
        <w:t>Auxiliar de Obtenção</w:t>
      </w:r>
    </w:p>
    <w:p>
      <w:pPr>
        <w:pStyle w:val="PADRO"/>
        <w:keepNext w:val="false"/>
        <w:pageBreakBefore w:val="false"/>
        <w:widowControl w:val="false"/>
        <w:shd w:val="clear" w:fill="FFFFFF"/>
        <w:bidi w:val="0"/>
        <w:spacing w:lineRule="auto" w:line="240" w:before="0" w:after="0"/>
        <w:jc w:val="center"/>
        <w:rPr>
          <w:rFonts w:ascii="Calibri" w:hAnsi="Calibri"/>
          <w:sz w:val="24"/>
          <w:szCs w:val="24"/>
        </w:rPr>
      </w:pPr>
      <w:r>
        <w:rPr>
          <w:rFonts w:ascii="Calibri" w:hAnsi="Calibri"/>
          <w:sz w:val="24"/>
          <w:szCs w:val="24"/>
        </w:rPr>
      </w:r>
    </w:p>
    <w:p>
      <w:pPr>
        <w:pStyle w:val="PADRO"/>
        <w:keepNext w:val="false"/>
        <w:pageBreakBefore w:val="false"/>
        <w:widowControl w:val="false"/>
        <w:shd w:val="clear" w:fill="FFFFFF"/>
        <w:bidi w:val="0"/>
        <w:spacing w:lineRule="auto" w:line="240" w:before="0" w:after="0"/>
        <w:jc w:val="center"/>
        <w:rPr>
          <w:rFonts w:ascii="Calibri" w:hAnsi="Calibri"/>
          <w:sz w:val="24"/>
          <w:szCs w:val="24"/>
        </w:rPr>
      </w:pPr>
      <w:r>
        <w:rPr>
          <w:rFonts w:ascii="Calibri" w:hAnsi="Calibri"/>
          <w:sz w:val="24"/>
          <w:szCs w:val="24"/>
        </w:rPr>
      </w:r>
    </w:p>
    <w:p>
      <w:pPr>
        <w:pStyle w:val="Normal"/>
        <w:pageBreakBefore w:val="false"/>
        <w:widowControl w:val="false"/>
        <w:bidi w:val="0"/>
        <w:spacing w:lineRule="auto" w:line="276"/>
        <w:jc w:val="center"/>
        <w:rPr/>
      </w:pPr>
      <w:r>
        <w:rPr>
          <w:rFonts w:cs="Arial" w:ascii="Calibri" w:hAnsi="Calibri"/>
          <w:iCs/>
          <w:color w:val="00000A"/>
          <w:sz w:val="24"/>
          <w:szCs w:val="24"/>
        </w:rPr>
        <w:t>JOSÉ FABIO CARNEIRO DA SILVA</w:t>
      </w:r>
    </w:p>
    <w:p>
      <w:pPr>
        <w:pStyle w:val="Normal"/>
        <w:keepNext w:val="false"/>
        <w:pageBreakBefore w:val="false"/>
        <w:widowControl w:val="false"/>
        <w:bidi w:val="0"/>
        <w:spacing w:lineRule="auto" w:line="276"/>
        <w:jc w:val="center"/>
        <w:rPr>
          <w:rFonts w:ascii="Calibri" w:hAnsi="Calibri"/>
          <w:sz w:val="24"/>
          <w:szCs w:val="24"/>
        </w:rPr>
      </w:pPr>
      <w:r>
        <w:rPr>
          <w:rFonts w:cs="Arial" w:ascii="Calibri" w:hAnsi="Calibri"/>
          <w:iCs/>
          <w:color w:val="00000A"/>
          <w:sz w:val="24"/>
          <w:szCs w:val="24"/>
        </w:rPr>
        <w:t>Capitão de Mar e Guerra</w:t>
      </w:r>
    </w:p>
    <w:p>
      <w:pPr>
        <w:pStyle w:val="Normal"/>
        <w:keepNext w:val="false"/>
        <w:pageBreakBefore w:val="false"/>
        <w:widowControl w:val="false"/>
        <w:bidi w:val="0"/>
        <w:spacing w:lineRule="auto" w:line="276"/>
        <w:jc w:val="center"/>
        <w:rPr/>
      </w:pPr>
      <w:r>
        <w:rPr>
          <w:rFonts w:cs="Arial" w:ascii="Calibri" w:hAnsi="Calibri"/>
          <w:iCs/>
          <w:color w:val="00000A"/>
          <w:sz w:val="24"/>
          <w:szCs w:val="24"/>
        </w:rPr>
        <w:t>Ordenador de Despesas</w:t>
      </w:r>
    </w:p>
    <w:sectPr>
      <w:footerReference w:type="default" r:id="rId6"/>
      <w:type w:val="nextPage"/>
      <w:pgSz w:w="11906" w:h="16838"/>
      <w:pgMar w:left="1701" w:right="1701" w:header="0" w:top="1417" w:footer="708" w:bottom="1417"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color w:val="FF0000"/>
        <w:sz w:val="28"/>
        <w:szCs w:val="36"/>
        <w:highlight w:val="yellow"/>
      </w:rPr>
    </w:pPr>
    <w:r>
      <w:rPr>
        <w:color w:val="FF0000"/>
        <w:sz w:val="28"/>
        <w:szCs w:val="36"/>
        <w:highlight w:val="yellow"/>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rFonts w:ascii="Arial" w:hAnsi="Arial"/>
      </w:rPr>
    </w:lvl>
    <w:lvl w:ilvl="1">
      <w:start w:val="1"/>
      <w:numFmt w:val="decimal"/>
      <w:lvlText w:val="%1.%2."/>
      <w:lvlJc w:val="left"/>
      <w:pPr>
        <w:ind w:left="792" w:hanging="432"/>
      </w:pPr>
      <w:rPr>
        <w:sz w:val="24"/>
        <w:i w:val="false"/>
        <w:b/>
        <w:iCs/>
        <w:rFonts w:ascii="Calibri" w:hAnsi="Calibri"/>
        <w:color w:val="00000A"/>
      </w:rPr>
    </w:lvl>
    <w:lvl w:ilvl="2">
      <w:start w:val="1"/>
      <w:numFmt w:val="decimal"/>
      <w:lvlText w:val="%1.%2.%3."/>
      <w:lvlJc w:val="left"/>
      <w:pPr>
        <w:ind w:left="1224" w:hanging="504"/>
      </w:pPr>
      <w:rPr>
        <w:sz w:val="24"/>
        <w:i w:val="false"/>
        <w:b/>
        <w:iCs/>
        <w:rFonts w:ascii="Calibri" w:hAnsi="Calibri"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libri" w:hAnsi="Calibri"/>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libri" w:hAnsi="Calibri"/>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MenoPendente1" w:customStyle="1">
    <w:name w:val="Menção Pendente1"/>
    <w:basedOn w:val="DefaultParagraphFont"/>
    <w:uiPriority w:val="99"/>
    <w:semiHidden/>
    <w:unhideWhenUsed/>
    <w:qFormat/>
    <w:rsid w:val="00207518"/>
    <w:rPr>
      <w:color w:val="605E5C"/>
      <w:shd w:fill="E1DFDD" w:val="clea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00000A"/>
    </w:rPr>
  </w:style>
  <w:style w:type="character" w:styleId="ListLabel4">
    <w:name w:val="ListLabel 4"/>
    <w:qFormat/>
    <w:rPr>
      <w:rFonts w:cs="Arial"/>
    </w:rPr>
  </w:style>
  <w:style w:type="character" w:styleId="ListLabel5">
    <w:name w:val="ListLabel 5"/>
    <w:qFormat/>
    <w:rPr>
      <w:color w:val="00000A"/>
    </w:rPr>
  </w:style>
  <w:style w:type="character" w:styleId="ListLabel6">
    <w:name w:val="ListLabel 6"/>
    <w:qFormat/>
    <w:rPr>
      <w:color w:val="00000A"/>
    </w:rPr>
  </w:style>
  <w:style w:type="character" w:styleId="ListLabel7">
    <w:name w:val="ListLabel 7"/>
    <w:qFormat/>
    <w:rPr>
      <w:color w:val="00000A"/>
    </w:rPr>
  </w:style>
  <w:style w:type="character" w:styleId="ListLabel8">
    <w:name w:val="ListLabel 8"/>
    <w:qFormat/>
    <w:rPr>
      <w:color w:val="00000A"/>
    </w:rPr>
  </w:style>
  <w:style w:type="character" w:styleId="ListLabel9">
    <w:name w:val="ListLabel 9"/>
    <w:qFormat/>
    <w:rPr>
      <w:color w:val="00000A"/>
    </w:rPr>
  </w:style>
  <w:style w:type="character" w:styleId="ListLabel10">
    <w:name w:val="ListLabel 10"/>
    <w:qFormat/>
    <w:rPr>
      <w:color w:val="00000A"/>
    </w:rPr>
  </w:style>
  <w:style w:type="character" w:styleId="ListLabel11">
    <w:name w:val="ListLabel 11"/>
    <w:qFormat/>
    <w:rPr>
      <w:color w:val="00000A"/>
    </w:rPr>
  </w:style>
  <w:style w:type="character" w:styleId="ListLabel12">
    <w:name w:val="ListLabel 12"/>
    <w:qFormat/>
    <w:rPr>
      <w:color w:val="00000A"/>
    </w:rPr>
  </w:style>
  <w:style w:type="character" w:styleId="ListLabel13">
    <w:name w:val="ListLabel 13"/>
    <w:qFormat/>
    <w:rPr>
      <w:color w:val="00000A"/>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00000A"/>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00000A"/>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00000A"/>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00000A"/>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00000A"/>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00000A"/>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00000A"/>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00000A"/>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00000A"/>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00000A"/>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00000A"/>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00000A"/>
    </w:rPr>
  </w:style>
  <w:style w:type="character" w:styleId="ListLabel71">
    <w:name w:val="ListLabel 71"/>
    <w:qFormat/>
    <w:rPr>
      <w:sz w:val="20"/>
      <w:szCs w:val="20"/>
    </w:rPr>
  </w:style>
  <w:style w:type="character" w:styleId="ListLabel72">
    <w:name w:val="ListLabel 72"/>
    <w:qFormat/>
    <w:rPr>
      <w:b w:val="false"/>
      <w:i w:val="false"/>
      <w:color w:val="00000A"/>
      <w:sz w:val="20"/>
      <w:szCs w:val="20"/>
    </w:rPr>
  </w:style>
  <w:style w:type="character" w:styleId="ListLabel73">
    <w:name w:val="ListLabel 73"/>
    <w:qFormat/>
    <w:rPr>
      <w:b w:val="false"/>
      <w:color w:val="00000A"/>
      <w:sz w:val="20"/>
      <w:szCs w:val="20"/>
    </w:rPr>
  </w:style>
  <w:style w:type="character" w:styleId="ListLabel74">
    <w:name w:val="ListLabel 74"/>
    <w:qFormat/>
    <w:rPr>
      <w:sz w:val="20"/>
      <w:szCs w:val="20"/>
    </w:rPr>
  </w:style>
  <w:style w:type="character" w:styleId="ListLabel75">
    <w:name w:val="ListLabel 75"/>
    <w:qFormat/>
    <w:rPr>
      <w:rFonts w:eastAsia="SimSun" w:cs="Mangal"/>
    </w:rPr>
  </w:style>
  <w:style w:type="character" w:styleId="ListLabel76">
    <w:name w:val="ListLabel 76"/>
    <w:qFormat/>
    <w:rPr>
      <w:rFonts w:cs="Courier New"/>
    </w:rPr>
  </w:style>
  <w:style w:type="character" w:styleId="ListLabel77">
    <w:name w:val="ListLabel 77"/>
    <w:qFormat/>
    <w:rPr>
      <w:rFonts w:cs="Wingdings"/>
    </w:rPr>
  </w:style>
  <w:style w:type="character" w:styleId="ListLabel78">
    <w:name w:val="ListLabel 78"/>
    <w:qFormat/>
    <w:rPr>
      <w:rFonts w:cs="Symbol"/>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Fontepargpadro">
    <w:name w:val="Fonte parág. padrão"/>
    <w:qFormat/>
    <w:rPr/>
  </w:style>
  <w:style w:type="character" w:styleId="ListLabel84">
    <w:name w:val="ListLabel 84"/>
    <w:qFormat/>
    <w:rPr>
      <w:rFonts w:ascii="Arial" w:hAnsi="Arial"/>
      <w:b/>
    </w:rPr>
  </w:style>
  <w:style w:type="character" w:styleId="ListLabel85">
    <w:name w:val="ListLabel 85"/>
    <w:qFormat/>
    <w:rPr>
      <w:rFonts w:ascii="Arial" w:hAnsi="Arial"/>
      <w:b/>
      <w:i w:val="false"/>
      <w:iCs/>
    </w:rPr>
  </w:style>
  <w:style w:type="character" w:styleId="ListLabel86">
    <w:name w:val="ListLabel 86"/>
    <w:qFormat/>
    <w:rPr>
      <w:rFonts w:ascii="Arial" w:hAnsi="Arial" w:cs="Arial"/>
      <w:b/>
      <w:i w:val="false"/>
      <w:iCs/>
      <w:color w:val="00000A"/>
    </w:rPr>
  </w:style>
  <w:style w:type="character" w:styleId="ListLabel87">
    <w:name w:val="ListLabel 87"/>
    <w:qFormat/>
    <w:rPr>
      <w:b/>
    </w:rPr>
  </w:style>
  <w:style w:type="character" w:styleId="ListLabel88">
    <w:name w:val="ListLabel 88"/>
    <w:qFormat/>
    <w:rPr>
      <w:b/>
    </w:rPr>
  </w:style>
  <w:style w:type="character" w:styleId="ListLabel89">
    <w:name w:val="ListLabel 89"/>
    <w:qFormat/>
    <w:rPr>
      <w:b/>
    </w:rPr>
  </w:style>
  <w:style w:type="character" w:styleId="ListLabel90">
    <w:name w:val="ListLabel 90"/>
    <w:qFormat/>
    <w:rPr>
      <w:b w:val="false"/>
      <w:i w:val="false"/>
      <w:iCs/>
    </w:rPr>
  </w:style>
  <w:style w:type="character" w:styleId="ListLabel91">
    <w:name w:val="ListLabel 91"/>
    <w:qFormat/>
    <w:rPr>
      <w:rFonts w:cs="Arial"/>
      <w:b w:val="false"/>
      <w:i w:val="false"/>
      <w:iCs/>
      <w:color w:val="00000A"/>
    </w:rPr>
  </w:style>
  <w:style w:type="character" w:styleId="ListLabel92">
    <w:name w:val="ListLabel 92"/>
    <w:qFormat/>
    <w:rPr>
      <w:b/>
    </w:rPr>
  </w:style>
  <w:style w:type="character" w:styleId="ListLabel93">
    <w:name w:val="ListLabel 93"/>
    <w:qFormat/>
    <w:rPr>
      <w:b w:val="false"/>
      <w:i w:val="false"/>
      <w:iCs/>
    </w:rPr>
  </w:style>
  <w:style w:type="character" w:styleId="ListLabel94">
    <w:name w:val="ListLabel 94"/>
    <w:qFormat/>
    <w:rPr>
      <w:b w:val="false"/>
      <w:i w:val="false"/>
      <w:iCs/>
      <w:color w:val="00000A"/>
    </w:rPr>
  </w:style>
  <w:style w:type="character" w:styleId="ListLabel95">
    <w:name w:val="ListLabel 95"/>
    <w:qFormat/>
    <w:rPr>
      <w:rFonts w:ascii="Arial" w:hAnsi="Arial"/>
      <w:b/>
    </w:rPr>
  </w:style>
  <w:style w:type="character" w:styleId="ListLabel96">
    <w:name w:val="ListLabel 96"/>
    <w:qFormat/>
    <w:rPr>
      <w:rFonts w:ascii="Arial" w:hAnsi="Arial"/>
      <w:b/>
      <w:i w:val="false"/>
      <w:iCs/>
    </w:rPr>
  </w:style>
  <w:style w:type="character" w:styleId="ListLabel97">
    <w:name w:val="ListLabel 97"/>
    <w:qFormat/>
    <w:rPr>
      <w:rFonts w:ascii="Arial" w:hAnsi="Arial" w:cs="Arial"/>
      <w:b/>
      <w:i w:val="false"/>
      <w:iCs/>
      <w:color w:val="00000A"/>
    </w:rPr>
  </w:style>
  <w:style w:type="character" w:styleId="ListLabel98">
    <w:name w:val="ListLabel 98"/>
    <w:qFormat/>
    <w:rPr>
      <w:b/>
    </w:rPr>
  </w:style>
  <w:style w:type="character" w:styleId="ListLabel99">
    <w:name w:val="ListLabel 99"/>
    <w:qFormat/>
    <w:rPr>
      <w:b/>
    </w:rPr>
  </w:style>
  <w:style w:type="character" w:styleId="ListLabel100">
    <w:name w:val="ListLabel 100"/>
    <w:qFormat/>
    <w:rPr>
      <w:b/>
    </w:rPr>
  </w:style>
  <w:style w:type="character" w:styleId="ListLabel101">
    <w:name w:val="ListLabel 101"/>
    <w:qFormat/>
    <w:rPr>
      <w:b w:val="false"/>
      <w:i w:val="false"/>
      <w:iCs/>
    </w:rPr>
  </w:style>
  <w:style w:type="character" w:styleId="ListLabel102">
    <w:name w:val="ListLabel 102"/>
    <w:qFormat/>
    <w:rPr>
      <w:rFonts w:cs="Arial"/>
      <w:b w:val="false"/>
      <w:i w:val="false"/>
      <w:iCs/>
      <w:color w:val="00000A"/>
    </w:rPr>
  </w:style>
  <w:style w:type="character" w:styleId="ListLabel103">
    <w:name w:val="ListLabel 103"/>
    <w:qFormat/>
    <w:rPr>
      <w:b/>
    </w:rPr>
  </w:style>
  <w:style w:type="character" w:styleId="ListLabel104">
    <w:name w:val="ListLabel 104"/>
    <w:qFormat/>
    <w:rPr>
      <w:b w:val="false"/>
      <w:i w:val="false"/>
      <w:iCs/>
    </w:rPr>
  </w:style>
  <w:style w:type="character" w:styleId="ListLabel105">
    <w:name w:val="ListLabel 105"/>
    <w:qFormat/>
    <w:rPr>
      <w:b w:val="false"/>
      <w:i w:val="false"/>
      <w:iCs/>
      <w:color w:val="00000A"/>
    </w:rPr>
  </w:style>
  <w:style w:type="character" w:styleId="ListLabel106">
    <w:name w:val="ListLabel 106"/>
    <w:qFormat/>
    <w:rPr>
      <w:rFonts w:ascii="Arial" w:hAnsi="Arial"/>
      <w:b/>
    </w:rPr>
  </w:style>
  <w:style w:type="character" w:styleId="ListLabel107">
    <w:name w:val="ListLabel 107"/>
    <w:qFormat/>
    <w:rPr>
      <w:rFonts w:ascii="Arial" w:hAnsi="Arial"/>
      <w:b/>
      <w:i w:val="false"/>
      <w:iCs/>
    </w:rPr>
  </w:style>
  <w:style w:type="character" w:styleId="ListLabel108">
    <w:name w:val="ListLabel 108"/>
    <w:qFormat/>
    <w:rPr>
      <w:rFonts w:ascii="Arial" w:hAnsi="Arial" w:cs="Arial"/>
      <w:b/>
      <w:i w:val="false"/>
      <w:iCs/>
      <w:color w:val="00000A"/>
    </w:rPr>
  </w:style>
  <w:style w:type="character" w:styleId="ListLabel109">
    <w:name w:val="ListLabel 109"/>
    <w:qFormat/>
    <w:rPr>
      <w:b/>
    </w:rPr>
  </w:style>
  <w:style w:type="character" w:styleId="ListLabel110">
    <w:name w:val="ListLabel 110"/>
    <w:qFormat/>
    <w:rPr>
      <w:b/>
    </w:rPr>
  </w:style>
  <w:style w:type="character" w:styleId="ListLabel111">
    <w:name w:val="ListLabel 111"/>
    <w:qFormat/>
    <w:rPr>
      <w:b/>
    </w:rPr>
  </w:style>
  <w:style w:type="character" w:styleId="ListLabel112">
    <w:name w:val="ListLabel 112"/>
    <w:qFormat/>
    <w:rPr>
      <w:b w:val="false"/>
      <w:i w:val="false"/>
      <w:iCs/>
    </w:rPr>
  </w:style>
  <w:style w:type="character" w:styleId="ListLabel113">
    <w:name w:val="ListLabel 113"/>
    <w:qFormat/>
    <w:rPr>
      <w:rFonts w:cs="Arial"/>
      <w:b w:val="false"/>
      <w:i w:val="false"/>
      <w:iCs/>
      <w:color w:val="00000A"/>
    </w:rPr>
  </w:style>
  <w:style w:type="character" w:styleId="ListLabel114">
    <w:name w:val="ListLabel 114"/>
    <w:qFormat/>
    <w:rPr>
      <w:b/>
    </w:rPr>
  </w:style>
  <w:style w:type="character" w:styleId="ListLabel115">
    <w:name w:val="ListLabel 115"/>
    <w:qFormat/>
    <w:rPr>
      <w:b w:val="false"/>
      <w:i w:val="false"/>
      <w:iCs/>
    </w:rPr>
  </w:style>
  <w:style w:type="character" w:styleId="ListLabel116">
    <w:name w:val="ListLabel 116"/>
    <w:qFormat/>
    <w:rPr>
      <w:b w:val="false"/>
      <w:i w:val="false"/>
      <w:iCs/>
      <w:color w:val="00000A"/>
    </w:rPr>
  </w:style>
  <w:style w:type="character" w:styleId="ListLabel117">
    <w:name w:val="ListLabel 117"/>
    <w:qFormat/>
    <w:rPr>
      <w:rFonts w:cs="Arial"/>
      <w:szCs w:val="20"/>
    </w:rPr>
  </w:style>
  <w:style w:type="character" w:styleId="ListLabel118">
    <w:name w:val="ListLabel 118"/>
    <w:qFormat/>
    <w:rPr>
      <w:rFonts w:eastAsia="Calibri" w:cs="Arial"/>
      <w:szCs w:val="20"/>
    </w:rPr>
  </w:style>
  <w:style w:type="character" w:styleId="ListLabel119">
    <w:name w:val="ListLabel 119"/>
    <w:qFormat/>
    <w:rPr>
      <w:rFonts w:eastAsia="Calibri" w:cs="Arial"/>
      <w:lang w:eastAsia="ar-SA"/>
    </w:rPr>
  </w:style>
  <w:style w:type="character" w:styleId="ListLabel120">
    <w:name w:val="ListLabel 120"/>
    <w:qFormat/>
    <w:rPr>
      <w:color w:val="000000"/>
    </w:rPr>
  </w:style>
  <w:style w:type="character" w:styleId="ListLabel121">
    <w:name w:val="ListLabel 121"/>
    <w:qFormat/>
    <w:rPr>
      <w:rFonts w:ascii="Arial" w:hAnsi="Arial"/>
      <w:b/>
    </w:rPr>
  </w:style>
  <w:style w:type="character" w:styleId="ListLabel122">
    <w:name w:val="ListLabel 122"/>
    <w:qFormat/>
    <w:rPr>
      <w:rFonts w:ascii="Arial" w:hAnsi="Arial"/>
      <w:b/>
      <w:i w:val="false"/>
      <w:iCs/>
      <w:color w:val="00000A"/>
    </w:rPr>
  </w:style>
  <w:style w:type="character" w:styleId="ListLabel123">
    <w:name w:val="ListLabel 123"/>
    <w:qFormat/>
    <w:rPr>
      <w:rFonts w:ascii="Arial" w:hAnsi="Arial" w:cs="Arial"/>
      <w:b/>
      <w:i w:val="false"/>
      <w:iCs/>
      <w:color w:val="00000A"/>
    </w:rPr>
  </w:style>
  <w:style w:type="character" w:styleId="ListLabel124">
    <w:name w:val="ListLabel 124"/>
    <w:qFormat/>
    <w:rPr>
      <w:b/>
    </w:rPr>
  </w:style>
  <w:style w:type="character" w:styleId="ListLabel125">
    <w:name w:val="ListLabel 125"/>
    <w:qFormat/>
    <w:rPr>
      <w:b/>
    </w:rPr>
  </w:style>
  <w:style w:type="character" w:styleId="ListLabel126">
    <w:name w:val="ListLabel 126"/>
    <w:qFormat/>
    <w:rPr>
      <w:b/>
    </w:rPr>
  </w:style>
  <w:style w:type="character" w:styleId="ListLabel127">
    <w:name w:val="ListLabel 127"/>
    <w:qFormat/>
    <w:rPr>
      <w:b w:val="false"/>
      <w:i w:val="false"/>
      <w:iCs/>
    </w:rPr>
  </w:style>
  <w:style w:type="character" w:styleId="ListLabel128">
    <w:name w:val="ListLabel 128"/>
    <w:qFormat/>
    <w:rPr>
      <w:rFonts w:cs="Arial"/>
      <w:b w:val="false"/>
      <w:i w:val="false"/>
      <w:iCs/>
      <w:color w:val="00000A"/>
    </w:rPr>
  </w:style>
  <w:style w:type="character" w:styleId="ListLabel129">
    <w:name w:val="ListLabel 129"/>
    <w:qFormat/>
    <w:rPr>
      <w:b/>
    </w:rPr>
  </w:style>
  <w:style w:type="character" w:styleId="ListLabel130">
    <w:name w:val="ListLabel 130"/>
    <w:qFormat/>
    <w:rPr>
      <w:b w:val="false"/>
      <w:i w:val="false"/>
      <w:iCs/>
    </w:rPr>
  </w:style>
  <w:style w:type="character" w:styleId="ListLabel131">
    <w:name w:val="ListLabel 131"/>
    <w:qFormat/>
    <w:rPr>
      <w:b w:val="false"/>
      <w:i w:val="false"/>
      <w:iCs/>
      <w:color w:val="00000A"/>
    </w:rPr>
  </w:style>
  <w:style w:type="character" w:styleId="ListLabel132">
    <w:name w:val="ListLabel 132"/>
    <w:qFormat/>
    <w:rPr>
      <w:rFonts w:cs="Arial"/>
      <w:szCs w:val="20"/>
    </w:rPr>
  </w:style>
  <w:style w:type="character" w:styleId="ListLabel133">
    <w:name w:val="ListLabel 133"/>
    <w:qFormat/>
    <w:rPr>
      <w:rFonts w:eastAsia="Calibri" w:cs="Arial"/>
      <w:szCs w:val="20"/>
    </w:rPr>
  </w:style>
  <w:style w:type="character" w:styleId="ListLabel134">
    <w:name w:val="ListLabel 134"/>
    <w:qFormat/>
    <w:rPr>
      <w:rFonts w:eastAsia="Calibri" w:cs="Arial"/>
      <w:lang w:eastAsia="ar-SA"/>
    </w:rPr>
  </w:style>
  <w:style w:type="character" w:styleId="ListLabel135">
    <w:name w:val="ListLabel 135"/>
    <w:qFormat/>
    <w:rPr>
      <w:color w:val="000000"/>
    </w:rPr>
  </w:style>
  <w:style w:type="character" w:styleId="ListLabel136">
    <w:name w:val="ListLabel 136"/>
    <w:qFormat/>
    <w:rPr>
      <w:rFonts w:ascii="Arial" w:hAnsi="Arial"/>
      <w:b/>
    </w:rPr>
  </w:style>
  <w:style w:type="character" w:styleId="ListLabel137">
    <w:name w:val="ListLabel 137"/>
    <w:qFormat/>
    <w:rPr>
      <w:rFonts w:ascii="Arial" w:hAnsi="Arial"/>
      <w:b/>
      <w:i w:val="false"/>
      <w:iCs/>
      <w:color w:val="00000A"/>
    </w:rPr>
  </w:style>
  <w:style w:type="character" w:styleId="ListLabel138">
    <w:name w:val="ListLabel 138"/>
    <w:qFormat/>
    <w:rPr>
      <w:rFonts w:ascii="Arial" w:hAnsi="Arial" w:cs="Arial"/>
      <w:b/>
      <w:i w:val="false"/>
      <w:iCs/>
      <w:color w:val="00000A"/>
    </w:rPr>
  </w:style>
  <w:style w:type="character" w:styleId="ListLabel139">
    <w:name w:val="ListLabel 139"/>
    <w:qFormat/>
    <w:rPr>
      <w:b/>
    </w:rPr>
  </w:style>
  <w:style w:type="character" w:styleId="ListLabel140">
    <w:name w:val="ListLabel 140"/>
    <w:qFormat/>
    <w:rPr>
      <w:b/>
    </w:rPr>
  </w:style>
  <w:style w:type="character" w:styleId="ListLabel141">
    <w:name w:val="ListLabel 141"/>
    <w:qFormat/>
    <w:rPr>
      <w:b/>
    </w:rPr>
  </w:style>
  <w:style w:type="character" w:styleId="ListLabel142">
    <w:name w:val="ListLabel 142"/>
    <w:qFormat/>
    <w:rPr>
      <w:b w:val="false"/>
      <w:i w:val="false"/>
      <w:iCs/>
    </w:rPr>
  </w:style>
  <w:style w:type="character" w:styleId="ListLabel143">
    <w:name w:val="ListLabel 143"/>
    <w:qFormat/>
    <w:rPr>
      <w:rFonts w:cs="Arial"/>
      <w:b w:val="false"/>
      <w:i w:val="false"/>
      <w:iCs/>
      <w:color w:val="00000A"/>
    </w:rPr>
  </w:style>
  <w:style w:type="character" w:styleId="ListLabel144">
    <w:name w:val="ListLabel 144"/>
    <w:qFormat/>
    <w:rPr>
      <w:b/>
    </w:rPr>
  </w:style>
  <w:style w:type="character" w:styleId="ListLabel145">
    <w:name w:val="ListLabel 145"/>
    <w:qFormat/>
    <w:rPr>
      <w:b w:val="false"/>
      <w:i w:val="false"/>
      <w:iCs/>
    </w:rPr>
  </w:style>
  <w:style w:type="character" w:styleId="ListLabel146">
    <w:name w:val="ListLabel 146"/>
    <w:qFormat/>
    <w:rPr>
      <w:b w:val="false"/>
      <w:i w:val="false"/>
      <w:iCs/>
      <w:color w:val="00000A"/>
    </w:rPr>
  </w:style>
  <w:style w:type="character" w:styleId="ListLabel147">
    <w:name w:val="ListLabel 147"/>
    <w:qFormat/>
    <w:rPr>
      <w:rFonts w:cs="Arial"/>
      <w:szCs w:val="20"/>
    </w:rPr>
  </w:style>
  <w:style w:type="character" w:styleId="ListLabel148">
    <w:name w:val="ListLabel 148"/>
    <w:qFormat/>
    <w:rPr>
      <w:rFonts w:eastAsia="Calibri" w:cs="Arial"/>
      <w:szCs w:val="20"/>
    </w:rPr>
  </w:style>
  <w:style w:type="character" w:styleId="ListLabel149">
    <w:name w:val="ListLabel 149"/>
    <w:qFormat/>
    <w:rPr>
      <w:rFonts w:eastAsia="Calibri" w:cs="Arial"/>
      <w:lang w:eastAsia="ar-SA"/>
    </w:rPr>
  </w:style>
  <w:style w:type="character" w:styleId="ListLabel150">
    <w:name w:val="ListLabel 150"/>
    <w:qFormat/>
    <w:rPr>
      <w:color w:val="000000"/>
    </w:rPr>
  </w:style>
  <w:style w:type="character" w:styleId="ListLabel151">
    <w:name w:val="ListLabel 151"/>
    <w:qFormat/>
    <w:rPr>
      <w:rFonts w:ascii="Arial" w:hAnsi="Arial"/>
      <w:b/>
    </w:rPr>
  </w:style>
  <w:style w:type="character" w:styleId="ListLabel152">
    <w:name w:val="ListLabel 152"/>
    <w:qFormat/>
    <w:rPr>
      <w:rFonts w:ascii="Arial" w:hAnsi="Arial"/>
      <w:b/>
      <w:i w:val="false"/>
      <w:iCs/>
      <w:color w:val="00000A"/>
    </w:rPr>
  </w:style>
  <w:style w:type="character" w:styleId="ListLabel153">
    <w:name w:val="ListLabel 153"/>
    <w:qFormat/>
    <w:rPr>
      <w:rFonts w:ascii="Arial" w:hAnsi="Arial" w:cs="Arial"/>
      <w:b/>
      <w:i w:val="false"/>
      <w:iCs/>
      <w:color w:val="00000A"/>
    </w:rPr>
  </w:style>
  <w:style w:type="character" w:styleId="ListLabel154">
    <w:name w:val="ListLabel 154"/>
    <w:qFormat/>
    <w:rPr>
      <w:b/>
    </w:rPr>
  </w:style>
  <w:style w:type="character" w:styleId="ListLabel155">
    <w:name w:val="ListLabel 155"/>
    <w:qFormat/>
    <w:rPr>
      <w:b/>
    </w:rPr>
  </w:style>
  <w:style w:type="character" w:styleId="ListLabel156">
    <w:name w:val="ListLabel 156"/>
    <w:qFormat/>
    <w:rPr>
      <w:b/>
    </w:rPr>
  </w:style>
  <w:style w:type="character" w:styleId="ListLabel157">
    <w:name w:val="ListLabel 157"/>
    <w:qFormat/>
    <w:rPr>
      <w:b w:val="false"/>
      <w:i w:val="false"/>
      <w:iCs/>
    </w:rPr>
  </w:style>
  <w:style w:type="character" w:styleId="ListLabel158">
    <w:name w:val="ListLabel 158"/>
    <w:qFormat/>
    <w:rPr>
      <w:rFonts w:cs="Arial"/>
      <w:b w:val="false"/>
      <w:i w:val="false"/>
      <w:iCs/>
      <w:color w:val="00000A"/>
    </w:rPr>
  </w:style>
  <w:style w:type="character" w:styleId="ListLabel159">
    <w:name w:val="ListLabel 159"/>
    <w:qFormat/>
    <w:rPr>
      <w:b/>
    </w:rPr>
  </w:style>
  <w:style w:type="character" w:styleId="ListLabel160">
    <w:name w:val="ListLabel 160"/>
    <w:qFormat/>
    <w:rPr>
      <w:b w:val="false"/>
      <w:i w:val="false"/>
      <w:iCs/>
    </w:rPr>
  </w:style>
  <w:style w:type="character" w:styleId="ListLabel161">
    <w:name w:val="ListLabel 161"/>
    <w:qFormat/>
    <w:rPr>
      <w:b w:val="false"/>
      <w:i w:val="false"/>
      <w:iCs/>
      <w:color w:val="00000A"/>
    </w:rPr>
  </w:style>
  <w:style w:type="character" w:styleId="ListLabel162">
    <w:name w:val="ListLabel 162"/>
    <w:qFormat/>
    <w:rPr>
      <w:rFonts w:cs="Arial"/>
      <w:szCs w:val="20"/>
    </w:rPr>
  </w:style>
  <w:style w:type="character" w:styleId="ListLabel163">
    <w:name w:val="ListLabel 163"/>
    <w:qFormat/>
    <w:rPr>
      <w:rFonts w:eastAsia="Calibri" w:cs="Arial"/>
      <w:szCs w:val="20"/>
    </w:rPr>
  </w:style>
  <w:style w:type="character" w:styleId="ListLabel164">
    <w:name w:val="ListLabel 164"/>
    <w:qFormat/>
    <w:rPr>
      <w:rFonts w:eastAsia="Calibri" w:cs="Arial"/>
      <w:lang w:eastAsia="ar-SA"/>
    </w:rPr>
  </w:style>
  <w:style w:type="character" w:styleId="ListLabel165">
    <w:name w:val="ListLabel 165"/>
    <w:qFormat/>
    <w:rPr>
      <w:color w:val="000000"/>
    </w:rPr>
  </w:style>
  <w:style w:type="character" w:styleId="ListLabel166">
    <w:name w:val="ListLabel 166"/>
    <w:qFormat/>
    <w:rPr>
      <w:rFonts w:ascii="Arial" w:hAnsi="Arial"/>
      <w:b/>
    </w:rPr>
  </w:style>
  <w:style w:type="character" w:styleId="ListLabel167">
    <w:name w:val="ListLabel 167"/>
    <w:qFormat/>
    <w:rPr>
      <w:rFonts w:ascii="Arial" w:hAnsi="Arial"/>
      <w:b/>
      <w:i w:val="false"/>
      <w:iCs/>
      <w:color w:val="00000A"/>
    </w:rPr>
  </w:style>
  <w:style w:type="character" w:styleId="ListLabel168">
    <w:name w:val="ListLabel 168"/>
    <w:qFormat/>
    <w:rPr>
      <w:rFonts w:ascii="Arial" w:hAnsi="Arial" w:cs="Arial"/>
      <w:b/>
      <w:i w:val="false"/>
      <w:iCs/>
      <w:color w:val="00000A"/>
    </w:rPr>
  </w:style>
  <w:style w:type="character" w:styleId="ListLabel169">
    <w:name w:val="ListLabel 169"/>
    <w:qFormat/>
    <w:rPr>
      <w:b/>
    </w:rPr>
  </w:style>
  <w:style w:type="character" w:styleId="ListLabel170">
    <w:name w:val="ListLabel 170"/>
    <w:qFormat/>
    <w:rPr>
      <w:b/>
    </w:rPr>
  </w:style>
  <w:style w:type="character" w:styleId="ListLabel171">
    <w:name w:val="ListLabel 171"/>
    <w:qFormat/>
    <w:rPr>
      <w:b/>
    </w:rPr>
  </w:style>
  <w:style w:type="character" w:styleId="ListLabel172">
    <w:name w:val="ListLabel 172"/>
    <w:qFormat/>
    <w:rPr>
      <w:b w:val="false"/>
      <w:i w:val="false"/>
      <w:iCs/>
    </w:rPr>
  </w:style>
  <w:style w:type="character" w:styleId="ListLabel173">
    <w:name w:val="ListLabel 173"/>
    <w:qFormat/>
    <w:rPr>
      <w:rFonts w:cs="Arial"/>
      <w:b w:val="false"/>
      <w:i w:val="false"/>
      <w:iCs/>
      <w:color w:val="00000A"/>
    </w:rPr>
  </w:style>
  <w:style w:type="character" w:styleId="ListLabel174">
    <w:name w:val="ListLabel 174"/>
    <w:qFormat/>
    <w:rPr>
      <w:b/>
    </w:rPr>
  </w:style>
  <w:style w:type="character" w:styleId="ListLabel175">
    <w:name w:val="ListLabel 175"/>
    <w:qFormat/>
    <w:rPr>
      <w:b w:val="false"/>
      <w:i w:val="false"/>
      <w:iCs/>
    </w:rPr>
  </w:style>
  <w:style w:type="character" w:styleId="ListLabel176">
    <w:name w:val="ListLabel 176"/>
    <w:qFormat/>
    <w:rPr>
      <w:b w:val="false"/>
      <w:i w:val="false"/>
      <w:iCs/>
      <w:color w:val="00000A"/>
    </w:rPr>
  </w:style>
  <w:style w:type="character" w:styleId="ListLabel177">
    <w:name w:val="ListLabel 177"/>
    <w:qFormat/>
    <w:rPr>
      <w:rFonts w:cs="Arial"/>
      <w:szCs w:val="20"/>
    </w:rPr>
  </w:style>
  <w:style w:type="character" w:styleId="ListLabel178">
    <w:name w:val="ListLabel 178"/>
    <w:qFormat/>
    <w:rPr>
      <w:rFonts w:eastAsia="Calibri" w:cs="Arial"/>
      <w:szCs w:val="20"/>
    </w:rPr>
  </w:style>
  <w:style w:type="character" w:styleId="ListLabel179">
    <w:name w:val="ListLabel 179"/>
    <w:qFormat/>
    <w:rPr>
      <w:rFonts w:eastAsia="Calibri" w:cs="Arial"/>
      <w:lang w:eastAsia="ar-SA"/>
    </w:rPr>
  </w:style>
  <w:style w:type="character" w:styleId="ListLabel180">
    <w:name w:val="ListLabel 180"/>
    <w:qFormat/>
    <w:rPr>
      <w:color w:val="000000"/>
    </w:rPr>
  </w:style>
  <w:style w:type="character" w:styleId="ListLabel181">
    <w:name w:val="ListLabel 181"/>
    <w:qFormat/>
    <w:rPr>
      <w:rFonts w:ascii="Arial" w:hAnsi="Arial"/>
      <w:b/>
    </w:rPr>
  </w:style>
  <w:style w:type="character" w:styleId="ListLabel182">
    <w:name w:val="ListLabel 182"/>
    <w:qFormat/>
    <w:rPr>
      <w:rFonts w:ascii="Arial" w:hAnsi="Arial"/>
      <w:b/>
      <w:i w:val="false"/>
      <w:iCs/>
      <w:color w:val="00000A"/>
    </w:rPr>
  </w:style>
  <w:style w:type="character" w:styleId="ListLabel183">
    <w:name w:val="ListLabel 183"/>
    <w:qFormat/>
    <w:rPr>
      <w:rFonts w:ascii="Arial" w:hAnsi="Arial" w:cs="Arial"/>
      <w:b/>
      <w:i w:val="false"/>
      <w:iCs/>
      <w:color w:val="00000A"/>
    </w:rPr>
  </w:style>
  <w:style w:type="character" w:styleId="ListLabel184">
    <w:name w:val="ListLabel 184"/>
    <w:qFormat/>
    <w:rPr>
      <w:b/>
    </w:rPr>
  </w:style>
  <w:style w:type="character" w:styleId="ListLabel185">
    <w:name w:val="ListLabel 185"/>
    <w:qFormat/>
    <w:rPr>
      <w:b/>
    </w:rPr>
  </w:style>
  <w:style w:type="character" w:styleId="ListLabel186">
    <w:name w:val="ListLabel 186"/>
    <w:qFormat/>
    <w:rPr>
      <w:b/>
    </w:rPr>
  </w:style>
  <w:style w:type="character" w:styleId="ListLabel187">
    <w:name w:val="ListLabel 187"/>
    <w:qFormat/>
    <w:rPr>
      <w:b w:val="false"/>
      <w:i w:val="false"/>
      <w:iCs/>
    </w:rPr>
  </w:style>
  <w:style w:type="character" w:styleId="ListLabel188">
    <w:name w:val="ListLabel 188"/>
    <w:qFormat/>
    <w:rPr>
      <w:rFonts w:cs="Arial"/>
      <w:b w:val="false"/>
      <w:i w:val="false"/>
      <w:iCs/>
      <w:color w:val="00000A"/>
    </w:rPr>
  </w:style>
  <w:style w:type="character" w:styleId="ListLabel189">
    <w:name w:val="ListLabel 189"/>
    <w:qFormat/>
    <w:rPr>
      <w:b/>
    </w:rPr>
  </w:style>
  <w:style w:type="character" w:styleId="ListLabel190">
    <w:name w:val="ListLabel 190"/>
    <w:qFormat/>
    <w:rPr>
      <w:b w:val="false"/>
      <w:i w:val="false"/>
      <w:iCs/>
    </w:rPr>
  </w:style>
  <w:style w:type="character" w:styleId="ListLabel191">
    <w:name w:val="ListLabel 191"/>
    <w:qFormat/>
    <w:rPr>
      <w:b w:val="false"/>
      <w:i w:val="false"/>
      <w:iCs/>
      <w:color w:val="00000A"/>
    </w:rPr>
  </w:style>
  <w:style w:type="character" w:styleId="ListLabel192">
    <w:name w:val="ListLabel 192"/>
    <w:qFormat/>
    <w:rPr>
      <w:rFonts w:cs="Arial"/>
      <w:szCs w:val="20"/>
    </w:rPr>
  </w:style>
  <w:style w:type="character" w:styleId="ListLabel193">
    <w:name w:val="ListLabel 193"/>
    <w:qFormat/>
    <w:rPr>
      <w:rFonts w:eastAsia="Calibri" w:cs="Arial"/>
      <w:szCs w:val="20"/>
    </w:rPr>
  </w:style>
  <w:style w:type="character" w:styleId="ListLabel194">
    <w:name w:val="ListLabel 194"/>
    <w:qFormat/>
    <w:rPr>
      <w:rFonts w:eastAsia="Calibri" w:cs="Arial"/>
      <w:lang w:eastAsia="ar-SA"/>
    </w:rPr>
  </w:style>
  <w:style w:type="character" w:styleId="ListLabel195">
    <w:name w:val="ListLabel 195"/>
    <w:qFormat/>
    <w:rPr>
      <w:color w:val="000000"/>
    </w:rPr>
  </w:style>
  <w:style w:type="character" w:styleId="ListLabel196">
    <w:name w:val="ListLabel 196"/>
    <w:qFormat/>
    <w:rPr>
      <w:rFonts w:ascii="Arial" w:hAnsi="Arial"/>
      <w:b/>
    </w:rPr>
  </w:style>
  <w:style w:type="character" w:styleId="ListLabel197">
    <w:name w:val="ListLabel 197"/>
    <w:qFormat/>
    <w:rPr>
      <w:rFonts w:ascii="Arial" w:hAnsi="Arial"/>
      <w:b/>
      <w:i w:val="false"/>
      <w:iCs/>
      <w:color w:val="00000A"/>
    </w:rPr>
  </w:style>
  <w:style w:type="character" w:styleId="ListLabel198">
    <w:name w:val="ListLabel 198"/>
    <w:qFormat/>
    <w:rPr>
      <w:rFonts w:ascii="Arial" w:hAnsi="Arial" w:cs="Arial"/>
      <w:b/>
      <w:i w:val="false"/>
      <w:iCs/>
      <w:color w:val="00000A"/>
    </w:rPr>
  </w:style>
  <w:style w:type="character" w:styleId="ListLabel199">
    <w:name w:val="ListLabel 199"/>
    <w:qFormat/>
    <w:rPr>
      <w:b/>
    </w:rPr>
  </w:style>
  <w:style w:type="character" w:styleId="ListLabel200">
    <w:name w:val="ListLabel 200"/>
    <w:qFormat/>
    <w:rPr>
      <w:b/>
    </w:rPr>
  </w:style>
  <w:style w:type="character" w:styleId="ListLabel201">
    <w:name w:val="ListLabel 201"/>
    <w:qFormat/>
    <w:rPr>
      <w:b/>
    </w:rPr>
  </w:style>
  <w:style w:type="character" w:styleId="ListLabel202">
    <w:name w:val="ListLabel 202"/>
    <w:qFormat/>
    <w:rPr>
      <w:b w:val="false"/>
      <w:i w:val="false"/>
      <w:iCs/>
    </w:rPr>
  </w:style>
  <w:style w:type="character" w:styleId="ListLabel203">
    <w:name w:val="ListLabel 203"/>
    <w:qFormat/>
    <w:rPr>
      <w:rFonts w:cs="Arial"/>
      <w:b w:val="false"/>
      <w:i w:val="false"/>
      <w:iCs/>
      <w:color w:val="00000A"/>
    </w:rPr>
  </w:style>
  <w:style w:type="character" w:styleId="ListLabel204">
    <w:name w:val="ListLabel 204"/>
    <w:qFormat/>
    <w:rPr>
      <w:b/>
    </w:rPr>
  </w:style>
  <w:style w:type="character" w:styleId="ListLabel205">
    <w:name w:val="ListLabel 205"/>
    <w:qFormat/>
    <w:rPr>
      <w:b w:val="false"/>
      <w:i w:val="false"/>
      <w:iCs/>
    </w:rPr>
  </w:style>
  <w:style w:type="character" w:styleId="ListLabel206">
    <w:name w:val="ListLabel 206"/>
    <w:qFormat/>
    <w:rPr>
      <w:b w:val="false"/>
      <w:i w:val="false"/>
      <w:iCs/>
      <w:color w:val="00000A"/>
    </w:rPr>
  </w:style>
  <w:style w:type="character" w:styleId="ListLabel207">
    <w:name w:val="ListLabel 207"/>
    <w:qFormat/>
    <w:rPr>
      <w:rFonts w:cs="Arial"/>
      <w:szCs w:val="20"/>
    </w:rPr>
  </w:style>
  <w:style w:type="character" w:styleId="ListLabel208">
    <w:name w:val="ListLabel 208"/>
    <w:qFormat/>
    <w:rPr>
      <w:rFonts w:eastAsia="Calibri" w:cs="Arial"/>
      <w:szCs w:val="20"/>
    </w:rPr>
  </w:style>
  <w:style w:type="character" w:styleId="ListLabel209">
    <w:name w:val="ListLabel 209"/>
    <w:qFormat/>
    <w:rPr>
      <w:rFonts w:eastAsia="Calibri" w:cs="Arial"/>
      <w:lang w:eastAsia="ar-SA"/>
    </w:rPr>
  </w:style>
  <w:style w:type="character" w:styleId="ListLabel210">
    <w:name w:val="ListLabel 210"/>
    <w:qFormat/>
    <w:rPr>
      <w:color w:val="000000"/>
    </w:rPr>
  </w:style>
  <w:style w:type="character" w:styleId="ListLabel211">
    <w:name w:val="ListLabel 211"/>
    <w:qFormat/>
    <w:rPr>
      <w:rFonts w:ascii="Arial" w:hAnsi="Arial"/>
      <w:b/>
    </w:rPr>
  </w:style>
  <w:style w:type="character" w:styleId="ListLabel212">
    <w:name w:val="ListLabel 212"/>
    <w:qFormat/>
    <w:rPr>
      <w:rFonts w:ascii="Arial" w:hAnsi="Arial"/>
      <w:b/>
      <w:i w:val="false"/>
      <w:iCs/>
      <w:color w:val="00000A"/>
    </w:rPr>
  </w:style>
  <w:style w:type="character" w:styleId="ListLabel213">
    <w:name w:val="ListLabel 213"/>
    <w:qFormat/>
    <w:rPr>
      <w:rFonts w:ascii="Arial" w:hAnsi="Arial" w:cs="Arial"/>
      <w:b/>
      <w:i w:val="false"/>
      <w:iCs/>
      <w:color w:val="00000A"/>
    </w:rPr>
  </w:style>
  <w:style w:type="character" w:styleId="ListLabel214">
    <w:name w:val="ListLabel 214"/>
    <w:qFormat/>
    <w:rPr>
      <w:b/>
    </w:rPr>
  </w:style>
  <w:style w:type="character" w:styleId="ListLabel215">
    <w:name w:val="ListLabel 215"/>
    <w:qFormat/>
    <w:rPr>
      <w:b/>
    </w:rPr>
  </w:style>
  <w:style w:type="character" w:styleId="ListLabel216">
    <w:name w:val="ListLabel 216"/>
    <w:qFormat/>
    <w:rPr>
      <w:b/>
    </w:rPr>
  </w:style>
  <w:style w:type="character" w:styleId="ListLabel217">
    <w:name w:val="ListLabel 217"/>
    <w:qFormat/>
    <w:rPr>
      <w:b w:val="false"/>
      <w:i w:val="false"/>
      <w:iCs/>
    </w:rPr>
  </w:style>
  <w:style w:type="character" w:styleId="ListLabel218">
    <w:name w:val="ListLabel 218"/>
    <w:qFormat/>
    <w:rPr>
      <w:rFonts w:cs="Arial"/>
      <w:b w:val="false"/>
      <w:i w:val="false"/>
      <w:iCs/>
      <w:color w:val="00000A"/>
    </w:rPr>
  </w:style>
  <w:style w:type="character" w:styleId="ListLabel219">
    <w:name w:val="ListLabel 219"/>
    <w:qFormat/>
    <w:rPr>
      <w:b/>
    </w:rPr>
  </w:style>
  <w:style w:type="character" w:styleId="ListLabel220">
    <w:name w:val="ListLabel 220"/>
    <w:qFormat/>
    <w:rPr>
      <w:b w:val="false"/>
      <w:i w:val="false"/>
      <w:iCs/>
    </w:rPr>
  </w:style>
  <w:style w:type="character" w:styleId="ListLabel221">
    <w:name w:val="ListLabel 221"/>
    <w:qFormat/>
    <w:rPr>
      <w:b w:val="false"/>
      <w:i w:val="false"/>
      <w:iCs/>
      <w:color w:val="00000A"/>
    </w:rPr>
  </w:style>
  <w:style w:type="character" w:styleId="ListLabel222">
    <w:name w:val="ListLabel 222"/>
    <w:qFormat/>
    <w:rPr>
      <w:rFonts w:ascii="Arial" w:hAnsi="Arial"/>
      <w:b/>
    </w:rPr>
  </w:style>
  <w:style w:type="character" w:styleId="ListLabel223">
    <w:name w:val="ListLabel 223"/>
    <w:qFormat/>
    <w:rPr>
      <w:rFonts w:ascii="Arial" w:hAnsi="Arial"/>
      <w:b/>
      <w:i w:val="false"/>
      <w:iCs/>
      <w:color w:val="00000A"/>
    </w:rPr>
  </w:style>
  <w:style w:type="character" w:styleId="ListLabel224">
    <w:name w:val="ListLabel 224"/>
    <w:qFormat/>
    <w:rPr>
      <w:rFonts w:ascii="Arial" w:hAnsi="Arial" w:cs="Arial"/>
      <w:b/>
      <w:i w:val="false"/>
      <w:iCs/>
      <w:color w:val="00000A"/>
    </w:rPr>
  </w:style>
  <w:style w:type="character" w:styleId="ListLabel225">
    <w:name w:val="ListLabel 225"/>
    <w:qFormat/>
    <w:rPr>
      <w:b/>
    </w:rPr>
  </w:style>
  <w:style w:type="character" w:styleId="ListLabel226">
    <w:name w:val="ListLabel 226"/>
    <w:qFormat/>
    <w:rPr>
      <w:b/>
    </w:rPr>
  </w:style>
  <w:style w:type="character" w:styleId="ListLabel227">
    <w:name w:val="ListLabel 227"/>
    <w:qFormat/>
    <w:rPr>
      <w:b/>
    </w:rPr>
  </w:style>
  <w:style w:type="character" w:styleId="ListLabel228">
    <w:name w:val="ListLabel 228"/>
    <w:qFormat/>
    <w:rPr>
      <w:b w:val="false"/>
      <w:i w:val="false"/>
      <w:iCs/>
    </w:rPr>
  </w:style>
  <w:style w:type="character" w:styleId="ListLabel229">
    <w:name w:val="ListLabel 229"/>
    <w:qFormat/>
    <w:rPr>
      <w:rFonts w:cs="Arial"/>
      <w:b w:val="false"/>
      <w:i w:val="false"/>
      <w:iCs/>
      <w:color w:val="00000A"/>
    </w:rPr>
  </w:style>
  <w:style w:type="character" w:styleId="ListLabel230">
    <w:name w:val="ListLabel 230"/>
    <w:qFormat/>
    <w:rPr>
      <w:b/>
    </w:rPr>
  </w:style>
  <w:style w:type="character" w:styleId="ListLabel231">
    <w:name w:val="ListLabel 231"/>
    <w:qFormat/>
    <w:rPr>
      <w:b w:val="false"/>
      <w:i w:val="false"/>
      <w:iCs/>
    </w:rPr>
  </w:style>
  <w:style w:type="character" w:styleId="ListLabel232">
    <w:name w:val="ListLabel 232"/>
    <w:qFormat/>
    <w:rPr>
      <w:b w:val="false"/>
      <w:i w:val="false"/>
      <w:iCs/>
      <w:color w:val="00000A"/>
    </w:rPr>
  </w:style>
  <w:style w:type="character" w:styleId="ListLabel233">
    <w:name w:val="ListLabel 233"/>
    <w:qFormat/>
    <w:rPr>
      <w:rFonts w:ascii="Arial" w:hAnsi="Arial"/>
      <w:b/>
    </w:rPr>
  </w:style>
  <w:style w:type="character" w:styleId="ListLabel234">
    <w:name w:val="ListLabel 234"/>
    <w:qFormat/>
    <w:rPr>
      <w:rFonts w:ascii="Arial" w:hAnsi="Arial"/>
      <w:b/>
      <w:i w:val="false"/>
      <w:iCs/>
      <w:color w:val="00000A"/>
    </w:rPr>
  </w:style>
  <w:style w:type="character" w:styleId="ListLabel235">
    <w:name w:val="ListLabel 235"/>
    <w:qFormat/>
    <w:rPr>
      <w:rFonts w:ascii="Arial" w:hAnsi="Arial" w:cs="Arial"/>
      <w:b/>
      <w:i w:val="false"/>
      <w:iCs/>
      <w:color w:val="00000A"/>
    </w:rPr>
  </w:style>
  <w:style w:type="character" w:styleId="ListLabel236">
    <w:name w:val="ListLabel 236"/>
    <w:qFormat/>
    <w:rPr>
      <w:b/>
    </w:rPr>
  </w:style>
  <w:style w:type="character" w:styleId="ListLabel237">
    <w:name w:val="ListLabel 237"/>
    <w:qFormat/>
    <w:rPr>
      <w:b/>
    </w:rPr>
  </w:style>
  <w:style w:type="character" w:styleId="ListLabel238">
    <w:name w:val="ListLabel 238"/>
    <w:qFormat/>
    <w:rPr>
      <w:b/>
    </w:rPr>
  </w:style>
  <w:style w:type="character" w:styleId="ListLabel239">
    <w:name w:val="ListLabel 239"/>
    <w:qFormat/>
    <w:rPr>
      <w:b w:val="false"/>
      <w:i w:val="false"/>
      <w:iCs/>
    </w:rPr>
  </w:style>
  <w:style w:type="character" w:styleId="ListLabel240">
    <w:name w:val="ListLabel 240"/>
    <w:qFormat/>
    <w:rPr>
      <w:rFonts w:cs="Arial"/>
      <w:b w:val="false"/>
      <w:i w:val="false"/>
      <w:iCs/>
      <w:color w:val="00000A"/>
    </w:rPr>
  </w:style>
  <w:style w:type="character" w:styleId="ListLabel241">
    <w:name w:val="ListLabel 241"/>
    <w:qFormat/>
    <w:rPr>
      <w:b/>
    </w:rPr>
  </w:style>
  <w:style w:type="character" w:styleId="ListLabel242">
    <w:name w:val="ListLabel 242"/>
    <w:qFormat/>
    <w:rPr>
      <w:b w:val="false"/>
      <w:i w:val="false"/>
      <w:iCs/>
    </w:rPr>
  </w:style>
  <w:style w:type="character" w:styleId="ListLabel243">
    <w:name w:val="ListLabel 243"/>
    <w:qFormat/>
    <w:rPr>
      <w:b w:val="false"/>
      <w:i w:val="false"/>
      <w:iCs/>
      <w:color w:val="00000A"/>
    </w:rPr>
  </w:style>
  <w:style w:type="character" w:styleId="ListLabel244">
    <w:name w:val="ListLabel 244"/>
    <w:qFormat/>
    <w:rPr>
      <w:rFonts w:ascii="Arial" w:hAnsi="Arial"/>
      <w:b/>
    </w:rPr>
  </w:style>
  <w:style w:type="character" w:styleId="ListLabel245">
    <w:name w:val="ListLabel 245"/>
    <w:qFormat/>
    <w:rPr>
      <w:rFonts w:ascii="Arial" w:hAnsi="Arial"/>
      <w:b/>
      <w:i w:val="false"/>
      <w:iCs/>
      <w:color w:val="00000A"/>
    </w:rPr>
  </w:style>
  <w:style w:type="character" w:styleId="ListLabel246">
    <w:name w:val="ListLabel 246"/>
    <w:qFormat/>
    <w:rPr>
      <w:rFonts w:ascii="Arial" w:hAnsi="Arial" w:cs="Arial"/>
      <w:b/>
      <w:i w:val="false"/>
      <w:iCs/>
      <w:color w:val="00000A"/>
    </w:rPr>
  </w:style>
  <w:style w:type="character" w:styleId="ListLabel247">
    <w:name w:val="ListLabel 247"/>
    <w:qFormat/>
    <w:rPr>
      <w:b/>
    </w:rPr>
  </w:style>
  <w:style w:type="character" w:styleId="ListLabel248">
    <w:name w:val="ListLabel 248"/>
    <w:qFormat/>
    <w:rPr>
      <w:b/>
    </w:rPr>
  </w:style>
  <w:style w:type="character" w:styleId="ListLabel249">
    <w:name w:val="ListLabel 249"/>
    <w:qFormat/>
    <w:rPr>
      <w:b/>
    </w:rPr>
  </w:style>
  <w:style w:type="character" w:styleId="ListLabel250">
    <w:name w:val="ListLabel 250"/>
    <w:qFormat/>
    <w:rPr>
      <w:b w:val="false"/>
      <w:i w:val="false"/>
      <w:iCs/>
    </w:rPr>
  </w:style>
  <w:style w:type="character" w:styleId="ListLabel251">
    <w:name w:val="ListLabel 251"/>
    <w:qFormat/>
    <w:rPr>
      <w:rFonts w:cs="Arial"/>
      <w:b w:val="false"/>
      <w:i w:val="false"/>
      <w:iCs/>
      <w:color w:val="00000A"/>
    </w:rPr>
  </w:style>
  <w:style w:type="character" w:styleId="ListLabel252">
    <w:name w:val="ListLabel 252"/>
    <w:qFormat/>
    <w:rPr>
      <w:b/>
    </w:rPr>
  </w:style>
  <w:style w:type="character" w:styleId="ListLabel253">
    <w:name w:val="ListLabel 253"/>
    <w:qFormat/>
    <w:rPr>
      <w:b w:val="false"/>
      <w:i w:val="false"/>
      <w:iCs/>
    </w:rPr>
  </w:style>
  <w:style w:type="character" w:styleId="ListLabel254">
    <w:name w:val="ListLabel 254"/>
    <w:qFormat/>
    <w:rPr>
      <w:b w:val="false"/>
      <w:i w:val="false"/>
      <w:iCs/>
      <w:color w:val="00000A"/>
    </w:rPr>
  </w:style>
  <w:style w:type="character" w:styleId="ListLabel255">
    <w:name w:val="ListLabel 255"/>
    <w:qFormat/>
    <w:rPr>
      <w:rFonts w:cs="Arial"/>
      <w:szCs w:val="20"/>
    </w:rPr>
  </w:style>
  <w:style w:type="character" w:styleId="ListLabel256">
    <w:name w:val="ListLabel 256"/>
    <w:qFormat/>
    <w:rPr>
      <w:rFonts w:eastAsia="Calibri" w:cs="Arial"/>
      <w:szCs w:val="20"/>
    </w:rPr>
  </w:style>
  <w:style w:type="character" w:styleId="ListLabel257">
    <w:name w:val="ListLabel 257"/>
    <w:qFormat/>
    <w:rPr>
      <w:rFonts w:eastAsia="Calibri" w:cs="Arial"/>
      <w:lang w:eastAsia="ar-SA"/>
    </w:rPr>
  </w:style>
  <w:style w:type="character" w:styleId="ListLabel258">
    <w:name w:val="ListLabel 258"/>
    <w:qFormat/>
    <w:rPr>
      <w:color w:val="000000"/>
    </w:rPr>
  </w:style>
  <w:style w:type="character" w:styleId="Marcas">
    <w:name w:val="Marcas"/>
    <w:qFormat/>
    <w:rPr>
      <w:rFonts w:ascii="OpenSymbol" w:hAnsi="OpenSymbol" w:eastAsia="OpenSymbol" w:cs="OpenSymbol"/>
    </w:rPr>
  </w:style>
  <w:style w:type="character" w:styleId="ListLabel259">
    <w:name w:val="ListLabel 259"/>
    <w:qFormat/>
    <w:rPr>
      <w:rFonts w:ascii="Arial" w:hAnsi="Arial"/>
      <w:b/>
    </w:rPr>
  </w:style>
  <w:style w:type="character" w:styleId="ListLabel260">
    <w:name w:val="ListLabel 260"/>
    <w:qFormat/>
    <w:rPr>
      <w:rFonts w:ascii="Arial" w:hAnsi="Arial"/>
      <w:b/>
      <w:i w:val="false"/>
      <w:iCs/>
      <w:color w:val="00000A"/>
    </w:rPr>
  </w:style>
  <w:style w:type="character" w:styleId="ListLabel261">
    <w:name w:val="ListLabel 261"/>
    <w:qFormat/>
    <w:rPr>
      <w:rFonts w:ascii="Arial" w:hAnsi="Arial" w:cs="Arial"/>
      <w:b/>
      <w:i w:val="false"/>
      <w:iCs/>
      <w:color w:val="00000A"/>
    </w:rPr>
  </w:style>
  <w:style w:type="character" w:styleId="ListLabel262">
    <w:name w:val="ListLabel 262"/>
    <w:qFormat/>
    <w:rPr>
      <w:b/>
    </w:rPr>
  </w:style>
  <w:style w:type="character" w:styleId="ListLabel263">
    <w:name w:val="ListLabel 263"/>
    <w:qFormat/>
    <w:rPr>
      <w:b/>
    </w:rPr>
  </w:style>
  <w:style w:type="character" w:styleId="ListLabel264">
    <w:name w:val="ListLabel 264"/>
    <w:qFormat/>
    <w:rPr>
      <w:b/>
    </w:rPr>
  </w:style>
  <w:style w:type="character" w:styleId="ListLabel265">
    <w:name w:val="ListLabel 265"/>
    <w:qFormat/>
    <w:rPr>
      <w:b w:val="false"/>
      <w:i w:val="false"/>
      <w:iCs/>
    </w:rPr>
  </w:style>
  <w:style w:type="character" w:styleId="ListLabel266">
    <w:name w:val="ListLabel 266"/>
    <w:qFormat/>
    <w:rPr>
      <w:rFonts w:cs="Arial"/>
      <w:b w:val="false"/>
      <w:i w:val="false"/>
      <w:iCs/>
      <w:color w:val="00000A"/>
    </w:rPr>
  </w:style>
  <w:style w:type="character" w:styleId="ListLabel267">
    <w:name w:val="ListLabel 267"/>
    <w:qFormat/>
    <w:rPr>
      <w:b/>
    </w:rPr>
  </w:style>
  <w:style w:type="character" w:styleId="ListLabel268">
    <w:name w:val="ListLabel 268"/>
    <w:qFormat/>
    <w:rPr>
      <w:b w:val="false"/>
      <w:i w:val="false"/>
      <w:iCs/>
    </w:rPr>
  </w:style>
  <w:style w:type="character" w:styleId="ListLabel269">
    <w:name w:val="ListLabel 269"/>
    <w:qFormat/>
    <w:rPr>
      <w:b w:val="false"/>
      <w:i w:val="false"/>
      <w:iCs/>
      <w:color w:val="00000A"/>
    </w:rPr>
  </w:style>
  <w:style w:type="character" w:styleId="ListLabel270">
    <w:name w:val="ListLabel 270"/>
    <w:qFormat/>
    <w:rPr>
      <w:rFonts w:cs="Arial"/>
      <w:szCs w:val="20"/>
    </w:rPr>
  </w:style>
  <w:style w:type="character" w:styleId="ListLabel271">
    <w:name w:val="ListLabel 271"/>
    <w:qFormat/>
    <w:rPr>
      <w:rFonts w:eastAsia="Calibri" w:cs="Arial"/>
      <w:szCs w:val="20"/>
    </w:rPr>
  </w:style>
  <w:style w:type="character" w:styleId="ListLabel272">
    <w:name w:val="ListLabel 272"/>
    <w:qFormat/>
    <w:rPr>
      <w:rFonts w:eastAsia="Calibri" w:cs="Arial"/>
      <w:lang w:eastAsia="ar-SA"/>
    </w:rPr>
  </w:style>
  <w:style w:type="character" w:styleId="ListLabel273">
    <w:name w:val="ListLabel 273"/>
    <w:qFormat/>
    <w:rPr>
      <w:color w:val="000000"/>
    </w:rPr>
  </w:style>
  <w:style w:type="character" w:styleId="ListLabel274">
    <w:name w:val="ListLabel 274"/>
    <w:qFormat/>
    <w:rPr>
      <w:rFonts w:ascii="Arial" w:hAnsi="Arial"/>
      <w:b/>
      <w:sz w:val="24"/>
    </w:rPr>
  </w:style>
  <w:style w:type="character" w:styleId="ListLabel275">
    <w:name w:val="ListLabel 275"/>
    <w:qFormat/>
    <w:rPr>
      <w:rFonts w:ascii="Calibri" w:hAnsi="Calibri"/>
      <w:b/>
      <w:i w:val="false"/>
      <w:iCs/>
      <w:color w:val="00000A"/>
      <w:sz w:val="24"/>
    </w:rPr>
  </w:style>
  <w:style w:type="character" w:styleId="ListLabel276">
    <w:name w:val="ListLabel 276"/>
    <w:qFormat/>
    <w:rPr>
      <w:rFonts w:ascii="Calibri" w:hAnsi="Calibri" w:cs="Arial"/>
      <w:b/>
      <w:i w:val="false"/>
      <w:iCs/>
      <w:color w:val="00000A"/>
      <w:sz w:val="24"/>
    </w:rPr>
  </w:style>
  <w:style w:type="character" w:styleId="ListLabel277">
    <w:name w:val="ListLabel 277"/>
    <w:qFormat/>
    <w:rPr>
      <w:rFonts w:ascii="Calibri" w:hAnsi="Calibri"/>
      <w:b/>
      <w:sz w:val="24"/>
    </w:rPr>
  </w:style>
  <w:style w:type="character" w:styleId="ListLabel278">
    <w:name w:val="ListLabel 278"/>
    <w:qFormat/>
    <w:rPr>
      <w:b/>
    </w:rPr>
  </w:style>
  <w:style w:type="character" w:styleId="ListLabel279">
    <w:name w:val="ListLabel 279"/>
    <w:qFormat/>
    <w:rPr>
      <w:b/>
    </w:rPr>
  </w:style>
  <w:style w:type="character" w:styleId="ListLabel280">
    <w:name w:val="ListLabel 280"/>
    <w:qFormat/>
    <w:rPr>
      <w:b w:val="false"/>
      <w:i w:val="false"/>
      <w:iCs/>
    </w:rPr>
  </w:style>
  <w:style w:type="character" w:styleId="ListLabel281">
    <w:name w:val="ListLabel 281"/>
    <w:qFormat/>
    <w:rPr>
      <w:rFonts w:cs="Arial"/>
      <w:b w:val="false"/>
      <w:i w:val="false"/>
      <w:iCs/>
      <w:color w:val="00000A"/>
    </w:rPr>
  </w:style>
  <w:style w:type="character" w:styleId="ListLabel282">
    <w:name w:val="ListLabel 282"/>
    <w:qFormat/>
    <w:rPr>
      <w:b/>
    </w:rPr>
  </w:style>
  <w:style w:type="character" w:styleId="ListLabel283">
    <w:name w:val="ListLabel 283"/>
    <w:qFormat/>
    <w:rPr>
      <w:b w:val="false"/>
      <w:i w:val="false"/>
      <w:iCs/>
    </w:rPr>
  </w:style>
  <w:style w:type="character" w:styleId="ListLabel284">
    <w:name w:val="ListLabel 284"/>
    <w:qFormat/>
    <w:rPr>
      <w:rFonts w:ascii="Calibri" w:hAnsi="Calibri"/>
      <w:b w:val="false"/>
      <w:i w:val="false"/>
      <w:iCs/>
      <w:color w:val="00000A"/>
      <w:sz w:val="24"/>
    </w:rPr>
  </w:style>
  <w:style w:type="character" w:styleId="ListLabel285">
    <w:name w:val="ListLabel 285"/>
    <w:qFormat/>
    <w:rPr>
      <w:rFonts w:ascii="Calibri" w:hAnsi="Calibri" w:cs="Arial"/>
      <w:sz w:val="24"/>
      <w:szCs w:val="24"/>
    </w:rPr>
  </w:style>
  <w:style w:type="character" w:styleId="ListLabel286">
    <w:name w:val="ListLabel 286"/>
    <w:qFormat/>
    <w:rPr>
      <w:rFonts w:ascii="Calibri" w:hAnsi="Calibri" w:eastAsia="Calibri" w:cs="Arial"/>
      <w:sz w:val="24"/>
      <w:szCs w:val="24"/>
    </w:rPr>
  </w:style>
  <w:style w:type="character" w:styleId="ListLabel287">
    <w:name w:val="ListLabel 287"/>
    <w:qFormat/>
    <w:rPr>
      <w:rFonts w:ascii="Calibri" w:hAnsi="Calibri" w:eastAsia="Calibri" w:cs="Arial"/>
      <w:sz w:val="24"/>
      <w:szCs w:val="24"/>
      <w:lang w:eastAsia="ar-SA"/>
    </w:rPr>
  </w:style>
  <w:style w:type="character" w:styleId="ListLabel288">
    <w:name w:val="ListLabel 288"/>
    <w:qFormat/>
    <w:rPr>
      <w:rFonts w:ascii="Calibri" w:hAnsi="Calibri"/>
      <w:color w:val="000000"/>
      <w:sz w:val="24"/>
      <w:szCs w:val="24"/>
    </w:rPr>
  </w:style>
  <w:style w:type="character" w:styleId="ListLabel289">
    <w:name w:val="ListLabel 289"/>
    <w:qFormat/>
    <w:rPr>
      <w:rFonts w:ascii="Arial" w:hAnsi="Arial"/>
      <w:b/>
      <w:sz w:val="24"/>
    </w:rPr>
  </w:style>
  <w:style w:type="character" w:styleId="ListLabel290">
    <w:name w:val="ListLabel 290"/>
    <w:qFormat/>
    <w:rPr>
      <w:rFonts w:ascii="Calibri" w:hAnsi="Calibri"/>
      <w:b/>
      <w:i w:val="false"/>
      <w:iCs/>
      <w:color w:val="00000A"/>
      <w:sz w:val="24"/>
    </w:rPr>
  </w:style>
  <w:style w:type="character" w:styleId="ListLabel291">
    <w:name w:val="ListLabel 291"/>
    <w:qFormat/>
    <w:rPr>
      <w:rFonts w:ascii="Calibri" w:hAnsi="Calibri" w:cs="Arial"/>
      <w:b/>
      <w:i w:val="false"/>
      <w:iCs/>
      <w:color w:val="00000A"/>
      <w:sz w:val="24"/>
    </w:rPr>
  </w:style>
  <w:style w:type="character" w:styleId="ListLabel292">
    <w:name w:val="ListLabel 292"/>
    <w:qFormat/>
    <w:rPr>
      <w:rFonts w:ascii="Calibri" w:hAnsi="Calibri"/>
      <w:b/>
      <w:sz w:val="24"/>
    </w:rPr>
  </w:style>
  <w:style w:type="character" w:styleId="ListLabel293">
    <w:name w:val="ListLabel 293"/>
    <w:qFormat/>
    <w:rPr>
      <w:b/>
    </w:rPr>
  </w:style>
  <w:style w:type="character" w:styleId="ListLabel294">
    <w:name w:val="ListLabel 294"/>
    <w:qFormat/>
    <w:rPr>
      <w:b/>
    </w:rPr>
  </w:style>
  <w:style w:type="character" w:styleId="ListLabel295">
    <w:name w:val="ListLabel 295"/>
    <w:qFormat/>
    <w:rPr>
      <w:b w:val="false"/>
      <w:i w:val="false"/>
      <w:iCs/>
    </w:rPr>
  </w:style>
  <w:style w:type="character" w:styleId="ListLabel296">
    <w:name w:val="ListLabel 296"/>
    <w:qFormat/>
    <w:rPr>
      <w:rFonts w:cs="Arial"/>
      <w:b w:val="false"/>
      <w:i w:val="false"/>
      <w:iCs/>
      <w:color w:val="00000A"/>
    </w:rPr>
  </w:style>
  <w:style w:type="character" w:styleId="ListLabel297">
    <w:name w:val="ListLabel 297"/>
    <w:qFormat/>
    <w:rPr>
      <w:b/>
    </w:rPr>
  </w:style>
  <w:style w:type="character" w:styleId="ListLabel298">
    <w:name w:val="ListLabel 298"/>
    <w:qFormat/>
    <w:rPr>
      <w:b w:val="false"/>
      <w:i w:val="false"/>
      <w:iCs/>
    </w:rPr>
  </w:style>
  <w:style w:type="character" w:styleId="ListLabel299">
    <w:name w:val="ListLabel 299"/>
    <w:qFormat/>
    <w:rPr>
      <w:rFonts w:ascii="Calibri" w:hAnsi="Calibri"/>
      <w:b w:val="false"/>
      <w:i w:val="false"/>
      <w:iCs/>
      <w:color w:val="00000A"/>
      <w:sz w:val="24"/>
    </w:rPr>
  </w:style>
  <w:style w:type="character" w:styleId="ListLabel300">
    <w:name w:val="ListLabel 300"/>
    <w:qFormat/>
    <w:rPr>
      <w:rFonts w:ascii="Calibri" w:hAnsi="Calibri" w:cs="Arial"/>
      <w:sz w:val="24"/>
      <w:szCs w:val="24"/>
    </w:rPr>
  </w:style>
  <w:style w:type="character" w:styleId="ListLabel301">
    <w:name w:val="ListLabel 301"/>
    <w:qFormat/>
    <w:rPr>
      <w:rFonts w:ascii="Calibri" w:hAnsi="Calibri" w:eastAsia="Calibri" w:cs="Arial"/>
      <w:sz w:val="24"/>
      <w:szCs w:val="24"/>
    </w:rPr>
  </w:style>
  <w:style w:type="character" w:styleId="ListLabel302">
    <w:name w:val="ListLabel 302"/>
    <w:qFormat/>
    <w:rPr>
      <w:rFonts w:ascii="Calibri" w:hAnsi="Calibri" w:eastAsia="Calibri" w:cs="Arial"/>
      <w:sz w:val="24"/>
      <w:szCs w:val="24"/>
      <w:lang w:eastAsia="ar-SA"/>
    </w:rPr>
  </w:style>
  <w:style w:type="character" w:styleId="ListLabel303">
    <w:name w:val="ListLabel 303"/>
    <w:qFormat/>
    <w:rPr>
      <w:rFonts w:ascii="Calibri" w:hAnsi="Calibri"/>
      <w:color w:val="000000"/>
      <w:sz w:val="24"/>
      <w:szCs w:val="24"/>
    </w:rPr>
  </w:style>
  <w:style w:type="character" w:styleId="ListLabel304">
    <w:name w:val="ListLabel 304"/>
    <w:qFormat/>
    <w:rPr>
      <w:rFonts w:ascii="Arial" w:hAnsi="Arial"/>
      <w:b/>
      <w:sz w:val="24"/>
    </w:rPr>
  </w:style>
  <w:style w:type="character" w:styleId="ListLabel305">
    <w:name w:val="ListLabel 305"/>
    <w:qFormat/>
    <w:rPr>
      <w:rFonts w:ascii="Calibri" w:hAnsi="Calibri"/>
      <w:b/>
      <w:i w:val="false"/>
      <w:iCs/>
      <w:color w:val="00000A"/>
      <w:sz w:val="24"/>
    </w:rPr>
  </w:style>
  <w:style w:type="character" w:styleId="ListLabel306">
    <w:name w:val="ListLabel 306"/>
    <w:qFormat/>
    <w:rPr>
      <w:rFonts w:ascii="Calibri" w:hAnsi="Calibri" w:cs="Arial"/>
      <w:b/>
      <w:i w:val="false"/>
      <w:iCs/>
      <w:color w:val="00000A"/>
      <w:sz w:val="24"/>
    </w:rPr>
  </w:style>
  <w:style w:type="character" w:styleId="ListLabel307">
    <w:name w:val="ListLabel 307"/>
    <w:qFormat/>
    <w:rPr>
      <w:rFonts w:ascii="Calibri" w:hAnsi="Calibri"/>
      <w:b/>
      <w:sz w:val="24"/>
    </w:rPr>
  </w:style>
  <w:style w:type="character" w:styleId="ListLabel308">
    <w:name w:val="ListLabel 308"/>
    <w:qFormat/>
    <w:rPr>
      <w:b/>
    </w:rPr>
  </w:style>
  <w:style w:type="character" w:styleId="ListLabel309">
    <w:name w:val="ListLabel 309"/>
    <w:qFormat/>
    <w:rPr>
      <w:b/>
    </w:rPr>
  </w:style>
  <w:style w:type="character" w:styleId="ListLabel310">
    <w:name w:val="ListLabel 310"/>
    <w:qFormat/>
    <w:rPr>
      <w:b w:val="false"/>
      <w:i w:val="false"/>
      <w:iCs/>
    </w:rPr>
  </w:style>
  <w:style w:type="character" w:styleId="ListLabel311">
    <w:name w:val="ListLabel 311"/>
    <w:qFormat/>
    <w:rPr>
      <w:rFonts w:cs="Arial"/>
      <w:b w:val="false"/>
      <w:i w:val="false"/>
      <w:iCs/>
      <w:color w:val="00000A"/>
    </w:rPr>
  </w:style>
  <w:style w:type="character" w:styleId="ListLabel312">
    <w:name w:val="ListLabel 312"/>
    <w:qFormat/>
    <w:rPr>
      <w:b/>
    </w:rPr>
  </w:style>
  <w:style w:type="character" w:styleId="ListLabel313">
    <w:name w:val="ListLabel 313"/>
    <w:qFormat/>
    <w:rPr>
      <w:b w:val="false"/>
      <w:i w:val="false"/>
      <w:iCs/>
    </w:rPr>
  </w:style>
  <w:style w:type="character" w:styleId="ListLabel314">
    <w:name w:val="ListLabel 314"/>
    <w:qFormat/>
    <w:rPr>
      <w:rFonts w:ascii="Calibri" w:hAnsi="Calibri"/>
      <w:b w:val="false"/>
      <w:i w:val="false"/>
      <w:iCs/>
      <w:color w:val="00000A"/>
      <w:sz w:val="24"/>
    </w:rPr>
  </w:style>
  <w:style w:type="character" w:styleId="ListLabel315">
    <w:name w:val="ListLabel 315"/>
    <w:qFormat/>
    <w:rPr>
      <w:rFonts w:ascii="Calibri" w:hAnsi="Calibri" w:cs="Arial"/>
      <w:sz w:val="24"/>
      <w:szCs w:val="24"/>
    </w:rPr>
  </w:style>
  <w:style w:type="character" w:styleId="ListLabel316">
    <w:name w:val="ListLabel 316"/>
    <w:qFormat/>
    <w:rPr>
      <w:rFonts w:ascii="Calibri" w:hAnsi="Calibri" w:eastAsia="Calibri" w:cs="Arial"/>
      <w:sz w:val="24"/>
      <w:szCs w:val="24"/>
    </w:rPr>
  </w:style>
  <w:style w:type="character" w:styleId="ListLabel317">
    <w:name w:val="ListLabel 317"/>
    <w:qFormat/>
    <w:rPr>
      <w:rFonts w:ascii="Calibri" w:hAnsi="Calibri" w:eastAsia="Calibri" w:cs="Arial"/>
      <w:sz w:val="24"/>
      <w:szCs w:val="24"/>
      <w:lang w:eastAsia="ar-SA"/>
    </w:rPr>
  </w:style>
  <w:style w:type="character" w:styleId="ListLabel318">
    <w:name w:val="ListLabel 318"/>
    <w:qFormat/>
    <w:rPr>
      <w:rFonts w:ascii="Calibri" w:hAnsi="Calibri"/>
      <w:color w:val="000000"/>
      <w:sz w:val="24"/>
      <w:szCs w:val="24"/>
    </w:rPr>
  </w:style>
  <w:style w:type="paragraph" w:styleId="Ttulo">
    <w:name w:val="Título"/>
    <w:basedOn w:val="Normal"/>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shd w:val="clear" w:color="auto" w:fill="auto"/>
      <w:bidi w:val="0"/>
      <w:spacing w:lineRule="auto" w:line="276" w:before="120" w:after="120"/>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Standard" w:customStyle="1">
    <w:name w:val="Standard"/>
    <w:qFormat/>
    <w:rsid w:val="002d1c8a"/>
    <w:pPr>
      <w:widowControl/>
      <w:suppressAutoHyphens w:val="true"/>
      <w:bidi w:val="0"/>
      <w:spacing w:lineRule="auto" w:line="240" w:before="0" w:after="0"/>
      <w:jc w:val="left"/>
      <w:textAlignment w:val="baseline"/>
    </w:pPr>
    <w:rPr>
      <w:rFonts w:ascii="Times New Roman" w:hAnsi="Times New Roman" w:eastAsia="SimSun" w:cs="Mangal"/>
      <w:color w:val="00000A"/>
      <w:kern w:val="0"/>
      <w:sz w:val="24"/>
      <w:szCs w:val="24"/>
      <w:lang w:val="pt-BR" w:eastAsia="zh-CN" w:bidi="hi-IN"/>
    </w:rPr>
  </w:style>
  <w:style w:type="paragraph" w:styleId="Contedodatabela">
    <w:name w:val="Conteúdo da tabela"/>
    <w:basedOn w:val="Normal"/>
    <w:qFormat/>
    <w:pPr/>
    <w:rPr/>
  </w:style>
  <w:style w:type="paragraph" w:styleId="Ttulodetabela">
    <w:name w:val="Título de tabela"/>
    <w:basedOn w:val="Contedodatabela"/>
    <w:qFormat/>
    <w:pPr/>
    <w:rPr/>
  </w:style>
  <w:style w:type="paragraph" w:styleId="Default">
    <w:name w:val="Default"/>
    <w:qFormat/>
    <w:pPr>
      <w:widowControl/>
      <w:suppressAutoHyphens w:val="true"/>
      <w:bidi w:val="0"/>
      <w:jc w:val="left"/>
    </w:pPr>
    <w:rPr>
      <w:rFonts w:ascii="Calibri" w:hAnsi="Calibri" w:eastAsia="Times New Roman" w:cs="Times New Roman" w:asciiTheme="minorHAnsi" w:hAnsiTheme="minorHAnsi"/>
      <w:color w:val="000000"/>
      <w:kern w:val="0"/>
      <w:sz w:val="20"/>
      <w:szCs w:val="22"/>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v.br/compras/pt-br/sistemas/comprasnet-siasg" TargetMode="External"/><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32DC2-7211-4CE0-B7AA-DF41D8DAF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Application>LibreOffice/6.0.7.3$Linux_X86_64 LibreOffice_project/00m0$Build-3</Application>
  <Pages>21</Pages>
  <Words>5497</Words>
  <Characters>31486</Characters>
  <CharactersWithSpaces>36635</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2021-10-21T20:18:00Z</dcterms:created>
  <dc:creator>Hugo Sales</dc:creator>
  <dc:description/>
  <dc:language>pt-BR</dc:language>
  <cp:lastModifiedBy/>
  <cp:lastPrinted>2022-09-21T09:20:05Z</cp:lastPrinted>
  <dcterms:modified xsi:type="dcterms:W3CDTF">2022-09-21T09:23:34Z</dcterms:modified>
  <cp:revision>83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